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72400" cy="10058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before="92"/>
        <w:ind w:left="400" w:right="0" w:firstLine="0"/>
        <w:jc w:val="left"/>
        <w:rPr>
          <w:rFonts w:ascii="Arial"/>
          <w:sz w:val="24"/>
        </w:rPr>
      </w:pPr>
      <w:r>
        <w:rPr>
          <w:rFonts w:ascii="Arial"/>
          <w:sz w:val="24"/>
        </w:rPr>
        <w:t>1</w:t>
      </w:r>
      <w:r>
        <w:rPr>
          <w:rFonts w:ascii="Arial"/>
          <w:spacing w:val="-2"/>
          <w:sz w:val="24"/>
        </w:rPr>
        <w:t> </w:t>
      </w:r>
      <w:r>
        <w:rPr>
          <w:rFonts w:ascii="Arial"/>
          <w:sz w:val="24"/>
        </w:rPr>
        <w:t>of</w:t>
      </w:r>
      <w:r>
        <w:rPr>
          <w:rFonts w:ascii="Arial"/>
          <w:spacing w:val="5"/>
          <w:sz w:val="24"/>
        </w:rPr>
        <w:t> </w:t>
      </w:r>
      <w:r>
        <w:rPr>
          <w:rFonts w:ascii="Arial"/>
          <w:spacing w:val="-5"/>
          <w:sz w:val="24"/>
        </w:rPr>
        <w:t>215</w:t>
      </w:r>
    </w:p>
    <w:p>
      <w:pPr>
        <w:spacing w:after="0"/>
        <w:jc w:val="left"/>
        <w:rPr>
          <w:rFonts w:ascii="Arial"/>
          <w:sz w:val="24"/>
        </w:rPr>
        <w:sectPr>
          <w:type w:val="continuous"/>
          <w:pgSz w:w="12240" w:h="15840"/>
          <w:pgMar w:top="1820" w:bottom="280" w:left="1400" w:right="1180"/>
        </w:sectPr>
      </w:pPr>
    </w:p>
    <w:p>
      <w:pPr>
        <w:pStyle w:val="BodyText"/>
        <w:rPr>
          <w:rFonts w:ascii="Arial"/>
          <w:sz w:val="20"/>
        </w:rPr>
      </w:pPr>
    </w:p>
    <w:p>
      <w:pPr>
        <w:pStyle w:val="BodyText"/>
        <w:spacing w:before="3"/>
        <w:rPr>
          <w:rFonts w:ascii="Arial"/>
          <w:sz w:val="18"/>
        </w:rPr>
      </w:pPr>
    </w:p>
    <w:p>
      <w:pPr>
        <w:pStyle w:val="Title"/>
        <w:spacing w:line="244" w:lineRule="auto"/>
      </w:pPr>
      <w:r>
        <w:rPr/>
        <w:t>Human</w:t>
      </w:r>
      <w:r>
        <w:rPr>
          <w:spacing w:val="-19"/>
        </w:rPr>
        <w:t> </w:t>
      </w:r>
      <w:r>
        <w:rPr/>
        <w:t>Sexuality</w:t>
      </w:r>
      <w:r>
        <w:rPr>
          <w:spacing w:val="-19"/>
        </w:rPr>
        <w:t> </w:t>
      </w:r>
      <w:r>
        <w:rPr/>
        <w:t>Continuing</w:t>
      </w:r>
      <w:r>
        <w:rPr>
          <w:spacing w:val="-20"/>
        </w:rPr>
        <w:t> </w:t>
      </w:r>
      <w:r>
        <w:rPr/>
        <w:t>Education</w:t>
      </w:r>
      <w:r>
        <w:rPr>
          <w:spacing w:val="-20"/>
        </w:rPr>
        <w:t> </w:t>
      </w:r>
      <w:r>
        <w:rPr/>
        <w:t>Course (10 hours/units)</w:t>
      </w:r>
    </w:p>
    <w:p>
      <w:pPr>
        <w:spacing w:line="225" w:lineRule="auto" w:before="313"/>
        <w:ind w:left="454" w:right="650" w:firstLine="0"/>
        <w:jc w:val="center"/>
        <w:rPr>
          <w:i/>
          <w:sz w:val="18"/>
        </w:rPr>
      </w:pPr>
      <w:r>
        <w:rPr>
          <w:i/>
          <w:sz w:val="18"/>
        </w:rPr>
        <w:t>©</w:t>
      </w:r>
      <w:r>
        <w:rPr>
          <w:i/>
          <w:spacing w:val="-10"/>
          <w:sz w:val="18"/>
        </w:rPr>
        <w:t> </w:t>
      </w:r>
      <w:r>
        <w:rPr>
          <w:i/>
          <w:sz w:val="18"/>
        </w:rPr>
        <w:t>2023</w:t>
      </w:r>
      <w:r>
        <w:rPr>
          <w:i/>
          <w:spacing w:val="-3"/>
          <w:sz w:val="18"/>
        </w:rPr>
        <w:t> </w:t>
      </w:r>
      <w:r>
        <w:rPr>
          <w:i/>
          <w:sz w:val="18"/>
        </w:rPr>
        <w:t>by</w:t>
      </w:r>
      <w:r>
        <w:rPr>
          <w:i/>
          <w:spacing w:val="-12"/>
          <w:sz w:val="18"/>
        </w:rPr>
        <w:t> </w:t>
      </w:r>
      <w:r>
        <w:rPr>
          <w:i/>
          <w:sz w:val="18"/>
        </w:rPr>
        <w:t>Aspira</w:t>
      </w:r>
      <w:r>
        <w:rPr>
          <w:i/>
          <w:spacing w:val="-6"/>
          <w:sz w:val="18"/>
        </w:rPr>
        <w:t> </w:t>
      </w:r>
      <w:r>
        <w:rPr>
          <w:i/>
          <w:sz w:val="18"/>
        </w:rPr>
        <w:t>Continuing</w:t>
      </w:r>
      <w:r>
        <w:rPr>
          <w:i/>
          <w:spacing w:val="-7"/>
          <w:sz w:val="18"/>
        </w:rPr>
        <w:t> </w:t>
      </w:r>
      <w:r>
        <w:rPr>
          <w:i/>
          <w:sz w:val="18"/>
        </w:rPr>
        <w:t>Education.</w:t>
      </w:r>
      <w:r>
        <w:rPr>
          <w:i/>
          <w:spacing w:val="-12"/>
          <w:sz w:val="18"/>
        </w:rPr>
        <w:t> </w:t>
      </w:r>
      <w:r>
        <w:rPr>
          <w:i/>
          <w:sz w:val="18"/>
        </w:rPr>
        <w:t>All</w:t>
      </w:r>
      <w:r>
        <w:rPr>
          <w:i/>
          <w:spacing w:val="-5"/>
          <w:sz w:val="18"/>
        </w:rPr>
        <w:t> </w:t>
      </w:r>
      <w:r>
        <w:rPr>
          <w:i/>
          <w:sz w:val="18"/>
        </w:rPr>
        <w:t>rights</w:t>
      </w:r>
      <w:r>
        <w:rPr>
          <w:i/>
          <w:spacing w:val="-7"/>
          <w:sz w:val="18"/>
        </w:rPr>
        <w:t> </w:t>
      </w:r>
      <w:r>
        <w:rPr>
          <w:i/>
          <w:sz w:val="18"/>
        </w:rPr>
        <w:t>reserved.</w:t>
      </w:r>
      <w:r>
        <w:rPr>
          <w:i/>
          <w:spacing w:val="-6"/>
          <w:sz w:val="18"/>
        </w:rPr>
        <w:t> </w:t>
      </w:r>
      <w:r>
        <w:rPr>
          <w:i/>
          <w:sz w:val="18"/>
        </w:rPr>
        <w:t>No</w:t>
      </w:r>
      <w:r>
        <w:rPr>
          <w:i/>
          <w:spacing w:val="-6"/>
          <w:sz w:val="18"/>
        </w:rPr>
        <w:t> </w:t>
      </w:r>
      <w:r>
        <w:rPr>
          <w:i/>
          <w:sz w:val="18"/>
        </w:rPr>
        <w:t>part</w:t>
      </w:r>
      <w:r>
        <w:rPr>
          <w:i/>
          <w:spacing w:val="-6"/>
          <w:sz w:val="18"/>
        </w:rPr>
        <w:t> </w:t>
      </w:r>
      <w:r>
        <w:rPr>
          <w:i/>
          <w:sz w:val="18"/>
        </w:rPr>
        <w:t>of</w:t>
      </w:r>
      <w:r>
        <w:rPr>
          <w:i/>
          <w:spacing w:val="-8"/>
          <w:sz w:val="18"/>
        </w:rPr>
        <w:t> </w:t>
      </w:r>
      <w:r>
        <w:rPr>
          <w:i/>
          <w:sz w:val="18"/>
        </w:rPr>
        <w:t>this</w:t>
      </w:r>
      <w:r>
        <w:rPr>
          <w:i/>
          <w:spacing w:val="-7"/>
          <w:sz w:val="18"/>
        </w:rPr>
        <w:t> </w:t>
      </w:r>
      <w:r>
        <w:rPr>
          <w:i/>
          <w:sz w:val="18"/>
        </w:rPr>
        <w:t>material</w:t>
      </w:r>
      <w:r>
        <w:rPr>
          <w:i/>
          <w:spacing w:val="-8"/>
          <w:sz w:val="18"/>
        </w:rPr>
        <w:t> </w:t>
      </w:r>
      <w:r>
        <w:rPr>
          <w:i/>
          <w:sz w:val="18"/>
        </w:rPr>
        <w:t>may</w:t>
      </w:r>
      <w:r>
        <w:rPr>
          <w:i/>
          <w:spacing w:val="-8"/>
          <w:sz w:val="18"/>
        </w:rPr>
        <w:t> </w:t>
      </w:r>
      <w:r>
        <w:rPr>
          <w:i/>
          <w:sz w:val="18"/>
        </w:rPr>
        <w:t>be</w:t>
      </w:r>
      <w:r>
        <w:rPr>
          <w:i/>
          <w:spacing w:val="-8"/>
          <w:sz w:val="18"/>
        </w:rPr>
        <w:t> </w:t>
      </w:r>
      <w:r>
        <w:rPr>
          <w:i/>
          <w:sz w:val="18"/>
        </w:rPr>
        <w:t>transmitted</w:t>
      </w:r>
      <w:r>
        <w:rPr>
          <w:i/>
          <w:spacing w:val="-6"/>
          <w:sz w:val="18"/>
        </w:rPr>
        <w:t> </w:t>
      </w:r>
      <w:r>
        <w:rPr>
          <w:i/>
          <w:sz w:val="18"/>
        </w:rPr>
        <w:t>or</w:t>
      </w:r>
      <w:r>
        <w:rPr>
          <w:i/>
          <w:spacing w:val="-6"/>
          <w:sz w:val="18"/>
        </w:rPr>
        <w:t> </w:t>
      </w:r>
      <w:r>
        <w:rPr>
          <w:i/>
          <w:sz w:val="18"/>
        </w:rPr>
        <w:t>reproduced</w:t>
      </w:r>
      <w:r>
        <w:rPr>
          <w:i/>
          <w:sz w:val="18"/>
        </w:rPr>
        <w:t> in any form, or by any means, mechanical or electronic without written permission of Aspira Continuing Education.</w:t>
      </w:r>
    </w:p>
    <w:p>
      <w:pPr>
        <w:pStyle w:val="BodyText"/>
        <w:rPr>
          <w:i/>
          <w:sz w:val="20"/>
        </w:rPr>
      </w:pPr>
    </w:p>
    <w:p>
      <w:pPr>
        <w:pStyle w:val="BodyText"/>
        <w:rPr>
          <w:i/>
          <w:sz w:val="20"/>
        </w:rPr>
      </w:pPr>
    </w:p>
    <w:p>
      <w:pPr>
        <w:pStyle w:val="BodyText"/>
        <w:spacing w:before="5"/>
        <w:rPr>
          <w:i/>
          <w:sz w:val="23"/>
        </w:rPr>
      </w:pPr>
    </w:p>
    <w:p>
      <w:pPr>
        <w:pStyle w:val="BodyText"/>
        <w:spacing w:line="259" w:lineRule="auto"/>
        <w:ind w:left="400" w:right="502"/>
      </w:pPr>
      <w:r>
        <w:rPr>
          <w:b/>
          <w:i/>
          <w:u w:val="single"/>
        </w:rPr>
        <w:t>Course</w:t>
      </w:r>
      <w:r>
        <w:rPr>
          <w:b/>
          <w:i/>
          <w:spacing w:val="-8"/>
          <w:u w:val="single"/>
        </w:rPr>
        <w:t> </w:t>
      </w:r>
      <w:r>
        <w:rPr>
          <w:b/>
          <w:i/>
          <w:u w:val="single"/>
        </w:rPr>
        <w:t>Objectives:</w:t>
      </w:r>
      <w:r>
        <w:rPr>
          <w:b/>
          <w:i/>
          <w:spacing w:val="80"/>
        </w:rPr>
        <w:t> </w:t>
      </w:r>
      <w:r>
        <w:rPr/>
        <w:t>In</w:t>
      </w:r>
      <w:r>
        <w:rPr>
          <w:spacing w:val="-7"/>
        </w:rPr>
        <w:t> </w:t>
      </w:r>
      <w:r>
        <w:rPr/>
        <w:t>addition</w:t>
      </w:r>
      <w:r>
        <w:rPr>
          <w:spacing w:val="-7"/>
        </w:rPr>
        <w:t> </w:t>
      </w:r>
      <w:r>
        <w:rPr/>
        <w:t>to</w:t>
      </w:r>
      <w:r>
        <w:rPr>
          <w:spacing w:val="-7"/>
        </w:rPr>
        <w:t> </w:t>
      </w:r>
      <w:r>
        <w:rPr/>
        <w:t>the</w:t>
      </w:r>
      <w:r>
        <w:rPr>
          <w:spacing w:val="-8"/>
        </w:rPr>
        <w:t> </w:t>
      </w:r>
      <w:r>
        <w:rPr/>
        <w:t>course</w:t>
      </w:r>
      <w:r>
        <w:rPr>
          <w:spacing w:val="-8"/>
        </w:rPr>
        <w:t> </w:t>
      </w:r>
      <w:r>
        <w:rPr/>
        <w:t>objectives</w:t>
      </w:r>
      <w:r>
        <w:rPr>
          <w:spacing w:val="-7"/>
        </w:rPr>
        <w:t> </w:t>
      </w:r>
      <w:r>
        <w:rPr/>
        <w:t>listed</w:t>
      </w:r>
      <w:r>
        <w:rPr>
          <w:spacing w:val="-7"/>
        </w:rPr>
        <w:t> </w:t>
      </w:r>
      <w:r>
        <w:rPr/>
        <w:t>in</w:t>
      </w:r>
      <w:r>
        <w:rPr>
          <w:spacing w:val="-7"/>
        </w:rPr>
        <w:t> </w:t>
      </w:r>
      <w:r>
        <w:rPr/>
        <w:t>the</w:t>
      </w:r>
      <w:r>
        <w:rPr>
          <w:spacing w:val="-8"/>
        </w:rPr>
        <w:t> </w:t>
      </w:r>
      <w:r>
        <w:rPr/>
        <w:t>course description, please see additional course content areas related to human sexuality listed below:</w:t>
      </w:r>
    </w:p>
    <w:p>
      <w:pPr>
        <w:pStyle w:val="BodyText"/>
        <w:spacing w:before="4"/>
        <w:rPr>
          <w:sz w:val="14"/>
        </w:rPr>
      </w:pPr>
      <w:r>
        <w:rPr/>
        <mc:AlternateContent>
          <mc:Choice Requires="wps">
            <w:drawing>
              <wp:anchor distT="0" distB="0" distL="0" distR="0" allowOverlap="1" layoutInCell="1" locked="0" behindDoc="1" simplePos="0" relativeHeight="487588352">
                <wp:simplePos x="0" y="0"/>
                <wp:positionH relativeFrom="page">
                  <wp:posOffset>1028700</wp:posOffset>
                </wp:positionH>
                <wp:positionV relativeFrom="paragraph">
                  <wp:posOffset>120006</wp:posOffset>
                </wp:positionV>
                <wp:extent cx="5715000" cy="242316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5715000" cy="2423160"/>
                          <a:chExt cx="5715000" cy="2423160"/>
                        </a:xfrm>
                      </wpg:grpSpPr>
                      <pic:pic>
                        <pic:nvPicPr>
                          <pic:cNvPr id="4" name="Image 4"/>
                          <pic:cNvPicPr/>
                        </pic:nvPicPr>
                        <pic:blipFill>
                          <a:blip r:embed="rId7" cstate="print"/>
                          <a:stretch>
                            <a:fillRect/>
                          </a:stretch>
                        </pic:blipFill>
                        <pic:spPr>
                          <a:xfrm>
                            <a:off x="0" y="0"/>
                            <a:ext cx="5715000" cy="2422763"/>
                          </a:xfrm>
                          <a:prstGeom prst="rect">
                            <a:avLst/>
                          </a:prstGeom>
                        </pic:spPr>
                      </pic:pic>
                      <pic:pic>
                        <pic:nvPicPr>
                          <pic:cNvPr id="5" name="Image 5"/>
                          <pic:cNvPicPr/>
                        </pic:nvPicPr>
                        <pic:blipFill>
                          <a:blip r:embed="rId8" cstate="print"/>
                          <a:stretch>
                            <a:fillRect/>
                          </a:stretch>
                        </pic:blipFill>
                        <pic:spPr>
                          <a:xfrm>
                            <a:off x="76200" y="56200"/>
                            <a:ext cx="5562600" cy="2270363"/>
                          </a:xfrm>
                          <a:prstGeom prst="rect">
                            <a:avLst/>
                          </a:prstGeom>
                        </pic:spPr>
                      </pic:pic>
                      <pic:pic>
                        <pic:nvPicPr>
                          <pic:cNvPr id="6" name="Image 6"/>
                          <pic:cNvPicPr/>
                        </pic:nvPicPr>
                        <pic:blipFill>
                          <a:blip r:embed="rId9" cstate="print"/>
                          <a:stretch>
                            <a:fillRect/>
                          </a:stretch>
                        </pic:blipFill>
                        <pic:spPr>
                          <a:xfrm>
                            <a:off x="42501" y="26634"/>
                            <a:ext cx="5633218" cy="2336800"/>
                          </a:xfrm>
                          <a:prstGeom prst="rect">
                            <a:avLst/>
                          </a:prstGeom>
                        </pic:spPr>
                      </pic:pic>
                      <wps:wsp>
                        <wps:cNvPr id="7" name="Textbox 7"/>
                        <wps:cNvSpPr txBox="1"/>
                        <wps:spPr>
                          <a:xfrm>
                            <a:off x="0" y="0"/>
                            <a:ext cx="5715000" cy="2423160"/>
                          </a:xfrm>
                          <a:prstGeom prst="rect">
                            <a:avLst/>
                          </a:prstGeom>
                        </wps:spPr>
                        <wps:txbx>
                          <w:txbxContent>
                            <w:p>
                              <w:pPr>
                                <w:numPr>
                                  <w:ilvl w:val="0"/>
                                  <w:numId w:val="1"/>
                                </w:numPr>
                                <w:tabs>
                                  <w:tab w:pos="993" w:val="left" w:leader="none"/>
                                </w:tabs>
                                <w:spacing w:line="360" w:lineRule="exact" w:before="164"/>
                                <w:ind w:left="993" w:right="0" w:hanging="458"/>
                                <w:jc w:val="left"/>
                                <w:rPr>
                                  <w:b/>
                                  <w:sz w:val="28"/>
                                </w:rPr>
                              </w:pPr>
                              <w:r>
                                <w:rPr>
                                  <w:b/>
                                  <w:sz w:val="28"/>
                                </w:rPr>
                                <w:t>Social</w:t>
                              </w:r>
                              <w:r>
                                <w:rPr>
                                  <w:b/>
                                  <w:spacing w:val="-5"/>
                                  <w:sz w:val="28"/>
                                </w:rPr>
                                <w:t> </w:t>
                              </w:r>
                              <w:r>
                                <w:rPr>
                                  <w:b/>
                                  <w:sz w:val="28"/>
                                </w:rPr>
                                <w:t>and</w:t>
                              </w:r>
                              <w:r>
                                <w:rPr>
                                  <w:b/>
                                  <w:spacing w:val="-5"/>
                                  <w:sz w:val="28"/>
                                </w:rPr>
                                <w:t> </w:t>
                              </w:r>
                              <w:r>
                                <w:rPr>
                                  <w:b/>
                                  <w:sz w:val="28"/>
                                </w:rPr>
                                <w:t>cultural</w:t>
                              </w:r>
                              <w:r>
                                <w:rPr>
                                  <w:b/>
                                  <w:spacing w:val="-4"/>
                                  <w:sz w:val="28"/>
                                </w:rPr>
                                <w:t> </w:t>
                              </w:r>
                              <w:r>
                                <w:rPr>
                                  <w:b/>
                                  <w:spacing w:val="-2"/>
                                  <w:sz w:val="28"/>
                                </w:rPr>
                                <w:t>foundations</w:t>
                              </w:r>
                            </w:p>
                            <w:p>
                              <w:pPr>
                                <w:numPr>
                                  <w:ilvl w:val="0"/>
                                  <w:numId w:val="1"/>
                                </w:numPr>
                                <w:tabs>
                                  <w:tab w:pos="993" w:val="left" w:leader="none"/>
                                </w:tabs>
                                <w:spacing w:line="320" w:lineRule="exact" w:before="0"/>
                                <w:ind w:left="993" w:right="0" w:hanging="458"/>
                                <w:jc w:val="left"/>
                                <w:rPr>
                                  <w:b/>
                                  <w:sz w:val="28"/>
                                </w:rPr>
                              </w:pPr>
                              <w:r>
                                <w:rPr>
                                  <w:b/>
                                  <w:sz w:val="28"/>
                                </w:rPr>
                                <w:t>Counseling</w:t>
                              </w:r>
                              <w:r>
                                <w:rPr>
                                  <w:b/>
                                  <w:spacing w:val="-4"/>
                                  <w:sz w:val="28"/>
                                </w:rPr>
                                <w:t> </w:t>
                              </w:r>
                              <w:r>
                                <w:rPr>
                                  <w:b/>
                                  <w:sz w:val="28"/>
                                </w:rPr>
                                <w:t>theory</w:t>
                              </w:r>
                              <w:r>
                                <w:rPr>
                                  <w:b/>
                                  <w:spacing w:val="-4"/>
                                  <w:sz w:val="28"/>
                                </w:rPr>
                                <w:t> </w:t>
                              </w:r>
                              <w:r>
                                <w:rPr>
                                  <w:b/>
                                  <w:sz w:val="28"/>
                                </w:rPr>
                                <w:t>and</w:t>
                              </w:r>
                              <w:r>
                                <w:rPr>
                                  <w:b/>
                                  <w:spacing w:val="-4"/>
                                  <w:sz w:val="28"/>
                                </w:rPr>
                                <w:t> </w:t>
                              </w:r>
                              <w:r>
                                <w:rPr>
                                  <w:b/>
                                  <w:spacing w:val="-2"/>
                                  <w:sz w:val="28"/>
                                </w:rPr>
                                <w:t>practice</w:t>
                              </w:r>
                            </w:p>
                            <w:p>
                              <w:pPr>
                                <w:numPr>
                                  <w:ilvl w:val="0"/>
                                  <w:numId w:val="1"/>
                                </w:numPr>
                                <w:tabs>
                                  <w:tab w:pos="993" w:val="left" w:leader="none"/>
                                </w:tabs>
                                <w:spacing w:line="320" w:lineRule="exact" w:before="0"/>
                                <w:ind w:left="993" w:right="0" w:hanging="458"/>
                                <w:jc w:val="left"/>
                                <w:rPr>
                                  <w:b/>
                                  <w:sz w:val="28"/>
                                </w:rPr>
                              </w:pPr>
                              <w:r>
                                <w:rPr>
                                  <w:b/>
                                  <w:spacing w:val="-2"/>
                                  <w:sz w:val="28"/>
                                </w:rPr>
                                <w:t>Assessment</w:t>
                              </w:r>
                            </w:p>
                            <w:p>
                              <w:pPr>
                                <w:numPr>
                                  <w:ilvl w:val="0"/>
                                  <w:numId w:val="1"/>
                                </w:numPr>
                                <w:tabs>
                                  <w:tab w:pos="993" w:val="left" w:leader="none"/>
                                </w:tabs>
                                <w:spacing w:line="320" w:lineRule="exact" w:before="0"/>
                                <w:ind w:left="993" w:right="0" w:hanging="458"/>
                                <w:jc w:val="left"/>
                                <w:rPr>
                                  <w:b/>
                                  <w:sz w:val="28"/>
                                </w:rPr>
                              </w:pPr>
                              <w:r>
                                <w:rPr>
                                  <w:b/>
                                  <w:sz w:val="28"/>
                                </w:rPr>
                                <w:t>Professional</w:t>
                              </w:r>
                              <w:r>
                                <w:rPr>
                                  <w:b/>
                                  <w:spacing w:val="-10"/>
                                  <w:sz w:val="28"/>
                                </w:rPr>
                                <w:t> </w:t>
                              </w:r>
                              <w:r>
                                <w:rPr>
                                  <w:b/>
                                  <w:sz w:val="28"/>
                                </w:rPr>
                                <w:t>practice</w:t>
                              </w:r>
                              <w:r>
                                <w:rPr>
                                  <w:b/>
                                  <w:spacing w:val="-10"/>
                                  <w:sz w:val="28"/>
                                </w:rPr>
                                <w:t> </w:t>
                              </w:r>
                              <w:r>
                                <w:rPr>
                                  <w:b/>
                                  <w:spacing w:val="-2"/>
                                  <w:sz w:val="28"/>
                                </w:rPr>
                                <w:t>issues</w:t>
                              </w:r>
                            </w:p>
                            <w:p>
                              <w:pPr>
                                <w:numPr>
                                  <w:ilvl w:val="0"/>
                                  <w:numId w:val="1"/>
                                </w:numPr>
                                <w:tabs>
                                  <w:tab w:pos="993" w:val="left" w:leader="none"/>
                                </w:tabs>
                                <w:spacing w:line="320" w:lineRule="exact" w:before="0"/>
                                <w:ind w:left="993" w:right="0" w:hanging="458"/>
                                <w:jc w:val="left"/>
                                <w:rPr>
                                  <w:b/>
                                  <w:sz w:val="28"/>
                                </w:rPr>
                              </w:pPr>
                              <w:r>
                                <w:rPr>
                                  <w:b/>
                                  <w:spacing w:val="-2"/>
                                  <w:sz w:val="28"/>
                                </w:rPr>
                                <w:t>Wellness</w:t>
                              </w:r>
                              <w:r>
                                <w:rPr>
                                  <w:b/>
                                  <w:spacing w:val="-16"/>
                                  <w:sz w:val="28"/>
                                </w:rPr>
                                <w:t> </w:t>
                              </w:r>
                              <w:r>
                                <w:rPr>
                                  <w:b/>
                                  <w:spacing w:val="-2"/>
                                  <w:sz w:val="28"/>
                                </w:rPr>
                                <w:t>and</w:t>
                              </w:r>
                              <w:r>
                                <w:rPr>
                                  <w:b/>
                                  <w:spacing w:val="-12"/>
                                  <w:sz w:val="28"/>
                                </w:rPr>
                                <w:t> </w:t>
                              </w:r>
                              <w:r>
                                <w:rPr>
                                  <w:b/>
                                  <w:spacing w:val="-2"/>
                                  <w:sz w:val="28"/>
                                </w:rPr>
                                <w:t>prevention</w:t>
                              </w:r>
                            </w:p>
                            <w:p>
                              <w:pPr>
                                <w:numPr>
                                  <w:ilvl w:val="0"/>
                                  <w:numId w:val="1"/>
                                </w:numPr>
                                <w:tabs>
                                  <w:tab w:pos="993" w:val="left" w:leader="none"/>
                                </w:tabs>
                                <w:spacing w:line="320" w:lineRule="exact" w:before="0"/>
                                <w:ind w:left="993" w:right="0" w:hanging="458"/>
                                <w:jc w:val="left"/>
                                <w:rPr>
                                  <w:b/>
                                  <w:sz w:val="28"/>
                                </w:rPr>
                              </w:pPr>
                              <w:r>
                                <w:rPr>
                                  <w:b/>
                                  <w:sz w:val="28"/>
                                </w:rPr>
                                <w:t>Human</w:t>
                              </w:r>
                              <w:r>
                                <w:rPr>
                                  <w:b/>
                                  <w:spacing w:val="-6"/>
                                  <w:sz w:val="28"/>
                                </w:rPr>
                                <w:t> </w:t>
                              </w:r>
                              <w:r>
                                <w:rPr>
                                  <w:b/>
                                  <w:sz w:val="28"/>
                                </w:rPr>
                                <w:t>growth</w:t>
                              </w:r>
                              <w:r>
                                <w:rPr>
                                  <w:b/>
                                  <w:spacing w:val="-6"/>
                                  <w:sz w:val="28"/>
                                </w:rPr>
                                <w:t> </w:t>
                              </w:r>
                              <w:r>
                                <w:rPr>
                                  <w:b/>
                                  <w:sz w:val="28"/>
                                </w:rPr>
                                <w:t>and</w:t>
                              </w:r>
                              <w:r>
                                <w:rPr>
                                  <w:b/>
                                  <w:spacing w:val="-5"/>
                                  <w:sz w:val="28"/>
                                </w:rPr>
                                <w:t> </w:t>
                              </w:r>
                              <w:r>
                                <w:rPr>
                                  <w:b/>
                                  <w:spacing w:val="-2"/>
                                  <w:sz w:val="28"/>
                                </w:rPr>
                                <w:t>development</w:t>
                              </w:r>
                            </w:p>
                            <w:p>
                              <w:pPr>
                                <w:numPr>
                                  <w:ilvl w:val="0"/>
                                  <w:numId w:val="1"/>
                                </w:numPr>
                                <w:tabs>
                                  <w:tab w:pos="993" w:val="left" w:leader="none"/>
                                </w:tabs>
                                <w:spacing w:line="360" w:lineRule="exact" w:before="0"/>
                                <w:ind w:left="993" w:right="0" w:hanging="458"/>
                                <w:jc w:val="left"/>
                                <w:rPr>
                                  <w:b/>
                                  <w:sz w:val="28"/>
                                </w:rPr>
                              </w:pPr>
                              <w:r>
                                <w:rPr>
                                  <w:b/>
                                  <w:spacing w:val="-2"/>
                                  <w:sz w:val="28"/>
                                </w:rPr>
                                <w:t>Gender</w:t>
                              </w:r>
                              <w:r>
                                <w:rPr>
                                  <w:b/>
                                  <w:spacing w:val="-13"/>
                                  <w:sz w:val="28"/>
                                </w:rPr>
                                <w:t> </w:t>
                              </w:r>
                              <w:r>
                                <w:rPr>
                                  <w:b/>
                                  <w:spacing w:val="-2"/>
                                  <w:sz w:val="28"/>
                                </w:rPr>
                                <w:t>identity</w:t>
                              </w:r>
                              <w:r>
                                <w:rPr>
                                  <w:b/>
                                  <w:spacing w:val="-8"/>
                                  <w:sz w:val="28"/>
                                </w:rPr>
                                <w:t> </w:t>
                              </w:r>
                              <w:r>
                                <w:rPr>
                                  <w:b/>
                                  <w:spacing w:val="-2"/>
                                  <w:sz w:val="28"/>
                                </w:rPr>
                                <w:t>and</w:t>
                              </w:r>
                              <w:r>
                                <w:rPr>
                                  <w:b/>
                                  <w:spacing w:val="-8"/>
                                  <w:sz w:val="28"/>
                                </w:rPr>
                                <w:t> </w:t>
                              </w:r>
                              <w:r>
                                <w:rPr>
                                  <w:b/>
                                  <w:spacing w:val="-2"/>
                                  <w:sz w:val="28"/>
                                </w:rPr>
                                <w:t>gender</w:t>
                              </w:r>
                              <w:r>
                                <w:rPr>
                                  <w:b/>
                                  <w:spacing w:val="-12"/>
                                  <w:sz w:val="28"/>
                                </w:rPr>
                                <w:t> </w:t>
                              </w:r>
                              <w:r>
                                <w:rPr>
                                  <w:b/>
                                  <w:spacing w:val="-2"/>
                                  <w:sz w:val="28"/>
                                </w:rPr>
                                <w:t>dysphoria</w:t>
                              </w:r>
                            </w:p>
                          </w:txbxContent>
                        </wps:txbx>
                        <wps:bodyPr wrap="square" lIns="0" tIns="0" rIns="0" bIns="0" rtlCol="0">
                          <a:noAutofit/>
                        </wps:bodyPr>
                      </wps:wsp>
                    </wpg:wgp>
                  </a:graphicData>
                </a:graphic>
              </wp:anchor>
            </w:drawing>
          </mc:Choice>
          <mc:Fallback>
            <w:pict>
              <v:group style="position:absolute;margin-left:81pt;margin-top:9.449316pt;width:450pt;height:190.8pt;mso-position-horizontal-relative:page;mso-position-vertical-relative:paragraph;z-index:-15728128;mso-wrap-distance-left:0;mso-wrap-distance-right:0" id="docshapegroup2" coordorigin="1620,189" coordsize="9000,3816">
                <v:shape style="position:absolute;left:1620;top:188;width:9000;height:3816" type="#_x0000_t75" id="docshape3" stroked="false">
                  <v:imagedata r:id="rId7" o:title=""/>
                </v:shape>
                <v:shape style="position:absolute;left:1740;top:277;width:8760;height:3576" type="#_x0000_t75" id="docshape4" stroked="false">
                  <v:imagedata r:id="rId8" o:title=""/>
                </v:shape>
                <v:shape style="position:absolute;left:1686;top:230;width:8872;height:3680" type="#_x0000_t75" id="docshape5" stroked="false">
                  <v:imagedata r:id="rId9" o:title=""/>
                </v:shape>
                <v:shape style="position:absolute;left:1620;top:188;width:9000;height:3816" type="#_x0000_t202" id="docshape6" filled="false" stroked="false">
                  <v:textbox inset="0,0,0,0">
                    <w:txbxContent>
                      <w:p>
                        <w:pPr>
                          <w:numPr>
                            <w:ilvl w:val="0"/>
                            <w:numId w:val="1"/>
                          </w:numPr>
                          <w:tabs>
                            <w:tab w:pos="993" w:val="left" w:leader="none"/>
                          </w:tabs>
                          <w:spacing w:line="360" w:lineRule="exact" w:before="164"/>
                          <w:ind w:left="993" w:right="0" w:hanging="458"/>
                          <w:jc w:val="left"/>
                          <w:rPr>
                            <w:b/>
                            <w:sz w:val="28"/>
                          </w:rPr>
                        </w:pPr>
                        <w:r>
                          <w:rPr>
                            <w:b/>
                            <w:sz w:val="28"/>
                          </w:rPr>
                          <w:t>Social</w:t>
                        </w:r>
                        <w:r>
                          <w:rPr>
                            <w:b/>
                            <w:spacing w:val="-5"/>
                            <w:sz w:val="28"/>
                          </w:rPr>
                          <w:t> </w:t>
                        </w:r>
                        <w:r>
                          <w:rPr>
                            <w:b/>
                            <w:sz w:val="28"/>
                          </w:rPr>
                          <w:t>and</w:t>
                        </w:r>
                        <w:r>
                          <w:rPr>
                            <w:b/>
                            <w:spacing w:val="-5"/>
                            <w:sz w:val="28"/>
                          </w:rPr>
                          <w:t> </w:t>
                        </w:r>
                        <w:r>
                          <w:rPr>
                            <w:b/>
                            <w:sz w:val="28"/>
                          </w:rPr>
                          <w:t>cultural</w:t>
                        </w:r>
                        <w:r>
                          <w:rPr>
                            <w:b/>
                            <w:spacing w:val="-4"/>
                            <w:sz w:val="28"/>
                          </w:rPr>
                          <w:t> </w:t>
                        </w:r>
                        <w:r>
                          <w:rPr>
                            <w:b/>
                            <w:spacing w:val="-2"/>
                            <w:sz w:val="28"/>
                          </w:rPr>
                          <w:t>foundations</w:t>
                        </w:r>
                      </w:p>
                      <w:p>
                        <w:pPr>
                          <w:numPr>
                            <w:ilvl w:val="0"/>
                            <w:numId w:val="1"/>
                          </w:numPr>
                          <w:tabs>
                            <w:tab w:pos="993" w:val="left" w:leader="none"/>
                          </w:tabs>
                          <w:spacing w:line="320" w:lineRule="exact" w:before="0"/>
                          <w:ind w:left="993" w:right="0" w:hanging="458"/>
                          <w:jc w:val="left"/>
                          <w:rPr>
                            <w:b/>
                            <w:sz w:val="28"/>
                          </w:rPr>
                        </w:pPr>
                        <w:r>
                          <w:rPr>
                            <w:b/>
                            <w:sz w:val="28"/>
                          </w:rPr>
                          <w:t>Counseling</w:t>
                        </w:r>
                        <w:r>
                          <w:rPr>
                            <w:b/>
                            <w:spacing w:val="-4"/>
                            <w:sz w:val="28"/>
                          </w:rPr>
                          <w:t> </w:t>
                        </w:r>
                        <w:r>
                          <w:rPr>
                            <w:b/>
                            <w:sz w:val="28"/>
                          </w:rPr>
                          <w:t>theory</w:t>
                        </w:r>
                        <w:r>
                          <w:rPr>
                            <w:b/>
                            <w:spacing w:val="-4"/>
                            <w:sz w:val="28"/>
                          </w:rPr>
                          <w:t> </w:t>
                        </w:r>
                        <w:r>
                          <w:rPr>
                            <w:b/>
                            <w:sz w:val="28"/>
                          </w:rPr>
                          <w:t>and</w:t>
                        </w:r>
                        <w:r>
                          <w:rPr>
                            <w:b/>
                            <w:spacing w:val="-4"/>
                            <w:sz w:val="28"/>
                          </w:rPr>
                          <w:t> </w:t>
                        </w:r>
                        <w:r>
                          <w:rPr>
                            <w:b/>
                            <w:spacing w:val="-2"/>
                            <w:sz w:val="28"/>
                          </w:rPr>
                          <w:t>practice</w:t>
                        </w:r>
                      </w:p>
                      <w:p>
                        <w:pPr>
                          <w:numPr>
                            <w:ilvl w:val="0"/>
                            <w:numId w:val="1"/>
                          </w:numPr>
                          <w:tabs>
                            <w:tab w:pos="993" w:val="left" w:leader="none"/>
                          </w:tabs>
                          <w:spacing w:line="320" w:lineRule="exact" w:before="0"/>
                          <w:ind w:left="993" w:right="0" w:hanging="458"/>
                          <w:jc w:val="left"/>
                          <w:rPr>
                            <w:b/>
                            <w:sz w:val="28"/>
                          </w:rPr>
                        </w:pPr>
                        <w:r>
                          <w:rPr>
                            <w:b/>
                            <w:spacing w:val="-2"/>
                            <w:sz w:val="28"/>
                          </w:rPr>
                          <w:t>Assessment</w:t>
                        </w:r>
                      </w:p>
                      <w:p>
                        <w:pPr>
                          <w:numPr>
                            <w:ilvl w:val="0"/>
                            <w:numId w:val="1"/>
                          </w:numPr>
                          <w:tabs>
                            <w:tab w:pos="993" w:val="left" w:leader="none"/>
                          </w:tabs>
                          <w:spacing w:line="320" w:lineRule="exact" w:before="0"/>
                          <w:ind w:left="993" w:right="0" w:hanging="458"/>
                          <w:jc w:val="left"/>
                          <w:rPr>
                            <w:b/>
                            <w:sz w:val="28"/>
                          </w:rPr>
                        </w:pPr>
                        <w:r>
                          <w:rPr>
                            <w:b/>
                            <w:sz w:val="28"/>
                          </w:rPr>
                          <w:t>Professional</w:t>
                        </w:r>
                        <w:r>
                          <w:rPr>
                            <w:b/>
                            <w:spacing w:val="-10"/>
                            <w:sz w:val="28"/>
                          </w:rPr>
                          <w:t> </w:t>
                        </w:r>
                        <w:r>
                          <w:rPr>
                            <w:b/>
                            <w:sz w:val="28"/>
                          </w:rPr>
                          <w:t>practice</w:t>
                        </w:r>
                        <w:r>
                          <w:rPr>
                            <w:b/>
                            <w:spacing w:val="-10"/>
                            <w:sz w:val="28"/>
                          </w:rPr>
                          <w:t> </w:t>
                        </w:r>
                        <w:r>
                          <w:rPr>
                            <w:b/>
                            <w:spacing w:val="-2"/>
                            <w:sz w:val="28"/>
                          </w:rPr>
                          <w:t>issues</w:t>
                        </w:r>
                      </w:p>
                      <w:p>
                        <w:pPr>
                          <w:numPr>
                            <w:ilvl w:val="0"/>
                            <w:numId w:val="1"/>
                          </w:numPr>
                          <w:tabs>
                            <w:tab w:pos="993" w:val="left" w:leader="none"/>
                          </w:tabs>
                          <w:spacing w:line="320" w:lineRule="exact" w:before="0"/>
                          <w:ind w:left="993" w:right="0" w:hanging="458"/>
                          <w:jc w:val="left"/>
                          <w:rPr>
                            <w:b/>
                            <w:sz w:val="28"/>
                          </w:rPr>
                        </w:pPr>
                        <w:r>
                          <w:rPr>
                            <w:b/>
                            <w:spacing w:val="-2"/>
                            <w:sz w:val="28"/>
                          </w:rPr>
                          <w:t>Wellness</w:t>
                        </w:r>
                        <w:r>
                          <w:rPr>
                            <w:b/>
                            <w:spacing w:val="-16"/>
                            <w:sz w:val="28"/>
                          </w:rPr>
                          <w:t> </w:t>
                        </w:r>
                        <w:r>
                          <w:rPr>
                            <w:b/>
                            <w:spacing w:val="-2"/>
                            <w:sz w:val="28"/>
                          </w:rPr>
                          <w:t>and</w:t>
                        </w:r>
                        <w:r>
                          <w:rPr>
                            <w:b/>
                            <w:spacing w:val="-12"/>
                            <w:sz w:val="28"/>
                          </w:rPr>
                          <w:t> </w:t>
                        </w:r>
                        <w:r>
                          <w:rPr>
                            <w:b/>
                            <w:spacing w:val="-2"/>
                            <w:sz w:val="28"/>
                          </w:rPr>
                          <w:t>prevention</w:t>
                        </w:r>
                      </w:p>
                      <w:p>
                        <w:pPr>
                          <w:numPr>
                            <w:ilvl w:val="0"/>
                            <w:numId w:val="1"/>
                          </w:numPr>
                          <w:tabs>
                            <w:tab w:pos="993" w:val="left" w:leader="none"/>
                          </w:tabs>
                          <w:spacing w:line="320" w:lineRule="exact" w:before="0"/>
                          <w:ind w:left="993" w:right="0" w:hanging="458"/>
                          <w:jc w:val="left"/>
                          <w:rPr>
                            <w:b/>
                            <w:sz w:val="28"/>
                          </w:rPr>
                        </w:pPr>
                        <w:r>
                          <w:rPr>
                            <w:b/>
                            <w:sz w:val="28"/>
                          </w:rPr>
                          <w:t>Human</w:t>
                        </w:r>
                        <w:r>
                          <w:rPr>
                            <w:b/>
                            <w:spacing w:val="-6"/>
                            <w:sz w:val="28"/>
                          </w:rPr>
                          <w:t> </w:t>
                        </w:r>
                        <w:r>
                          <w:rPr>
                            <w:b/>
                            <w:sz w:val="28"/>
                          </w:rPr>
                          <w:t>growth</w:t>
                        </w:r>
                        <w:r>
                          <w:rPr>
                            <w:b/>
                            <w:spacing w:val="-6"/>
                            <w:sz w:val="28"/>
                          </w:rPr>
                          <w:t> </w:t>
                        </w:r>
                        <w:r>
                          <w:rPr>
                            <w:b/>
                            <w:sz w:val="28"/>
                          </w:rPr>
                          <w:t>and</w:t>
                        </w:r>
                        <w:r>
                          <w:rPr>
                            <w:b/>
                            <w:spacing w:val="-5"/>
                            <w:sz w:val="28"/>
                          </w:rPr>
                          <w:t> </w:t>
                        </w:r>
                        <w:r>
                          <w:rPr>
                            <w:b/>
                            <w:spacing w:val="-2"/>
                            <w:sz w:val="28"/>
                          </w:rPr>
                          <w:t>development</w:t>
                        </w:r>
                      </w:p>
                      <w:p>
                        <w:pPr>
                          <w:numPr>
                            <w:ilvl w:val="0"/>
                            <w:numId w:val="1"/>
                          </w:numPr>
                          <w:tabs>
                            <w:tab w:pos="993" w:val="left" w:leader="none"/>
                          </w:tabs>
                          <w:spacing w:line="360" w:lineRule="exact" w:before="0"/>
                          <w:ind w:left="993" w:right="0" w:hanging="458"/>
                          <w:jc w:val="left"/>
                          <w:rPr>
                            <w:b/>
                            <w:sz w:val="28"/>
                          </w:rPr>
                        </w:pPr>
                        <w:r>
                          <w:rPr>
                            <w:b/>
                            <w:spacing w:val="-2"/>
                            <w:sz w:val="28"/>
                          </w:rPr>
                          <w:t>Gender</w:t>
                        </w:r>
                        <w:r>
                          <w:rPr>
                            <w:b/>
                            <w:spacing w:val="-13"/>
                            <w:sz w:val="28"/>
                          </w:rPr>
                          <w:t> </w:t>
                        </w:r>
                        <w:r>
                          <w:rPr>
                            <w:b/>
                            <w:spacing w:val="-2"/>
                            <w:sz w:val="28"/>
                          </w:rPr>
                          <w:t>identity</w:t>
                        </w:r>
                        <w:r>
                          <w:rPr>
                            <w:b/>
                            <w:spacing w:val="-8"/>
                            <w:sz w:val="28"/>
                          </w:rPr>
                          <w:t> </w:t>
                        </w:r>
                        <w:r>
                          <w:rPr>
                            <w:b/>
                            <w:spacing w:val="-2"/>
                            <w:sz w:val="28"/>
                          </w:rPr>
                          <w:t>and</w:t>
                        </w:r>
                        <w:r>
                          <w:rPr>
                            <w:b/>
                            <w:spacing w:val="-8"/>
                            <w:sz w:val="28"/>
                          </w:rPr>
                          <w:t> </w:t>
                        </w:r>
                        <w:r>
                          <w:rPr>
                            <w:b/>
                            <w:spacing w:val="-2"/>
                            <w:sz w:val="28"/>
                          </w:rPr>
                          <w:t>gender</w:t>
                        </w:r>
                        <w:r>
                          <w:rPr>
                            <w:b/>
                            <w:spacing w:val="-12"/>
                            <w:sz w:val="28"/>
                          </w:rPr>
                          <w:t> </w:t>
                        </w:r>
                        <w:r>
                          <w:rPr>
                            <w:b/>
                            <w:spacing w:val="-2"/>
                            <w:sz w:val="28"/>
                          </w:rPr>
                          <w:t>dysphoria</w:t>
                        </w:r>
                      </w:p>
                    </w:txbxContent>
                  </v:textbox>
                  <w10:wrap type="none"/>
                </v:shape>
                <w10:wrap type="topAndBottom"/>
              </v:group>
            </w:pict>
          </mc:Fallback>
        </mc:AlternateContent>
      </w:r>
    </w:p>
    <w:p>
      <w:pPr>
        <w:spacing w:after="0"/>
        <w:rPr>
          <w:sz w:val="14"/>
        </w:rPr>
        <w:sectPr>
          <w:footerReference w:type="default" r:id="rId6"/>
          <w:pgSz w:w="12240" w:h="15840"/>
          <w:pgMar w:footer="765" w:header="0" w:top="1820" w:bottom="960" w:left="1400" w:right="1180"/>
          <w:pgNumType w:start="2"/>
        </w:sectPr>
      </w:pPr>
    </w:p>
    <w:p>
      <w:pPr>
        <w:pStyle w:val="BodyText"/>
        <w:rPr>
          <w:sz w:val="20"/>
        </w:rPr>
      </w:pPr>
    </w:p>
    <w:p>
      <w:pPr>
        <w:pStyle w:val="BodyText"/>
        <w:spacing w:before="4"/>
        <w:rPr>
          <w:sz w:val="27"/>
        </w:rPr>
      </w:pPr>
    </w:p>
    <w:p>
      <w:pPr>
        <w:spacing w:before="85"/>
        <w:ind w:left="471" w:right="0" w:firstLine="0"/>
        <w:jc w:val="left"/>
        <w:rPr>
          <w:b/>
          <w:i/>
          <w:sz w:val="36"/>
        </w:rPr>
      </w:pPr>
      <w:r>
        <w:rPr/>
        <mc:AlternateContent>
          <mc:Choice Requires="wps">
            <w:drawing>
              <wp:anchor distT="0" distB="0" distL="0" distR="0" allowOverlap="1" layoutInCell="1" locked="0" behindDoc="1" simplePos="0" relativeHeight="485073920">
                <wp:simplePos x="0" y="0"/>
                <wp:positionH relativeFrom="page">
                  <wp:posOffset>1028700</wp:posOffset>
                </wp:positionH>
                <wp:positionV relativeFrom="paragraph">
                  <wp:posOffset>-346866</wp:posOffset>
                </wp:positionV>
                <wp:extent cx="5955030" cy="714692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5955030" cy="7146925"/>
                          <a:chExt cx="5955030" cy="7146925"/>
                        </a:xfrm>
                      </wpg:grpSpPr>
                      <pic:pic>
                        <pic:nvPicPr>
                          <pic:cNvPr id="9" name="Image 9"/>
                          <pic:cNvPicPr/>
                        </pic:nvPicPr>
                        <pic:blipFill>
                          <a:blip r:embed="rId10" cstate="print"/>
                          <a:stretch>
                            <a:fillRect/>
                          </a:stretch>
                        </pic:blipFill>
                        <pic:spPr>
                          <a:xfrm>
                            <a:off x="0" y="0"/>
                            <a:ext cx="5954783" cy="7146874"/>
                          </a:xfrm>
                          <a:prstGeom prst="rect">
                            <a:avLst/>
                          </a:prstGeom>
                        </pic:spPr>
                      </pic:pic>
                      <pic:pic>
                        <pic:nvPicPr>
                          <pic:cNvPr id="10" name="Image 10"/>
                          <pic:cNvPicPr/>
                        </pic:nvPicPr>
                        <pic:blipFill>
                          <a:blip r:embed="rId11" cstate="print"/>
                          <a:stretch>
                            <a:fillRect/>
                          </a:stretch>
                        </pic:blipFill>
                        <pic:spPr>
                          <a:xfrm>
                            <a:off x="76200" y="56200"/>
                            <a:ext cx="5802383" cy="6994474"/>
                          </a:xfrm>
                          <a:prstGeom prst="rect">
                            <a:avLst/>
                          </a:prstGeom>
                        </pic:spPr>
                      </pic:pic>
                      <pic:pic>
                        <pic:nvPicPr>
                          <pic:cNvPr id="11" name="Image 11"/>
                          <pic:cNvPicPr/>
                        </pic:nvPicPr>
                        <pic:blipFill>
                          <a:blip r:embed="rId12" cstate="print"/>
                          <a:stretch>
                            <a:fillRect/>
                          </a:stretch>
                        </pic:blipFill>
                        <pic:spPr>
                          <a:xfrm>
                            <a:off x="39328" y="38307"/>
                            <a:ext cx="5876174" cy="7048500"/>
                          </a:xfrm>
                          <a:prstGeom prst="rect">
                            <a:avLst/>
                          </a:prstGeom>
                        </pic:spPr>
                      </pic:pic>
                    </wpg:wgp>
                  </a:graphicData>
                </a:graphic>
              </wp:anchor>
            </w:drawing>
          </mc:Choice>
          <mc:Fallback>
            <w:pict>
              <v:group style="position:absolute;margin-left:81pt;margin-top:-27.312336pt;width:468.9pt;height:562.75pt;mso-position-horizontal-relative:page;mso-position-vertical-relative:paragraph;z-index:-18242560" id="docshapegroup7" coordorigin="1620,-546" coordsize="9378,11255">
                <v:shape style="position:absolute;left:1620;top:-547;width:9378;height:11255" type="#_x0000_t75" id="docshape8" stroked="false">
                  <v:imagedata r:id="rId10" o:title=""/>
                </v:shape>
                <v:shape style="position:absolute;left:1740;top:-458;width:9138;height:11015" type="#_x0000_t75" id="docshape9" stroked="false">
                  <v:imagedata r:id="rId11" o:title=""/>
                </v:shape>
                <v:shape style="position:absolute;left:1681;top:-486;width:9254;height:11100" type="#_x0000_t75" id="docshape10" stroked="false">
                  <v:imagedata r:id="rId12" o:title=""/>
                </v:shape>
                <w10:wrap type="none"/>
              </v:group>
            </w:pict>
          </mc:Fallback>
        </mc:AlternateContent>
      </w:r>
      <w:r>
        <w:rPr>
          <w:b/>
          <w:i/>
          <w:spacing w:val="-6"/>
          <w:sz w:val="36"/>
          <w:u w:val="single"/>
        </w:rPr>
        <w:t>Table</w:t>
      </w:r>
      <w:r>
        <w:rPr>
          <w:b/>
          <w:i/>
          <w:spacing w:val="-17"/>
          <w:sz w:val="36"/>
          <w:u w:val="single"/>
        </w:rPr>
        <w:t> </w:t>
      </w:r>
      <w:r>
        <w:rPr>
          <w:b/>
          <w:i/>
          <w:spacing w:val="-6"/>
          <w:sz w:val="36"/>
          <w:u w:val="single"/>
        </w:rPr>
        <w:t>of</w:t>
      </w:r>
      <w:r>
        <w:rPr>
          <w:b/>
          <w:i/>
          <w:spacing w:val="-14"/>
          <w:sz w:val="36"/>
          <w:u w:val="single"/>
        </w:rPr>
        <w:t> </w:t>
      </w:r>
      <w:r>
        <w:rPr>
          <w:b/>
          <w:i/>
          <w:spacing w:val="-6"/>
          <w:sz w:val="36"/>
          <w:u w:val="single"/>
        </w:rPr>
        <w:t>Contents:</w:t>
      </w:r>
    </w:p>
    <w:sdt>
      <w:sdtPr>
        <w:docPartObj>
          <w:docPartGallery w:val="Table of Contents"/>
          <w:docPartUnique/>
        </w:docPartObj>
      </w:sdtPr>
      <w:sdtEndPr/>
      <w:sdtContent>
        <w:p>
          <w:pPr>
            <w:pStyle w:val="TOC1"/>
            <w:numPr>
              <w:ilvl w:val="0"/>
              <w:numId w:val="2"/>
            </w:numPr>
            <w:tabs>
              <w:tab w:pos="765" w:val="left" w:leader="none"/>
              <w:tab w:pos="7822" w:val="right" w:leader="dot"/>
            </w:tabs>
            <w:spacing w:line="240" w:lineRule="auto" w:before="742" w:after="0"/>
            <w:ind w:left="765" w:right="0" w:hanging="294"/>
            <w:jc w:val="left"/>
          </w:pPr>
          <w:hyperlink w:history="true" w:anchor="_TOC_250009">
            <w:r>
              <w:rPr/>
              <w:t>Introduction</w:t>
            </w:r>
            <w:r>
              <w:rPr>
                <w:spacing w:val="-7"/>
              </w:rPr>
              <w:t> </w:t>
            </w:r>
            <w:r>
              <w:rPr/>
              <w:t>and</w:t>
            </w:r>
            <w:r>
              <w:rPr>
                <w:spacing w:val="-7"/>
              </w:rPr>
              <w:t> </w:t>
            </w:r>
            <w:r>
              <w:rPr>
                <w:spacing w:val="-2"/>
              </w:rPr>
              <w:t>Definitions</w:t>
            </w:r>
            <w:r>
              <w:rPr/>
              <w:tab/>
            </w:r>
            <w:r>
              <w:rPr>
                <w:spacing w:val="-10"/>
              </w:rPr>
              <w:t>4</w:t>
            </w:r>
          </w:hyperlink>
        </w:p>
        <w:p>
          <w:pPr>
            <w:pStyle w:val="TOC1"/>
            <w:numPr>
              <w:ilvl w:val="0"/>
              <w:numId w:val="2"/>
            </w:numPr>
            <w:tabs>
              <w:tab w:pos="765" w:val="left" w:leader="none"/>
              <w:tab w:pos="7811" w:val="right" w:leader="dot"/>
            </w:tabs>
            <w:spacing w:line="240" w:lineRule="auto" w:before="318" w:after="0"/>
            <w:ind w:left="765" w:right="0" w:hanging="294"/>
            <w:jc w:val="left"/>
          </w:pPr>
          <w:hyperlink w:history="true" w:anchor="_TOC_250008">
            <w:r>
              <w:rPr>
                <w:spacing w:val="-6"/>
              </w:rPr>
              <w:t>Sexuality and Human Development…</w:t>
            </w:r>
            <w:r>
              <w:rPr/>
              <w:tab/>
            </w:r>
            <w:r>
              <w:rPr>
                <w:spacing w:val="-10"/>
              </w:rPr>
              <w:t>8</w:t>
            </w:r>
          </w:hyperlink>
        </w:p>
        <w:p>
          <w:pPr>
            <w:pStyle w:val="TOC1"/>
            <w:numPr>
              <w:ilvl w:val="0"/>
              <w:numId w:val="2"/>
            </w:numPr>
            <w:tabs>
              <w:tab w:pos="765" w:val="left" w:leader="none"/>
              <w:tab w:pos="7947" w:val="right" w:leader="none"/>
            </w:tabs>
            <w:spacing w:line="240" w:lineRule="auto" w:before="318" w:after="0"/>
            <w:ind w:left="765" w:right="0" w:hanging="294"/>
            <w:jc w:val="left"/>
          </w:pPr>
          <w:hyperlink w:history="true" w:anchor="_TOC_250007">
            <w:r>
              <w:rPr/>
              <w:t>Sexual</w:t>
            </w:r>
            <w:r>
              <w:rPr>
                <w:spacing w:val="-3"/>
              </w:rPr>
              <w:t> </w:t>
            </w:r>
            <w:r>
              <w:rPr>
                <w:spacing w:val="-2"/>
              </w:rPr>
              <w:t>Diversity..…………………………………………</w:t>
            </w:r>
            <w:r>
              <w:rPr/>
              <w:tab/>
            </w:r>
            <w:r>
              <w:rPr>
                <w:spacing w:val="-5"/>
              </w:rPr>
              <w:t>14</w:t>
            </w:r>
          </w:hyperlink>
        </w:p>
        <w:p>
          <w:pPr>
            <w:pStyle w:val="TOC1"/>
            <w:numPr>
              <w:ilvl w:val="0"/>
              <w:numId w:val="2"/>
            </w:numPr>
            <w:tabs>
              <w:tab w:pos="743" w:val="left" w:leader="none"/>
            </w:tabs>
            <w:spacing w:line="321" w:lineRule="exact" w:before="318" w:after="0"/>
            <w:ind w:left="743" w:right="0" w:hanging="272"/>
            <w:jc w:val="left"/>
            <w:rPr>
              <w:color w:val="374151"/>
            </w:rPr>
          </w:pPr>
          <w:r>
            <w:rPr>
              <w:color w:val="374151"/>
              <w:shd w:fill="F7F7F8" w:color="auto" w:val="clear"/>
            </w:rPr>
            <w:t>DSM</w:t>
          </w:r>
          <w:r>
            <w:rPr>
              <w:color w:val="374151"/>
              <w:spacing w:val="-16"/>
              <w:shd w:fill="F7F7F8" w:color="auto" w:val="clear"/>
            </w:rPr>
            <w:t> </w:t>
          </w:r>
          <w:r>
            <w:rPr>
              <w:color w:val="374151"/>
              <w:shd w:fill="F7F7F8" w:color="auto" w:val="clear"/>
            </w:rPr>
            <w:t>5,</w:t>
          </w:r>
          <w:r>
            <w:rPr>
              <w:color w:val="374151"/>
              <w:spacing w:val="-16"/>
              <w:shd w:fill="F7F7F8" w:color="auto" w:val="clear"/>
            </w:rPr>
            <w:t> </w:t>
          </w:r>
          <w:r>
            <w:rPr>
              <w:color w:val="374151"/>
              <w:shd w:fill="F7F7F8" w:color="auto" w:val="clear"/>
            </w:rPr>
            <w:t>Sexual</w:t>
          </w:r>
          <w:r>
            <w:rPr>
              <w:color w:val="374151"/>
              <w:spacing w:val="-16"/>
              <w:shd w:fill="F7F7F8" w:color="auto" w:val="clear"/>
            </w:rPr>
            <w:t> </w:t>
          </w:r>
          <w:r>
            <w:rPr>
              <w:color w:val="374151"/>
              <w:shd w:fill="F7F7F8" w:color="auto" w:val="clear"/>
            </w:rPr>
            <w:t>Dysfunction</w:t>
          </w:r>
          <w:r>
            <w:rPr>
              <w:color w:val="374151"/>
              <w:spacing w:val="-16"/>
              <w:shd w:fill="F7F7F8" w:color="auto" w:val="clear"/>
            </w:rPr>
            <w:t> </w:t>
          </w:r>
          <w:r>
            <w:rPr>
              <w:color w:val="374151"/>
              <w:shd w:fill="F7F7F8" w:color="auto" w:val="clear"/>
            </w:rPr>
            <w:t>and</w:t>
          </w:r>
          <w:r>
            <w:rPr>
              <w:color w:val="374151"/>
              <w:spacing w:val="-16"/>
              <w:shd w:fill="F7F7F8" w:color="auto" w:val="clear"/>
            </w:rPr>
            <w:t> </w:t>
          </w:r>
          <w:r>
            <w:rPr>
              <w:color w:val="374151"/>
              <w:shd w:fill="F7F7F8" w:color="auto" w:val="clear"/>
            </w:rPr>
            <w:t>the</w:t>
          </w:r>
          <w:r>
            <w:rPr>
              <w:color w:val="374151"/>
              <w:spacing w:val="-16"/>
              <w:shd w:fill="F7F7F8" w:color="auto" w:val="clear"/>
            </w:rPr>
            <w:t> </w:t>
          </w:r>
          <w:r>
            <w:rPr>
              <w:color w:val="374151"/>
              <w:spacing w:val="-2"/>
              <w:shd w:fill="F7F7F8" w:color="auto" w:val="clear"/>
            </w:rPr>
            <w:t>Cultural</w:t>
          </w:r>
          <w:r>
            <w:rPr>
              <w:color w:val="374151"/>
              <w:spacing w:val="40"/>
              <w:shd w:fill="F7F7F8" w:color="auto" w:val="clear"/>
            </w:rPr>
            <w:t> </w:t>
          </w:r>
        </w:p>
        <w:p>
          <w:pPr>
            <w:pStyle w:val="TOC1"/>
            <w:tabs>
              <w:tab w:pos="1191" w:val="left" w:leader="none"/>
              <w:tab w:pos="7947" w:val="right" w:leader="dot"/>
            </w:tabs>
            <w:spacing w:line="321" w:lineRule="exact" w:before="0"/>
            <w:ind w:left="471" w:firstLine="0"/>
          </w:pPr>
          <w:r>
            <w:rPr>
              <w:color w:val="374151"/>
              <w:shd w:fill="F7F7F8" w:color="auto" w:val="clear"/>
            </w:rPr>
            <w:tab/>
          </w:r>
          <w:r>
            <w:rPr>
              <w:color w:val="374151"/>
              <w:spacing w:val="-2"/>
              <w:shd w:fill="F7F7F8" w:color="auto" w:val="clear"/>
            </w:rPr>
            <w:t>Formulation</w:t>
          </w:r>
          <w:r>
            <w:rPr>
              <w:color w:val="374151"/>
              <w:spacing w:val="-12"/>
              <w:shd w:fill="F7F7F8" w:color="auto" w:val="clear"/>
            </w:rPr>
            <w:t> </w:t>
          </w:r>
          <w:r>
            <w:rPr>
              <w:color w:val="374151"/>
              <w:spacing w:val="-2"/>
              <w:shd w:fill="F7F7F8" w:color="auto" w:val="clear"/>
            </w:rPr>
            <w:t>Interview</w:t>
          </w:r>
          <w:r>
            <w:rPr>
              <w:color w:val="374151"/>
              <w:spacing w:val="-12"/>
              <w:shd w:fill="F7F7F8" w:color="auto" w:val="clear"/>
            </w:rPr>
            <w:t> </w:t>
          </w:r>
          <w:r>
            <w:rPr>
              <w:color w:val="374151"/>
              <w:spacing w:val="-2"/>
              <w:shd w:fill="F7F7F8" w:color="auto" w:val="clear"/>
            </w:rPr>
            <w:t>(CFI)…</w:t>
          </w:r>
          <w:r>
            <w:rPr>
              <w:color w:val="374151"/>
            </w:rPr>
            <w:tab/>
          </w:r>
          <w:r>
            <w:rPr>
              <w:color w:val="374151"/>
              <w:spacing w:val="-5"/>
              <w:shd w:fill="F7F7F8" w:color="auto" w:val="clear"/>
            </w:rPr>
            <w:t>17</w:t>
          </w:r>
        </w:p>
        <w:p>
          <w:pPr>
            <w:pStyle w:val="TOC1"/>
            <w:numPr>
              <w:ilvl w:val="0"/>
              <w:numId w:val="2"/>
            </w:numPr>
            <w:tabs>
              <w:tab w:pos="751" w:val="left" w:leader="none"/>
              <w:tab w:pos="7951" w:val="right" w:leader="dot"/>
            </w:tabs>
            <w:spacing w:line="240" w:lineRule="auto" w:before="318" w:after="0"/>
            <w:ind w:left="751" w:right="0" w:hanging="280"/>
            <w:jc w:val="left"/>
          </w:pPr>
          <w:hyperlink w:history="true" w:anchor="_TOC_250006">
            <w:r>
              <w:rPr/>
              <w:t>Gender</w:t>
            </w:r>
            <w:r>
              <w:rPr>
                <w:spacing w:val="-10"/>
              </w:rPr>
              <w:t> </w:t>
            </w:r>
            <w:r>
              <w:rPr/>
              <w:t>Identity</w:t>
            </w:r>
            <w:r>
              <w:rPr>
                <w:spacing w:val="-1"/>
              </w:rPr>
              <w:t> </w:t>
            </w:r>
            <w:r>
              <w:rPr/>
              <w:t>and</w:t>
            </w:r>
            <w:r>
              <w:rPr>
                <w:spacing w:val="-2"/>
              </w:rPr>
              <w:t> </w:t>
            </w:r>
            <w:r>
              <w:rPr/>
              <w:t>Gender</w:t>
            </w:r>
            <w:r>
              <w:rPr>
                <w:spacing w:val="-7"/>
              </w:rPr>
              <w:t> </w:t>
            </w:r>
            <w:r>
              <w:rPr>
                <w:spacing w:val="-2"/>
              </w:rPr>
              <w:t>Dysphoria…</w:t>
            </w:r>
            <w:r>
              <w:rPr/>
              <w:tab/>
            </w:r>
            <w:r>
              <w:rPr>
                <w:spacing w:val="-5"/>
              </w:rPr>
              <w:t>28</w:t>
            </w:r>
          </w:hyperlink>
        </w:p>
        <w:p>
          <w:pPr>
            <w:pStyle w:val="TOC1"/>
            <w:numPr>
              <w:ilvl w:val="0"/>
              <w:numId w:val="2"/>
            </w:numPr>
            <w:tabs>
              <w:tab w:pos="739" w:val="left" w:leader="none"/>
              <w:tab w:pos="7940" w:val="right" w:leader="dot"/>
            </w:tabs>
            <w:spacing w:line="240" w:lineRule="auto" w:before="318" w:after="0"/>
            <w:ind w:left="739" w:right="0" w:hanging="268"/>
            <w:jc w:val="left"/>
          </w:pPr>
          <w:hyperlink w:history="true" w:anchor="_TOC_250005">
            <w:r>
              <w:rPr>
                <w:spacing w:val="-6"/>
              </w:rPr>
              <w:t>Cultural</w:t>
            </w:r>
            <w:r>
              <w:rPr>
                <w:spacing w:val="-8"/>
              </w:rPr>
              <w:t> </w:t>
            </w:r>
            <w:r>
              <w:rPr>
                <w:spacing w:val="-2"/>
              </w:rPr>
              <w:t>Competence…</w:t>
            </w:r>
            <w:r>
              <w:rPr/>
              <w:tab/>
            </w:r>
            <w:r>
              <w:rPr>
                <w:spacing w:val="-5"/>
              </w:rPr>
              <w:t>36</w:t>
            </w:r>
          </w:hyperlink>
        </w:p>
        <w:p>
          <w:pPr>
            <w:pStyle w:val="TOC1"/>
            <w:numPr>
              <w:ilvl w:val="0"/>
              <w:numId w:val="2"/>
            </w:numPr>
            <w:tabs>
              <w:tab w:pos="733" w:val="left" w:leader="none"/>
              <w:tab w:pos="7947" w:val="right" w:leader="dot"/>
            </w:tabs>
            <w:spacing w:line="240" w:lineRule="auto" w:before="318" w:after="0"/>
            <w:ind w:left="733" w:right="0" w:hanging="262"/>
            <w:jc w:val="left"/>
          </w:pPr>
          <w:hyperlink w:history="true" w:anchor="_TOC_250004">
            <w:r>
              <w:rPr>
                <w:spacing w:val="-2"/>
              </w:rPr>
              <w:t>Sexual</w:t>
            </w:r>
            <w:r>
              <w:rPr>
                <w:spacing w:val="-17"/>
              </w:rPr>
              <w:t> </w:t>
            </w:r>
            <w:r>
              <w:rPr>
                <w:spacing w:val="-2"/>
              </w:rPr>
              <w:t>Violence</w:t>
            </w:r>
            <w:r>
              <w:rPr>
                <w:spacing w:val="-6"/>
              </w:rPr>
              <w:t> </w:t>
            </w:r>
            <w:r>
              <w:rPr>
                <w:spacing w:val="-2"/>
              </w:rPr>
              <w:t>and</w:t>
            </w:r>
            <w:r>
              <w:rPr>
                <w:spacing w:val="-28"/>
              </w:rPr>
              <w:t> </w:t>
            </w:r>
            <w:r>
              <w:rPr>
                <w:spacing w:val="-2"/>
              </w:rPr>
              <w:t>Abuse…</w:t>
            </w:r>
            <w:r>
              <w:rPr/>
              <w:tab/>
            </w:r>
            <w:r>
              <w:rPr>
                <w:spacing w:val="-5"/>
              </w:rPr>
              <w:t>49</w:t>
            </w:r>
          </w:hyperlink>
        </w:p>
        <w:p>
          <w:pPr>
            <w:pStyle w:val="TOC1"/>
            <w:numPr>
              <w:ilvl w:val="0"/>
              <w:numId w:val="2"/>
            </w:numPr>
            <w:tabs>
              <w:tab w:pos="733" w:val="left" w:leader="none"/>
              <w:tab w:pos="7947" w:val="right" w:leader="dot"/>
            </w:tabs>
            <w:spacing w:line="240" w:lineRule="auto" w:before="318" w:after="0"/>
            <w:ind w:left="733" w:right="0" w:hanging="262"/>
            <w:jc w:val="left"/>
          </w:pPr>
          <w:hyperlink w:history="true" w:anchor="_TOC_250003">
            <w:r>
              <w:rPr>
                <w:spacing w:val="-4"/>
              </w:rPr>
              <w:t>Sexually</w:t>
            </w:r>
            <w:r>
              <w:rPr>
                <w:spacing w:val="-15"/>
              </w:rPr>
              <w:t> </w:t>
            </w:r>
            <w:r>
              <w:rPr>
                <w:spacing w:val="-4"/>
              </w:rPr>
              <w:t>Transmitted</w:t>
            </w:r>
            <w:r>
              <w:rPr>
                <w:spacing w:val="-1"/>
              </w:rPr>
              <w:t> </w:t>
            </w:r>
            <w:r>
              <w:rPr>
                <w:spacing w:val="-4"/>
              </w:rPr>
              <w:t>Infections</w:t>
            </w:r>
            <w:r>
              <w:rPr>
                <w:spacing w:val="-9"/>
              </w:rPr>
              <w:t> </w:t>
            </w:r>
            <w:r>
              <w:rPr>
                <w:spacing w:val="-4"/>
              </w:rPr>
              <w:t>(STIs)</w:t>
            </w:r>
            <w:r>
              <w:rPr/>
              <w:tab/>
            </w:r>
            <w:r>
              <w:rPr>
                <w:spacing w:val="-5"/>
              </w:rPr>
              <w:t>69</w:t>
            </w:r>
          </w:hyperlink>
        </w:p>
        <w:p>
          <w:pPr>
            <w:pStyle w:val="TOC1"/>
            <w:numPr>
              <w:ilvl w:val="0"/>
              <w:numId w:val="2"/>
            </w:numPr>
            <w:tabs>
              <w:tab w:pos="743" w:val="left" w:leader="none"/>
              <w:tab w:pos="8084" w:val="right" w:leader="dot"/>
            </w:tabs>
            <w:spacing w:line="240" w:lineRule="auto" w:before="318" w:after="0"/>
            <w:ind w:left="743" w:right="0" w:hanging="272"/>
            <w:jc w:val="left"/>
          </w:pPr>
          <w:r>
            <w:rPr>
              <w:spacing w:val="-2"/>
            </w:rPr>
            <w:t>Lesbian,</w:t>
          </w:r>
          <w:r>
            <w:rPr>
              <w:spacing w:val="-12"/>
            </w:rPr>
            <w:t> </w:t>
          </w:r>
          <w:r>
            <w:rPr>
              <w:spacing w:val="-2"/>
            </w:rPr>
            <w:t>Gay,</w:t>
          </w:r>
          <w:r>
            <w:rPr>
              <w:spacing w:val="-11"/>
            </w:rPr>
            <w:t> </w:t>
          </w:r>
          <w:r>
            <w:rPr>
              <w:spacing w:val="-2"/>
            </w:rPr>
            <w:t>and</w:t>
          </w:r>
          <w:r>
            <w:rPr>
              <w:spacing w:val="-12"/>
            </w:rPr>
            <w:t> </w:t>
          </w:r>
          <w:r>
            <w:rPr>
              <w:spacing w:val="-2"/>
            </w:rPr>
            <w:t>Bisexual</w:t>
          </w:r>
          <w:r>
            <w:rPr>
              <w:spacing w:val="-11"/>
            </w:rPr>
            <w:t> </w:t>
          </w:r>
          <w:r>
            <w:rPr>
              <w:spacing w:val="-2"/>
            </w:rPr>
            <w:t>Health…</w:t>
          </w:r>
          <w:r>
            <w:rPr/>
            <w:tab/>
          </w:r>
          <w:r>
            <w:rPr>
              <w:spacing w:val="-5"/>
            </w:rPr>
            <w:t>121</w:t>
          </w:r>
        </w:p>
        <w:p>
          <w:pPr>
            <w:pStyle w:val="TOC1"/>
            <w:numPr>
              <w:ilvl w:val="0"/>
              <w:numId w:val="2"/>
            </w:numPr>
            <w:tabs>
              <w:tab w:pos="867" w:val="left" w:leader="none"/>
              <w:tab w:pos="8114" w:val="right" w:leader="dot"/>
            </w:tabs>
            <w:spacing w:line="240" w:lineRule="auto" w:before="342" w:after="0"/>
            <w:ind w:left="867" w:right="0" w:hanging="396"/>
            <w:jc w:val="left"/>
          </w:pPr>
          <w:hyperlink w:history="true" w:anchor="_TOC_250002">
            <w:r>
              <w:rPr>
                <w:spacing w:val="-5"/>
              </w:rPr>
              <w:t>LGBTQ+</w:t>
            </w:r>
            <w:r>
              <w:rPr>
                <w:spacing w:val="-22"/>
              </w:rPr>
              <w:t> </w:t>
            </w:r>
            <w:r>
              <w:rPr>
                <w:spacing w:val="-2"/>
              </w:rPr>
              <w:t>Youth…</w:t>
            </w:r>
            <w:r>
              <w:rPr/>
              <w:tab/>
            </w:r>
            <w:r>
              <w:rPr>
                <w:spacing w:val="-5"/>
              </w:rPr>
              <w:t>135</w:t>
            </w:r>
          </w:hyperlink>
        </w:p>
        <w:p>
          <w:pPr>
            <w:pStyle w:val="TOC1"/>
            <w:numPr>
              <w:ilvl w:val="0"/>
              <w:numId w:val="2"/>
            </w:numPr>
            <w:tabs>
              <w:tab w:pos="846" w:val="left" w:leader="none"/>
              <w:tab w:pos="8137" w:val="right" w:leader="dot"/>
            </w:tabs>
            <w:spacing w:line="240" w:lineRule="auto" w:before="366" w:after="0"/>
            <w:ind w:left="846" w:right="0" w:hanging="375"/>
            <w:jc w:val="left"/>
          </w:pPr>
          <w:hyperlink w:history="true" w:anchor="_TOC_250001">
            <w:r>
              <w:rPr>
                <w:spacing w:val="-2"/>
              </w:rPr>
              <w:t>Terms</w:t>
            </w:r>
            <w:r>
              <w:rPr/>
              <w:tab/>
            </w:r>
            <w:r>
              <w:rPr>
                <w:spacing w:val="-5"/>
              </w:rPr>
              <w:t>172</w:t>
            </w:r>
          </w:hyperlink>
        </w:p>
        <w:p>
          <w:pPr>
            <w:pStyle w:val="TOC1"/>
            <w:numPr>
              <w:ilvl w:val="0"/>
              <w:numId w:val="2"/>
            </w:numPr>
            <w:tabs>
              <w:tab w:pos="867" w:val="left" w:leader="none"/>
              <w:tab w:pos="8125" w:val="right" w:leader="dot"/>
            </w:tabs>
            <w:spacing w:line="240" w:lineRule="auto" w:before="366" w:after="0"/>
            <w:ind w:left="867" w:right="0" w:hanging="396"/>
            <w:jc w:val="left"/>
          </w:pPr>
          <w:hyperlink w:history="true" w:anchor="_TOC_250000">
            <w:r>
              <w:rPr>
                <w:spacing w:val="-2"/>
              </w:rPr>
              <w:t>References…</w:t>
            </w:r>
            <w:r>
              <w:rPr/>
              <w:tab/>
            </w:r>
            <w:r>
              <w:rPr>
                <w:spacing w:val="-5"/>
              </w:rPr>
              <w:t>176</w:t>
            </w:r>
          </w:hyperlink>
        </w:p>
      </w:sdtContent>
    </w:sdt>
    <w:p>
      <w:pPr>
        <w:spacing w:after="0" w:line="240" w:lineRule="auto"/>
        <w:jc w:val="left"/>
        <w:sectPr>
          <w:pgSz w:w="12240" w:h="15840"/>
          <w:pgMar w:header="0" w:footer="765" w:top="1160" w:bottom="980" w:left="1400" w:right="1180"/>
        </w:sectPr>
      </w:pPr>
    </w:p>
    <w:p>
      <w:pPr>
        <w:pStyle w:val="Heading1"/>
        <w:numPr>
          <w:ilvl w:val="0"/>
          <w:numId w:val="3"/>
        </w:numPr>
        <w:tabs>
          <w:tab w:pos="655" w:val="left" w:leader="none"/>
        </w:tabs>
        <w:spacing w:line="240" w:lineRule="auto" w:before="70" w:after="0"/>
        <w:ind w:left="655" w:right="0" w:hanging="375"/>
        <w:jc w:val="left"/>
      </w:pPr>
      <w:bookmarkStart w:name="_TOC_250009" w:id="1"/>
      <w:r>
        <w:rPr/>
        <w:t>Introduction</w:t>
      </w:r>
      <w:r>
        <w:rPr>
          <w:spacing w:val="-11"/>
        </w:rPr>
        <w:t> </w:t>
      </w:r>
      <w:r>
        <w:rPr/>
        <w:t>and</w:t>
      </w:r>
      <w:r>
        <w:rPr>
          <w:spacing w:val="-11"/>
        </w:rPr>
        <w:t> </w:t>
      </w:r>
      <w:bookmarkEnd w:id="1"/>
      <w:r>
        <w:rPr>
          <w:spacing w:val="-2"/>
        </w:rPr>
        <w:t>Definitions</w:t>
      </w:r>
    </w:p>
    <w:p>
      <w:pPr>
        <w:pStyle w:val="Heading2"/>
        <w:spacing w:before="542"/>
      </w:pPr>
      <w:r>
        <w:rPr>
          <w:color w:val="374151"/>
          <w:shd w:fill="F7F7F8" w:color="auto" w:val="clear"/>
        </w:rPr>
        <w:t>Exploring</w:t>
      </w:r>
      <w:r>
        <w:rPr>
          <w:color w:val="374151"/>
          <w:spacing w:val="-6"/>
          <w:shd w:fill="F7F7F8" w:color="auto" w:val="clear"/>
        </w:rPr>
        <w:t> </w:t>
      </w:r>
      <w:r>
        <w:rPr>
          <w:color w:val="374151"/>
          <w:shd w:fill="F7F7F8" w:color="auto" w:val="clear"/>
        </w:rPr>
        <w:t>Human</w:t>
      </w:r>
      <w:r>
        <w:rPr>
          <w:color w:val="374151"/>
          <w:spacing w:val="-3"/>
          <w:shd w:fill="F7F7F8" w:color="auto" w:val="clear"/>
        </w:rPr>
        <w:t> </w:t>
      </w:r>
      <w:r>
        <w:rPr>
          <w:color w:val="374151"/>
          <w:shd w:fill="F7F7F8" w:color="auto" w:val="clear"/>
        </w:rPr>
        <w:t>Sexuality:</w:t>
      </w:r>
      <w:r>
        <w:rPr>
          <w:color w:val="374151"/>
          <w:spacing w:val="-17"/>
          <w:shd w:fill="F7F7F8" w:color="auto" w:val="clear"/>
        </w:rPr>
        <w:t> </w:t>
      </w:r>
      <w:r>
        <w:rPr>
          <w:color w:val="374151"/>
          <w:shd w:fill="F7F7F8" w:color="auto" w:val="clear"/>
        </w:rPr>
        <w:t>A</w:t>
      </w:r>
      <w:r>
        <w:rPr>
          <w:color w:val="374151"/>
          <w:spacing w:val="-18"/>
          <w:shd w:fill="F7F7F8" w:color="auto" w:val="clear"/>
        </w:rPr>
        <w:t> </w:t>
      </w:r>
      <w:r>
        <w:rPr>
          <w:color w:val="374151"/>
          <w:shd w:fill="F7F7F8" w:color="auto" w:val="clear"/>
        </w:rPr>
        <w:t>Comprehensive</w:t>
      </w:r>
      <w:r>
        <w:rPr>
          <w:color w:val="374151"/>
          <w:spacing w:val="-3"/>
          <w:shd w:fill="F7F7F8" w:color="auto" w:val="clear"/>
        </w:rPr>
        <w:t> </w:t>
      </w:r>
      <w:r>
        <w:rPr>
          <w:color w:val="374151"/>
          <w:shd w:fill="F7F7F8" w:color="auto" w:val="clear"/>
        </w:rPr>
        <w:t>Guide</w:t>
      </w:r>
      <w:r>
        <w:rPr>
          <w:color w:val="374151"/>
          <w:spacing w:val="-4"/>
          <w:shd w:fill="F7F7F8" w:color="auto" w:val="clear"/>
        </w:rPr>
        <w:t> </w:t>
      </w:r>
      <w:r>
        <w:rPr>
          <w:color w:val="374151"/>
          <w:shd w:fill="F7F7F8" w:color="auto" w:val="clear"/>
        </w:rPr>
        <w:t>for</w:t>
      </w:r>
      <w:r>
        <w:rPr>
          <w:color w:val="374151"/>
          <w:spacing w:val="-8"/>
          <w:shd w:fill="F7F7F8" w:color="auto" w:val="clear"/>
        </w:rPr>
        <w:t> </w:t>
      </w:r>
      <w:r>
        <w:rPr>
          <w:color w:val="374151"/>
          <w:spacing w:val="-2"/>
          <w:shd w:fill="F7F7F8" w:color="auto" w:val="clear"/>
        </w:rPr>
        <w:t>Licensed</w:t>
      </w:r>
      <w:r>
        <w:rPr>
          <w:color w:val="374151"/>
          <w:spacing w:val="40"/>
          <w:shd w:fill="F7F7F8" w:color="auto" w:val="clear"/>
        </w:rPr>
        <w:t> </w:t>
      </w:r>
    </w:p>
    <w:p>
      <w:pPr>
        <w:pStyle w:val="BodyText"/>
        <w:spacing w:before="618" w:after="2"/>
        <w:ind w:left="280" w:right="502"/>
      </w:pPr>
      <w:r>
        <w:rPr/>
        <mc:AlternateContent>
          <mc:Choice Requires="wps">
            <w:drawing>
              <wp:anchor distT="0" distB="0" distL="0" distR="0" allowOverlap="1" layoutInCell="1" locked="0" behindDoc="0" simplePos="0" relativeHeight="15732224">
                <wp:simplePos x="0" y="0"/>
                <wp:positionH relativeFrom="page">
                  <wp:posOffset>1066800</wp:posOffset>
                </wp:positionH>
                <wp:positionV relativeFrom="paragraph">
                  <wp:posOffset>7534</wp:posOffset>
                </wp:positionV>
                <wp:extent cx="2140585" cy="3937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14058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Mental</w:t>
                            </w:r>
                            <w:r>
                              <w:rPr>
                                <w:b/>
                                <w:color w:val="374151"/>
                                <w:spacing w:val="-2"/>
                                <w:sz w:val="28"/>
                              </w:rPr>
                              <w:t> </w:t>
                            </w:r>
                            <w:r>
                              <w:rPr>
                                <w:b/>
                                <w:color w:val="374151"/>
                                <w:sz w:val="28"/>
                              </w:rPr>
                              <w:t>Health</w:t>
                            </w:r>
                            <w:r>
                              <w:rPr>
                                <w:b/>
                                <w:color w:val="374151"/>
                                <w:spacing w:val="-2"/>
                                <w:sz w:val="28"/>
                              </w:rPr>
                              <w:t> Professionals</w:t>
                            </w:r>
                          </w:p>
                        </w:txbxContent>
                      </wps:txbx>
                      <wps:bodyPr wrap="square" lIns="0" tIns="0" rIns="0" bIns="0" rtlCol="0">
                        <a:noAutofit/>
                      </wps:bodyPr>
                    </wps:wsp>
                  </a:graphicData>
                </a:graphic>
              </wp:anchor>
            </w:drawing>
          </mc:Choice>
          <mc:Fallback>
            <w:pict>
              <v:shape style="position:absolute;margin-left:84pt;margin-top:.593298pt;width:168.55pt;height:31pt;mso-position-horizontal-relative:page;mso-position-vertical-relative:paragraph;z-index:15732224" type="#_x0000_t202" id="docshape11" filled="true" fillcolor="#f7f7f8" stroked="false">
                <v:textbox inset="0,0,0,0">
                  <w:txbxContent>
                    <w:p>
                      <w:pPr>
                        <w:spacing w:line="308" w:lineRule="exact" w:before="0"/>
                        <w:ind w:left="0" w:right="-15" w:firstLine="0"/>
                        <w:jc w:val="left"/>
                        <w:rPr>
                          <w:b/>
                          <w:color w:val="000000"/>
                          <w:sz w:val="28"/>
                        </w:rPr>
                      </w:pPr>
                      <w:r>
                        <w:rPr>
                          <w:b/>
                          <w:color w:val="374151"/>
                          <w:sz w:val="28"/>
                        </w:rPr>
                        <w:t>Mental</w:t>
                      </w:r>
                      <w:r>
                        <w:rPr>
                          <w:b/>
                          <w:color w:val="374151"/>
                          <w:spacing w:val="-2"/>
                          <w:sz w:val="28"/>
                        </w:rPr>
                        <w:t> </w:t>
                      </w:r>
                      <w:r>
                        <w:rPr>
                          <w:b/>
                          <w:color w:val="374151"/>
                          <w:sz w:val="28"/>
                        </w:rPr>
                        <w:t>Health</w:t>
                      </w:r>
                      <w:r>
                        <w:rPr>
                          <w:b/>
                          <w:color w:val="374151"/>
                          <w:spacing w:val="-2"/>
                          <w:sz w:val="28"/>
                        </w:rPr>
                        <w:t> Professionals</w:t>
                      </w:r>
                    </w:p>
                  </w:txbxContent>
                </v:textbox>
                <v:fill type="solid"/>
                <w10:wrap type="none"/>
              </v:shape>
            </w:pict>
          </mc:Fallback>
        </mc:AlternateContent>
      </w:r>
      <w:r>
        <w:rPr>
          <w:color w:val="374151"/>
          <w:shd w:fill="F7F7F8" w:color="auto" w:val="clear"/>
        </w:rPr>
        <w:t>Understanding human sexuality is crucial for mental health professionals as it </w:t>
      </w:r>
      <w:r>
        <w:rPr>
          <w:color w:val="374151"/>
        </w:rPr>
        <w:t> </w:t>
      </w:r>
      <w:r>
        <w:rPr>
          <w:color w:val="374151"/>
          <w:shd w:fill="F7F7F8" w:color="auto" w:val="clear"/>
        </w:rPr>
        <w:t>plays a significant role in clients' lives and overall well-being. This </w:t>
      </w:r>
      <w:r>
        <w:rPr>
          <w:color w:val="374151"/>
        </w:rPr>
        <w:t> </w:t>
      </w:r>
      <w:r>
        <w:rPr>
          <w:color w:val="374151"/>
          <w:shd w:fill="F7F7F8" w:color="auto" w:val="clear"/>
        </w:rPr>
        <w:t>comprehensive</w:t>
      </w:r>
      <w:r>
        <w:rPr>
          <w:color w:val="374151"/>
          <w:spacing w:val="-4"/>
          <w:shd w:fill="F7F7F8" w:color="auto" w:val="clear"/>
        </w:rPr>
        <w:t> </w:t>
      </w:r>
      <w:r>
        <w:rPr>
          <w:color w:val="374151"/>
          <w:shd w:fill="F7F7F8" w:color="auto" w:val="clear"/>
        </w:rPr>
        <w:t>course</w:t>
      </w:r>
      <w:r>
        <w:rPr>
          <w:color w:val="374151"/>
          <w:spacing w:val="-4"/>
          <w:shd w:fill="F7F7F8" w:color="auto" w:val="clear"/>
        </w:rPr>
        <w:t> </w:t>
      </w:r>
      <w:r>
        <w:rPr>
          <w:color w:val="374151"/>
          <w:shd w:fill="F7F7F8" w:color="auto" w:val="clear"/>
        </w:rPr>
        <w:t>aims</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equip</w:t>
      </w:r>
      <w:r>
        <w:rPr>
          <w:color w:val="374151"/>
          <w:spacing w:val="-4"/>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with</w:t>
      </w:r>
      <w:r>
        <w:rPr>
          <w:color w:val="374151"/>
          <w:spacing w:val="-4"/>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deeper</w:t>
      </w:r>
      <w:r>
        <w:rPr>
          <w:color w:val="374151"/>
          <w:spacing w:val="-4"/>
          <w:shd w:fill="F7F7F8" w:color="auto" w:val="clear"/>
        </w:rPr>
        <w:t> </w:t>
      </w:r>
      <w:r>
        <w:rPr>
          <w:color w:val="374151"/>
          <w:spacing w:val="-4"/>
        </w:rPr>
        <w:t> </w:t>
      </w:r>
      <w:r>
        <w:rPr>
          <w:color w:val="374151"/>
          <w:shd w:fill="F7F7F8" w:color="auto" w:val="clear"/>
        </w:rPr>
        <w:t>understanding of human sexuality, covering its diverse dimensions, common </w:t>
      </w:r>
      <w:r>
        <w:rPr>
          <w:color w:val="374151"/>
        </w:rPr>
        <w:t> </w:t>
      </w:r>
      <w:r>
        <w:rPr>
          <w:color w:val="374151"/>
          <w:shd w:fill="F7F7F8" w:color="auto" w:val="clear"/>
        </w:rPr>
        <w:t>concerns, and therapeutic approaches. By fostering a nonjudgmental and </w:t>
      </w:r>
      <w:r>
        <w:rPr>
          <w:color w:val="374151"/>
        </w:rPr>
        <w:t> </w:t>
      </w:r>
      <w:r>
        <w:rPr>
          <w:color w:val="374151"/>
          <w:shd w:fill="F7F7F8" w:color="auto" w:val="clear"/>
        </w:rPr>
        <w:t>inclusive approach, mental health professionals can effectively support their</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5076825" cy="787400"/>
                <wp:effectExtent l="0" t="0" r="0" b="3175"/>
                <wp:docPr id="13" name="Group 13"/>
                <wp:cNvGraphicFramePr>
                  <a:graphicFrameLocks/>
                </wp:cNvGraphicFramePr>
                <a:graphic>
                  <a:graphicData uri="http://schemas.microsoft.com/office/word/2010/wordprocessingGroup">
                    <wpg:wgp>
                      <wpg:cNvPr id="13" name="Group 13"/>
                      <wpg:cNvGrpSpPr/>
                      <wpg:grpSpPr>
                        <a:xfrm>
                          <a:off x="0" y="0"/>
                          <a:ext cx="5076825" cy="787400"/>
                          <a:chExt cx="5076825" cy="787400"/>
                        </a:xfrm>
                      </wpg:grpSpPr>
                      <wps:wsp>
                        <wps:cNvPr id="14" name="Textbox 14"/>
                        <wps:cNvSpPr txBox="1"/>
                        <wps:spPr>
                          <a:xfrm>
                            <a:off x="0" y="393700"/>
                            <a:ext cx="2015489"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Defining</w:t>
                              </w:r>
                              <w:r>
                                <w:rPr>
                                  <w:b/>
                                  <w:color w:val="374151"/>
                                  <w:spacing w:val="-4"/>
                                  <w:sz w:val="28"/>
                                </w:rPr>
                                <w:t> </w:t>
                              </w:r>
                              <w:r>
                                <w:rPr>
                                  <w:b/>
                                  <w:color w:val="374151"/>
                                  <w:sz w:val="28"/>
                                </w:rPr>
                                <w:t>Human</w:t>
                              </w:r>
                              <w:r>
                                <w:rPr>
                                  <w:b/>
                                  <w:color w:val="374151"/>
                                  <w:spacing w:val="-1"/>
                                  <w:sz w:val="28"/>
                                </w:rPr>
                                <w:t> </w:t>
                              </w:r>
                              <w:r>
                                <w:rPr>
                                  <w:b/>
                                  <w:color w:val="374151"/>
                                  <w:spacing w:val="-2"/>
                                  <w:sz w:val="28"/>
                                </w:rPr>
                                <w:t>Sexuality</w:t>
                              </w:r>
                            </w:p>
                          </w:txbxContent>
                        </wps:txbx>
                        <wps:bodyPr wrap="square" lIns="0" tIns="0" rIns="0" bIns="0" rtlCol="0">
                          <a:noAutofit/>
                        </wps:bodyPr>
                      </wps:wsp>
                      <wps:wsp>
                        <wps:cNvPr id="15" name="Textbox 15"/>
                        <wps:cNvSpPr txBox="1"/>
                        <wps:spPr>
                          <a:xfrm>
                            <a:off x="0" y="0"/>
                            <a:ext cx="507682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clients'</w:t>
                              </w:r>
                              <w:r>
                                <w:rPr>
                                  <w:color w:val="374151"/>
                                  <w:spacing w:val="-4"/>
                                  <w:sz w:val="28"/>
                                </w:rPr>
                                <w:t> </w:t>
                              </w:r>
                              <w:r>
                                <w:rPr>
                                  <w:color w:val="374151"/>
                                  <w:sz w:val="28"/>
                                </w:rPr>
                                <w:t>sexual</w:t>
                              </w:r>
                              <w:r>
                                <w:rPr>
                                  <w:color w:val="374151"/>
                                  <w:spacing w:val="-1"/>
                                  <w:sz w:val="28"/>
                                </w:rPr>
                                <w:t> </w:t>
                              </w:r>
                              <w:r>
                                <w:rPr>
                                  <w:color w:val="374151"/>
                                  <w:sz w:val="28"/>
                                </w:rPr>
                                <w:t>health</w:t>
                              </w:r>
                              <w:r>
                                <w:rPr>
                                  <w:color w:val="374151"/>
                                  <w:spacing w:val="-2"/>
                                  <w:sz w:val="28"/>
                                </w:rPr>
                                <w:t> </w:t>
                              </w:r>
                              <w:r>
                                <w:rPr>
                                  <w:color w:val="374151"/>
                                  <w:sz w:val="28"/>
                                </w:rPr>
                                <w:t>and</w:t>
                              </w:r>
                              <w:r>
                                <w:rPr>
                                  <w:color w:val="374151"/>
                                  <w:spacing w:val="-1"/>
                                  <w:sz w:val="28"/>
                                </w:rPr>
                                <w:t> </w:t>
                              </w:r>
                              <w:r>
                                <w:rPr>
                                  <w:color w:val="374151"/>
                                  <w:sz w:val="28"/>
                                </w:rPr>
                                <w:t>navigate</w:t>
                              </w:r>
                              <w:r>
                                <w:rPr>
                                  <w:color w:val="374151"/>
                                  <w:spacing w:val="-3"/>
                                  <w:sz w:val="28"/>
                                </w:rPr>
                                <w:t> </w:t>
                              </w:r>
                              <w:r>
                                <w:rPr>
                                  <w:color w:val="374151"/>
                                  <w:sz w:val="28"/>
                                </w:rPr>
                                <w:t>the</w:t>
                              </w:r>
                              <w:r>
                                <w:rPr>
                                  <w:color w:val="374151"/>
                                  <w:spacing w:val="-2"/>
                                  <w:sz w:val="28"/>
                                </w:rPr>
                                <w:t> </w:t>
                              </w:r>
                              <w:r>
                                <w:rPr>
                                  <w:color w:val="374151"/>
                                  <w:sz w:val="28"/>
                                </w:rPr>
                                <w:t>complexities</w:t>
                              </w:r>
                              <w:r>
                                <w:rPr>
                                  <w:color w:val="374151"/>
                                  <w:spacing w:val="-2"/>
                                  <w:sz w:val="28"/>
                                </w:rPr>
                                <w:t> </w:t>
                              </w:r>
                              <w:r>
                                <w:rPr>
                                  <w:color w:val="374151"/>
                                  <w:sz w:val="28"/>
                                </w:rPr>
                                <w:t>of</w:t>
                              </w:r>
                              <w:r>
                                <w:rPr>
                                  <w:color w:val="374151"/>
                                  <w:spacing w:val="-1"/>
                                  <w:sz w:val="28"/>
                                </w:rPr>
                                <w:t> </w:t>
                              </w:r>
                              <w:r>
                                <w:rPr>
                                  <w:color w:val="374151"/>
                                  <w:sz w:val="28"/>
                                </w:rPr>
                                <w:t>human</w:t>
                              </w:r>
                              <w:r>
                                <w:rPr>
                                  <w:color w:val="374151"/>
                                  <w:spacing w:val="-1"/>
                                  <w:sz w:val="28"/>
                                </w:rPr>
                                <w:t> </w:t>
                              </w:r>
                              <w:r>
                                <w:rPr>
                                  <w:color w:val="374151"/>
                                  <w:spacing w:val="-2"/>
                                  <w:sz w:val="28"/>
                                </w:rPr>
                                <w:t>sexuality.</w:t>
                              </w:r>
                            </w:p>
                          </w:txbxContent>
                        </wps:txbx>
                        <wps:bodyPr wrap="square" lIns="0" tIns="0" rIns="0" bIns="0" rtlCol="0">
                          <a:noAutofit/>
                        </wps:bodyPr>
                      </wps:wsp>
                    </wpg:wgp>
                  </a:graphicData>
                </a:graphic>
              </wp:inline>
            </w:drawing>
          </mc:Choice>
          <mc:Fallback>
            <w:pict>
              <v:group style="width:399.75pt;height:62pt;mso-position-horizontal-relative:char;mso-position-vertical-relative:line" id="docshapegroup12" coordorigin="0,0" coordsize="7995,1240">
                <v:shape style="position:absolute;left:0;top:620;width:3174;height:620" type="#_x0000_t202" id="docshape13" filled="true" fillcolor="#f7f7f8" stroked="false">
                  <v:textbox inset="0,0,0,0">
                    <w:txbxContent>
                      <w:p>
                        <w:pPr>
                          <w:spacing w:line="308" w:lineRule="exact" w:before="0"/>
                          <w:ind w:left="0" w:right="0" w:firstLine="0"/>
                          <w:jc w:val="left"/>
                          <w:rPr>
                            <w:b/>
                            <w:color w:val="000000"/>
                            <w:sz w:val="28"/>
                          </w:rPr>
                        </w:pPr>
                        <w:r>
                          <w:rPr>
                            <w:b/>
                            <w:color w:val="374151"/>
                            <w:sz w:val="28"/>
                          </w:rPr>
                          <w:t>Defining</w:t>
                        </w:r>
                        <w:r>
                          <w:rPr>
                            <w:b/>
                            <w:color w:val="374151"/>
                            <w:spacing w:val="-4"/>
                            <w:sz w:val="28"/>
                          </w:rPr>
                          <w:t> </w:t>
                        </w:r>
                        <w:r>
                          <w:rPr>
                            <w:b/>
                            <w:color w:val="374151"/>
                            <w:sz w:val="28"/>
                          </w:rPr>
                          <w:t>Human</w:t>
                        </w:r>
                        <w:r>
                          <w:rPr>
                            <w:b/>
                            <w:color w:val="374151"/>
                            <w:spacing w:val="-1"/>
                            <w:sz w:val="28"/>
                          </w:rPr>
                          <w:t> </w:t>
                        </w:r>
                        <w:r>
                          <w:rPr>
                            <w:b/>
                            <w:color w:val="374151"/>
                            <w:spacing w:val="-2"/>
                            <w:sz w:val="28"/>
                          </w:rPr>
                          <w:t>Sexuality</w:t>
                        </w:r>
                      </w:p>
                    </w:txbxContent>
                  </v:textbox>
                  <v:fill type="solid"/>
                  <w10:wrap type="none"/>
                </v:shape>
                <v:shape style="position:absolute;left:0;top:0;width:7995;height:620" type="#_x0000_t202" id="docshape14" filled="true" fillcolor="#f7f7f8" stroked="false">
                  <v:textbox inset="0,0,0,0">
                    <w:txbxContent>
                      <w:p>
                        <w:pPr>
                          <w:spacing w:line="308" w:lineRule="exact" w:before="0"/>
                          <w:ind w:left="0" w:right="-15" w:firstLine="0"/>
                          <w:jc w:val="left"/>
                          <w:rPr>
                            <w:color w:val="000000"/>
                            <w:sz w:val="28"/>
                          </w:rPr>
                        </w:pPr>
                        <w:r>
                          <w:rPr>
                            <w:color w:val="374151"/>
                            <w:sz w:val="28"/>
                          </w:rPr>
                          <w:t>clients'</w:t>
                        </w:r>
                        <w:r>
                          <w:rPr>
                            <w:color w:val="374151"/>
                            <w:spacing w:val="-4"/>
                            <w:sz w:val="28"/>
                          </w:rPr>
                          <w:t> </w:t>
                        </w:r>
                        <w:r>
                          <w:rPr>
                            <w:color w:val="374151"/>
                            <w:sz w:val="28"/>
                          </w:rPr>
                          <w:t>sexual</w:t>
                        </w:r>
                        <w:r>
                          <w:rPr>
                            <w:color w:val="374151"/>
                            <w:spacing w:val="-1"/>
                            <w:sz w:val="28"/>
                          </w:rPr>
                          <w:t> </w:t>
                        </w:r>
                        <w:r>
                          <w:rPr>
                            <w:color w:val="374151"/>
                            <w:sz w:val="28"/>
                          </w:rPr>
                          <w:t>health</w:t>
                        </w:r>
                        <w:r>
                          <w:rPr>
                            <w:color w:val="374151"/>
                            <w:spacing w:val="-2"/>
                            <w:sz w:val="28"/>
                          </w:rPr>
                          <w:t> </w:t>
                        </w:r>
                        <w:r>
                          <w:rPr>
                            <w:color w:val="374151"/>
                            <w:sz w:val="28"/>
                          </w:rPr>
                          <w:t>and</w:t>
                        </w:r>
                        <w:r>
                          <w:rPr>
                            <w:color w:val="374151"/>
                            <w:spacing w:val="-1"/>
                            <w:sz w:val="28"/>
                          </w:rPr>
                          <w:t> </w:t>
                        </w:r>
                        <w:r>
                          <w:rPr>
                            <w:color w:val="374151"/>
                            <w:sz w:val="28"/>
                          </w:rPr>
                          <w:t>navigate</w:t>
                        </w:r>
                        <w:r>
                          <w:rPr>
                            <w:color w:val="374151"/>
                            <w:spacing w:val="-3"/>
                            <w:sz w:val="28"/>
                          </w:rPr>
                          <w:t> </w:t>
                        </w:r>
                        <w:r>
                          <w:rPr>
                            <w:color w:val="374151"/>
                            <w:sz w:val="28"/>
                          </w:rPr>
                          <w:t>the</w:t>
                        </w:r>
                        <w:r>
                          <w:rPr>
                            <w:color w:val="374151"/>
                            <w:spacing w:val="-2"/>
                            <w:sz w:val="28"/>
                          </w:rPr>
                          <w:t> </w:t>
                        </w:r>
                        <w:r>
                          <w:rPr>
                            <w:color w:val="374151"/>
                            <w:sz w:val="28"/>
                          </w:rPr>
                          <w:t>complexities</w:t>
                        </w:r>
                        <w:r>
                          <w:rPr>
                            <w:color w:val="374151"/>
                            <w:spacing w:val="-2"/>
                            <w:sz w:val="28"/>
                          </w:rPr>
                          <w:t> </w:t>
                        </w:r>
                        <w:r>
                          <w:rPr>
                            <w:color w:val="374151"/>
                            <w:sz w:val="28"/>
                          </w:rPr>
                          <w:t>of</w:t>
                        </w:r>
                        <w:r>
                          <w:rPr>
                            <w:color w:val="374151"/>
                            <w:spacing w:val="-1"/>
                            <w:sz w:val="28"/>
                          </w:rPr>
                          <w:t> </w:t>
                        </w:r>
                        <w:r>
                          <w:rPr>
                            <w:color w:val="374151"/>
                            <w:sz w:val="28"/>
                          </w:rPr>
                          <w:t>human</w:t>
                        </w:r>
                        <w:r>
                          <w:rPr>
                            <w:color w:val="374151"/>
                            <w:spacing w:val="-1"/>
                            <w:sz w:val="28"/>
                          </w:rPr>
                          <w:t> </w:t>
                        </w:r>
                        <w:r>
                          <w:rPr>
                            <w:color w:val="374151"/>
                            <w:spacing w:val="-2"/>
                            <w:sz w:val="28"/>
                          </w:rPr>
                          <w:t>sexuality.</w:t>
                        </w:r>
                      </w:p>
                    </w:txbxContent>
                  </v:textbox>
                  <v:fill type="solid"/>
                  <w10:wrap type="none"/>
                </v:shape>
              </v:group>
            </w:pict>
          </mc:Fallback>
        </mc:AlternateContent>
      </w:r>
      <w:r>
        <w:rPr>
          <w:sz w:val="20"/>
        </w:rPr>
      </w:r>
    </w:p>
    <w:p>
      <w:pPr>
        <w:pStyle w:val="BodyText"/>
        <w:ind w:left="280" w:right="502"/>
      </w:pPr>
      <w:r>
        <w:rPr>
          <w:color w:val="374151"/>
          <w:shd w:fill="F7F7F8" w:color="auto" w:val="clear"/>
        </w:rPr>
        <w:t>Human sexuality encompasses a broad spectrum of factors, including </w:t>
      </w:r>
      <w:r>
        <w:rPr>
          <w:color w:val="374151"/>
        </w:rPr>
        <w:t> </w:t>
      </w:r>
      <w:r>
        <w:rPr>
          <w:color w:val="374151"/>
          <w:shd w:fill="F7F7F8" w:color="auto" w:val="clear"/>
        </w:rPr>
        <w:t>biological, psychological, and social elements that shape individuals' sexual </w:t>
      </w:r>
      <w:r>
        <w:rPr>
          <w:color w:val="374151"/>
        </w:rPr>
        <w:t> </w:t>
      </w:r>
      <w:r>
        <w:rPr>
          <w:color w:val="374151"/>
          <w:shd w:fill="F7F7F8" w:color="auto" w:val="clear"/>
        </w:rPr>
        <w:t>experiences, behaviors, and identities. Mental health professionals should </w:t>
      </w:r>
      <w:r>
        <w:rPr>
          <w:color w:val="374151"/>
        </w:rPr>
        <w:t> </w:t>
      </w:r>
      <w:r>
        <w:rPr>
          <w:color w:val="374151"/>
          <w:shd w:fill="F7F7F8" w:color="auto" w:val="clear"/>
        </w:rPr>
        <w:t>recognize</w:t>
      </w:r>
      <w:r>
        <w:rPr>
          <w:color w:val="374151"/>
          <w:spacing w:val="-5"/>
          <w:shd w:fill="F7F7F8" w:color="auto" w:val="clear"/>
        </w:rPr>
        <w:t> </w:t>
      </w:r>
      <w:r>
        <w:rPr>
          <w:color w:val="374151"/>
          <w:shd w:fill="F7F7F8" w:color="auto" w:val="clear"/>
        </w:rPr>
        <w:t>that</w:t>
      </w:r>
      <w:r>
        <w:rPr>
          <w:color w:val="374151"/>
          <w:spacing w:val="-4"/>
          <w:shd w:fill="F7F7F8" w:color="auto" w:val="clear"/>
        </w:rPr>
        <w:t> </w:t>
      </w:r>
      <w:r>
        <w:rPr>
          <w:color w:val="374151"/>
          <w:shd w:fill="F7F7F8" w:color="auto" w:val="clear"/>
        </w:rPr>
        <w:t>sexuality</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hd w:fill="F7F7F8" w:color="auto" w:val="clear"/>
        </w:rPr>
        <w:t>multidimensional,</w:t>
      </w:r>
      <w:r>
        <w:rPr>
          <w:color w:val="374151"/>
          <w:spacing w:val="-4"/>
          <w:shd w:fill="F7F7F8" w:color="auto" w:val="clear"/>
        </w:rPr>
        <w:t> </w:t>
      </w:r>
      <w:r>
        <w:rPr>
          <w:color w:val="374151"/>
          <w:shd w:fill="F7F7F8" w:color="auto" w:val="clear"/>
        </w:rPr>
        <w:t>fluid,</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evolve</w:t>
      </w:r>
      <w:r>
        <w:rPr>
          <w:color w:val="374151"/>
          <w:spacing w:val="-5"/>
          <w:shd w:fill="F7F7F8" w:color="auto" w:val="clear"/>
        </w:rPr>
        <w:t> </w:t>
      </w:r>
      <w:r>
        <w:rPr>
          <w:color w:val="374151"/>
          <w:shd w:fill="F7F7F8" w:color="auto" w:val="clear"/>
        </w:rPr>
        <w:t>over</w:t>
      </w:r>
      <w:r>
        <w:rPr>
          <w:color w:val="374151"/>
          <w:spacing w:val="-4"/>
          <w:shd w:fill="F7F7F8" w:color="auto" w:val="clear"/>
        </w:rPr>
        <w:t> </w:t>
      </w:r>
      <w:r>
        <w:rPr>
          <w:color w:val="374151"/>
          <w:shd w:fill="F7F7F8" w:color="auto" w:val="clear"/>
        </w:rPr>
        <w:t>time.</w:t>
      </w:r>
      <w:r>
        <w:rPr>
          <w:color w:val="374151"/>
          <w:spacing w:val="-4"/>
          <w:shd w:fill="F7F7F8" w:color="auto" w:val="clear"/>
        </w:rPr>
        <w:t> </w:t>
      </w:r>
      <w:r>
        <w:rPr>
          <w:color w:val="374151"/>
          <w:shd w:fill="F7F7F8" w:color="auto" w:val="clear"/>
        </w:rPr>
        <w:t>It</w:t>
      </w:r>
      <w:r>
        <w:rPr>
          <w:color w:val="374151"/>
        </w:rPr>
        <w:t> </w:t>
      </w:r>
      <w:r>
        <w:rPr>
          <w:color w:val="374151"/>
          <w:shd w:fill="F7F7F8" w:color="auto" w:val="clear"/>
        </w:rPr>
        <w:t>includes sexual orientation, gender identity, sexual desires, arousal patterns,</w:t>
      </w:r>
      <w:r>
        <w:rPr>
          <w:color w:val="374151"/>
          <w:spacing w:val="40"/>
          <w:shd w:fill="F7F7F8" w:color="auto" w:val="clear"/>
        </w:rPr>
        <w:t> </w:t>
      </w:r>
    </w:p>
    <w:p>
      <w:pPr>
        <w:pStyle w:val="BodyText"/>
        <w:rPr>
          <w:sz w:val="20"/>
        </w:rPr>
      </w:pPr>
    </w:p>
    <w:p>
      <w:pPr>
        <w:pStyle w:val="BodyText"/>
        <w:spacing w:before="3"/>
        <w:rPr>
          <w:sz w:val="23"/>
        </w:rPr>
      </w:pPr>
    </w:p>
    <w:p>
      <w:pPr>
        <w:pStyle w:val="BodyText"/>
        <w:spacing w:before="89"/>
        <w:ind w:left="280" w:right="502"/>
      </w:pPr>
      <w:r>
        <w:rPr/>
        <mc:AlternateContent>
          <mc:Choice Requires="wps">
            <w:drawing>
              <wp:anchor distT="0" distB="0" distL="0" distR="0" allowOverlap="1" layoutInCell="1" locked="0" behindDoc="1" simplePos="0" relativeHeight="487589888">
                <wp:simplePos x="0" y="0"/>
                <wp:positionH relativeFrom="page">
                  <wp:posOffset>1066800</wp:posOffset>
                </wp:positionH>
                <wp:positionV relativeFrom="paragraph">
                  <wp:posOffset>470619</wp:posOffset>
                </wp:positionV>
                <wp:extent cx="3210560" cy="393700"/>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3210560" cy="393700"/>
                        </a:xfrm>
                        <a:prstGeom prst="rect">
                          <a:avLst/>
                        </a:prstGeom>
                        <a:solidFill>
                          <a:srgbClr val="F7F7F8"/>
                        </a:solidFill>
                      </wps:spPr>
                      <wps:txbx>
                        <w:txbxContent>
                          <w:p>
                            <w:pPr>
                              <w:pStyle w:val="BodyText"/>
                              <w:spacing w:line="308" w:lineRule="exact"/>
                              <w:ind w:right="-15"/>
                              <w:rPr>
                                <w:color w:val="000000"/>
                              </w:rPr>
                            </w:pPr>
                            <w:r>
                              <w:rPr>
                                <w:color w:val="374151"/>
                              </w:rPr>
                              <w:t>human</w:t>
                            </w:r>
                            <w:r>
                              <w:rPr>
                                <w:color w:val="374151"/>
                                <w:spacing w:val="-1"/>
                              </w:rPr>
                              <w:t> </w:t>
                            </w:r>
                            <w:r>
                              <w:rPr>
                                <w:color w:val="374151"/>
                              </w:rPr>
                              <w:t>sexuality</w:t>
                            </w:r>
                            <w:r>
                              <w:rPr>
                                <w:color w:val="374151"/>
                                <w:spacing w:val="-1"/>
                              </w:rPr>
                              <w:t> </w:t>
                            </w:r>
                            <w:r>
                              <w:rPr>
                                <w:color w:val="374151"/>
                              </w:rPr>
                              <w:t>including</w:t>
                            </w:r>
                            <w:r>
                              <w:rPr>
                                <w:color w:val="374151"/>
                                <w:spacing w:val="-1"/>
                              </w:rPr>
                              <w:t> </w:t>
                            </w:r>
                            <w:r>
                              <w:rPr>
                                <w:color w:val="374151"/>
                              </w:rPr>
                              <w:t>but</w:t>
                            </w:r>
                            <w:r>
                              <w:rPr>
                                <w:color w:val="374151"/>
                                <w:spacing w:val="-1"/>
                              </w:rPr>
                              <w:t> </w:t>
                            </w:r>
                            <w:r>
                              <w:rPr>
                                <w:color w:val="374151"/>
                              </w:rPr>
                              <w:t>not</w:t>
                            </w:r>
                            <w:r>
                              <w:rPr>
                                <w:color w:val="374151"/>
                                <w:spacing w:val="-1"/>
                              </w:rPr>
                              <w:t> </w:t>
                            </w:r>
                            <w:r>
                              <w:rPr>
                                <w:color w:val="374151"/>
                              </w:rPr>
                              <w:t>limited </w:t>
                            </w:r>
                            <w:r>
                              <w:rPr>
                                <w:color w:val="374151"/>
                                <w:spacing w:val="-5"/>
                              </w:rPr>
                              <w:t>to:</w:t>
                            </w:r>
                          </w:p>
                        </w:txbxContent>
                      </wps:txbx>
                      <wps:bodyPr wrap="square" lIns="0" tIns="0" rIns="0" bIns="0" rtlCol="0">
                        <a:noAutofit/>
                      </wps:bodyPr>
                    </wps:wsp>
                  </a:graphicData>
                </a:graphic>
              </wp:anchor>
            </w:drawing>
          </mc:Choice>
          <mc:Fallback>
            <w:pict>
              <v:shape style="position:absolute;margin-left:84pt;margin-top:37.056629pt;width:252.8pt;height:31pt;mso-position-horizontal-relative:page;mso-position-vertical-relative:paragraph;z-index:-15726592;mso-wrap-distance-left:0;mso-wrap-distance-right:0" type="#_x0000_t202" id="docshape15" filled="true" fillcolor="#f7f7f8" stroked="false">
                <v:textbox inset="0,0,0,0">
                  <w:txbxContent>
                    <w:p>
                      <w:pPr>
                        <w:pStyle w:val="BodyText"/>
                        <w:spacing w:line="308" w:lineRule="exact"/>
                        <w:ind w:right="-15"/>
                        <w:rPr>
                          <w:color w:val="000000"/>
                        </w:rPr>
                      </w:pPr>
                      <w:r>
                        <w:rPr>
                          <w:color w:val="374151"/>
                        </w:rPr>
                        <w:t>human</w:t>
                      </w:r>
                      <w:r>
                        <w:rPr>
                          <w:color w:val="374151"/>
                          <w:spacing w:val="-1"/>
                        </w:rPr>
                        <w:t> </w:t>
                      </w:r>
                      <w:r>
                        <w:rPr>
                          <w:color w:val="374151"/>
                        </w:rPr>
                        <w:t>sexuality</w:t>
                      </w:r>
                      <w:r>
                        <w:rPr>
                          <w:color w:val="374151"/>
                          <w:spacing w:val="-1"/>
                        </w:rPr>
                        <w:t> </w:t>
                      </w:r>
                      <w:r>
                        <w:rPr>
                          <w:color w:val="374151"/>
                        </w:rPr>
                        <w:t>including</w:t>
                      </w:r>
                      <w:r>
                        <w:rPr>
                          <w:color w:val="374151"/>
                          <w:spacing w:val="-1"/>
                        </w:rPr>
                        <w:t> </w:t>
                      </w:r>
                      <w:r>
                        <w:rPr>
                          <w:color w:val="374151"/>
                        </w:rPr>
                        <w:t>but</w:t>
                      </w:r>
                      <w:r>
                        <w:rPr>
                          <w:color w:val="374151"/>
                          <w:spacing w:val="-1"/>
                        </w:rPr>
                        <w:t> </w:t>
                      </w:r>
                      <w:r>
                        <w:rPr>
                          <w:color w:val="374151"/>
                        </w:rPr>
                        <w:t>not</w:t>
                      </w:r>
                      <w:r>
                        <w:rPr>
                          <w:color w:val="374151"/>
                          <w:spacing w:val="-1"/>
                        </w:rPr>
                        <w:t> </w:t>
                      </w:r>
                      <w:r>
                        <w:rPr>
                          <w:color w:val="374151"/>
                        </w:rPr>
                        <w:t>limited </w:t>
                      </w:r>
                      <w:r>
                        <w:rPr>
                          <w:color w:val="374151"/>
                          <w:spacing w:val="-5"/>
                        </w:rPr>
                        <w:t>to:</w:t>
                      </w:r>
                    </w:p>
                  </w:txbxContent>
                </v:textbox>
                <v:fill type="solid"/>
                <w10:wrap type="topAndBottom"/>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1066800</wp:posOffset>
                </wp:positionH>
                <wp:positionV relativeFrom="paragraph">
                  <wp:posOffset>-328380</wp:posOffset>
                </wp:positionV>
                <wp:extent cx="2720975" cy="3937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720975" cy="393700"/>
                        </a:xfrm>
                        <a:prstGeom prst="rect">
                          <a:avLst/>
                        </a:prstGeom>
                        <a:solidFill>
                          <a:srgbClr val="F7F7F8"/>
                        </a:solidFill>
                      </wps:spPr>
                      <wps:txbx>
                        <w:txbxContent>
                          <w:p>
                            <w:pPr>
                              <w:pStyle w:val="BodyText"/>
                              <w:spacing w:line="308" w:lineRule="exact"/>
                              <w:ind w:right="-15"/>
                              <w:rPr>
                                <w:color w:val="000000"/>
                              </w:rPr>
                            </w:pPr>
                            <w:r>
                              <w:rPr>
                                <w:color w:val="374151"/>
                              </w:rPr>
                              <w:t>relationships,</w:t>
                            </w:r>
                            <w:r>
                              <w:rPr>
                                <w:color w:val="374151"/>
                                <w:spacing w:val="-3"/>
                              </w:rPr>
                              <w:t> </w:t>
                            </w:r>
                            <w:r>
                              <w:rPr>
                                <w:color w:val="374151"/>
                              </w:rPr>
                              <w:t>and</w:t>
                            </w:r>
                            <w:r>
                              <w:rPr>
                                <w:color w:val="374151"/>
                                <w:spacing w:val="-3"/>
                              </w:rPr>
                              <w:t> </w:t>
                            </w:r>
                            <w:r>
                              <w:rPr>
                                <w:color w:val="374151"/>
                              </w:rPr>
                              <w:t>reproductive</w:t>
                            </w:r>
                            <w:r>
                              <w:rPr>
                                <w:color w:val="374151"/>
                                <w:spacing w:val="-3"/>
                              </w:rPr>
                              <w:t> </w:t>
                            </w:r>
                            <w:r>
                              <w:rPr>
                                <w:color w:val="374151"/>
                                <w:spacing w:val="-2"/>
                              </w:rPr>
                              <w:t>health.</w:t>
                            </w:r>
                          </w:p>
                        </w:txbxContent>
                      </wps:txbx>
                      <wps:bodyPr wrap="square" lIns="0" tIns="0" rIns="0" bIns="0" rtlCol="0">
                        <a:noAutofit/>
                      </wps:bodyPr>
                    </wps:wsp>
                  </a:graphicData>
                </a:graphic>
              </wp:anchor>
            </w:drawing>
          </mc:Choice>
          <mc:Fallback>
            <w:pict>
              <v:shape style="position:absolute;margin-left:84pt;margin-top:-25.856701pt;width:214.25pt;height:31pt;mso-position-horizontal-relative:page;mso-position-vertical-relative:paragraph;z-index:15731712" type="#_x0000_t202" id="docshape16" filled="true" fillcolor="#f7f7f8" stroked="false">
                <v:textbox inset="0,0,0,0">
                  <w:txbxContent>
                    <w:p>
                      <w:pPr>
                        <w:pStyle w:val="BodyText"/>
                        <w:spacing w:line="308" w:lineRule="exact"/>
                        <w:ind w:right="-15"/>
                        <w:rPr>
                          <w:color w:val="000000"/>
                        </w:rPr>
                      </w:pPr>
                      <w:r>
                        <w:rPr>
                          <w:color w:val="374151"/>
                        </w:rPr>
                        <w:t>relationships,</w:t>
                      </w:r>
                      <w:r>
                        <w:rPr>
                          <w:color w:val="374151"/>
                          <w:spacing w:val="-3"/>
                        </w:rPr>
                        <w:t> </w:t>
                      </w:r>
                      <w:r>
                        <w:rPr>
                          <w:color w:val="374151"/>
                        </w:rPr>
                        <w:t>and</w:t>
                      </w:r>
                      <w:r>
                        <w:rPr>
                          <w:color w:val="374151"/>
                          <w:spacing w:val="-3"/>
                        </w:rPr>
                        <w:t> </w:t>
                      </w:r>
                      <w:r>
                        <w:rPr>
                          <w:color w:val="374151"/>
                        </w:rPr>
                        <w:t>reproductive</w:t>
                      </w:r>
                      <w:r>
                        <w:rPr>
                          <w:color w:val="374151"/>
                          <w:spacing w:val="-3"/>
                        </w:rPr>
                        <w:t> </w:t>
                      </w:r>
                      <w:r>
                        <w:rPr>
                          <w:color w:val="374151"/>
                          <w:spacing w:val="-2"/>
                        </w:rPr>
                        <w:t>health.</w:t>
                      </w:r>
                    </w:p>
                  </w:txbxContent>
                </v:textbox>
                <v:fill type="solid"/>
                <w10:wrap type="none"/>
              </v:shape>
            </w:pict>
          </mc:Fallback>
        </mc:AlternateContent>
      </w:r>
      <w:r>
        <w:rPr>
          <w:color w:val="374151"/>
          <w:shd w:fill="F7F7F8" w:color="auto" w:val="clear"/>
        </w:rPr>
        <w:t>Human</w:t>
      </w:r>
      <w:r>
        <w:rPr>
          <w:color w:val="374151"/>
          <w:spacing w:val="-8"/>
          <w:shd w:fill="F7F7F8" w:color="auto" w:val="clear"/>
        </w:rPr>
        <w:t> </w:t>
      </w:r>
      <w:r>
        <w:rPr>
          <w:color w:val="374151"/>
          <w:shd w:fill="F7F7F8" w:color="auto" w:val="clear"/>
        </w:rPr>
        <w:t>sexuality</w:t>
      </w:r>
      <w:r>
        <w:rPr>
          <w:color w:val="374151"/>
          <w:spacing w:val="-8"/>
          <w:shd w:fill="F7F7F8" w:color="auto" w:val="clear"/>
        </w:rPr>
        <w:t> </w:t>
      </w:r>
      <w:r>
        <w:rPr>
          <w:color w:val="374151"/>
          <w:shd w:fill="F7F7F8" w:color="auto" w:val="clear"/>
        </w:rPr>
        <w:t>is</w:t>
      </w:r>
      <w:r>
        <w:rPr>
          <w:color w:val="374151"/>
          <w:spacing w:val="-8"/>
          <w:shd w:fill="F7F7F8" w:color="auto" w:val="clear"/>
        </w:rPr>
        <w:t> </w:t>
      </w:r>
      <w:r>
        <w:rPr>
          <w:color w:val="374151"/>
          <w:shd w:fill="F7F7F8" w:color="auto" w:val="clear"/>
        </w:rPr>
        <w:t>described</w:t>
      </w:r>
      <w:r>
        <w:rPr>
          <w:color w:val="374151"/>
          <w:spacing w:val="-8"/>
          <w:shd w:fill="F7F7F8" w:color="auto" w:val="clear"/>
        </w:rPr>
        <w:t> </w:t>
      </w:r>
      <w:r>
        <w:rPr>
          <w:color w:val="374151"/>
          <w:shd w:fill="F7F7F8" w:color="auto" w:val="clear"/>
        </w:rPr>
        <w:t>as</w:t>
      </w:r>
      <w:r>
        <w:rPr>
          <w:color w:val="374151"/>
          <w:spacing w:val="-8"/>
          <w:shd w:fill="F7F7F8" w:color="auto" w:val="clear"/>
        </w:rPr>
        <w:t> </w:t>
      </w:r>
      <w:r>
        <w:rPr>
          <w:color w:val="374151"/>
          <w:shd w:fill="F7F7F8" w:color="auto" w:val="clear"/>
        </w:rPr>
        <w:t>the</w:t>
      </w:r>
      <w:r>
        <w:rPr>
          <w:color w:val="374151"/>
          <w:spacing w:val="-8"/>
          <w:shd w:fill="F7F7F8" w:color="auto" w:val="clear"/>
        </w:rPr>
        <w:t> </w:t>
      </w:r>
      <w:r>
        <w:rPr>
          <w:color w:val="374151"/>
          <w:shd w:fill="F7F7F8" w:color="auto" w:val="clear"/>
        </w:rPr>
        <w:t>manner</w:t>
      </w:r>
      <w:r>
        <w:rPr>
          <w:color w:val="374151"/>
          <w:spacing w:val="-8"/>
          <w:shd w:fill="F7F7F8" w:color="auto" w:val="clear"/>
        </w:rPr>
        <w:t> </w:t>
      </w:r>
      <w:r>
        <w:rPr>
          <w:color w:val="374151"/>
          <w:shd w:fill="F7F7F8" w:color="auto" w:val="clear"/>
        </w:rPr>
        <w:t>in</w:t>
      </w:r>
      <w:r>
        <w:rPr>
          <w:color w:val="374151"/>
          <w:spacing w:val="-8"/>
          <w:shd w:fill="F7F7F8" w:color="auto" w:val="clear"/>
        </w:rPr>
        <w:t> </w:t>
      </w:r>
      <w:r>
        <w:rPr>
          <w:color w:val="374151"/>
          <w:shd w:fill="F7F7F8" w:color="auto" w:val="clear"/>
        </w:rPr>
        <w:t>which</w:t>
      </w:r>
      <w:r>
        <w:rPr>
          <w:color w:val="374151"/>
          <w:spacing w:val="-8"/>
          <w:shd w:fill="F7F7F8" w:color="auto" w:val="clear"/>
        </w:rPr>
        <w:t> </w:t>
      </w:r>
      <w:r>
        <w:rPr>
          <w:color w:val="374151"/>
          <w:shd w:fill="F7F7F8" w:color="auto" w:val="clear"/>
        </w:rPr>
        <w:t>people</w:t>
      </w:r>
      <w:r>
        <w:rPr>
          <w:color w:val="374151"/>
          <w:spacing w:val="-8"/>
          <w:shd w:fill="F7F7F8" w:color="auto" w:val="clear"/>
        </w:rPr>
        <w:t> </w:t>
      </w:r>
      <w:r>
        <w:rPr>
          <w:color w:val="374151"/>
          <w:shd w:fill="F7F7F8" w:color="auto" w:val="clear"/>
        </w:rPr>
        <w:t>experience</w:t>
      </w:r>
      <w:r>
        <w:rPr>
          <w:color w:val="374151"/>
          <w:spacing w:val="-8"/>
          <w:shd w:fill="F7F7F8" w:color="auto" w:val="clear"/>
        </w:rPr>
        <w:t> </w:t>
      </w:r>
      <w:r>
        <w:rPr>
          <w:color w:val="374151"/>
          <w:shd w:fill="F7F7F8" w:color="auto" w:val="clear"/>
        </w:rPr>
        <w:t>and</w:t>
      </w:r>
      <w:r>
        <w:rPr>
          <w:color w:val="374151"/>
        </w:rPr>
        <w:t> </w:t>
      </w:r>
      <w:r>
        <w:rPr>
          <w:color w:val="374151"/>
          <w:shd w:fill="F7F7F8" w:color="auto" w:val="clear"/>
        </w:rPr>
        <w:t>express themselves as sexual beings.</w:t>
      </w:r>
      <w:r>
        <w:rPr>
          <w:color w:val="374151"/>
          <w:spacing w:val="40"/>
          <w:shd w:fill="F7F7F8" w:color="auto" w:val="clear"/>
        </w:rPr>
        <w:t> </w:t>
      </w:r>
      <w:r>
        <w:rPr>
          <w:color w:val="374151"/>
          <w:shd w:fill="F7F7F8" w:color="auto" w:val="clear"/>
        </w:rPr>
        <w:t>There are many facets in the study of</w:t>
      </w:r>
      <w:r>
        <w:rPr>
          <w:color w:val="374151"/>
          <w:spacing w:val="40"/>
          <w:shd w:fill="F7F7F8" w:color="auto" w:val="clear"/>
        </w:rPr>
        <w:t> </w:t>
      </w:r>
    </w:p>
    <w:p>
      <w:pPr>
        <w:pStyle w:val="ListParagraph"/>
        <w:numPr>
          <w:ilvl w:val="0"/>
          <w:numId w:val="4"/>
        </w:numPr>
        <w:tabs>
          <w:tab w:pos="999" w:val="left" w:leader="none"/>
        </w:tabs>
        <w:spacing w:line="337" w:lineRule="exact" w:before="0" w:after="0"/>
        <w:ind w:left="999" w:right="0" w:hanging="359"/>
        <w:jc w:val="left"/>
        <w:rPr>
          <w:sz w:val="28"/>
        </w:rPr>
      </w:pPr>
      <w:r>
        <w:rPr>
          <w:spacing w:val="-2"/>
          <w:position w:val="2"/>
          <w:sz w:val="28"/>
        </w:rPr>
        <w:t>Biological</w:t>
      </w:r>
    </w:p>
    <w:p>
      <w:pPr>
        <w:pStyle w:val="ListParagraph"/>
        <w:numPr>
          <w:ilvl w:val="0"/>
          <w:numId w:val="4"/>
        </w:numPr>
        <w:tabs>
          <w:tab w:pos="999" w:val="left" w:leader="none"/>
        </w:tabs>
        <w:spacing w:line="240" w:lineRule="auto" w:before="4" w:after="0"/>
        <w:ind w:left="999" w:right="0" w:hanging="359"/>
        <w:jc w:val="left"/>
        <w:rPr>
          <w:sz w:val="28"/>
        </w:rPr>
      </w:pPr>
      <w:r>
        <w:rPr>
          <w:spacing w:val="-2"/>
          <w:position w:val="2"/>
          <w:sz w:val="28"/>
        </w:rPr>
        <w:t>Emotional</w:t>
      </w:r>
    </w:p>
    <w:p>
      <w:pPr>
        <w:pStyle w:val="ListParagraph"/>
        <w:numPr>
          <w:ilvl w:val="0"/>
          <w:numId w:val="4"/>
        </w:numPr>
        <w:tabs>
          <w:tab w:pos="999" w:val="left" w:leader="none"/>
        </w:tabs>
        <w:spacing w:line="240" w:lineRule="auto" w:before="5" w:after="0"/>
        <w:ind w:left="999" w:right="0" w:hanging="359"/>
        <w:jc w:val="left"/>
        <w:rPr>
          <w:sz w:val="28"/>
        </w:rPr>
      </w:pPr>
      <w:r>
        <w:rPr>
          <w:spacing w:val="-2"/>
          <w:position w:val="2"/>
          <w:sz w:val="28"/>
        </w:rPr>
        <w:t>Physical</w:t>
      </w:r>
    </w:p>
    <w:p>
      <w:pPr>
        <w:pStyle w:val="ListParagraph"/>
        <w:numPr>
          <w:ilvl w:val="0"/>
          <w:numId w:val="4"/>
        </w:numPr>
        <w:tabs>
          <w:tab w:pos="999" w:val="left" w:leader="none"/>
        </w:tabs>
        <w:spacing w:line="240" w:lineRule="auto" w:before="4" w:after="0"/>
        <w:ind w:left="999" w:right="0" w:hanging="359"/>
        <w:jc w:val="left"/>
        <w:rPr>
          <w:sz w:val="28"/>
        </w:rPr>
      </w:pPr>
      <w:r>
        <w:rPr>
          <w:spacing w:val="-2"/>
          <w:position w:val="2"/>
          <w:sz w:val="28"/>
        </w:rPr>
        <w:t>Sociological</w:t>
      </w:r>
    </w:p>
    <w:p>
      <w:pPr>
        <w:pStyle w:val="ListParagraph"/>
        <w:numPr>
          <w:ilvl w:val="0"/>
          <w:numId w:val="4"/>
        </w:numPr>
        <w:tabs>
          <w:tab w:pos="999" w:val="left" w:leader="none"/>
        </w:tabs>
        <w:spacing w:line="240" w:lineRule="auto" w:before="5" w:after="0"/>
        <w:ind w:left="999" w:right="0" w:hanging="359"/>
        <w:jc w:val="left"/>
        <w:rPr>
          <w:sz w:val="28"/>
        </w:rPr>
      </w:pPr>
      <w:r>
        <w:rPr>
          <w:spacing w:val="-2"/>
          <w:position w:val="2"/>
          <w:sz w:val="28"/>
        </w:rPr>
        <w:t>Philosophical</w:t>
      </w:r>
    </w:p>
    <w:p>
      <w:pPr>
        <w:pStyle w:val="BodyText"/>
        <w:spacing w:before="4"/>
        <w:rPr>
          <w:sz w:val="29"/>
        </w:rPr>
      </w:pPr>
      <w:r>
        <w:rPr/>
        <mc:AlternateContent>
          <mc:Choice Requires="wps">
            <w:drawing>
              <wp:anchor distT="0" distB="0" distL="0" distR="0" allowOverlap="1" layoutInCell="1" locked="0" behindDoc="1" simplePos="0" relativeHeight="487590400">
                <wp:simplePos x="0" y="0"/>
                <wp:positionH relativeFrom="page">
                  <wp:posOffset>1066800</wp:posOffset>
                </wp:positionH>
                <wp:positionV relativeFrom="paragraph">
                  <wp:posOffset>229534</wp:posOffset>
                </wp:positionV>
                <wp:extent cx="3161030" cy="393700"/>
                <wp:effectExtent l="0" t="0" r="0" b="0"/>
                <wp:wrapTopAndBottom/>
                <wp:docPr id="18" name="Textbox 18"/>
                <wp:cNvGraphicFramePr>
                  <a:graphicFrameLocks/>
                </wp:cNvGraphicFramePr>
                <a:graphic>
                  <a:graphicData uri="http://schemas.microsoft.com/office/word/2010/wordprocessingShape">
                    <wps:wsp>
                      <wps:cNvPr id="18" name="Textbox 18"/>
                      <wps:cNvSpPr txBox="1"/>
                      <wps:spPr>
                        <a:xfrm>
                          <a:off x="0" y="0"/>
                          <a:ext cx="316103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The</w:t>
                            </w:r>
                            <w:r>
                              <w:rPr>
                                <w:b/>
                                <w:color w:val="374151"/>
                                <w:spacing w:val="-2"/>
                                <w:sz w:val="28"/>
                              </w:rPr>
                              <w:t> </w:t>
                            </w:r>
                            <w:r>
                              <w:rPr>
                                <w:b/>
                                <w:color w:val="374151"/>
                                <w:sz w:val="28"/>
                              </w:rPr>
                              <w:t>Role</w:t>
                            </w:r>
                            <w:r>
                              <w:rPr>
                                <w:b/>
                                <w:color w:val="374151"/>
                                <w:spacing w:val="-2"/>
                                <w:sz w:val="28"/>
                              </w:rPr>
                              <w:t> </w:t>
                            </w:r>
                            <w:r>
                              <w:rPr>
                                <w:b/>
                                <w:color w:val="374151"/>
                                <w:sz w:val="28"/>
                              </w:rPr>
                              <w:t>of</w:t>
                            </w:r>
                            <w:r>
                              <w:rPr>
                                <w:b/>
                                <w:color w:val="374151"/>
                                <w:spacing w:val="-1"/>
                                <w:sz w:val="28"/>
                              </w:rPr>
                              <w:t> </w:t>
                            </w:r>
                            <w:r>
                              <w:rPr>
                                <w:b/>
                                <w:color w:val="374151"/>
                                <w:sz w:val="28"/>
                              </w:rPr>
                              <w:t>Cultural</w:t>
                            </w:r>
                            <w:r>
                              <w:rPr>
                                <w:b/>
                                <w:color w:val="374151"/>
                                <w:spacing w:val="-1"/>
                                <w:sz w:val="28"/>
                              </w:rPr>
                              <w:t> </w:t>
                            </w:r>
                            <w:r>
                              <w:rPr>
                                <w:b/>
                                <w:color w:val="374151"/>
                                <w:sz w:val="28"/>
                              </w:rPr>
                              <w:t>and</w:t>
                            </w:r>
                            <w:r>
                              <w:rPr>
                                <w:b/>
                                <w:color w:val="374151"/>
                                <w:spacing w:val="-1"/>
                                <w:sz w:val="28"/>
                              </w:rPr>
                              <w:t> </w:t>
                            </w:r>
                            <w:r>
                              <w:rPr>
                                <w:b/>
                                <w:color w:val="374151"/>
                                <w:sz w:val="28"/>
                              </w:rPr>
                              <w:t>Societal</w:t>
                            </w:r>
                            <w:r>
                              <w:rPr>
                                <w:b/>
                                <w:color w:val="374151"/>
                                <w:spacing w:val="-1"/>
                                <w:sz w:val="28"/>
                              </w:rPr>
                              <w:t> </w:t>
                            </w:r>
                            <w:r>
                              <w:rPr>
                                <w:b/>
                                <w:color w:val="374151"/>
                                <w:spacing w:val="-2"/>
                                <w:sz w:val="28"/>
                              </w:rPr>
                              <w:t>Factors</w:t>
                            </w:r>
                          </w:p>
                        </w:txbxContent>
                      </wps:txbx>
                      <wps:bodyPr wrap="square" lIns="0" tIns="0" rIns="0" bIns="0" rtlCol="0">
                        <a:noAutofit/>
                      </wps:bodyPr>
                    </wps:wsp>
                  </a:graphicData>
                </a:graphic>
              </wp:anchor>
            </w:drawing>
          </mc:Choice>
          <mc:Fallback>
            <w:pict>
              <v:shape style="position:absolute;margin-left:84pt;margin-top:18.073584pt;width:248.9pt;height:31pt;mso-position-horizontal-relative:page;mso-position-vertical-relative:paragraph;z-index:-15726080;mso-wrap-distance-left:0;mso-wrap-distance-right:0" type="#_x0000_t202" id="docshape17" filled="true" fillcolor="#f7f7f8" stroked="false">
                <v:textbox inset="0,0,0,0">
                  <w:txbxContent>
                    <w:p>
                      <w:pPr>
                        <w:spacing w:line="308" w:lineRule="exact" w:before="0"/>
                        <w:ind w:left="0" w:right="-15" w:firstLine="0"/>
                        <w:jc w:val="left"/>
                        <w:rPr>
                          <w:b/>
                          <w:color w:val="000000"/>
                          <w:sz w:val="28"/>
                        </w:rPr>
                      </w:pPr>
                      <w:r>
                        <w:rPr>
                          <w:b/>
                          <w:color w:val="374151"/>
                          <w:sz w:val="28"/>
                        </w:rPr>
                        <w:t>The</w:t>
                      </w:r>
                      <w:r>
                        <w:rPr>
                          <w:b/>
                          <w:color w:val="374151"/>
                          <w:spacing w:val="-2"/>
                          <w:sz w:val="28"/>
                        </w:rPr>
                        <w:t> </w:t>
                      </w:r>
                      <w:r>
                        <w:rPr>
                          <w:b/>
                          <w:color w:val="374151"/>
                          <w:sz w:val="28"/>
                        </w:rPr>
                        <w:t>Role</w:t>
                      </w:r>
                      <w:r>
                        <w:rPr>
                          <w:b/>
                          <w:color w:val="374151"/>
                          <w:spacing w:val="-2"/>
                          <w:sz w:val="28"/>
                        </w:rPr>
                        <w:t> </w:t>
                      </w:r>
                      <w:r>
                        <w:rPr>
                          <w:b/>
                          <w:color w:val="374151"/>
                          <w:sz w:val="28"/>
                        </w:rPr>
                        <w:t>of</w:t>
                      </w:r>
                      <w:r>
                        <w:rPr>
                          <w:b/>
                          <w:color w:val="374151"/>
                          <w:spacing w:val="-1"/>
                          <w:sz w:val="28"/>
                        </w:rPr>
                        <w:t> </w:t>
                      </w:r>
                      <w:r>
                        <w:rPr>
                          <w:b/>
                          <w:color w:val="374151"/>
                          <w:sz w:val="28"/>
                        </w:rPr>
                        <w:t>Cultural</w:t>
                      </w:r>
                      <w:r>
                        <w:rPr>
                          <w:b/>
                          <w:color w:val="374151"/>
                          <w:spacing w:val="-1"/>
                          <w:sz w:val="28"/>
                        </w:rPr>
                        <w:t> </w:t>
                      </w:r>
                      <w:r>
                        <w:rPr>
                          <w:b/>
                          <w:color w:val="374151"/>
                          <w:sz w:val="28"/>
                        </w:rPr>
                        <w:t>and</w:t>
                      </w:r>
                      <w:r>
                        <w:rPr>
                          <w:b/>
                          <w:color w:val="374151"/>
                          <w:spacing w:val="-1"/>
                          <w:sz w:val="28"/>
                        </w:rPr>
                        <w:t> </w:t>
                      </w:r>
                      <w:r>
                        <w:rPr>
                          <w:b/>
                          <w:color w:val="374151"/>
                          <w:sz w:val="28"/>
                        </w:rPr>
                        <w:t>Societal</w:t>
                      </w:r>
                      <w:r>
                        <w:rPr>
                          <w:b/>
                          <w:color w:val="374151"/>
                          <w:spacing w:val="-1"/>
                          <w:sz w:val="28"/>
                        </w:rPr>
                        <w:t> </w:t>
                      </w:r>
                      <w:r>
                        <w:rPr>
                          <w:b/>
                          <w:color w:val="374151"/>
                          <w:spacing w:val="-2"/>
                          <w:sz w:val="28"/>
                        </w:rPr>
                        <w:t>Factors</w:t>
                      </w:r>
                    </w:p>
                  </w:txbxContent>
                </v:textbox>
                <v:fill type="solid"/>
                <w10:wrap type="topAndBottom"/>
              </v:shape>
            </w:pict>
          </mc:Fallback>
        </mc:AlternateContent>
      </w:r>
    </w:p>
    <w:p>
      <w:pPr>
        <w:pStyle w:val="BodyText"/>
        <w:spacing w:line="237" w:lineRule="auto"/>
        <w:ind w:left="280" w:right="499"/>
      </w:pPr>
      <w:r>
        <w:rPr>
          <w:color w:val="374151"/>
          <w:shd w:fill="F7F7F8" w:color="auto" w:val="clear"/>
        </w:rPr>
        <w:t>Culture</w:t>
      </w:r>
      <w:r>
        <w:rPr>
          <w:color w:val="374151"/>
          <w:spacing w:val="-5"/>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society</w:t>
      </w:r>
      <w:r>
        <w:rPr>
          <w:color w:val="374151"/>
          <w:spacing w:val="-4"/>
          <w:shd w:fill="F7F7F8" w:color="auto" w:val="clear"/>
        </w:rPr>
        <w:t> </w:t>
      </w:r>
      <w:r>
        <w:rPr>
          <w:color w:val="374151"/>
          <w:shd w:fill="F7F7F8" w:color="auto" w:val="clear"/>
        </w:rPr>
        <w:t>significantly</w:t>
      </w:r>
      <w:r>
        <w:rPr>
          <w:color w:val="374151"/>
          <w:spacing w:val="-4"/>
          <w:shd w:fill="F7F7F8" w:color="auto" w:val="clear"/>
        </w:rPr>
        <w:t> </w:t>
      </w:r>
      <w:r>
        <w:rPr>
          <w:color w:val="374151"/>
          <w:shd w:fill="F7F7F8" w:color="auto" w:val="clear"/>
        </w:rPr>
        <w:t>influence</w:t>
      </w:r>
      <w:r>
        <w:rPr>
          <w:color w:val="374151"/>
          <w:spacing w:val="-5"/>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expression</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understanding</w:t>
      </w:r>
      <w:r>
        <w:rPr>
          <w:color w:val="374151"/>
          <w:spacing w:val="-4"/>
          <w:shd w:fill="F7F7F8" w:color="auto" w:val="clear"/>
        </w:rPr>
        <w:t> </w:t>
      </w:r>
      <w:r>
        <w:rPr>
          <w:color w:val="374151"/>
          <w:shd w:fill="F7F7F8" w:color="auto" w:val="clear"/>
        </w:rPr>
        <w:t>of</w:t>
      </w:r>
      <w:r>
        <w:rPr>
          <w:color w:val="374151"/>
        </w:rPr>
        <w:t> </w:t>
      </w:r>
      <w:r>
        <w:rPr>
          <w:color w:val="374151"/>
          <w:shd w:fill="F7F7F8" w:color="auto" w:val="clear"/>
        </w:rPr>
        <w:t>human</w:t>
      </w:r>
      <w:r>
        <w:rPr>
          <w:color w:val="374151"/>
          <w:spacing w:val="-6"/>
          <w:shd w:fill="F7F7F8" w:color="auto" w:val="clear"/>
        </w:rPr>
        <w:t> </w:t>
      </w:r>
      <w:r>
        <w:rPr>
          <w:color w:val="374151"/>
          <w:shd w:fill="F7F7F8" w:color="auto" w:val="clear"/>
        </w:rPr>
        <w:t>sexuality.</w:t>
      </w:r>
      <w:r>
        <w:rPr>
          <w:color w:val="374151"/>
          <w:spacing w:val="-6"/>
          <w:shd w:fill="F7F7F8" w:color="auto" w:val="clear"/>
        </w:rPr>
        <w:t> </w:t>
      </w:r>
      <w:r>
        <w:rPr>
          <w:color w:val="374151"/>
          <w:shd w:fill="F7F7F8" w:color="auto" w:val="clear"/>
        </w:rPr>
        <w:t>Mental</w:t>
      </w:r>
      <w:r>
        <w:rPr>
          <w:color w:val="374151"/>
          <w:spacing w:val="-6"/>
          <w:shd w:fill="F7F7F8" w:color="auto" w:val="clear"/>
        </w:rPr>
        <w:t> </w:t>
      </w:r>
      <w:r>
        <w:rPr>
          <w:color w:val="374151"/>
          <w:shd w:fill="F7F7F8" w:color="auto" w:val="clear"/>
        </w:rPr>
        <w:t>health</w:t>
      </w:r>
      <w:r>
        <w:rPr>
          <w:color w:val="374151"/>
          <w:spacing w:val="-6"/>
          <w:shd w:fill="F7F7F8" w:color="auto" w:val="clear"/>
        </w:rPr>
        <w:t> </w:t>
      </w:r>
      <w:r>
        <w:rPr>
          <w:color w:val="374151"/>
          <w:shd w:fill="F7F7F8" w:color="auto" w:val="clear"/>
        </w:rPr>
        <w:t>professionals</w:t>
      </w:r>
      <w:r>
        <w:rPr>
          <w:color w:val="374151"/>
          <w:spacing w:val="-6"/>
          <w:shd w:fill="F7F7F8" w:color="auto" w:val="clear"/>
        </w:rPr>
        <w:t> </w:t>
      </w:r>
      <w:r>
        <w:rPr>
          <w:color w:val="374151"/>
          <w:shd w:fill="F7F7F8" w:color="auto" w:val="clear"/>
        </w:rPr>
        <w:t>should</w:t>
      </w:r>
      <w:r>
        <w:rPr>
          <w:color w:val="374151"/>
          <w:spacing w:val="-6"/>
          <w:shd w:fill="F7F7F8" w:color="auto" w:val="clear"/>
        </w:rPr>
        <w:t> </w:t>
      </w:r>
      <w:r>
        <w:rPr>
          <w:color w:val="374151"/>
          <w:shd w:fill="F7F7F8" w:color="auto" w:val="clear"/>
        </w:rPr>
        <w:t>be</w:t>
      </w:r>
      <w:r>
        <w:rPr>
          <w:color w:val="374151"/>
          <w:spacing w:val="-7"/>
          <w:shd w:fill="F7F7F8" w:color="auto" w:val="clear"/>
        </w:rPr>
        <w:t> </w:t>
      </w:r>
      <w:r>
        <w:rPr>
          <w:color w:val="374151"/>
          <w:shd w:fill="F7F7F8" w:color="auto" w:val="clear"/>
        </w:rPr>
        <w:t>culturally</w:t>
      </w:r>
      <w:r>
        <w:rPr>
          <w:color w:val="374151"/>
          <w:spacing w:val="-6"/>
          <w:shd w:fill="F7F7F8" w:color="auto" w:val="clear"/>
        </w:rPr>
        <w:t> </w:t>
      </w:r>
      <w:r>
        <w:rPr>
          <w:color w:val="374151"/>
          <w:shd w:fill="F7F7F8" w:color="auto" w:val="clear"/>
        </w:rPr>
        <w:t>sensitive</w:t>
      </w:r>
      <w:r>
        <w:rPr>
          <w:color w:val="374151"/>
          <w:spacing w:val="-7"/>
          <w:shd w:fill="F7F7F8" w:color="auto" w:val="clear"/>
        </w:rPr>
        <w:t> </w:t>
      </w:r>
      <w:r>
        <w:rPr>
          <w:color w:val="374151"/>
          <w:shd w:fill="F7F7F8" w:color="auto" w:val="clear"/>
        </w:rPr>
        <w:t>and</w:t>
      </w:r>
      <w:r>
        <w:rPr>
          <w:color w:val="374151"/>
        </w:rPr>
        <w:t> </w:t>
      </w:r>
      <w:r>
        <w:rPr>
          <w:color w:val="374151"/>
          <w:shd w:fill="F7F7F8" w:color="auto" w:val="clear"/>
        </w:rPr>
        <w:t>aware of how cultural norms, beliefs, and values shape individuals' sexual </w:t>
      </w:r>
      <w:r>
        <w:rPr>
          <w:color w:val="374151"/>
        </w:rPr>
        <w:t> </w:t>
      </w:r>
      <w:r>
        <w:rPr>
          <w:color w:val="374151"/>
          <w:shd w:fill="F7F7F8" w:color="auto" w:val="clear"/>
        </w:rPr>
        <w:t>experiences. Understanding diverse cultural perspectives on topics such as </w:t>
      </w:r>
      <w:r>
        <w:rPr>
          <w:color w:val="374151"/>
        </w:rPr>
        <w:t> </w:t>
      </w:r>
      <w:r>
        <w:rPr>
          <w:color w:val="374151"/>
          <w:shd w:fill="F7F7F8" w:color="auto" w:val="clear"/>
        </w:rPr>
        <w:t>gender roles, sexual practices, and sexual education is crucial to provide </w:t>
      </w:r>
      <w:r>
        <w:rPr>
          <w:color w:val="374151"/>
        </w:rPr>
        <w:t> </w:t>
      </w:r>
      <w:r>
        <w:rPr>
          <w:color w:val="374151"/>
          <w:shd w:fill="F7F7F8" w:color="auto" w:val="clear"/>
        </w:rPr>
        <w:t>effective care.</w:t>
      </w:r>
    </w:p>
    <w:p>
      <w:pPr>
        <w:spacing w:after="0" w:line="237" w:lineRule="auto"/>
        <w:sectPr>
          <w:pgSz w:w="12240" w:h="15840"/>
          <w:pgMar w:header="0" w:footer="765" w:top="1260" w:bottom="980" w:left="1400" w:right="1180"/>
        </w:sectPr>
      </w:pPr>
    </w:p>
    <w:p>
      <w:pPr>
        <w:pStyle w:val="BodyText"/>
        <w:rPr>
          <w:sz w:val="20"/>
        </w:rPr>
      </w:pPr>
    </w:p>
    <w:p>
      <w:pPr>
        <w:pStyle w:val="BodyText"/>
        <w:rPr>
          <w:sz w:val="25"/>
        </w:rPr>
      </w:pPr>
    </w:p>
    <w:p>
      <w:pPr>
        <w:pStyle w:val="BodyText"/>
        <w:spacing w:before="88" w:after="4"/>
        <w:ind w:left="280" w:right="502"/>
      </w:pPr>
      <w:r>
        <w:rPr/>
        <mc:AlternateContent>
          <mc:Choice Requires="wps">
            <w:drawing>
              <wp:anchor distT="0" distB="0" distL="0" distR="0" allowOverlap="1" layoutInCell="1" locked="0" behindDoc="0" simplePos="0" relativeHeight="15734784">
                <wp:simplePos x="0" y="0"/>
                <wp:positionH relativeFrom="page">
                  <wp:posOffset>1066800</wp:posOffset>
                </wp:positionH>
                <wp:positionV relativeFrom="paragraph">
                  <wp:posOffset>-329015</wp:posOffset>
                </wp:positionV>
                <wp:extent cx="2672715" cy="3937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67271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Common</w:t>
                            </w:r>
                            <w:r>
                              <w:rPr>
                                <w:b/>
                                <w:color w:val="374151"/>
                                <w:spacing w:val="-3"/>
                                <w:sz w:val="28"/>
                              </w:rPr>
                              <w:t> </w:t>
                            </w:r>
                            <w:r>
                              <w:rPr>
                                <w:b/>
                                <w:color w:val="374151"/>
                                <w:sz w:val="28"/>
                              </w:rPr>
                              <w:t>Concerns</w:t>
                            </w:r>
                            <w:r>
                              <w:rPr>
                                <w:b/>
                                <w:color w:val="374151"/>
                                <w:spacing w:val="-3"/>
                                <w:sz w:val="28"/>
                              </w:rPr>
                              <w:t> </w:t>
                            </w:r>
                            <w:r>
                              <w:rPr>
                                <w:b/>
                                <w:color w:val="374151"/>
                                <w:sz w:val="28"/>
                              </w:rPr>
                              <w:t>and</w:t>
                            </w:r>
                            <w:r>
                              <w:rPr>
                                <w:b/>
                                <w:color w:val="374151"/>
                                <w:spacing w:val="-3"/>
                                <w:sz w:val="28"/>
                              </w:rPr>
                              <w:t> </w:t>
                            </w:r>
                            <w:r>
                              <w:rPr>
                                <w:b/>
                                <w:color w:val="374151"/>
                                <w:spacing w:val="-2"/>
                                <w:sz w:val="28"/>
                              </w:rPr>
                              <w:t>Challenges</w:t>
                            </w:r>
                          </w:p>
                        </w:txbxContent>
                      </wps:txbx>
                      <wps:bodyPr wrap="square" lIns="0" tIns="0" rIns="0" bIns="0" rtlCol="0">
                        <a:noAutofit/>
                      </wps:bodyPr>
                    </wps:wsp>
                  </a:graphicData>
                </a:graphic>
              </wp:anchor>
            </w:drawing>
          </mc:Choice>
          <mc:Fallback>
            <w:pict>
              <v:shape style="position:absolute;margin-left:84pt;margin-top:-25.906702pt;width:210.45pt;height:31pt;mso-position-horizontal-relative:page;mso-position-vertical-relative:paragraph;z-index:15734784" type="#_x0000_t202" id="docshape18" filled="true" fillcolor="#f7f7f8" stroked="false">
                <v:textbox inset="0,0,0,0">
                  <w:txbxContent>
                    <w:p>
                      <w:pPr>
                        <w:spacing w:line="308" w:lineRule="exact" w:before="0"/>
                        <w:ind w:left="0" w:right="0" w:firstLine="0"/>
                        <w:jc w:val="left"/>
                        <w:rPr>
                          <w:b/>
                          <w:color w:val="000000"/>
                          <w:sz w:val="28"/>
                        </w:rPr>
                      </w:pPr>
                      <w:r>
                        <w:rPr>
                          <w:b/>
                          <w:color w:val="374151"/>
                          <w:sz w:val="28"/>
                        </w:rPr>
                        <w:t>Common</w:t>
                      </w:r>
                      <w:r>
                        <w:rPr>
                          <w:b/>
                          <w:color w:val="374151"/>
                          <w:spacing w:val="-3"/>
                          <w:sz w:val="28"/>
                        </w:rPr>
                        <w:t> </w:t>
                      </w:r>
                      <w:r>
                        <w:rPr>
                          <w:b/>
                          <w:color w:val="374151"/>
                          <w:sz w:val="28"/>
                        </w:rPr>
                        <w:t>Concerns</w:t>
                      </w:r>
                      <w:r>
                        <w:rPr>
                          <w:b/>
                          <w:color w:val="374151"/>
                          <w:spacing w:val="-3"/>
                          <w:sz w:val="28"/>
                        </w:rPr>
                        <w:t> </w:t>
                      </w:r>
                      <w:r>
                        <w:rPr>
                          <w:b/>
                          <w:color w:val="374151"/>
                          <w:sz w:val="28"/>
                        </w:rPr>
                        <w:t>and</w:t>
                      </w:r>
                      <w:r>
                        <w:rPr>
                          <w:b/>
                          <w:color w:val="374151"/>
                          <w:spacing w:val="-3"/>
                          <w:sz w:val="28"/>
                        </w:rPr>
                        <w:t> </w:t>
                      </w:r>
                      <w:r>
                        <w:rPr>
                          <w:b/>
                          <w:color w:val="374151"/>
                          <w:spacing w:val="-2"/>
                          <w:sz w:val="28"/>
                        </w:rPr>
                        <w:t>Challenges</w:t>
                      </w:r>
                    </w:p>
                  </w:txbxContent>
                </v:textbox>
                <v:fill type="solid"/>
                <w10:wrap type="none"/>
              </v:shape>
            </w:pict>
          </mc:Fallback>
        </mc:AlternateContent>
      </w:r>
      <w:r>
        <w:rPr>
          <w:color w:val="374151"/>
          <w:shd w:fill="F7F7F8" w:color="auto" w:val="clear"/>
        </w:rPr>
        <w:t>Mental health professionals often encounter clients with various concerns </w:t>
      </w:r>
      <w:r>
        <w:rPr>
          <w:color w:val="374151"/>
        </w:rPr>
        <w:t> </w:t>
      </w:r>
      <w:r>
        <w:rPr>
          <w:color w:val="374151"/>
          <w:shd w:fill="F7F7F8" w:color="auto" w:val="clear"/>
        </w:rPr>
        <w:t>related to human sexuality.</w:t>
      </w:r>
      <w:r>
        <w:rPr>
          <w:color w:val="374151"/>
          <w:spacing w:val="-2"/>
          <w:shd w:fill="F7F7F8" w:color="auto" w:val="clear"/>
        </w:rPr>
        <w:t> </w:t>
      </w:r>
      <w:r>
        <w:rPr>
          <w:color w:val="374151"/>
          <w:shd w:fill="F7F7F8" w:color="auto" w:val="clear"/>
        </w:rPr>
        <w:t>These may include sexual dysfunctions, gender </w:t>
      </w:r>
      <w:r>
        <w:rPr>
          <w:color w:val="374151"/>
        </w:rPr>
        <w:t> </w:t>
      </w:r>
      <w:r>
        <w:rPr>
          <w:color w:val="374151"/>
          <w:shd w:fill="F7F7F8" w:color="auto" w:val="clear"/>
        </w:rPr>
        <w:t>dysphoria, trauma-related issues, sexual orientation conflicts, relationship </w:t>
      </w:r>
      <w:r>
        <w:rPr>
          <w:color w:val="374151"/>
        </w:rPr>
        <w:t> </w:t>
      </w:r>
      <w:r>
        <w:rPr>
          <w:color w:val="374151"/>
          <w:shd w:fill="F7F7F8" w:color="auto" w:val="clear"/>
        </w:rPr>
        <w:t>difficulties,</w:t>
      </w:r>
      <w:r>
        <w:rPr>
          <w:color w:val="374151"/>
          <w:spacing w:val="-4"/>
          <w:shd w:fill="F7F7F8" w:color="auto" w:val="clear"/>
        </w:rPr>
        <w:t> </w:t>
      </w:r>
      <w:r>
        <w:rPr>
          <w:color w:val="374151"/>
          <w:shd w:fill="F7F7F8" w:color="auto" w:val="clear"/>
        </w:rPr>
        <w:t>body</w:t>
      </w:r>
      <w:r>
        <w:rPr>
          <w:color w:val="374151"/>
          <w:spacing w:val="-4"/>
          <w:shd w:fill="F7F7F8" w:color="auto" w:val="clear"/>
        </w:rPr>
        <w:t> </w:t>
      </w:r>
      <w:r>
        <w:rPr>
          <w:color w:val="374151"/>
          <w:shd w:fill="F7F7F8" w:color="auto" w:val="clear"/>
        </w:rPr>
        <w:t>image</w:t>
      </w:r>
      <w:r>
        <w:rPr>
          <w:color w:val="374151"/>
          <w:spacing w:val="-5"/>
          <w:shd w:fill="F7F7F8" w:color="auto" w:val="clear"/>
        </w:rPr>
        <w:t> </w:t>
      </w:r>
      <w:r>
        <w:rPr>
          <w:color w:val="374151"/>
          <w:shd w:fill="F7F7F8" w:color="auto" w:val="clear"/>
        </w:rPr>
        <w:t>concerns,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more.</w:t>
      </w:r>
      <w:r>
        <w:rPr>
          <w:color w:val="374151"/>
          <w:spacing w:val="-4"/>
          <w:shd w:fill="F7F7F8" w:color="auto" w:val="clear"/>
        </w:rPr>
        <w:t> </w:t>
      </w:r>
      <w:r>
        <w:rPr>
          <w:color w:val="374151"/>
          <w:shd w:fill="F7F7F8" w:color="auto" w:val="clear"/>
        </w:rPr>
        <w:t>It</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hd w:fill="F7F7F8" w:color="auto" w:val="clear"/>
        </w:rPr>
        <w:t>essential</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approach</w:t>
      </w:r>
      <w:r>
        <w:rPr>
          <w:color w:val="374151"/>
          <w:spacing w:val="-4"/>
          <w:shd w:fill="F7F7F8" w:color="auto" w:val="clear"/>
        </w:rPr>
        <w:t> </w:t>
      </w:r>
      <w:r>
        <w:rPr>
          <w:color w:val="374151"/>
          <w:shd w:fill="F7F7F8" w:color="auto" w:val="clear"/>
        </w:rPr>
        <w:t>these</w:t>
      </w:r>
      <w:r>
        <w:rPr>
          <w:color w:val="374151"/>
          <w:spacing w:val="-5"/>
          <w:shd w:fill="F7F7F8" w:color="auto" w:val="clear"/>
        </w:rPr>
        <w:t> </w:t>
      </w:r>
      <w:r>
        <w:rPr>
          <w:color w:val="374151"/>
          <w:spacing w:val="-5"/>
        </w:rPr>
        <w:t> </w:t>
      </w:r>
      <w:r>
        <w:rPr>
          <w:color w:val="374151"/>
          <w:shd w:fill="F7F7F8" w:color="auto" w:val="clear"/>
        </w:rPr>
        <w:t>concerns with empathy, open-mindedness, and respect, creating a safe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5115560" cy="787400"/>
                <wp:effectExtent l="0" t="0" r="0" b="3175"/>
                <wp:docPr id="20" name="Group 20"/>
                <wp:cNvGraphicFramePr>
                  <a:graphicFrameLocks/>
                </wp:cNvGraphicFramePr>
                <a:graphic>
                  <a:graphicData uri="http://schemas.microsoft.com/office/word/2010/wordprocessingGroup">
                    <wpg:wgp>
                      <wpg:cNvPr id="20" name="Group 20"/>
                      <wpg:cNvGrpSpPr/>
                      <wpg:grpSpPr>
                        <a:xfrm>
                          <a:off x="0" y="0"/>
                          <a:ext cx="5115560" cy="787400"/>
                          <a:chExt cx="5115560" cy="787400"/>
                        </a:xfrm>
                      </wpg:grpSpPr>
                      <wps:wsp>
                        <wps:cNvPr id="21" name="Textbox 21"/>
                        <wps:cNvSpPr txBox="1"/>
                        <wps:spPr>
                          <a:xfrm>
                            <a:off x="0" y="393700"/>
                            <a:ext cx="330644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Therapeutic</w:t>
                              </w:r>
                              <w:r>
                                <w:rPr>
                                  <w:b/>
                                  <w:color w:val="374151"/>
                                  <w:spacing w:val="-18"/>
                                  <w:sz w:val="28"/>
                                </w:rPr>
                                <w:t> </w:t>
                              </w:r>
                              <w:r>
                                <w:rPr>
                                  <w:b/>
                                  <w:color w:val="374151"/>
                                  <w:sz w:val="28"/>
                                </w:rPr>
                                <w:t>Approaches</w:t>
                              </w:r>
                              <w:r>
                                <w:rPr>
                                  <w:b/>
                                  <w:color w:val="374151"/>
                                  <w:spacing w:val="-7"/>
                                  <w:sz w:val="28"/>
                                </w:rPr>
                                <w:t> </w:t>
                              </w:r>
                              <w:r>
                                <w:rPr>
                                  <w:b/>
                                  <w:color w:val="374151"/>
                                  <w:sz w:val="28"/>
                                </w:rPr>
                                <w:t>and</w:t>
                              </w:r>
                              <w:r>
                                <w:rPr>
                                  <w:b/>
                                  <w:color w:val="374151"/>
                                  <w:spacing w:val="-5"/>
                                  <w:sz w:val="28"/>
                                </w:rPr>
                                <w:t> </w:t>
                              </w:r>
                              <w:r>
                                <w:rPr>
                                  <w:b/>
                                  <w:color w:val="374151"/>
                                  <w:spacing w:val="-2"/>
                                  <w:sz w:val="28"/>
                                </w:rPr>
                                <w:t>Interventions</w:t>
                              </w:r>
                            </w:p>
                          </w:txbxContent>
                        </wps:txbx>
                        <wps:bodyPr wrap="square" lIns="0" tIns="0" rIns="0" bIns="0" rtlCol="0">
                          <a:noAutofit/>
                        </wps:bodyPr>
                      </wps:wsp>
                      <wps:wsp>
                        <wps:cNvPr id="22" name="Textbox 22"/>
                        <wps:cNvSpPr txBox="1"/>
                        <wps:spPr>
                          <a:xfrm>
                            <a:off x="0" y="0"/>
                            <a:ext cx="511556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nonjudgmental</w:t>
                              </w:r>
                              <w:r>
                                <w:rPr>
                                  <w:color w:val="374151"/>
                                  <w:spacing w:val="-4"/>
                                  <w:sz w:val="28"/>
                                </w:rPr>
                                <w:t> </w:t>
                              </w:r>
                              <w:r>
                                <w:rPr>
                                  <w:color w:val="374151"/>
                                  <w:sz w:val="28"/>
                                </w:rPr>
                                <w:t>space</w:t>
                              </w:r>
                              <w:r>
                                <w:rPr>
                                  <w:color w:val="374151"/>
                                  <w:spacing w:val="-2"/>
                                  <w:sz w:val="28"/>
                                </w:rPr>
                                <w:t> </w:t>
                              </w:r>
                              <w:r>
                                <w:rPr>
                                  <w:color w:val="374151"/>
                                  <w:sz w:val="28"/>
                                </w:rPr>
                                <w:t>for</w:t>
                              </w:r>
                              <w:r>
                                <w:rPr>
                                  <w:color w:val="374151"/>
                                  <w:spacing w:val="-1"/>
                                  <w:sz w:val="28"/>
                                </w:rPr>
                                <w:t> </w:t>
                              </w:r>
                              <w:r>
                                <w:rPr>
                                  <w:color w:val="374151"/>
                                  <w:sz w:val="28"/>
                                </w:rPr>
                                <w:t>clients</w:t>
                              </w:r>
                              <w:r>
                                <w:rPr>
                                  <w:color w:val="374151"/>
                                  <w:spacing w:val="-1"/>
                                  <w:sz w:val="28"/>
                                </w:rPr>
                                <w:t> </w:t>
                              </w:r>
                              <w:r>
                                <w:rPr>
                                  <w:color w:val="374151"/>
                                  <w:sz w:val="28"/>
                                </w:rPr>
                                <w:t>to</w:t>
                              </w:r>
                              <w:r>
                                <w:rPr>
                                  <w:color w:val="374151"/>
                                  <w:spacing w:val="-2"/>
                                  <w:sz w:val="28"/>
                                </w:rPr>
                                <w:t> </w:t>
                              </w:r>
                              <w:r>
                                <w:rPr>
                                  <w:color w:val="374151"/>
                                  <w:sz w:val="28"/>
                                </w:rPr>
                                <w:t>explore</w:t>
                              </w:r>
                              <w:r>
                                <w:rPr>
                                  <w:color w:val="374151"/>
                                  <w:spacing w:val="-2"/>
                                  <w:sz w:val="28"/>
                                </w:rPr>
                                <w:t> </w:t>
                              </w:r>
                              <w:r>
                                <w:rPr>
                                  <w:color w:val="374151"/>
                                  <w:sz w:val="28"/>
                                </w:rPr>
                                <w:t>and</w:t>
                              </w:r>
                              <w:r>
                                <w:rPr>
                                  <w:color w:val="374151"/>
                                  <w:spacing w:val="-1"/>
                                  <w:sz w:val="28"/>
                                </w:rPr>
                                <w:t> </w:t>
                              </w:r>
                              <w:r>
                                <w:rPr>
                                  <w:color w:val="374151"/>
                                  <w:sz w:val="28"/>
                                </w:rPr>
                                <w:t>address</w:t>
                              </w:r>
                              <w:r>
                                <w:rPr>
                                  <w:color w:val="374151"/>
                                  <w:spacing w:val="-1"/>
                                  <w:sz w:val="28"/>
                                </w:rPr>
                                <w:t> </w:t>
                              </w:r>
                              <w:r>
                                <w:rPr>
                                  <w:color w:val="374151"/>
                                  <w:sz w:val="28"/>
                                </w:rPr>
                                <w:t>their</w:t>
                              </w:r>
                              <w:r>
                                <w:rPr>
                                  <w:color w:val="374151"/>
                                  <w:spacing w:val="-1"/>
                                  <w:sz w:val="28"/>
                                </w:rPr>
                                <w:t> </w:t>
                              </w:r>
                              <w:r>
                                <w:rPr>
                                  <w:color w:val="374151"/>
                                  <w:spacing w:val="-2"/>
                                  <w:sz w:val="28"/>
                                </w:rPr>
                                <w:t>challenges.</w:t>
                              </w:r>
                            </w:p>
                          </w:txbxContent>
                        </wps:txbx>
                        <wps:bodyPr wrap="square" lIns="0" tIns="0" rIns="0" bIns="0" rtlCol="0">
                          <a:noAutofit/>
                        </wps:bodyPr>
                      </wps:wsp>
                    </wpg:wgp>
                  </a:graphicData>
                </a:graphic>
              </wp:inline>
            </w:drawing>
          </mc:Choice>
          <mc:Fallback>
            <w:pict>
              <v:group style="width:402.8pt;height:62pt;mso-position-horizontal-relative:char;mso-position-vertical-relative:line" id="docshapegroup19" coordorigin="0,0" coordsize="8056,1240">
                <v:shape style="position:absolute;left:0;top:620;width:5207;height:620" type="#_x0000_t202" id="docshape20" filled="true" fillcolor="#f7f7f8" stroked="false">
                  <v:textbox inset="0,0,0,0">
                    <w:txbxContent>
                      <w:p>
                        <w:pPr>
                          <w:spacing w:line="308" w:lineRule="exact" w:before="0"/>
                          <w:ind w:left="0" w:right="0" w:firstLine="0"/>
                          <w:jc w:val="left"/>
                          <w:rPr>
                            <w:b/>
                            <w:color w:val="000000"/>
                            <w:sz w:val="28"/>
                          </w:rPr>
                        </w:pPr>
                        <w:r>
                          <w:rPr>
                            <w:b/>
                            <w:color w:val="374151"/>
                            <w:sz w:val="28"/>
                          </w:rPr>
                          <w:t>Therapeutic</w:t>
                        </w:r>
                        <w:r>
                          <w:rPr>
                            <w:b/>
                            <w:color w:val="374151"/>
                            <w:spacing w:val="-18"/>
                            <w:sz w:val="28"/>
                          </w:rPr>
                          <w:t> </w:t>
                        </w:r>
                        <w:r>
                          <w:rPr>
                            <w:b/>
                            <w:color w:val="374151"/>
                            <w:sz w:val="28"/>
                          </w:rPr>
                          <w:t>Approaches</w:t>
                        </w:r>
                        <w:r>
                          <w:rPr>
                            <w:b/>
                            <w:color w:val="374151"/>
                            <w:spacing w:val="-7"/>
                            <w:sz w:val="28"/>
                          </w:rPr>
                          <w:t> </w:t>
                        </w:r>
                        <w:r>
                          <w:rPr>
                            <w:b/>
                            <w:color w:val="374151"/>
                            <w:sz w:val="28"/>
                          </w:rPr>
                          <w:t>and</w:t>
                        </w:r>
                        <w:r>
                          <w:rPr>
                            <w:b/>
                            <w:color w:val="374151"/>
                            <w:spacing w:val="-5"/>
                            <w:sz w:val="28"/>
                          </w:rPr>
                          <w:t> </w:t>
                        </w:r>
                        <w:r>
                          <w:rPr>
                            <w:b/>
                            <w:color w:val="374151"/>
                            <w:spacing w:val="-2"/>
                            <w:sz w:val="28"/>
                          </w:rPr>
                          <w:t>Interventions</w:t>
                        </w:r>
                      </w:p>
                    </w:txbxContent>
                  </v:textbox>
                  <v:fill type="solid"/>
                  <w10:wrap type="none"/>
                </v:shape>
                <v:shape style="position:absolute;left:0;top:0;width:8056;height:620" type="#_x0000_t202" id="docshape21" filled="true" fillcolor="#f7f7f8" stroked="false">
                  <v:textbox inset="0,0,0,0">
                    <w:txbxContent>
                      <w:p>
                        <w:pPr>
                          <w:spacing w:line="308" w:lineRule="exact" w:before="0"/>
                          <w:ind w:left="0" w:right="-15" w:firstLine="0"/>
                          <w:jc w:val="left"/>
                          <w:rPr>
                            <w:color w:val="000000"/>
                            <w:sz w:val="28"/>
                          </w:rPr>
                        </w:pPr>
                        <w:r>
                          <w:rPr>
                            <w:color w:val="374151"/>
                            <w:sz w:val="28"/>
                          </w:rPr>
                          <w:t>nonjudgmental</w:t>
                        </w:r>
                        <w:r>
                          <w:rPr>
                            <w:color w:val="374151"/>
                            <w:spacing w:val="-4"/>
                            <w:sz w:val="28"/>
                          </w:rPr>
                          <w:t> </w:t>
                        </w:r>
                        <w:r>
                          <w:rPr>
                            <w:color w:val="374151"/>
                            <w:sz w:val="28"/>
                          </w:rPr>
                          <w:t>space</w:t>
                        </w:r>
                        <w:r>
                          <w:rPr>
                            <w:color w:val="374151"/>
                            <w:spacing w:val="-2"/>
                            <w:sz w:val="28"/>
                          </w:rPr>
                          <w:t> </w:t>
                        </w:r>
                        <w:r>
                          <w:rPr>
                            <w:color w:val="374151"/>
                            <w:sz w:val="28"/>
                          </w:rPr>
                          <w:t>for</w:t>
                        </w:r>
                        <w:r>
                          <w:rPr>
                            <w:color w:val="374151"/>
                            <w:spacing w:val="-1"/>
                            <w:sz w:val="28"/>
                          </w:rPr>
                          <w:t> </w:t>
                        </w:r>
                        <w:r>
                          <w:rPr>
                            <w:color w:val="374151"/>
                            <w:sz w:val="28"/>
                          </w:rPr>
                          <w:t>clients</w:t>
                        </w:r>
                        <w:r>
                          <w:rPr>
                            <w:color w:val="374151"/>
                            <w:spacing w:val="-1"/>
                            <w:sz w:val="28"/>
                          </w:rPr>
                          <w:t> </w:t>
                        </w:r>
                        <w:r>
                          <w:rPr>
                            <w:color w:val="374151"/>
                            <w:sz w:val="28"/>
                          </w:rPr>
                          <w:t>to</w:t>
                        </w:r>
                        <w:r>
                          <w:rPr>
                            <w:color w:val="374151"/>
                            <w:spacing w:val="-2"/>
                            <w:sz w:val="28"/>
                          </w:rPr>
                          <w:t> </w:t>
                        </w:r>
                        <w:r>
                          <w:rPr>
                            <w:color w:val="374151"/>
                            <w:sz w:val="28"/>
                          </w:rPr>
                          <w:t>explore</w:t>
                        </w:r>
                        <w:r>
                          <w:rPr>
                            <w:color w:val="374151"/>
                            <w:spacing w:val="-2"/>
                            <w:sz w:val="28"/>
                          </w:rPr>
                          <w:t> </w:t>
                        </w:r>
                        <w:r>
                          <w:rPr>
                            <w:color w:val="374151"/>
                            <w:sz w:val="28"/>
                          </w:rPr>
                          <w:t>and</w:t>
                        </w:r>
                        <w:r>
                          <w:rPr>
                            <w:color w:val="374151"/>
                            <w:spacing w:val="-1"/>
                            <w:sz w:val="28"/>
                          </w:rPr>
                          <w:t> </w:t>
                        </w:r>
                        <w:r>
                          <w:rPr>
                            <w:color w:val="374151"/>
                            <w:sz w:val="28"/>
                          </w:rPr>
                          <w:t>address</w:t>
                        </w:r>
                        <w:r>
                          <w:rPr>
                            <w:color w:val="374151"/>
                            <w:spacing w:val="-1"/>
                            <w:sz w:val="28"/>
                          </w:rPr>
                          <w:t> </w:t>
                        </w:r>
                        <w:r>
                          <w:rPr>
                            <w:color w:val="374151"/>
                            <w:sz w:val="28"/>
                          </w:rPr>
                          <w:t>their</w:t>
                        </w:r>
                        <w:r>
                          <w:rPr>
                            <w:color w:val="374151"/>
                            <w:spacing w:val="-1"/>
                            <w:sz w:val="28"/>
                          </w:rPr>
                          <w:t> </w:t>
                        </w:r>
                        <w:r>
                          <w:rPr>
                            <w:color w:val="374151"/>
                            <w:spacing w:val="-2"/>
                            <w:sz w:val="28"/>
                          </w:rPr>
                          <w:t>challenges.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Mental</w:t>
      </w:r>
      <w:r>
        <w:rPr>
          <w:color w:val="374151"/>
          <w:spacing w:val="-5"/>
          <w:shd w:fill="F7F7F8" w:color="auto" w:val="clear"/>
        </w:rPr>
        <w:t> </w:t>
      </w:r>
      <w:r>
        <w:rPr>
          <w:color w:val="374151"/>
          <w:shd w:fill="F7F7F8" w:color="auto" w:val="clear"/>
        </w:rPr>
        <w:t>health</w:t>
      </w:r>
      <w:r>
        <w:rPr>
          <w:color w:val="374151"/>
          <w:spacing w:val="-2"/>
          <w:shd w:fill="F7F7F8" w:color="auto" w:val="clear"/>
        </w:rPr>
        <w:t> </w:t>
      </w:r>
      <w:r>
        <w:rPr>
          <w:color w:val="374151"/>
          <w:shd w:fill="F7F7F8" w:color="auto" w:val="clear"/>
        </w:rPr>
        <w:t>professionals</w:t>
      </w:r>
      <w:r>
        <w:rPr>
          <w:color w:val="374151"/>
          <w:spacing w:val="-3"/>
          <w:shd w:fill="F7F7F8" w:color="auto" w:val="clear"/>
        </w:rPr>
        <w:t> </w:t>
      </w:r>
      <w:r>
        <w:rPr>
          <w:color w:val="374151"/>
          <w:shd w:fill="F7F7F8" w:color="auto" w:val="clear"/>
        </w:rPr>
        <w:t>can</w:t>
      </w:r>
      <w:r>
        <w:rPr>
          <w:color w:val="374151"/>
          <w:spacing w:val="-2"/>
          <w:shd w:fill="F7F7F8" w:color="auto" w:val="clear"/>
        </w:rPr>
        <w:t> </w:t>
      </w:r>
      <w:r>
        <w:rPr>
          <w:color w:val="374151"/>
          <w:shd w:fill="F7F7F8" w:color="auto" w:val="clear"/>
        </w:rPr>
        <w:t>employ</w:t>
      </w:r>
      <w:r>
        <w:rPr>
          <w:color w:val="374151"/>
          <w:spacing w:val="-2"/>
          <w:shd w:fill="F7F7F8" w:color="auto" w:val="clear"/>
        </w:rPr>
        <w:t> </w:t>
      </w:r>
      <w:r>
        <w:rPr>
          <w:color w:val="374151"/>
          <w:shd w:fill="F7F7F8" w:color="auto" w:val="clear"/>
        </w:rPr>
        <w:t>several</w:t>
      </w:r>
      <w:r>
        <w:rPr>
          <w:color w:val="374151"/>
          <w:spacing w:val="-3"/>
          <w:shd w:fill="F7F7F8" w:color="auto" w:val="clear"/>
        </w:rPr>
        <w:t> </w:t>
      </w:r>
      <w:r>
        <w:rPr>
          <w:color w:val="374151"/>
          <w:shd w:fill="F7F7F8" w:color="auto" w:val="clear"/>
        </w:rPr>
        <w:t>therapeutic</w:t>
      </w:r>
      <w:r>
        <w:rPr>
          <w:color w:val="374151"/>
          <w:spacing w:val="-3"/>
          <w:shd w:fill="F7F7F8" w:color="auto" w:val="clear"/>
        </w:rPr>
        <w:t> </w:t>
      </w:r>
      <w:r>
        <w:rPr>
          <w:color w:val="374151"/>
          <w:shd w:fill="F7F7F8" w:color="auto" w:val="clear"/>
        </w:rPr>
        <w:t>approaches</w:t>
      </w:r>
      <w:r>
        <w:rPr>
          <w:color w:val="374151"/>
          <w:spacing w:val="-2"/>
          <w:shd w:fill="F7F7F8" w:color="auto" w:val="clear"/>
        </w:rPr>
        <w:t> </w:t>
      </w:r>
      <w:r>
        <w:rPr>
          <w:color w:val="374151"/>
          <w:spacing w:val="-5"/>
          <w:shd w:fill="F7F7F8" w:color="auto" w:val="clear"/>
        </w:rPr>
        <w:t>to</w:t>
      </w:r>
      <w:r>
        <w:rPr>
          <w:color w:val="374151"/>
          <w:spacing w:val="40"/>
          <w:shd w:fill="F7F7F8" w:color="auto" w:val="clear"/>
        </w:rPr>
        <w:t> </w:t>
      </w:r>
    </w:p>
    <w:p>
      <w:pPr>
        <w:pStyle w:val="BodyText"/>
        <w:spacing w:after="4"/>
        <w:ind w:left="280" w:right="502"/>
      </w:pPr>
      <w:r>
        <w:rPr>
          <w:color w:val="374151"/>
          <w:shd w:fill="F7F7F8" w:color="auto" w:val="clear"/>
        </w:rPr>
        <w:t>address sexual concerns. These may include cognitive-behavioral therapy </w:t>
      </w:r>
      <w:r>
        <w:rPr>
          <w:color w:val="374151"/>
        </w:rPr>
        <w:t> </w:t>
      </w:r>
      <w:r>
        <w:rPr>
          <w:color w:val="374151"/>
          <w:shd w:fill="F7F7F8" w:color="auto" w:val="clear"/>
        </w:rPr>
        <w:t>(CBT),</w:t>
      </w:r>
      <w:r>
        <w:rPr>
          <w:color w:val="374151"/>
          <w:spacing w:val="-5"/>
          <w:shd w:fill="F7F7F8" w:color="auto" w:val="clear"/>
        </w:rPr>
        <w:t> </w:t>
      </w:r>
      <w:r>
        <w:rPr>
          <w:color w:val="374151"/>
          <w:shd w:fill="F7F7F8" w:color="auto" w:val="clear"/>
        </w:rPr>
        <w:t>psychoeducation,</w:t>
      </w:r>
      <w:r>
        <w:rPr>
          <w:color w:val="374151"/>
          <w:spacing w:val="-5"/>
          <w:shd w:fill="F7F7F8" w:color="auto" w:val="clear"/>
        </w:rPr>
        <w:t> </w:t>
      </w:r>
      <w:r>
        <w:rPr>
          <w:color w:val="374151"/>
          <w:shd w:fill="F7F7F8" w:color="auto" w:val="clear"/>
        </w:rPr>
        <w:t>mindfulness</w:t>
      </w:r>
      <w:r>
        <w:rPr>
          <w:color w:val="374151"/>
          <w:spacing w:val="-5"/>
          <w:shd w:fill="F7F7F8" w:color="auto" w:val="clear"/>
        </w:rPr>
        <w:t> </w:t>
      </w:r>
      <w:r>
        <w:rPr>
          <w:color w:val="374151"/>
          <w:shd w:fill="F7F7F8" w:color="auto" w:val="clear"/>
        </w:rPr>
        <w:t>techniques,</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narrative</w:t>
      </w:r>
      <w:r>
        <w:rPr>
          <w:color w:val="374151"/>
          <w:spacing w:val="-5"/>
          <w:shd w:fill="F7F7F8" w:color="auto" w:val="clear"/>
        </w:rPr>
        <w:t> </w:t>
      </w:r>
      <w:r>
        <w:rPr>
          <w:color w:val="374151"/>
          <w:shd w:fill="F7F7F8" w:color="auto" w:val="clear"/>
        </w:rPr>
        <w:t>therapy</w:t>
      </w:r>
      <w:r>
        <w:rPr>
          <w:color w:val="374151"/>
          <w:spacing w:val="-5"/>
          <w:shd w:fill="F7F7F8" w:color="auto" w:val="clear"/>
        </w:rPr>
        <w:t> </w:t>
      </w:r>
      <w:r>
        <w:rPr>
          <w:color w:val="374151"/>
          <w:shd w:fill="F7F7F8" w:color="auto" w:val="clear"/>
        </w:rPr>
        <w:t>just</w:t>
      </w:r>
      <w:r>
        <w:rPr>
          <w:color w:val="374151"/>
          <w:spacing w:val="-5"/>
          <w:shd w:fill="F7F7F8" w:color="auto" w:val="clear"/>
        </w:rPr>
        <w:t> </w:t>
      </w:r>
      <w:r>
        <w:rPr>
          <w:color w:val="374151"/>
          <w:shd w:fill="F7F7F8" w:color="auto" w:val="clear"/>
        </w:rPr>
        <w:t>to</w:t>
      </w:r>
      <w:r>
        <w:rPr>
          <w:color w:val="374151"/>
          <w:spacing w:val="-5"/>
          <w:shd w:fill="F7F7F8" w:color="auto" w:val="clear"/>
        </w:rPr>
        <w:t> </w:t>
      </w:r>
      <w:r>
        <w:rPr>
          <w:color w:val="374151"/>
          <w:spacing w:val="-5"/>
        </w:rPr>
        <w:t> </w:t>
      </w:r>
      <w:r>
        <w:rPr>
          <w:color w:val="374151"/>
          <w:shd w:fill="F7F7F8" w:color="auto" w:val="clear"/>
        </w:rPr>
        <w:t>name a few.</w:t>
      </w:r>
      <w:r>
        <w:rPr>
          <w:color w:val="374151"/>
          <w:spacing w:val="-2"/>
          <w:shd w:fill="F7F7F8" w:color="auto" w:val="clear"/>
        </w:rPr>
        <w:t> </w:t>
      </w:r>
      <w:r>
        <w:rPr>
          <w:color w:val="374151"/>
          <w:shd w:fill="F7F7F8" w:color="auto" w:val="clear"/>
        </w:rPr>
        <w:t>The selection of an appropriate approach should consider the </w:t>
      </w:r>
      <w:r>
        <w:rPr>
          <w:color w:val="374151"/>
        </w:rPr>
        <w:t> </w:t>
      </w:r>
      <w:r>
        <w:rPr>
          <w:color w:val="374151"/>
          <w:shd w:fill="F7F7F8" w:color="auto" w:val="clear"/>
        </w:rPr>
        <w:t>specific needs and goals of the client, and therapists should stay updated with</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801745" cy="787400"/>
                <wp:effectExtent l="0" t="0" r="0" b="3175"/>
                <wp:docPr id="23" name="Group 23"/>
                <wp:cNvGraphicFramePr>
                  <a:graphicFrameLocks/>
                </wp:cNvGraphicFramePr>
                <a:graphic>
                  <a:graphicData uri="http://schemas.microsoft.com/office/word/2010/wordprocessingGroup">
                    <wpg:wgp>
                      <wpg:cNvPr id="23" name="Group 23"/>
                      <wpg:cNvGrpSpPr/>
                      <wpg:grpSpPr>
                        <a:xfrm>
                          <a:off x="0" y="0"/>
                          <a:ext cx="3801745" cy="787400"/>
                          <a:chExt cx="3801745" cy="787400"/>
                        </a:xfrm>
                      </wpg:grpSpPr>
                      <wps:wsp>
                        <wps:cNvPr id="24" name="Textbox 24"/>
                        <wps:cNvSpPr txBox="1"/>
                        <wps:spPr>
                          <a:xfrm>
                            <a:off x="0" y="393700"/>
                            <a:ext cx="320040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The</w:t>
                              </w:r>
                              <w:r>
                                <w:rPr>
                                  <w:b/>
                                  <w:color w:val="374151"/>
                                  <w:spacing w:val="-3"/>
                                  <w:sz w:val="28"/>
                                </w:rPr>
                                <w:t> </w:t>
                              </w:r>
                              <w:r>
                                <w:rPr>
                                  <w:b/>
                                  <w:color w:val="374151"/>
                                  <w:sz w:val="28"/>
                                </w:rPr>
                                <w:t>Importance</w:t>
                              </w:r>
                              <w:r>
                                <w:rPr>
                                  <w:b/>
                                  <w:color w:val="374151"/>
                                  <w:spacing w:val="-3"/>
                                  <w:sz w:val="28"/>
                                </w:rPr>
                                <w:t> </w:t>
                              </w:r>
                              <w:r>
                                <w:rPr>
                                  <w:b/>
                                  <w:color w:val="374151"/>
                                  <w:sz w:val="28"/>
                                </w:rPr>
                                <w:t>of</w:t>
                              </w:r>
                              <w:r>
                                <w:rPr>
                                  <w:b/>
                                  <w:color w:val="374151"/>
                                  <w:spacing w:val="-2"/>
                                  <w:sz w:val="28"/>
                                </w:rPr>
                                <w:t> </w:t>
                              </w:r>
                              <w:r>
                                <w:rPr>
                                  <w:b/>
                                  <w:color w:val="374151"/>
                                  <w:sz w:val="28"/>
                                </w:rPr>
                                <w:t>Sexual</w:t>
                              </w:r>
                              <w:r>
                                <w:rPr>
                                  <w:b/>
                                  <w:color w:val="374151"/>
                                  <w:spacing w:val="-2"/>
                                  <w:sz w:val="28"/>
                                </w:rPr>
                                <w:t> Education</w:t>
                              </w:r>
                            </w:p>
                          </w:txbxContent>
                        </wps:txbx>
                        <wps:bodyPr wrap="square" lIns="0" tIns="0" rIns="0" bIns="0" rtlCol="0">
                          <a:noAutofit/>
                        </wps:bodyPr>
                      </wps:wsp>
                      <wps:wsp>
                        <wps:cNvPr id="25" name="Textbox 25"/>
                        <wps:cNvSpPr txBox="1"/>
                        <wps:spPr>
                          <a:xfrm>
                            <a:off x="0" y="0"/>
                            <a:ext cx="380174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evidence-based</w:t>
                              </w:r>
                              <w:r>
                                <w:rPr>
                                  <w:color w:val="374151"/>
                                  <w:spacing w:val="-4"/>
                                  <w:sz w:val="28"/>
                                </w:rPr>
                                <w:t> </w:t>
                              </w:r>
                              <w:r>
                                <w:rPr>
                                  <w:color w:val="374151"/>
                                  <w:sz w:val="28"/>
                                </w:rPr>
                                <w:t>practices</w:t>
                              </w:r>
                              <w:r>
                                <w:rPr>
                                  <w:color w:val="374151"/>
                                  <w:spacing w:val="-2"/>
                                  <w:sz w:val="28"/>
                                </w:rPr>
                                <w:t> </w:t>
                              </w:r>
                              <w:r>
                                <w:rPr>
                                  <w:color w:val="374151"/>
                                  <w:sz w:val="28"/>
                                </w:rPr>
                                <w:t>in</w:t>
                              </w:r>
                              <w:r>
                                <w:rPr>
                                  <w:color w:val="374151"/>
                                  <w:spacing w:val="-2"/>
                                  <w:sz w:val="28"/>
                                </w:rPr>
                                <w:t> </w:t>
                              </w:r>
                              <w:r>
                                <w:rPr>
                                  <w:color w:val="374151"/>
                                  <w:sz w:val="28"/>
                                </w:rPr>
                                <w:t>the</w:t>
                              </w:r>
                              <w:r>
                                <w:rPr>
                                  <w:color w:val="374151"/>
                                  <w:spacing w:val="-3"/>
                                  <w:sz w:val="28"/>
                                </w:rPr>
                                <w:t> </w:t>
                              </w:r>
                              <w:r>
                                <w:rPr>
                                  <w:color w:val="374151"/>
                                  <w:sz w:val="28"/>
                                </w:rPr>
                                <w:t>field</w:t>
                              </w:r>
                              <w:r>
                                <w:rPr>
                                  <w:color w:val="374151"/>
                                  <w:spacing w:val="-2"/>
                                  <w:sz w:val="28"/>
                                </w:rPr>
                                <w:t> </w:t>
                              </w:r>
                              <w:r>
                                <w:rPr>
                                  <w:color w:val="374151"/>
                                  <w:sz w:val="28"/>
                                </w:rPr>
                                <w:t>of</w:t>
                              </w:r>
                              <w:r>
                                <w:rPr>
                                  <w:color w:val="374151"/>
                                  <w:spacing w:val="-2"/>
                                  <w:sz w:val="28"/>
                                </w:rPr>
                                <w:t> </w:t>
                              </w:r>
                              <w:r>
                                <w:rPr>
                                  <w:color w:val="374151"/>
                                  <w:sz w:val="28"/>
                                </w:rPr>
                                <w:t>sexual</w:t>
                              </w:r>
                              <w:r>
                                <w:rPr>
                                  <w:color w:val="374151"/>
                                  <w:spacing w:val="-1"/>
                                  <w:sz w:val="28"/>
                                </w:rPr>
                                <w:t> </w:t>
                              </w:r>
                              <w:r>
                                <w:rPr>
                                  <w:color w:val="374151"/>
                                  <w:spacing w:val="-2"/>
                                  <w:sz w:val="28"/>
                                </w:rPr>
                                <w:t>health.</w:t>
                              </w:r>
                            </w:p>
                          </w:txbxContent>
                        </wps:txbx>
                        <wps:bodyPr wrap="square" lIns="0" tIns="0" rIns="0" bIns="0" rtlCol="0">
                          <a:noAutofit/>
                        </wps:bodyPr>
                      </wps:wsp>
                    </wpg:wgp>
                  </a:graphicData>
                </a:graphic>
              </wp:inline>
            </w:drawing>
          </mc:Choice>
          <mc:Fallback>
            <w:pict>
              <v:group style="width:299.350pt;height:62pt;mso-position-horizontal-relative:char;mso-position-vertical-relative:line" id="docshapegroup22" coordorigin="0,0" coordsize="5987,1240">
                <v:shape style="position:absolute;left:0;top:620;width:5040;height:620" type="#_x0000_t202" id="docshape23" filled="true" fillcolor="#f7f7f8" stroked="false">
                  <v:textbox inset="0,0,0,0">
                    <w:txbxContent>
                      <w:p>
                        <w:pPr>
                          <w:spacing w:line="308" w:lineRule="exact" w:before="0"/>
                          <w:ind w:left="0" w:right="0" w:firstLine="0"/>
                          <w:jc w:val="left"/>
                          <w:rPr>
                            <w:b/>
                            <w:color w:val="000000"/>
                            <w:sz w:val="28"/>
                          </w:rPr>
                        </w:pPr>
                        <w:r>
                          <w:rPr>
                            <w:b/>
                            <w:color w:val="374151"/>
                            <w:sz w:val="28"/>
                          </w:rPr>
                          <w:t>The</w:t>
                        </w:r>
                        <w:r>
                          <w:rPr>
                            <w:b/>
                            <w:color w:val="374151"/>
                            <w:spacing w:val="-3"/>
                            <w:sz w:val="28"/>
                          </w:rPr>
                          <w:t> </w:t>
                        </w:r>
                        <w:r>
                          <w:rPr>
                            <w:b/>
                            <w:color w:val="374151"/>
                            <w:sz w:val="28"/>
                          </w:rPr>
                          <w:t>Importance</w:t>
                        </w:r>
                        <w:r>
                          <w:rPr>
                            <w:b/>
                            <w:color w:val="374151"/>
                            <w:spacing w:val="-3"/>
                            <w:sz w:val="28"/>
                          </w:rPr>
                          <w:t> </w:t>
                        </w:r>
                        <w:r>
                          <w:rPr>
                            <w:b/>
                            <w:color w:val="374151"/>
                            <w:sz w:val="28"/>
                          </w:rPr>
                          <w:t>of</w:t>
                        </w:r>
                        <w:r>
                          <w:rPr>
                            <w:b/>
                            <w:color w:val="374151"/>
                            <w:spacing w:val="-2"/>
                            <w:sz w:val="28"/>
                          </w:rPr>
                          <w:t> </w:t>
                        </w:r>
                        <w:r>
                          <w:rPr>
                            <w:b/>
                            <w:color w:val="374151"/>
                            <w:sz w:val="28"/>
                          </w:rPr>
                          <w:t>Sexual</w:t>
                        </w:r>
                        <w:r>
                          <w:rPr>
                            <w:b/>
                            <w:color w:val="374151"/>
                            <w:spacing w:val="-2"/>
                            <w:sz w:val="28"/>
                          </w:rPr>
                          <w:t> Education</w:t>
                        </w:r>
                      </w:p>
                    </w:txbxContent>
                  </v:textbox>
                  <v:fill type="solid"/>
                  <w10:wrap type="none"/>
                </v:shape>
                <v:shape style="position:absolute;left:0;top:0;width:5987;height:620" type="#_x0000_t202" id="docshape24" filled="true" fillcolor="#f7f7f8" stroked="false">
                  <v:textbox inset="0,0,0,0">
                    <w:txbxContent>
                      <w:p>
                        <w:pPr>
                          <w:spacing w:line="308" w:lineRule="exact" w:before="0"/>
                          <w:ind w:left="0" w:right="-15" w:firstLine="0"/>
                          <w:jc w:val="left"/>
                          <w:rPr>
                            <w:color w:val="000000"/>
                            <w:sz w:val="28"/>
                          </w:rPr>
                        </w:pPr>
                        <w:r>
                          <w:rPr>
                            <w:color w:val="374151"/>
                            <w:sz w:val="28"/>
                          </w:rPr>
                          <w:t>evidence-based</w:t>
                        </w:r>
                        <w:r>
                          <w:rPr>
                            <w:color w:val="374151"/>
                            <w:spacing w:val="-4"/>
                            <w:sz w:val="28"/>
                          </w:rPr>
                          <w:t> </w:t>
                        </w:r>
                        <w:r>
                          <w:rPr>
                            <w:color w:val="374151"/>
                            <w:sz w:val="28"/>
                          </w:rPr>
                          <w:t>practices</w:t>
                        </w:r>
                        <w:r>
                          <w:rPr>
                            <w:color w:val="374151"/>
                            <w:spacing w:val="-2"/>
                            <w:sz w:val="28"/>
                          </w:rPr>
                          <w:t> </w:t>
                        </w:r>
                        <w:r>
                          <w:rPr>
                            <w:color w:val="374151"/>
                            <w:sz w:val="28"/>
                          </w:rPr>
                          <w:t>in</w:t>
                        </w:r>
                        <w:r>
                          <w:rPr>
                            <w:color w:val="374151"/>
                            <w:spacing w:val="-2"/>
                            <w:sz w:val="28"/>
                          </w:rPr>
                          <w:t> </w:t>
                        </w:r>
                        <w:r>
                          <w:rPr>
                            <w:color w:val="374151"/>
                            <w:sz w:val="28"/>
                          </w:rPr>
                          <w:t>the</w:t>
                        </w:r>
                        <w:r>
                          <w:rPr>
                            <w:color w:val="374151"/>
                            <w:spacing w:val="-3"/>
                            <w:sz w:val="28"/>
                          </w:rPr>
                          <w:t> </w:t>
                        </w:r>
                        <w:r>
                          <w:rPr>
                            <w:color w:val="374151"/>
                            <w:sz w:val="28"/>
                          </w:rPr>
                          <w:t>field</w:t>
                        </w:r>
                        <w:r>
                          <w:rPr>
                            <w:color w:val="374151"/>
                            <w:spacing w:val="-2"/>
                            <w:sz w:val="28"/>
                          </w:rPr>
                          <w:t> </w:t>
                        </w:r>
                        <w:r>
                          <w:rPr>
                            <w:color w:val="374151"/>
                            <w:sz w:val="28"/>
                          </w:rPr>
                          <w:t>of</w:t>
                        </w:r>
                        <w:r>
                          <w:rPr>
                            <w:color w:val="374151"/>
                            <w:spacing w:val="-2"/>
                            <w:sz w:val="28"/>
                          </w:rPr>
                          <w:t> </w:t>
                        </w:r>
                        <w:r>
                          <w:rPr>
                            <w:color w:val="374151"/>
                            <w:sz w:val="28"/>
                          </w:rPr>
                          <w:t>sexual</w:t>
                        </w:r>
                        <w:r>
                          <w:rPr>
                            <w:color w:val="374151"/>
                            <w:spacing w:val="-1"/>
                            <w:sz w:val="28"/>
                          </w:rPr>
                          <w:t> </w:t>
                        </w:r>
                        <w:r>
                          <w:rPr>
                            <w:color w:val="374151"/>
                            <w:spacing w:val="-2"/>
                            <w:sz w:val="28"/>
                          </w:rPr>
                          <w:t>health.</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Licensed</w:t>
      </w:r>
      <w:r>
        <w:rPr>
          <w:color w:val="374151"/>
          <w:spacing w:val="-2"/>
          <w:shd w:fill="F7F7F8" w:color="auto" w:val="clear"/>
        </w:rPr>
        <w:t> </w:t>
      </w:r>
      <w:r>
        <w:rPr>
          <w:color w:val="374151"/>
          <w:shd w:fill="F7F7F8" w:color="auto" w:val="clear"/>
        </w:rPr>
        <w:t>mental</w:t>
      </w:r>
      <w:r>
        <w:rPr>
          <w:color w:val="374151"/>
          <w:spacing w:val="-1"/>
          <w:shd w:fill="F7F7F8" w:color="auto" w:val="clear"/>
        </w:rPr>
        <w:t> </w:t>
      </w:r>
      <w:r>
        <w:rPr>
          <w:color w:val="374151"/>
          <w:shd w:fill="F7F7F8" w:color="auto" w:val="clear"/>
        </w:rPr>
        <w:t>health</w:t>
      </w:r>
      <w:r>
        <w:rPr>
          <w:color w:val="374151"/>
          <w:spacing w:val="-2"/>
          <w:shd w:fill="F7F7F8" w:color="auto" w:val="clear"/>
        </w:rPr>
        <w:t> </w:t>
      </w:r>
      <w:r>
        <w:rPr>
          <w:color w:val="374151"/>
          <w:shd w:fill="F7F7F8" w:color="auto" w:val="clear"/>
        </w:rPr>
        <w:t>professionals</w:t>
      </w:r>
      <w:r>
        <w:rPr>
          <w:color w:val="374151"/>
          <w:spacing w:val="-1"/>
          <w:shd w:fill="F7F7F8" w:color="auto" w:val="clear"/>
        </w:rPr>
        <w:t> </w:t>
      </w:r>
      <w:r>
        <w:rPr>
          <w:color w:val="374151"/>
          <w:shd w:fill="F7F7F8" w:color="auto" w:val="clear"/>
        </w:rPr>
        <w:t>can</w:t>
      </w:r>
      <w:r>
        <w:rPr>
          <w:color w:val="374151"/>
          <w:spacing w:val="-1"/>
          <w:shd w:fill="F7F7F8" w:color="auto" w:val="clear"/>
        </w:rPr>
        <w:t> </w:t>
      </w:r>
      <w:r>
        <w:rPr>
          <w:color w:val="374151"/>
          <w:shd w:fill="F7F7F8" w:color="auto" w:val="clear"/>
        </w:rPr>
        <w:t>play</w:t>
      </w:r>
      <w:r>
        <w:rPr>
          <w:color w:val="374151"/>
          <w:spacing w:val="-2"/>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vital</w:t>
      </w:r>
      <w:r>
        <w:rPr>
          <w:color w:val="374151"/>
          <w:spacing w:val="-1"/>
          <w:shd w:fill="F7F7F8" w:color="auto" w:val="clear"/>
        </w:rPr>
        <w:t> </w:t>
      </w:r>
      <w:r>
        <w:rPr>
          <w:color w:val="374151"/>
          <w:shd w:fill="F7F7F8" w:color="auto" w:val="clear"/>
        </w:rPr>
        <w:t>role</w:t>
      </w:r>
      <w:r>
        <w:rPr>
          <w:color w:val="374151"/>
          <w:spacing w:val="-3"/>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providing</w:t>
      </w:r>
      <w:r>
        <w:rPr>
          <w:color w:val="374151"/>
          <w:spacing w:val="-1"/>
          <w:shd w:fill="F7F7F8" w:color="auto" w:val="clear"/>
        </w:rPr>
        <w:t> </w:t>
      </w:r>
      <w:r>
        <w:rPr>
          <w:color w:val="374151"/>
          <w:spacing w:val="-2"/>
          <w:shd w:fill="F7F7F8" w:color="auto" w:val="clear"/>
        </w:rPr>
        <w:t>accurate</w:t>
      </w:r>
    </w:p>
    <w:p>
      <w:pPr>
        <w:pStyle w:val="BodyText"/>
        <w:spacing w:after="4"/>
        <w:ind w:left="280" w:right="499"/>
      </w:pPr>
      <w:r>
        <w:rPr>
          <w:color w:val="374151"/>
          <w:shd w:fill="F7F7F8" w:color="auto" w:val="clear"/>
        </w:rPr>
        <w:t>and comprehensive sexual education. Promoting healthy sexual behaviors, </w:t>
      </w:r>
      <w:r>
        <w:rPr>
          <w:color w:val="374151"/>
        </w:rPr>
        <w:t> </w:t>
      </w:r>
      <w:r>
        <w:rPr>
          <w:color w:val="374151"/>
          <w:shd w:fill="F7F7F8" w:color="auto" w:val="clear"/>
        </w:rPr>
        <w:t>consent,</w:t>
      </w:r>
      <w:r>
        <w:rPr>
          <w:color w:val="374151"/>
          <w:spacing w:val="-5"/>
          <w:shd w:fill="F7F7F8" w:color="auto" w:val="clear"/>
        </w:rPr>
        <w:t> </w:t>
      </w:r>
      <w:r>
        <w:rPr>
          <w:color w:val="374151"/>
          <w:shd w:fill="F7F7F8" w:color="auto" w:val="clear"/>
        </w:rPr>
        <w:t>sexual</w:t>
      </w:r>
      <w:r>
        <w:rPr>
          <w:color w:val="374151"/>
          <w:spacing w:val="-5"/>
          <w:shd w:fill="F7F7F8" w:color="auto" w:val="clear"/>
        </w:rPr>
        <w:t> </w:t>
      </w:r>
      <w:r>
        <w:rPr>
          <w:color w:val="374151"/>
          <w:shd w:fill="F7F7F8" w:color="auto" w:val="clear"/>
        </w:rPr>
        <w:t>diversity,</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safe</w:t>
      </w:r>
      <w:r>
        <w:rPr>
          <w:color w:val="374151"/>
          <w:spacing w:val="-6"/>
          <w:shd w:fill="F7F7F8" w:color="auto" w:val="clear"/>
        </w:rPr>
        <w:t> </w:t>
      </w:r>
      <w:r>
        <w:rPr>
          <w:color w:val="374151"/>
          <w:shd w:fill="F7F7F8" w:color="auto" w:val="clear"/>
        </w:rPr>
        <w:t>practices</w:t>
      </w:r>
      <w:r>
        <w:rPr>
          <w:color w:val="374151"/>
          <w:spacing w:val="-5"/>
          <w:shd w:fill="F7F7F8" w:color="auto" w:val="clear"/>
        </w:rPr>
        <w:t> </w:t>
      </w:r>
      <w:r>
        <w:rPr>
          <w:color w:val="374151"/>
          <w:shd w:fill="F7F7F8" w:color="auto" w:val="clear"/>
        </w:rPr>
        <w:t>can</w:t>
      </w:r>
      <w:r>
        <w:rPr>
          <w:color w:val="374151"/>
          <w:spacing w:val="-5"/>
          <w:shd w:fill="F7F7F8" w:color="auto" w:val="clear"/>
        </w:rPr>
        <w:t> </w:t>
      </w:r>
      <w:r>
        <w:rPr>
          <w:color w:val="374151"/>
          <w:shd w:fill="F7F7F8" w:color="auto" w:val="clear"/>
        </w:rPr>
        <w:t>contribute</w:t>
      </w:r>
      <w:r>
        <w:rPr>
          <w:color w:val="374151"/>
          <w:spacing w:val="-6"/>
          <w:shd w:fill="F7F7F8" w:color="auto" w:val="clear"/>
        </w:rPr>
        <w:t> </w:t>
      </w:r>
      <w:r>
        <w:rPr>
          <w:color w:val="374151"/>
          <w:shd w:fill="F7F7F8" w:color="auto" w:val="clear"/>
        </w:rPr>
        <w:t>to</w:t>
      </w:r>
      <w:r>
        <w:rPr>
          <w:color w:val="374151"/>
          <w:spacing w:val="-5"/>
          <w:shd w:fill="F7F7F8" w:color="auto" w:val="clear"/>
        </w:rPr>
        <w:t> </w:t>
      </w:r>
      <w:r>
        <w:rPr>
          <w:color w:val="374151"/>
          <w:shd w:fill="F7F7F8" w:color="auto" w:val="clear"/>
        </w:rPr>
        <w:t>the</w:t>
      </w:r>
      <w:r>
        <w:rPr>
          <w:color w:val="374151"/>
          <w:spacing w:val="-6"/>
          <w:shd w:fill="F7F7F8" w:color="auto" w:val="clear"/>
        </w:rPr>
        <w:t> </w:t>
      </w:r>
      <w:r>
        <w:rPr>
          <w:color w:val="374151"/>
          <w:shd w:fill="F7F7F8" w:color="auto" w:val="clear"/>
        </w:rPr>
        <w:t>overall</w:t>
      </w:r>
      <w:r>
        <w:rPr>
          <w:color w:val="374151"/>
          <w:spacing w:val="-5"/>
          <w:shd w:fill="F7F7F8" w:color="auto" w:val="clear"/>
        </w:rPr>
        <w:t> </w:t>
      </w:r>
      <w:r>
        <w:rPr>
          <w:color w:val="374151"/>
          <w:shd w:fill="F7F7F8" w:color="auto" w:val="clear"/>
        </w:rPr>
        <w:t>well-</w:t>
      </w:r>
      <w:r>
        <w:rPr>
          <w:color w:val="374151"/>
        </w:rPr>
        <w:t> </w:t>
      </w:r>
      <w:r>
        <w:rPr>
          <w:color w:val="374151"/>
          <w:shd w:fill="F7F7F8" w:color="auto" w:val="clear"/>
        </w:rPr>
        <w:t>being of individuals and society. Education should encompass topics such as </w:t>
      </w:r>
      <w:r>
        <w:rPr>
          <w:color w:val="374151"/>
        </w:rPr>
        <w:t> </w:t>
      </w:r>
      <w:r>
        <w:rPr>
          <w:color w:val="374151"/>
          <w:shd w:fill="F7F7F8" w:color="auto" w:val="clear"/>
        </w:rPr>
        <w:t>sexual development, anatomy, contraception, sexually transmitted infections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068320" cy="787400"/>
                <wp:effectExtent l="0" t="0" r="0" b="3175"/>
                <wp:docPr id="26" name="Group 26"/>
                <wp:cNvGraphicFramePr>
                  <a:graphicFrameLocks/>
                </wp:cNvGraphicFramePr>
                <a:graphic>
                  <a:graphicData uri="http://schemas.microsoft.com/office/word/2010/wordprocessingGroup">
                    <wpg:wgp>
                      <wpg:cNvPr id="26" name="Group 26"/>
                      <wpg:cNvGrpSpPr/>
                      <wpg:grpSpPr>
                        <a:xfrm>
                          <a:off x="0" y="0"/>
                          <a:ext cx="3068320" cy="787400"/>
                          <a:chExt cx="3068320" cy="787400"/>
                        </a:xfrm>
                      </wpg:grpSpPr>
                      <wps:wsp>
                        <wps:cNvPr id="27" name="Textbox 27"/>
                        <wps:cNvSpPr txBox="1"/>
                        <wps:spPr>
                          <a:xfrm>
                            <a:off x="0" y="393700"/>
                            <a:ext cx="306832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Self-Reflection</w:t>
                              </w:r>
                              <w:r>
                                <w:rPr>
                                  <w:b/>
                                  <w:color w:val="374151"/>
                                  <w:spacing w:val="-4"/>
                                  <w:sz w:val="28"/>
                                </w:rPr>
                                <w:t> </w:t>
                              </w:r>
                              <w:r>
                                <w:rPr>
                                  <w:b/>
                                  <w:color w:val="374151"/>
                                  <w:sz w:val="28"/>
                                </w:rPr>
                                <w:t>and</w:t>
                              </w:r>
                              <w:r>
                                <w:rPr>
                                  <w:b/>
                                  <w:color w:val="374151"/>
                                  <w:spacing w:val="-4"/>
                                  <w:sz w:val="28"/>
                                </w:rPr>
                                <w:t> </w:t>
                              </w:r>
                              <w:r>
                                <w:rPr>
                                  <w:b/>
                                  <w:color w:val="374151"/>
                                  <w:spacing w:val="-2"/>
                                  <w:sz w:val="28"/>
                                </w:rPr>
                                <w:t>Countertransference</w:t>
                              </w:r>
                            </w:p>
                          </w:txbxContent>
                        </wps:txbx>
                        <wps:bodyPr wrap="square" lIns="0" tIns="0" rIns="0" bIns="0" rtlCol="0">
                          <a:noAutofit/>
                        </wps:bodyPr>
                      </wps:wsp>
                      <wps:wsp>
                        <wps:cNvPr id="28" name="Textbox 28"/>
                        <wps:cNvSpPr txBox="1"/>
                        <wps:spPr>
                          <a:xfrm>
                            <a:off x="0" y="0"/>
                            <a:ext cx="2434590" cy="393700"/>
                          </a:xfrm>
                          <a:prstGeom prst="rect">
                            <a:avLst/>
                          </a:prstGeom>
                          <a:solidFill>
                            <a:srgbClr val="F7F7F8"/>
                          </a:solidFill>
                        </wps:spPr>
                        <wps:txbx>
                          <w:txbxContent>
                            <w:p>
                              <w:pPr>
                                <w:spacing w:line="308" w:lineRule="exact" w:before="0"/>
                                <w:ind w:left="0" w:right="0" w:firstLine="0"/>
                                <w:jc w:val="left"/>
                                <w:rPr>
                                  <w:color w:val="000000"/>
                                  <w:sz w:val="28"/>
                                </w:rPr>
                              </w:pPr>
                              <w:r>
                                <w:rPr>
                                  <w:color w:val="374151"/>
                                  <w:sz w:val="28"/>
                                </w:rPr>
                                <w:t>(STIs),</w:t>
                              </w:r>
                              <w:r>
                                <w:rPr>
                                  <w:color w:val="374151"/>
                                  <w:spacing w:val="-5"/>
                                  <w:sz w:val="28"/>
                                </w:rPr>
                                <w:t> </w:t>
                              </w:r>
                              <w:r>
                                <w:rPr>
                                  <w:color w:val="374151"/>
                                  <w:sz w:val="28"/>
                                </w:rPr>
                                <w:t>and</w:t>
                              </w:r>
                              <w:r>
                                <w:rPr>
                                  <w:color w:val="374151"/>
                                  <w:spacing w:val="-2"/>
                                  <w:sz w:val="28"/>
                                </w:rPr>
                                <w:t> </w:t>
                              </w:r>
                              <w:r>
                                <w:rPr>
                                  <w:color w:val="374151"/>
                                  <w:sz w:val="28"/>
                                </w:rPr>
                                <w:t>ethical</w:t>
                              </w:r>
                              <w:r>
                                <w:rPr>
                                  <w:color w:val="374151"/>
                                  <w:spacing w:val="-2"/>
                                  <w:sz w:val="28"/>
                                </w:rPr>
                                <w:t> considerations.</w:t>
                              </w:r>
                            </w:p>
                          </w:txbxContent>
                        </wps:txbx>
                        <wps:bodyPr wrap="square" lIns="0" tIns="0" rIns="0" bIns="0" rtlCol="0">
                          <a:noAutofit/>
                        </wps:bodyPr>
                      </wps:wsp>
                    </wpg:wgp>
                  </a:graphicData>
                </a:graphic>
              </wp:inline>
            </w:drawing>
          </mc:Choice>
          <mc:Fallback>
            <w:pict>
              <v:group style="width:241.6pt;height:62pt;mso-position-horizontal-relative:char;mso-position-vertical-relative:line" id="docshapegroup25" coordorigin="0,0" coordsize="4832,1240">
                <v:shape style="position:absolute;left:0;top:620;width:4832;height:620" type="#_x0000_t202" id="docshape26" filled="true" fillcolor="#f7f7f8" stroked="false">
                  <v:textbox inset="0,0,0,0">
                    <w:txbxContent>
                      <w:p>
                        <w:pPr>
                          <w:spacing w:line="308" w:lineRule="exact" w:before="0"/>
                          <w:ind w:left="0" w:right="0" w:firstLine="0"/>
                          <w:jc w:val="left"/>
                          <w:rPr>
                            <w:b/>
                            <w:color w:val="000000"/>
                            <w:sz w:val="28"/>
                          </w:rPr>
                        </w:pPr>
                        <w:r>
                          <w:rPr>
                            <w:b/>
                            <w:color w:val="374151"/>
                            <w:sz w:val="28"/>
                          </w:rPr>
                          <w:t>Self-Reflection</w:t>
                        </w:r>
                        <w:r>
                          <w:rPr>
                            <w:b/>
                            <w:color w:val="374151"/>
                            <w:spacing w:val="-4"/>
                            <w:sz w:val="28"/>
                          </w:rPr>
                          <w:t> </w:t>
                        </w:r>
                        <w:r>
                          <w:rPr>
                            <w:b/>
                            <w:color w:val="374151"/>
                            <w:sz w:val="28"/>
                          </w:rPr>
                          <w:t>and</w:t>
                        </w:r>
                        <w:r>
                          <w:rPr>
                            <w:b/>
                            <w:color w:val="374151"/>
                            <w:spacing w:val="-4"/>
                            <w:sz w:val="28"/>
                          </w:rPr>
                          <w:t> </w:t>
                        </w:r>
                        <w:r>
                          <w:rPr>
                            <w:b/>
                            <w:color w:val="374151"/>
                            <w:spacing w:val="-2"/>
                            <w:sz w:val="28"/>
                          </w:rPr>
                          <w:t>Countertransference</w:t>
                        </w:r>
                      </w:p>
                    </w:txbxContent>
                  </v:textbox>
                  <v:fill type="solid"/>
                  <w10:wrap type="none"/>
                </v:shape>
                <v:shape style="position:absolute;left:0;top:0;width:3834;height:620" type="#_x0000_t202" id="docshape27" filled="true" fillcolor="#f7f7f8" stroked="false">
                  <v:textbox inset="0,0,0,0">
                    <w:txbxContent>
                      <w:p>
                        <w:pPr>
                          <w:spacing w:line="308" w:lineRule="exact" w:before="0"/>
                          <w:ind w:left="0" w:right="0" w:firstLine="0"/>
                          <w:jc w:val="left"/>
                          <w:rPr>
                            <w:color w:val="000000"/>
                            <w:sz w:val="28"/>
                          </w:rPr>
                        </w:pPr>
                        <w:r>
                          <w:rPr>
                            <w:color w:val="374151"/>
                            <w:sz w:val="28"/>
                          </w:rPr>
                          <w:t>(STIs),</w:t>
                        </w:r>
                        <w:r>
                          <w:rPr>
                            <w:color w:val="374151"/>
                            <w:spacing w:val="-5"/>
                            <w:sz w:val="28"/>
                          </w:rPr>
                          <w:t> </w:t>
                        </w:r>
                        <w:r>
                          <w:rPr>
                            <w:color w:val="374151"/>
                            <w:sz w:val="28"/>
                          </w:rPr>
                          <w:t>and</w:t>
                        </w:r>
                        <w:r>
                          <w:rPr>
                            <w:color w:val="374151"/>
                            <w:spacing w:val="-2"/>
                            <w:sz w:val="28"/>
                          </w:rPr>
                          <w:t> </w:t>
                        </w:r>
                        <w:r>
                          <w:rPr>
                            <w:color w:val="374151"/>
                            <w:sz w:val="28"/>
                          </w:rPr>
                          <w:t>ethical</w:t>
                        </w:r>
                        <w:r>
                          <w:rPr>
                            <w:color w:val="374151"/>
                            <w:spacing w:val="-2"/>
                            <w:sz w:val="28"/>
                          </w:rPr>
                          <w:t> considerations.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Working</w:t>
      </w:r>
      <w:r>
        <w:rPr>
          <w:color w:val="374151"/>
          <w:spacing w:val="-6"/>
          <w:shd w:fill="F7F7F8" w:color="auto" w:val="clear"/>
        </w:rPr>
        <w:t> </w:t>
      </w:r>
      <w:r>
        <w:rPr>
          <w:color w:val="374151"/>
          <w:shd w:fill="F7F7F8" w:color="auto" w:val="clear"/>
        </w:rPr>
        <w:t>with</w:t>
      </w:r>
      <w:r>
        <w:rPr>
          <w:color w:val="374151"/>
          <w:spacing w:val="-3"/>
          <w:shd w:fill="F7F7F8" w:color="auto" w:val="clear"/>
        </w:rPr>
        <w:t> </w:t>
      </w:r>
      <w:r>
        <w:rPr>
          <w:color w:val="374151"/>
          <w:shd w:fill="F7F7F8" w:color="auto" w:val="clear"/>
        </w:rPr>
        <w:t>clients</w:t>
      </w:r>
      <w:r>
        <w:rPr>
          <w:color w:val="374151"/>
          <w:spacing w:val="-3"/>
          <w:shd w:fill="F7F7F8" w:color="auto" w:val="clear"/>
        </w:rPr>
        <w:t> </w:t>
      </w:r>
      <w:r>
        <w:rPr>
          <w:color w:val="374151"/>
          <w:shd w:fill="F7F7F8" w:color="auto" w:val="clear"/>
        </w:rPr>
        <w:t>on</w:t>
      </w:r>
      <w:r>
        <w:rPr>
          <w:color w:val="374151"/>
          <w:spacing w:val="-3"/>
          <w:shd w:fill="F7F7F8" w:color="auto" w:val="clear"/>
        </w:rPr>
        <w:t> </w:t>
      </w:r>
      <w:r>
        <w:rPr>
          <w:color w:val="374151"/>
          <w:shd w:fill="F7F7F8" w:color="auto" w:val="clear"/>
        </w:rPr>
        <w:t>issues</w:t>
      </w:r>
      <w:r>
        <w:rPr>
          <w:color w:val="374151"/>
          <w:spacing w:val="-3"/>
          <w:shd w:fill="F7F7F8" w:color="auto" w:val="clear"/>
        </w:rPr>
        <w:t> </w:t>
      </w:r>
      <w:r>
        <w:rPr>
          <w:color w:val="374151"/>
          <w:shd w:fill="F7F7F8" w:color="auto" w:val="clear"/>
        </w:rPr>
        <w:t>related</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human</w:t>
      </w:r>
      <w:r>
        <w:rPr>
          <w:color w:val="374151"/>
          <w:spacing w:val="-3"/>
          <w:shd w:fill="F7F7F8" w:color="auto" w:val="clear"/>
        </w:rPr>
        <w:t> </w:t>
      </w:r>
      <w:r>
        <w:rPr>
          <w:color w:val="374151"/>
          <w:shd w:fill="F7F7F8" w:color="auto" w:val="clear"/>
        </w:rPr>
        <w:t>sexuality</w:t>
      </w:r>
      <w:r>
        <w:rPr>
          <w:color w:val="374151"/>
          <w:spacing w:val="-3"/>
          <w:shd w:fill="F7F7F8" w:color="auto" w:val="clear"/>
        </w:rPr>
        <w:t> </w:t>
      </w:r>
      <w:r>
        <w:rPr>
          <w:color w:val="374151"/>
          <w:shd w:fill="F7F7F8" w:color="auto" w:val="clear"/>
        </w:rPr>
        <w:t>may</w:t>
      </w:r>
      <w:r>
        <w:rPr>
          <w:color w:val="374151"/>
          <w:spacing w:val="-3"/>
          <w:shd w:fill="F7F7F8" w:color="auto" w:val="clear"/>
        </w:rPr>
        <w:t> </w:t>
      </w:r>
      <w:r>
        <w:rPr>
          <w:color w:val="374151"/>
          <w:shd w:fill="F7F7F8" w:color="auto" w:val="clear"/>
        </w:rPr>
        <w:t>evoke</w:t>
      </w:r>
      <w:r>
        <w:rPr>
          <w:color w:val="374151"/>
          <w:spacing w:val="-4"/>
          <w:shd w:fill="F7F7F8" w:color="auto" w:val="clear"/>
        </w:rPr>
        <w:t> </w:t>
      </w:r>
      <w:r>
        <w:rPr>
          <w:color w:val="374151"/>
          <w:spacing w:val="-2"/>
          <w:shd w:fill="F7F7F8" w:color="auto" w:val="clear"/>
        </w:rPr>
        <w:t>personal</w:t>
      </w:r>
      <w:r>
        <w:rPr>
          <w:color w:val="374151"/>
          <w:spacing w:val="40"/>
          <w:shd w:fill="F7F7F8" w:color="auto" w:val="clear"/>
        </w:rPr>
        <w:t> </w:t>
      </w:r>
    </w:p>
    <w:p>
      <w:pPr>
        <w:pStyle w:val="BodyText"/>
        <w:spacing w:after="7"/>
        <w:ind w:left="280"/>
      </w:pPr>
      <w:r>
        <w:rPr>
          <w:color w:val="374151"/>
          <w:shd w:fill="F7F7F8" w:color="auto" w:val="clear"/>
        </w:rPr>
        <w:t>biases,</w:t>
      </w:r>
      <w:r>
        <w:rPr>
          <w:color w:val="374151"/>
          <w:spacing w:val="-4"/>
          <w:shd w:fill="F7F7F8" w:color="auto" w:val="clear"/>
        </w:rPr>
        <w:t> </w:t>
      </w:r>
      <w:r>
        <w:rPr>
          <w:color w:val="374151"/>
          <w:shd w:fill="F7F7F8" w:color="auto" w:val="clear"/>
        </w:rPr>
        <w:t>discomfort,</w:t>
      </w:r>
      <w:r>
        <w:rPr>
          <w:color w:val="374151"/>
          <w:spacing w:val="-4"/>
          <w:shd w:fill="F7F7F8" w:color="auto" w:val="clear"/>
        </w:rPr>
        <w:t> </w:t>
      </w:r>
      <w:r>
        <w:rPr>
          <w:color w:val="374151"/>
          <w:shd w:fill="F7F7F8" w:color="auto" w:val="clear"/>
        </w:rPr>
        <w:t>or</w:t>
      </w:r>
      <w:r>
        <w:rPr>
          <w:color w:val="374151"/>
          <w:spacing w:val="-4"/>
          <w:shd w:fill="F7F7F8" w:color="auto" w:val="clear"/>
        </w:rPr>
        <w:t> </w:t>
      </w:r>
      <w:r>
        <w:rPr>
          <w:color w:val="374151"/>
          <w:shd w:fill="F7F7F8" w:color="auto" w:val="clear"/>
        </w:rPr>
        <w:t>countertransference</w:t>
      </w:r>
      <w:r>
        <w:rPr>
          <w:color w:val="374151"/>
          <w:spacing w:val="-5"/>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It</w:t>
      </w:r>
      <w:r>
        <w:rPr>
          <w:color w:val="374151"/>
          <w:spacing w:val="-4"/>
          <w:shd w:fill="F7F7F8" w:color="auto" w:val="clear"/>
        </w:rPr>
        <w:t> </w:t>
      </w:r>
      <w:r>
        <w:rPr>
          <w:color w:val="374151"/>
          <w:shd w:fill="F7F7F8" w:color="auto" w:val="clear"/>
        </w:rPr>
        <w:t>is</w:t>
      </w:r>
      <w:r>
        <w:rPr>
          <w:color w:val="374151"/>
          <w:spacing w:val="-5"/>
          <w:shd w:fill="F7F7F8" w:color="auto" w:val="clear"/>
        </w:rPr>
        <w:t> </w:t>
      </w:r>
      <w:r>
        <w:rPr>
          <w:color w:val="374151"/>
          <w:spacing w:val="-5"/>
        </w:rPr>
        <w:t> </w:t>
      </w:r>
      <w:r>
        <w:rPr>
          <w:color w:val="374151"/>
          <w:shd w:fill="F7F7F8" w:color="auto" w:val="clear"/>
        </w:rPr>
        <w:t>crucial for professionals to engage in self-reflection, ongoing education, and </w:t>
      </w:r>
      <w:r>
        <w:rPr>
          <w:color w:val="374151"/>
        </w:rPr>
        <w:t> </w:t>
      </w:r>
      <w:r>
        <w:rPr>
          <w:color w:val="374151"/>
          <w:shd w:fill="F7F7F8" w:color="auto" w:val="clear"/>
        </w:rPr>
        <w:t>supervision to address any potential biases and provide unbiased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895600" cy="787400"/>
                <wp:effectExtent l="0" t="0" r="0" b="3175"/>
                <wp:docPr id="29" name="Group 29"/>
                <wp:cNvGraphicFramePr>
                  <a:graphicFrameLocks/>
                </wp:cNvGraphicFramePr>
                <a:graphic>
                  <a:graphicData uri="http://schemas.microsoft.com/office/word/2010/wordprocessingGroup">
                    <wpg:wgp>
                      <wpg:cNvPr id="29" name="Group 29"/>
                      <wpg:cNvGrpSpPr/>
                      <wpg:grpSpPr>
                        <a:xfrm>
                          <a:off x="0" y="0"/>
                          <a:ext cx="2895600" cy="787400"/>
                          <a:chExt cx="2895600" cy="787400"/>
                        </a:xfrm>
                      </wpg:grpSpPr>
                      <wps:wsp>
                        <wps:cNvPr id="30" name="Textbox 30"/>
                        <wps:cNvSpPr txBox="1"/>
                        <wps:spPr>
                          <a:xfrm>
                            <a:off x="0" y="393700"/>
                            <a:ext cx="289560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Addressing</w:t>
                              </w:r>
                              <w:r>
                                <w:rPr>
                                  <w:b/>
                                  <w:color w:val="374151"/>
                                  <w:spacing w:val="-17"/>
                                  <w:sz w:val="28"/>
                                </w:rPr>
                                <w:t> </w:t>
                              </w:r>
                              <w:r>
                                <w:rPr>
                                  <w:b/>
                                  <w:color w:val="374151"/>
                                  <w:sz w:val="28"/>
                                </w:rPr>
                                <w:t>Sexual</w:t>
                              </w:r>
                              <w:r>
                                <w:rPr>
                                  <w:b/>
                                  <w:color w:val="374151"/>
                                  <w:spacing w:val="-14"/>
                                  <w:sz w:val="28"/>
                                </w:rPr>
                                <w:t> </w:t>
                              </w:r>
                              <w:r>
                                <w:rPr>
                                  <w:b/>
                                  <w:color w:val="374151"/>
                                  <w:sz w:val="28"/>
                                </w:rPr>
                                <w:t>Trauma</w:t>
                              </w:r>
                              <w:r>
                                <w:rPr>
                                  <w:b/>
                                  <w:color w:val="374151"/>
                                  <w:spacing w:val="-9"/>
                                  <w:sz w:val="28"/>
                                </w:rPr>
                                <w:t> </w:t>
                              </w:r>
                              <w:r>
                                <w:rPr>
                                  <w:b/>
                                  <w:color w:val="374151"/>
                                  <w:sz w:val="28"/>
                                </w:rPr>
                                <w:t>and</w:t>
                              </w:r>
                              <w:r>
                                <w:rPr>
                                  <w:b/>
                                  <w:color w:val="374151"/>
                                  <w:spacing w:val="-17"/>
                                  <w:sz w:val="28"/>
                                </w:rPr>
                                <w:t> </w:t>
                              </w:r>
                              <w:r>
                                <w:rPr>
                                  <w:b/>
                                  <w:color w:val="374151"/>
                                  <w:spacing w:val="-2"/>
                                  <w:sz w:val="28"/>
                                </w:rPr>
                                <w:t>Abuse</w:t>
                              </w:r>
                            </w:p>
                          </w:txbxContent>
                        </wps:txbx>
                        <wps:bodyPr wrap="square" lIns="0" tIns="0" rIns="0" bIns="0" rtlCol="0">
                          <a:noAutofit/>
                        </wps:bodyPr>
                      </wps:wsp>
                      <wps:wsp>
                        <wps:cNvPr id="31" name="Textbox 31"/>
                        <wps:cNvSpPr txBox="1"/>
                        <wps:spPr>
                          <a:xfrm>
                            <a:off x="0" y="0"/>
                            <a:ext cx="113601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supportive</w:t>
                              </w:r>
                              <w:r>
                                <w:rPr>
                                  <w:color w:val="374151"/>
                                  <w:spacing w:val="-3"/>
                                  <w:sz w:val="28"/>
                                </w:rPr>
                                <w:t> </w:t>
                              </w:r>
                              <w:r>
                                <w:rPr>
                                  <w:color w:val="374151"/>
                                  <w:spacing w:val="-2"/>
                                  <w:sz w:val="28"/>
                                </w:rPr>
                                <w:t>care.</w:t>
                              </w:r>
                            </w:p>
                          </w:txbxContent>
                        </wps:txbx>
                        <wps:bodyPr wrap="square" lIns="0" tIns="0" rIns="0" bIns="0" rtlCol="0">
                          <a:noAutofit/>
                        </wps:bodyPr>
                      </wps:wsp>
                    </wpg:wgp>
                  </a:graphicData>
                </a:graphic>
              </wp:inline>
            </w:drawing>
          </mc:Choice>
          <mc:Fallback>
            <w:pict>
              <v:group style="width:228pt;height:62pt;mso-position-horizontal-relative:char;mso-position-vertical-relative:line" id="docshapegroup28" coordorigin="0,0" coordsize="4560,1240">
                <v:shape style="position:absolute;left:0;top:620;width:4560;height:620" type="#_x0000_t202" id="docshape29" filled="true" fillcolor="#f7f7f8" stroked="false">
                  <v:textbox inset="0,0,0,0">
                    <w:txbxContent>
                      <w:p>
                        <w:pPr>
                          <w:spacing w:line="308" w:lineRule="exact" w:before="0"/>
                          <w:ind w:left="0" w:right="-15" w:firstLine="0"/>
                          <w:jc w:val="left"/>
                          <w:rPr>
                            <w:b/>
                            <w:color w:val="000000"/>
                            <w:sz w:val="28"/>
                          </w:rPr>
                        </w:pPr>
                        <w:r>
                          <w:rPr>
                            <w:b/>
                            <w:color w:val="374151"/>
                            <w:sz w:val="28"/>
                          </w:rPr>
                          <w:t>Addressing</w:t>
                        </w:r>
                        <w:r>
                          <w:rPr>
                            <w:b/>
                            <w:color w:val="374151"/>
                            <w:spacing w:val="-17"/>
                            <w:sz w:val="28"/>
                          </w:rPr>
                          <w:t> </w:t>
                        </w:r>
                        <w:r>
                          <w:rPr>
                            <w:b/>
                            <w:color w:val="374151"/>
                            <w:sz w:val="28"/>
                          </w:rPr>
                          <w:t>Sexual</w:t>
                        </w:r>
                        <w:r>
                          <w:rPr>
                            <w:b/>
                            <w:color w:val="374151"/>
                            <w:spacing w:val="-14"/>
                            <w:sz w:val="28"/>
                          </w:rPr>
                          <w:t> </w:t>
                        </w:r>
                        <w:r>
                          <w:rPr>
                            <w:b/>
                            <w:color w:val="374151"/>
                            <w:sz w:val="28"/>
                          </w:rPr>
                          <w:t>Trauma</w:t>
                        </w:r>
                        <w:r>
                          <w:rPr>
                            <w:b/>
                            <w:color w:val="374151"/>
                            <w:spacing w:val="-9"/>
                            <w:sz w:val="28"/>
                          </w:rPr>
                          <w:t> </w:t>
                        </w:r>
                        <w:r>
                          <w:rPr>
                            <w:b/>
                            <w:color w:val="374151"/>
                            <w:sz w:val="28"/>
                          </w:rPr>
                          <w:t>and</w:t>
                        </w:r>
                        <w:r>
                          <w:rPr>
                            <w:b/>
                            <w:color w:val="374151"/>
                            <w:spacing w:val="-17"/>
                            <w:sz w:val="28"/>
                          </w:rPr>
                          <w:t> </w:t>
                        </w:r>
                        <w:r>
                          <w:rPr>
                            <w:b/>
                            <w:color w:val="374151"/>
                            <w:spacing w:val="-2"/>
                            <w:sz w:val="28"/>
                          </w:rPr>
                          <w:t>Abuse</w:t>
                        </w:r>
                      </w:p>
                    </w:txbxContent>
                  </v:textbox>
                  <v:fill type="solid"/>
                  <w10:wrap type="none"/>
                </v:shape>
                <v:shape style="position:absolute;left:0;top:0;width:1789;height:620" type="#_x0000_t202" id="docshape30" filled="true" fillcolor="#f7f7f8" stroked="false">
                  <v:textbox inset="0,0,0,0">
                    <w:txbxContent>
                      <w:p>
                        <w:pPr>
                          <w:spacing w:line="308" w:lineRule="exact" w:before="0"/>
                          <w:ind w:left="0" w:right="-15" w:firstLine="0"/>
                          <w:jc w:val="left"/>
                          <w:rPr>
                            <w:color w:val="000000"/>
                            <w:sz w:val="28"/>
                          </w:rPr>
                        </w:pPr>
                        <w:r>
                          <w:rPr>
                            <w:color w:val="374151"/>
                            <w:sz w:val="28"/>
                          </w:rPr>
                          <w:t>supportive</w:t>
                        </w:r>
                        <w:r>
                          <w:rPr>
                            <w:color w:val="374151"/>
                            <w:spacing w:val="-3"/>
                            <w:sz w:val="28"/>
                          </w:rPr>
                          <w:t> </w:t>
                        </w:r>
                        <w:r>
                          <w:rPr>
                            <w:color w:val="374151"/>
                            <w:spacing w:val="-2"/>
                            <w:sz w:val="28"/>
                          </w:rPr>
                          <w:t>care.</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Sexual</w:t>
      </w:r>
      <w:r>
        <w:rPr>
          <w:color w:val="374151"/>
          <w:spacing w:val="-4"/>
          <w:shd w:fill="F7F7F8" w:color="auto" w:val="clear"/>
        </w:rPr>
        <w:t> </w:t>
      </w:r>
      <w:r>
        <w:rPr>
          <w:color w:val="374151"/>
          <w:shd w:fill="F7F7F8" w:color="auto" w:val="clear"/>
        </w:rPr>
        <w:t>trauma</w:t>
      </w:r>
      <w:r>
        <w:rPr>
          <w:color w:val="374151"/>
          <w:spacing w:val="-3"/>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abuse</w:t>
      </w:r>
      <w:r>
        <w:rPr>
          <w:color w:val="374151"/>
          <w:spacing w:val="-3"/>
          <w:shd w:fill="F7F7F8" w:color="auto" w:val="clear"/>
        </w:rPr>
        <w:t> </w:t>
      </w:r>
      <w:r>
        <w:rPr>
          <w:color w:val="374151"/>
          <w:shd w:fill="F7F7F8" w:color="auto" w:val="clear"/>
        </w:rPr>
        <w:t>are</w:t>
      </w:r>
      <w:r>
        <w:rPr>
          <w:color w:val="374151"/>
          <w:spacing w:val="-3"/>
          <w:shd w:fill="F7F7F8" w:color="auto" w:val="clear"/>
        </w:rPr>
        <w:t> </w:t>
      </w:r>
      <w:r>
        <w:rPr>
          <w:color w:val="374151"/>
          <w:shd w:fill="F7F7F8" w:color="auto" w:val="clear"/>
        </w:rPr>
        <w:t>unfortunately</w:t>
      </w:r>
      <w:r>
        <w:rPr>
          <w:color w:val="374151"/>
          <w:spacing w:val="-1"/>
          <w:shd w:fill="F7F7F8" w:color="auto" w:val="clear"/>
        </w:rPr>
        <w:t> </w:t>
      </w:r>
      <w:r>
        <w:rPr>
          <w:color w:val="374151"/>
          <w:shd w:fill="F7F7F8" w:color="auto" w:val="clear"/>
        </w:rPr>
        <w:t>prevalent</w:t>
      </w:r>
      <w:r>
        <w:rPr>
          <w:color w:val="374151"/>
          <w:spacing w:val="-2"/>
          <w:shd w:fill="F7F7F8" w:color="auto" w:val="clear"/>
        </w:rPr>
        <w:t> </w:t>
      </w:r>
      <w:r>
        <w:rPr>
          <w:color w:val="374151"/>
          <w:shd w:fill="F7F7F8" w:color="auto" w:val="clear"/>
        </w:rPr>
        <w:t>issues</w:t>
      </w:r>
      <w:r>
        <w:rPr>
          <w:color w:val="374151"/>
          <w:spacing w:val="-2"/>
          <w:shd w:fill="F7F7F8" w:color="auto" w:val="clear"/>
        </w:rPr>
        <w:t> </w:t>
      </w:r>
      <w:r>
        <w:rPr>
          <w:color w:val="374151"/>
          <w:shd w:fill="F7F7F8" w:color="auto" w:val="clear"/>
        </w:rPr>
        <w:t>that</w:t>
      </w:r>
      <w:r>
        <w:rPr>
          <w:color w:val="374151"/>
          <w:spacing w:val="-1"/>
          <w:shd w:fill="F7F7F8" w:color="auto" w:val="clear"/>
        </w:rPr>
        <w:t> </w:t>
      </w:r>
      <w:r>
        <w:rPr>
          <w:color w:val="374151"/>
          <w:spacing w:val="-2"/>
          <w:shd w:fill="F7F7F8" w:color="auto" w:val="clear"/>
        </w:rPr>
        <w:t>licensed</w:t>
      </w:r>
      <w:r>
        <w:rPr>
          <w:color w:val="374151"/>
          <w:spacing w:val="40"/>
          <w:shd w:fill="F7F7F8" w:color="auto" w:val="clear"/>
        </w:rPr>
        <w:t> </w:t>
      </w:r>
    </w:p>
    <w:p>
      <w:pPr>
        <w:pStyle w:val="BodyText"/>
        <w:ind w:left="280" w:right="502"/>
      </w:pPr>
      <w:r>
        <w:rPr>
          <w:color w:val="374151"/>
          <w:shd w:fill="F7F7F8" w:color="auto" w:val="clear"/>
        </w:rPr>
        <w:t>mental health professionals may encounter in their practice. Sensitivity, </w:t>
      </w:r>
      <w:r>
        <w:rPr>
          <w:color w:val="374151"/>
        </w:rPr>
        <w:t> </w:t>
      </w:r>
      <w:r>
        <w:rPr>
          <w:color w:val="374151"/>
          <w:shd w:fill="F7F7F8" w:color="auto" w:val="clear"/>
        </w:rPr>
        <w:t>empathy, and trauma-informed care are essential when working with </w:t>
      </w:r>
      <w:r>
        <w:rPr>
          <w:color w:val="374151"/>
        </w:rPr>
        <w:t> </w:t>
      </w:r>
      <w:r>
        <w:rPr>
          <w:color w:val="374151"/>
          <w:shd w:fill="F7F7F8" w:color="auto" w:val="clear"/>
        </w:rPr>
        <w:t>individuals who have experienced sexual trauma. It is crucial to provide a safe</w:t>
      </w:r>
      <w:r>
        <w:rPr>
          <w:color w:val="374151"/>
          <w:spacing w:val="40"/>
          <w:shd w:fill="F7F7F8" w:color="auto" w:val="clear"/>
        </w:rPr>
        <w:t> </w:t>
      </w:r>
    </w:p>
    <w:p>
      <w:pPr>
        <w:spacing w:after="0"/>
        <w:sectPr>
          <w:pgSz w:w="12240" w:h="15840"/>
          <w:pgMar w:header="0" w:footer="765" w:top="134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594496">
                <wp:simplePos x="0" y="0"/>
                <wp:positionH relativeFrom="page">
                  <wp:posOffset>1066800</wp:posOffset>
                </wp:positionH>
                <wp:positionV relativeFrom="paragraph">
                  <wp:posOffset>251357</wp:posOffset>
                </wp:positionV>
                <wp:extent cx="3830320" cy="393700"/>
                <wp:effectExtent l="0" t="0" r="0" b="0"/>
                <wp:wrapTopAndBottom/>
                <wp:docPr id="32" name="Textbox 32"/>
                <wp:cNvGraphicFramePr>
                  <a:graphicFrameLocks/>
                </wp:cNvGraphicFramePr>
                <a:graphic>
                  <a:graphicData uri="http://schemas.microsoft.com/office/word/2010/wordprocessingShape">
                    <wps:wsp>
                      <wps:cNvPr id="32" name="Textbox 32"/>
                      <wps:cNvSpPr txBox="1"/>
                      <wps:spPr>
                        <a:xfrm>
                          <a:off x="0" y="0"/>
                          <a:ext cx="3830320" cy="393700"/>
                        </a:xfrm>
                        <a:prstGeom prst="rect">
                          <a:avLst/>
                        </a:prstGeom>
                        <a:solidFill>
                          <a:srgbClr val="F7F7F8"/>
                        </a:solidFill>
                      </wps:spPr>
                      <wps:txbx>
                        <w:txbxContent>
                          <w:p>
                            <w:pPr>
                              <w:pStyle w:val="BodyText"/>
                              <w:spacing w:line="308" w:lineRule="exact"/>
                              <w:ind w:right="-15"/>
                              <w:rPr>
                                <w:color w:val="000000"/>
                              </w:rPr>
                            </w:pPr>
                            <w:r>
                              <w:rPr>
                                <w:color w:val="374151"/>
                              </w:rPr>
                              <w:t>and</w:t>
                            </w:r>
                            <w:r>
                              <w:rPr>
                                <w:color w:val="374151"/>
                                <w:spacing w:val="-4"/>
                              </w:rPr>
                              <w:t> </w:t>
                            </w:r>
                            <w:r>
                              <w:rPr>
                                <w:color w:val="374151"/>
                              </w:rPr>
                              <w:t>rebuild</w:t>
                            </w:r>
                            <w:r>
                              <w:rPr>
                                <w:color w:val="374151"/>
                                <w:spacing w:val="-1"/>
                              </w:rPr>
                              <w:t> </w:t>
                            </w:r>
                            <w:r>
                              <w:rPr>
                                <w:color w:val="374151"/>
                              </w:rPr>
                              <w:t>a</w:t>
                            </w:r>
                            <w:r>
                              <w:rPr>
                                <w:color w:val="374151"/>
                                <w:spacing w:val="-2"/>
                              </w:rPr>
                              <w:t> </w:t>
                            </w:r>
                            <w:r>
                              <w:rPr>
                                <w:color w:val="374151"/>
                              </w:rPr>
                              <w:t>healthy</w:t>
                            </w:r>
                            <w:r>
                              <w:rPr>
                                <w:color w:val="374151"/>
                                <w:spacing w:val="-2"/>
                              </w:rPr>
                              <w:t> </w:t>
                            </w:r>
                            <w:r>
                              <w:rPr>
                                <w:color w:val="374151"/>
                              </w:rPr>
                              <w:t>relationship</w:t>
                            </w:r>
                            <w:r>
                              <w:rPr>
                                <w:color w:val="374151"/>
                                <w:spacing w:val="-1"/>
                              </w:rPr>
                              <w:t> </w:t>
                            </w:r>
                            <w:r>
                              <w:rPr>
                                <w:color w:val="374151"/>
                              </w:rPr>
                              <w:t>with</w:t>
                            </w:r>
                            <w:r>
                              <w:rPr>
                                <w:color w:val="374151"/>
                                <w:spacing w:val="-1"/>
                              </w:rPr>
                              <w:t> </w:t>
                            </w:r>
                            <w:r>
                              <w:rPr>
                                <w:color w:val="374151"/>
                              </w:rPr>
                              <w:t>their</w:t>
                            </w:r>
                            <w:r>
                              <w:rPr>
                                <w:color w:val="374151"/>
                                <w:spacing w:val="-1"/>
                              </w:rPr>
                              <w:t> </w:t>
                            </w:r>
                            <w:r>
                              <w:rPr>
                                <w:color w:val="374151"/>
                                <w:spacing w:val="-2"/>
                              </w:rPr>
                              <w:t>sexuality.</w:t>
                            </w:r>
                          </w:p>
                        </w:txbxContent>
                      </wps:txbx>
                      <wps:bodyPr wrap="square" lIns="0" tIns="0" rIns="0" bIns="0" rtlCol="0">
                        <a:noAutofit/>
                      </wps:bodyPr>
                    </wps:wsp>
                  </a:graphicData>
                </a:graphic>
              </wp:anchor>
            </w:drawing>
          </mc:Choice>
          <mc:Fallback>
            <w:pict>
              <v:shape style="position:absolute;margin-left:84pt;margin-top:19.791931pt;width:301.6pt;height:31pt;mso-position-horizontal-relative:page;mso-position-vertical-relative:paragraph;z-index:-15721984;mso-wrap-distance-left:0;mso-wrap-distance-right:0" type="#_x0000_t202" id="docshape31" filled="true" fillcolor="#f7f7f8" stroked="false">
                <v:textbox inset="0,0,0,0">
                  <w:txbxContent>
                    <w:p>
                      <w:pPr>
                        <w:pStyle w:val="BodyText"/>
                        <w:spacing w:line="308" w:lineRule="exact"/>
                        <w:ind w:right="-15"/>
                        <w:rPr>
                          <w:color w:val="000000"/>
                        </w:rPr>
                      </w:pPr>
                      <w:r>
                        <w:rPr>
                          <w:color w:val="374151"/>
                        </w:rPr>
                        <w:t>and</w:t>
                      </w:r>
                      <w:r>
                        <w:rPr>
                          <w:color w:val="374151"/>
                          <w:spacing w:val="-4"/>
                        </w:rPr>
                        <w:t> </w:t>
                      </w:r>
                      <w:r>
                        <w:rPr>
                          <w:color w:val="374151"/>
                        </w:rPr>
                        <w:t>rebuild</w:t>
                      </w:r>
                      <w:r>
                        <w:rPr>
                          <w:color w:val="374151"/>
                          <w:spacing w:val="-1"/>
                        </w:rPr>
                        <w:t> </w:t>
                      </w:r>
                      <w:r>
                        <w:rPr>
                          <w:color w:val="374151"/>
                        </w:rPr>
                        <w:t>a</w:t>
                      </w:r>
                      <w:r>
                        <w:rPr>
                          <w:color w:val="374151"/>
                          <w:spacing w:val="-2"/>
                        </w:rPr>
                        <w:t> </w:t>
                      </w:r>
                      <w:r>
                        <w:rPr>
                          <w:color w:val="374151"/>
                        </w:rPr>
                        <w:t>healthy</w:t>
                      </w:r>
                      <w:r>
                        <w:rPr>
                          <w:color w:val="374151"/>
                          <w:spacing w:val="-2"/>
                        </w:rPr>
                        <w:t> </w:t>
                      </w:r>
                      <w:r>
                        <w:rPr>
                          <w:color w:val="374151"/>
                        </w:rPr>
                        <w:t>relationship</w:t>
                      </w:r>
                      <w:r>
                        <w:rPr>
                          <w:color w:val="374151"/>
                          <w:spacing w:val="-1"/>
                        </w:rPr>
                        <w:t> </w:t>
                      </w:r>
                      <w:r>
                        <w:rPr>
                          <w:color w:val="374151"/>
                        </w:rPr>
                        <w:t>with</w:t>
                      </w:r>
                      <w:r>
                        <w:rPr>
                          <w:color w:val="374151"/>
                          <w:spacing w:val="-1"/>
                        </w:rPr>
                        <w:t> </w:t>
                      </w:r>
                      <w:r>
                        <w:rPr>
                          <w:color w:val="374151"/>
                        </w:rPr>
                        <w:t>their</w:t>
                      </w:r>
                      <w:r>
                        <w:rPr>
                          <w:color w:val="374151"/>
                          <w:spacing w:val="-1"/>
                        </w:rPr>
                        <w:t> </w:t>
                      </w:r>
                      <w:r>
                        <w:rPr>
                          <w:color w:val="374151"/>
                          <w:spacing w:val="-2"/>
                        </w:rPr>
                        <w:t>sexuality.</w:t>
                      </w:r>
                    </w:p>
                  </w:txbxContent>
                </v:textbox>
                <v:fill type="solid"/>
                <w10:wrap type="topAndBottom"/>
              </v:shape>
            </w:pict>
          </mc:Fallback>
        </mc:AlternateContent>
      </w:r>
      <w:r>
        <w:rPr>
          <w:color w:val="374151"/>
          <w:shd w:fill="F7F7F8" w:color="auto" w:val="clear"/>
        </w:rPr>
        <w:t>and</w:t>
      </w:r>
      <w:r>
        <w:rPr>
          <w:color w:val="374151"/>
          <w:spacing w:val="-2"/>
          <w:shd w:fill="F7F7F8" w:color="auto" w:val="clear"/>
        </w:rPr>
        <w:t> </w:t>
      </w:r>
      <w:r>
        <w:rPr>
          <w:color w:val="374151"/>
          <w:shd w:fill="F7F7F8" w:color="auto" w:val="clear"/>
        </w:rPr>
        <w:t>supportive</w:t>
      </w:r>
      <w:r>
        <w:rPr>
          <w:color w:val="374151"/>
          <w:spacing w:val="-3"/>
          <w:shd w:fill="F7F7F8" w:color="auto" w:val="clear"/>
        </w:rPr>
        <w:t> </w:t>
      </w:r>
      <w:r>
        <w:rPr>
          <w:color w:val="374151"/>
          <w:shd w:fill="F7F7F8" w:color="auto" w:val="clear"/>
        </w:rPr>
        <w:t>environment</w:t>
      </w:r>
      <w:r>
        <w:rPr>
          <w:color w:val="374151"/>
          <w:spacing w:val="-2"/>
          <w:shd w:fill="F7F7F8" w:color="auto" w:val="clear"/>
        </w:rPr>
        <w:t> </w:t>
      </w:r>
      <w:r>
        <w:rPr>
          <w:color w:val="374151"/>
          <w:shd w:fill="F7F7F8" w:color="auto" w:val="clear"/>
        </w:rPr>
        <w:t>where</w:t>
      </w:r>
      <w:r>
        <w:rPr>
          <w:color w:val="374151"/>
          <w:spacing w:val="-3"/>
          <w:shd w:fill="F7F7F8" w:color="auto" w:val="clear"/>
        </w:rPr>
        <w:t> </w:t>
      </w:r>
      <w:r>
        <w:rPr>
          <w:color w:val="374151"/>
          <w:shd w:fill="F7F7F8" w:color="auto" w:val="clear"/>
        </w:rPr>
        <w:t>clients</w:t>
      </w:r>
      <w:r>
        <w:rPr>
          <w:color w:val="374151"/>
          <w:spacing w:val="-1"/>
          <w:shd w:fill="F7F7F8" w:color="auto" w:val="clear"/>
        </w:rPr>
        <w:t> </w:t>
      </w:r>
      <w:r>
        <w:rPr>
          <w:color w:val="374151"/>
          <w:shd w:fill="F7F7F8" w:color="auto" w:val="clear"/>
        </w:rPr>
        <w:t>can</w:t>
      </w:r>
      <w:r>
        <w:rPr>
          <w:color w:val="374151"/>
          <w:spacing w:val="-2"/>
          <w:shd w:fill="F7F7F8" w:color="auto" w:val="clear"/>
        </w:rPr>
        <w:t> </w:t>
      </w:r>
      <w:r>
        <w:rPr>
          <w:color w:val="374151"/>
          <w:shd w:fill="F7F7F8" w:color="auto" w:val="clear"/>
        </w:rPr>
        <w:t>process</w:t>
      </w:r>
      <w:r>
        <w:rPr>
          <w:color w:val="374151"/>
          <w:spacing w:val="-2"/>
          <w:shd w:fill="F7F7F8" w:color="auto" w:val="clear"/>
        </w:rPr>
        <w:t> </w:t>
      </w:r>
      <w:r>
        <w:rPr>
          <w:color w:val="374151"/>
          <w:shd w:fill="F7F7F8" w:color="auto" w:val="clear"/>
        </w:rPr>
        <w:t>their</w:t>
      </w:r>
      <w:r>
        <w:rPr>
          <w:color w:val="374151"/>
          <w:spacing w:val="-2"/>
          <w:shd w:fill="F7F7F8" w:color="auto" w:val="clear"/>
        </w:rPr>
        <w:t> </w:t>
      </w:r>
      <w:r>
        <w:rPr>
          <w:color w:val="374151"/>
          <w:shd w:fill="F7F7F8" w:color="auto" w:val="clear"/>
        </w:rPr>
        <w:t>experiences,</w:t>
      </w:r>
      <w:r>
        <w:rPr>
          <w:color w:val="374151"/>
          <w:spacing w:val="-1"/>
          <w:shd w:fill="F7F7F8" w:color="auto" w:val="clear"/>
        </w:rPr>
        <w:t> </w:t>
      </w:r>
      <w:r>
        <w:rPr>
          <w:color w:val="374151"/>
          <w:spacing w:val="-2"/>
          <w:shd w:fill="F7F7F8" w:color="auto" w:val="clear"/>
        </w:rPr>
        <w:t>heal,</w:t>
      </w:r>
      <w:r>
        <w:rPr>
          <w:color w:val="374151"/>
          <w:spacing w:val="40"/>
          <w:shd w:fill="F7F7F8" w:color="auto" w:val="clear"/>
        </w:rPr>
        <w:t> </w:t>
      </w:r>
    </w:p>
    <w:p>
      <w:pPr>
        <w:pStyle w:val="BodyText"/>
        <w:spacing w:line="237" w:lineRule="auto" w:after="10"/>
        <w:ind w:left="280" w:right="515"/>
      </w:pPr>
      <w:r>
        <w:rPr>
          <w:color w:val="374151"/>
          <w:shd w:fill="F7F7F8" w:color="auto" w:val="clear"/>
        </w:rPr>
        <w:t>Therapeutic approaches such as trauma-focused cognitive-behavioral therapy </w:t>
      </w:r>
      <w:r>
        <w:rPr>
          <w:color w:val="374151"/>
        </w:rPr>
        <w:t> </w:t>
      </w:r>
      <w:r>
        <w:rPr>
          <w:color w:val="374151"/>
          <w:shd w:fill="F7F7F8" w:color="auto" w:val="clear"/>
        </w:rPr>
        <w:t>(TF-CBT), eye movement desensitization and reprocessing (EMDR), or </w:t>
      </w:r>
      <w:r>
        <w:rPr>
          <w:color w:val="374151"/>
        </w:rPr>
        <w:t> </w:t>
      </w:r>
      <w:r>
        <w:rPr>
          <w:color w:val="374151"/>
          <w:shd w:fill="F7F7F8" w:color="auto" w:val="clear"/>
        </w:rPr>
        <w:t>somatic</w:t>
      </w:r>
      <w:r>
        <w:rPr>
          <w:color w:val="374151"/>
          <w:spacing w:val="-2"/>
          <w:shd w:fill="F7F7F8" w:color="auto" w:val="clear"/>
        </w:rPr>
        <w:t> </w:t>
      </w:r>
      <w:r>
        <w:rPr>
          <w:color w:val="374151"/>
          <w:shd w:fill="F7F7F8" w:color="auto" w:val="clear"/>
        </w:rPr>
        <w:t>experiencing</w:t>
      </w:r>
      <w:r>
        <w:rPr>
          <w:color w:val="374151"/>
          <w:spacing w:val="-1"/>
          <w:shd w:fill="F7F7F8" w:color="auto" w:val="clear"/>
        </w:rPr>
        <w:t> </w:t>
      </w:r>
      <w:r>
        <w:rPr>
          <w:color w:val="374151"/>
          <w:shd w:fill="F7F7F8" w:color="auto" w:val="clear"/>
        </w:rPr>
        <w:t>can</w:t>
      </w:r>
      <w:r>
        <w:rPr>
          <w:color w:val="374151"/>
          <w:spacing w:val="-1"/>
          <w:shd w:fill="F7F7F8" w:color="auto" w:val="clear"/>
        </w:rPr>
        <w:t> </w:t>
      </w:r>
      <w:r>
        <w:rPr>
          <w:color w:val="374151"/>
          <w:shd w:fill="F7F7F8" w:color="auto" w:val="clear"/>
        </w:rPr>
        <w:t>be</w:t>
      </w:r>
      <w:r>
        <w:rPr>
          <w:color w:val="374151"/>
          <w:spacing w:val="-2"/>
          <w:shd w:fill="F7F7F8" w:color="auto" w:val="clear"/>
        </w:rPr>
        <w:t> </w:t>
      </w:r>
      <w:r>
        <w:rPr>
          <w:color w:val="374151"/>
          <w:shd w:fill="F7F7F8" w:color="auto" w:val="clear"/>
        </w:rPr>
        <w:t>effective</w:t>
      </w:r>
      <w:r>
        <w:rPr>
          <w:color w:val="374151"/>
          <w:spacing w:val="-2"/>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helping</w:t>
      </w:r>
      <w:r>
        <w:rPr>
          <w:color w:val="374151"/>
          <w:spacing w:val="-1"/>
          <w:shd w:fill="F7F7F8" w:color="auto" w:val="clear"/>
        </w:rPr>
        <w:t> </w:t>
      </w:r>
      <w:r>
        <w:rPr>
          <w:color w:val="374151"/>
          <w:shd w:fill="F7F7F8" w:color="auto" w:val="clear"/>
        </w:rPr>
        <w:t>clients</w:t>
      </w:r>
      <w:r>
        <w:rPr>
          <w:color w:val="374151"/>
          <w:spacing w:val="-1"/>
          <w:shd w:fill="F7F7F8" w:color="auto" w:val="clear"/>
        </w:rPr>
        <w:t> </w:t>
      </w:r>
      <w:r>
        <w:rPr>
          <w:color w:val="374151"/>
          <w:shd w:fill="F7F7F8" w:color="auto" w:val="clear"/>
        </w:rPr>
        <w:t>process</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heal</w:t>
      </w:r>
      <w:r>
        <w:rPr>
          <w:color w:val="374151"/>
          <w:spacing w:val="-1"/>
          <w:shd w:fill="F7F7F8" w:color="auto" w:val="clear"/>
        </w:rPr>
        <w:t> </w:t>
      </w:r>
      <w:r>
        <w:rPr>
          <w:color w:val="374151"/>
          <w:shd w:fill="F7F7F8" w:color="auto" w:val="clear"/>
        </w:rPr>
        <w:t>from</w:t>
      </w:r>
      <w:r>
        <w:rPr>
          <w:color w:val="374151"/>
          <w:spacing w:val="-2"/>
          <w:shd w:fill="F7F7F8" w:color="auto" w:val="clear"/>
        </w:rPr>
        <w:t> </w:t>
      </w:r>
      <w:r>
        <w:rPr>
          <w:color w:val="374151"/>
          <w:spacing w:val="-2"/>
        </w:rPr>
        <w:t> </w:t>
      </w:r>
      <w:r>
        <w:rPr>
          <w:color w:val="374151"/>
          <w:shd w:fill="F7F7F8" w:color="auto" w:val="clear"/>
        </w:rPr>
        <w:t>sexual trauma. Professionals should also be familiar with legal and ethical </w:t>
      </w:r>
      <w:r>
        <w:rPr>
          <w:color w:val="374151"/>
        </w:rPr>
        <w:t> </w:t>
      </w:r>
      <w:r>
        <w:rPr>
          <w:color w:val="374151"/>
          <w:shd w:fill="F7F7F8" w:color="auto" w:val="clear"/>
        </w:rPr>
        <w:t>obligations regarding reporting, confidentiality, and supporting clients through</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608580" cy="787400"/>
                <wp:effectExtent l="0" t="0" r="0" b="3175"/>
                <wp:docPr id="33" name="Group 33"/>
                <wp:cNvGraphicFramePr>
                  <a:graphicFrameLocks/>
                </wp:cNvGraphicFramePr>
                <a:graphic>
                  <a:graphicData uri="http://schemas.microsoft.com/office/word/2010/wordprocessingGroup">
                    <wpg:wgp>
                      <wpg:cNvPr id="33" name="Group 33"/>
                      <wpg:cNvGrpSpPr/>
                      <wpg:grpSpPr>
                        <a:xfrm>
                          <a:off x="0" y="0"/>
                          <a:ext cx="2608580" cy="787400"/>
                          <a:chExt cx="2608580" cy="787400"/>
                        </a:xfrm>
                      </wpg:grpSpPr>
                      <wps:wsp>
                        <wps:cNvPr id="34" name="Textbox 34"/>
                        <wps:cNvSpPr txBox="1"/>
                        <wps:spPr>
                          <a:xfrm>
                            <a:off x="0" y="393700"/>
                            <a:ext cx="260858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Navigating</w:t>
                              </w:r>
                              <w:r>
                                <w:rPr>
                                  <w:b/>
                                  <w:color w:val="374151"/>
                                  <w:spacing w:val="-2"/>
                                  <w:sz w:val="28"/>
                                </w:rPr>
                                <w:t> </w:t>
                              </w:r>
                              <w:r>
                                <w:rPr>
                                  <w:b/>
                                  <w:color w:val="374151"/>
                                  <w:sz w:val="28"/>
                                </w:rPr>
                                <w:t>Ethical</w:t>
                              </w:r>
                              <w:r>
                                <w:rPr>
                                  <w:b/>
                                  <w:color w:val="374151"/>
                                  <w:spacing w:val="-1"/>
                                  <w:sz w:val="28"/>
                                </w:rPr>
                                <w:t> </w:t>
                              </w:r>
                              <w:r>
                                <w:rPr>
                                  <w:b/>
                                  <w:color w:val="374151"/>
                                  <w:spacing w:val="-2"/>
                                  <w:sz w:val="28"/>
                                </w:rPr>
                                <w:t>Considerations</w:t>
                              </w:r>
                            </w:p>
                          </w:txbxContent>
                        </wps:txbx>
                        <wps:bodyPr wrap="square" lIns="0" tIns="0" rIns="0" bIns="0" rtlCol="0">
                          <a:noAutofit/>
                        </wps:bodyPr>
                      </wps:wsp>
                      <wps:wsp>
                        <wps:cNvPr id="35" name="Textbox 35"/>
                        <wps:cNvSpPr txBox="1"/>
                        <wps:spPr>
                          <a:xfrm>
                            <a:off x="0" y="0"/>
                            <a:ext cx="1993264"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legal</w:t>
                              </w:r>
                              <w:r>
                                <w:rPr>
                                  <w:color w:val="374151"/>
                                  <w:spacing w:val="-2"/>
                                  <w:sz w:val="28"/>
                                </w:rPr>
                                <w:t> </w:t>
                              </w:r>
                              <w:r>
                                <w:rPr>
                                  <w:color w:val="374151"/>
                                  <w:sz w:val="28"/>
                                </w:rPr>
                                <w:t>processes</w:t>
                              </w:r>
                              <w:r>
                                <w:rPr>
                                  <w:color w:val="374151"/>
                                  <w:spacing w:val="-2"/>
                                  <w:sz w:val="28"/>
                                </w:rPr>
                                <w:t> </w:t>
                              </w:r>
                              <w:r>
                                <w:rPr>
                                  <w:color w:val="374151"/>
                                  <w:sz w:val="28"/>
                                </w:rPr>
                                <w:t>if</w:t>
                              </w:r>
                              <w:r>
                                <w:rPr>
                                  <w:color w:val="374151"/>
                                  <w:spacing w:val="-1"/>
                                  <w:sz w:val="28"/>
                                </w:rPr>
                                <w:t> </w:t>
                              </w:r>
                              <w:r>
                                <w:rPr>
                                  <w:color w:val="374151"/>
                                  <w:spacing w:val="-2"/>
                                  <w:sz w:val="28"/>
                                </w:rPr>
                                <w:t>necessary.</w:t>
                              </w:r>
                            </w:p>
                          </w:txbxContent>
                        </wps:txbx>
                        <wps:bodyPr wrap="square" lIns="0" tIns="0" rIns="0" bIns="0" rtlCol="0">
                          <a:noAutofit/>
                        </wps:bodyPr>
                      </wps:wsp>
                    </wpg:wgp>
                  </a:graphicData>
                </a:graphic>
              </wp:inline>
            </w:drawing>
          </mc:Choice>
          <mc:Fallback>
            <w:pict>
              <v:group style="width:205.4pt;height:62pt;mso-position-horizontal-relative:char;mso-position-vertical-relative:line" id="docshapegroup32" coordorigin="0,0" coordsize="4108,1240">
                <v:shape style="position:absolute;left:0;top:620;width:4108;height:620" type="#_x0000_t202" id="docshape33" filled="true" fillcolor="#f7f7f8" stroked="false">
                  <v:textbox inset="0,0,0,0">
                    <w:txbxContent>
                      <w:p>
                        <w:pPr>
                          <w:spacing w:line="308" w:lineRule="exact" w:before="0"/>
                          <w:ind w:left="0" w:right="-15" w:firstLine="0"/>
                          <w:jc w:val="left"/>
                          <w:rPr>
                            <w:b/>
                            <w:color w:val="000000"/>
                            <w:sz w:val="28"/>
                          </w:rPr>
                        </w:pPr>
                        <w:r>
                          <w:rPr>
                            <w:b/>
                            <w:color w:val="374151"/>
                            <w:sz w:val="28"/>
                          </w:rPr>
                          <w:t>Navigating</w:t>
                        </w:r>
                        <w:r>
                          <w:rPr>
                            <w:b/>
                            <w:color w:val="374151"/>
                            <w:spacing w:val="-2"/>
                            <w:sz w:val="28"/>
                          </w:rPr>
                          <w:t> </w:t>
                        </w:r>
                        <w:r>
                          <w:rPr>
                            <w:b/>
                            <w:color w:val="374151"/>
                            <w:sz w:val="28"/>
                          </w:rPr>
                          <w:t>Ethical</w:t>
                        </w:r>
                        <w:r>
                          <w:rPr>
                            <w:b/>
                            <w:color w:val="374151"/>
                            <w:spacing w:val="-1"/>
                            <w:sz w:val="28"/>
                          </w:rPr>
                          <w:t> </w:t>
                        </w:r>
                        <w:r>
                          <w:rPr>
                            <w:b/>
                            <w:color w:val="374151"/>
                            <w:spacing w:val="-2"/>
                            <w:sz w:val="28"/>
                          </w:rPr>
                          <w:t>Considerations</w:t>
                        </w:r>
                      </w:p>
                    </w:txbxContent>
                  </v:textbox>
                  <v:fill type="solid"/>
                  <w10:wrap type="none"/>
                </v:shape>
                <v:shape style="position:absolute;left:0;top:0;width:3139;height:620" type="#_x0000_t202" id="docshape34" filled="true" fillcolor="#f7f7f8" stroked="false">
                  <v:textbox inset="0,0,0,0">
                    <w:txbxContent>
                      <w:p>
                        <w:pPr>
                          <w:spacing w:line="308" w:lineRule="exact" w:before="0"/>
                          <w:ind w:left="0" w:right="-15" w:firstLine="0"/>
                          <w:jc w:val="left"/>
                          <w:rPr>
                            <w:color w:val="000000"/>
                            <w:sz w:val="28"/>
                          </w:rPr>
                        </w:pPr>
                        <w:r>
                          <w:rPr>
                            <w:color w:val="374151"/>
                            <w:sz w:val="28"/>
                          </w:rPr>
                          <w:t>legal</w:t>
                        </w:r>
                        <w:r>
                          <w:rPr>
                            <w:color w:val="374151"/>
                            <w:spacing w:val="-2"/>
                            <w:sz w:val="28"/>
                          </w:rPr>
                          <w:t> </w:t>
                        </w:r>
                        <w:r>
                          <w:rPr>
                            <w:color w:val="374151"/>
                            <w:sz w:val="28"/>
                          </w:rPr>
                          <w:t>processes</w:t>
                        </w:r>
                        <w:r>
                          <w:rPr>
                            <w:color w:val="374151"/>
                            <w:spacing w:val="-2"/>
                            <w:sz w:val="28"/>
                          </w:rPr>
                          <w:t> </w:t>
                        </w:r>
                        <w:r>
                          <w:rPr>
                            <w:color w:val="374151"/>
                            <w:sz w:val="28"/>
                          </w:rPr>
                          <w:t>if</w:t>
                        </w:r>
                        <w:r>
                          <w:rPr>
                            <w:color w:val="374151"/>
                            <w:spacing w:val="-1"/>
                            <w:sz w:val="28"/>
                          </w:rPr>
                          <w:t> </w:t>
                        </w:r>
                        <w:r>
                          <w:rPr>
                            <w:color w:val="374151"/>
                            <w:spacing w:val="-2"/>
                            <w:sz w:val="28"/>
                          </w:rPr>
                          <w:t>necessary.</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Working</w:t>
      </w:r>
      <w:r>
        <w:rPr>
          <w:color w:val="374151"/>
          <w:spacing w:val="-7"/>
          <w:shd w:fill="F7F7F8" w:color="auto" w:val="clear"/>
        </w:rPr>
        <w:t> </w:t>
      </w:r>
      <w:r>
        <w:rPr>
          <w:color w:val="374151"/>
          <w:shd w:fill="F7F7F8" w:color="auto" w:val="clear"/>
        </w:rPr>
        <w:t>with</w:t>
      </w:r>
      <w:r>
        <w:rPr>
          <w:color w:val="374151"/>
          <w:spacing w:val="-5"/>
          <w:shd w:fill="F7F7F8" w:color="auto" w:val="clear"/>
        </w:rPr>
        <w:t> </w:t>
      </w:r>
      <w:r>
        <w:rPr>
          <w:color w:val="374151"/>
          <w:shd w:fill="F7F7F8" w:color="auto" w:val="clear"/>
        </w:rPr>
        <w:t>human</w:t>
      </w:r>
      <w:r>
        <w:rPr>
          <w:color w:val="374151"/>
          <w:spacing w:val="-5"/>
          <w:shd w:fill="F7F7F8" w:color="auto" w:val="clear"/>
        </w:rPr>
        <w:t> </w:t>
      </w:r>
      <w:r>
        <w:rPr>
          <w:color w:val="374151"/>
          <w:shd w:fill="F7F7F8" w:color="auto" w:val="clear"/>
        </w:rPr>
        <w:t>sexuality</w:t>
      </w:r>
      <w:r>
        <w:rPr>
          <w:color w:val="374151"/>
          <w:spacing w:val="-5"/>
          <w:shd w:fill="F7F7F8" w:color="auto" w:val="clear"/>
        </w:rPr>
        <w:t> </w:t>
      </w:r>
      <w:r>
        <w:rPr>
          <w:color w:val="374151"/>
          <w:shd w:fill="F7F7F8" w:color="auto" w:val="clear"/>
        </w:rPr>
        <w:t>necessitates</w:t>
      </w:r>
      <w:r>
        <w:rPr>
          <w:color w:val="374151"/>
          <w:spacing w:val="-5"/>
          <w:shd w:fill="F7F7F8" w:color="auto" w:val="clear"/>
        </w:rPr>
        <w:t> </w:t>
      </w:r>
      <w:r>
        <w:rPr>
          <w:color w:val="374151"/>
          <w:shd w:fill="F7F7F8" w:color="auto" w:val="clear"/>
        </w:rPr>
        <w:t>mental</w:t>
      </w:r>
      <w:r>
        <w:rPr>
          <w:color w:val="374151"/>
          <w:spacing w:val="-5"/>
          <w:shd w:fill="F7F7F8" w:color="auto" w:val="clear"/>
        </w:rPr>
        <w:t> </w:t>
      </w:r>
      <w:r>
        <w:rPr>
          <w:color w:val="374151"/>
          <w:shd w:fill="F7F7F8" w:color="auto" w:val="clear"/>
        </w:rPr>
        <w:t>health</w:t>
      </w:r>
      <w:r>
        <w:rPr>
          <w:color w:val="374151"/>
          <w:spacing w:val="-5"/>
          <w:shd w:fill="F7F7F8" w:color="auto" w:val="clear"/>
        </w:rPr>
        <w:t> </w:t>
      </w:r>
      <w:r>
        <w:rPr>
          <w:color w:val="374151"/>
          <w:spacing w:val="-2"/>
          <w:shd w:fill="F7F7F8" w:color="auto" w:val="clear"/>
        </w:rPr>
        <w:t>professionals</w:t>
      </w:r>
      <w:r>
        <w:rPr>
          <w:color w:val="374151"/>
          <w:spacing w:val="40"/>
          <w:shd w:fill="F7F7F8" w:color="auto" w:val="clear"/>
        </w:rPr>
        <w:t> </w:t>
      </w:r>
    </w:p>
    <w:p>
      <w:pPr>
        <w:pStyle w:val="BodyText"/>
        <w:spacing w:after="4"/>
        <w:ind w:left="280" w:right="668"/>
      </w:pPr>
      <w:r>
        <w:rPr>
          <w:color w:val="374151"/>
          <w:shd w:fill="F7F7F8" w:color="auto" w:val="clear"/>
        </w:rPr>
        <w:t>navigating various ethical considerations. Professionals should adhere to </w:t>
      </w:r>
      <w:r>
        <w:rPr>
          <w:color w:val="374151"/>
        </w:rPr>
        <w:t> </w:t>
      </w:r>
      <w:r>
        <w:rPr>
          <w:color w:val="374151"/>
          <w:shd w:fill="F7F7F8" w:color="auto" w:val="clear"/>
        </w:rPr>
        <w:t>ethical guidelines set forth by their respective licensing boards and </w:t>
      </w:r>
      <w:r>
        <w:rPr>
          <w:color w:val="374151"/>
        </w:rPr>
        <w:t> </w:t>
      </w:r>
      <w:r>
        <w:rPr>
          <w:color w:val="374151"/>
          <w:shd w:fill="F7F7F8" w:color="auto" w:val="clear"/>
        </w:rPr>
        <w:t>professional</w:t>
      </w:r>
      <w:r>
        <w:rPr>
          <w:color w:val="374151"/>
          <w:spacing w:val="-8"/>
          <w:shd w:fill="F7F7F8" w:color="auto" w:val="clear"/>
        </w:rPr>
        <w:t> </w:t>
      </w:r>
      <w:r>
        <w:rPr>
          <w:color w:val="374151"/>
          <w:shd w:fill="F7F7F8" w:color="auto" w:val="clear"/>
        </w:rPr>
        <w:t>associations.</w:t>
      </w:r>
      <w:r>
        <w:rPr>
          <w:color w:val="374151"/>
          <w:spacing w:val="-14"/>
          <w:shd w:fill="F7F7F8" w:color="auto" w:val="clear"/>
        </w:rPr>
        <w:t> </w:t>
      </w:r>
      <w:r>
        <w:rPr>
          <w:color w:val="374151"/>
          <w:shd w:fill="F7F7F8" w:color="auto" w:val="clear"/>
        </w:rPr>
        <w:t>This</w:t>
      </w:r>
      <w:r>
        <w:rPr>
          <w:color w:val="374151"/>
          <w:spacing w:val="-8"/>
          <w:shd w:fill="F7F7F8" w:color="auto" w:val="clear"/>
        </w:rPr>
        <w:t> </w:t>
      </w:r>
      <w:r>
        <w:rPr>
          <w:color w:val="374151"/>
          <w:shd w:fill="F7F7F8" w:color="auto" w:val="clear"/>
        </w:rPr>
        <w:t>includes</w:t>
      </w:r>
      <w:r>
        <w:rPr>
          <w:color w:val="374151"/>
          <w:spacing w:val="-8"/>
          <w:shd w:fill="F7F7F8" w:color="auto" w:val="clear"/>
        </w:rPr>
        <w:t> </w:t>
      </w:r>
      <w:r>
        <w:rPr>
          <w:color w:val="374151"/>
          <w:shd w:fill="F7F7F8" w:color="auto" w:val="clear"/>
        </w:rPr>
        <w:t>maintaining</w:t>
      </w:r>
      <w:r>
        <w:rPr>
          <w:color w:val="374151"/>
          <w:spacing w:val="-8"/>
          <w:shd w:fill="F7F7F8" w:color="auto" w:val="clear"/>
        </w:rPr>
        <w:t> </w:t>
      </w:r>
      <w:r>
        <w:rPr>
          <w:color w:val="374151"/>
          <w:shd w:fill="F7F7F8" w:color="auto" w:val="clear"/>
        </w:rPr>
        <w:t>confidentiality,</w:t>
      </w:r>
      <w:r>
        <w:rPr>
          <w:color w:val="374151"/>
          <w:spacing w:val="-8"/>
          <w:shd w:fill="F7F7F8" w:color="auto" w:val="clear"/>
        </w:rPr>
        <w:t> </w:t>
      </w:r>
      <w:r>
        <w:rPr>
          <w:color w:val="374151"/>
          <w:shd w:fill="F7F7F8" w:color="auto" w:val="clear"/>
        </w:rPr>
        <w:t>informed</w:t>
      </w:r>
      <w:r>
        <w:rPr>
          <w:color w:val="374151"/>
          <w:spacing w:val="-9"/>
          <w:shd w:fill="F7F7F8" w:color="auto" w:val="clear"/>
        </w:rPr>
        <w:t> </w:t>
      </w:r>
      <w:r>
        <w:rPr>
          <w:color w:val="374151"/>
          <w:spacing w:val="-9"/>
        </w:rPr>
        <w:t> </w:t>
      </w:r>
      <w:r>
        <w:rPr>
          <w:color w:val="374151"/>
          <w:shd w:fill="F7F7F8" w:color="auto" w:val="clear"/>
        </w:rPr>
        <w:t>consent, avoiding dual relationships, and continuously evaluating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1931035" cy="393700"/>
                <wp:effectExtent l="0" t="0" r="0" b="0"/>
                <wp:docPr id="36" name="Textbox 36"/>
                <wp:cNvGraphicFramePr>
                  <a:graphicFrameLocks/>
                </wp:cNvGraphicFramePr>
                <a:graphic>
                  <a:graphicData uri="http://schemas.microsoft.com/office/word/2010/wordprocessingShape">
                    <wps:wsp>
                      <wps:cNvPr id="36" name="Textbox 36"/>
                      <wps:cNvSpPr txBox="1"/>
                      <wps:spPr>
                        <a:xfrm>
                          <a:off x="0" y="0"/>
                          <a:ext cx="1931035" cy="393700"/>
                        </a:xfrm>
                        <a:prstGeom prst="rect">
                          <a:avLst/>
                        </a:prstGeom>
                        <a:solidFill>
                          <a:srgbClr val="F7F7F8"/>
                        </a:solidFill>
                      </wps:spPr>
                      <wps:txbx>
                        <w:txbxContent>
                          <w:p>
                            <w:pPr>
                              <w:pStyle w:val="BodyText"/>
                              <w:spacing w:line="308" w:lineRule="exact"/>
                              <w:ind w:right="-15"/>
                              <w:rPr>
                                <w:color w:val="000000"/>
                              </w:rPr>
                            </w:pPr>
                            <w:r>
                              <w:rPr>
                                <w:color w:val="374151"/>
                              </w:rPr>
                              <w:t>addressing</w:t>
                            </w:r>
                            <w:r>
                              <w:rPr>
                                <w:color w:val="374151"/>
                                <w:spacing w:val="-3"/>
                              </w:rPr>
                              <w:t> </w:t>
                            </w:r>
                            <w:r>
                              <w:rPr>
                                <w:color w:val="374151"/>
                              </w:rPr>
                              <w:t>personal</w:t>
                            </w:r>
                            <w:r>
                              <w:rPr>
                                <w:color w:val="374151"/>
                                <w:spacing w:val="-2"/>
                              </w:rPr>
                              <w:t> biases.</w:t>
                            </w:r>
                          </w:p>
                        </w:txbxContent>
                      </wps:txbx>
                      <wps:bodyPr wrap="square" lIns="0" tIns="0" rIns="0" bIns="0" rtlCol="0">
                        <a:noAutofit/>
                      </wps:bodyPr>
                    </wps:wsp>
                  </a:graphicData>
                </a:graphic>
              </wp:inline>
            </w:drawing>
          </mc:Choice>
          <mc:Fallback>
            <w:pict>
              <v:shape style="width:152.050pt;height:31pt;mso-position-horizontal-relative:char;mso-position-vertical-relative:line" type="#_x0000_t202" id="docshape35" filled="true" fillcolor="#f7f7f8" stroked="false">
                <w10:anchorlock/>
                <v:textbox inset="0,0,0,0">
                  <w:txbxContent>
                    <w:p>
                      <w:pPr>
                        <w:pStyle w:val="BodyText"/>
                        <w:spacing w:line="308" w:lineRule="exact"/>
                        <w:ind w:right="-15"/>
                        <w:rPr>
                          <w:color w:val="000000"/>
                        </w:rPr>
                      </w:pPr>
                      <w:r>
                        <w:rPr>
                          <w:color w:val="374151"/>
                        </w:rPr>
                        <w:t>addressing</w:t>
                      </w:r>
                      <w:r>
                        <w:rPr>
                          <w:color w:val="374151"/>
                          <w:spacing w:val="-3"/>
                        </w:rPr>
                        <w:t> </w:t>
                      </w:r>
                      <w:r>
                        <w:rPr>
                          <w:color w:val="374151"/>
                        </w:rPr>
                        <w:t>personal</w:t>
                      </w:r>
                      <w:r>
                        <w:rPr>
                          <w:color w:val="374151"/>
                          <w:spacing w:val="-2"/>
                        </w:rPr>
                        <w:t> biases.</w:t>
                      </w:r>
                    </w:p>
                  </w:txbxContent>
                </v:textbox>
                <v:fill type="solid"/>
              </v:shape>
            </w:pict>
          </mc:Fallback>
        </mc:AlternateContent>
      </w:r>
      <w:r>
        <w:rPr>
          <w:sz w:val="20"/>
        </w:rPr>
      </w:r>
    </w:p>
    <w:p>
      <w:pPr>
        <w:pStyle w:val="BodyText"/>
        <w:spacing w:line="282" w:lineRule="exact"/>
        <w:ind w:left="280"/>
      </w:pPr>
      <w:r>
        <w:rPr>
          <w:color w:val="374151"/>
          <w:shd w:fill="F7F7F8" w:color="auto" w:val="clear"/>
        </w:rPr>
        <w:t>In</w:t>
      </w:r>
      <w:r>
        <w:rPr>
          <w:color w:val="374151"/>
          <w:spacing w:val="-2"/>
          <w:shd w:fill="F7F7F8" w:color="auto" w:val="clear"/>
        </w:rPr>
        <w:t> </w:t>
      </w:r>
      <w:r>
        <w:rPr>
          <w:color w:val="374151"/>
          <w:shd w:fill="F7F7F8" w:color="auto" w:val="clear"/>
        </w:rPr>
        <w:t>cases</w:t>
      </w:r>
      <w:r>
        <w:rPr>
          <w:color w:val="374151"/>
          <w:spacing w:val="-2"/>
          <w:shd w:fill="F7F7F8" w:color="auto" w:val="clear"/>
        </w:rPr>
        <w:t> </w:t>
      </w:r>
      <w:r>
        <w:rPr>
          <w:color w:val="374151"/>
          <w:shd w:fill="F7F7F8" w:color="auto" w:val="clear"/>
        </w:rPr>
        <w:t>where</w:t>
      </w:r>
      <w:r>
        <w:rPr>
          <w:color w:val="374151"/>
          <w:spacing w:val="-3"/>
          <w:shd w:fill="F7F7F8" w:color="auto" w:val="clear"/>
        </w:rPr>
        <w:t> </w:t>
      </w:r>
      <w:r>
        <w:rPr>
          <w:color w:val="374151"/>
          <w:shd w:fill="F7F7F8" w:color="auto" w:val="clear"/>
        </w:rPr>
        <w:t>ethical</w:t>
      </w:r>
      <w:r>
        <w:rPr>
          <w:color w:val="374151"/>
          <w:spacing w:val="-2"/>
          <w:shd w:fill="F7F7F8" w:color="auto" w:val="clear"/>
        </w:rPr>
        <w:t> </w:t>
      </w:r>
      <w:r>
        <w:rPr>
          <w:color w:val="374151"/>
          <w:shd w:fill="F7F7F8" w:color="auto" w:val="clear"/>
        </w:rPr>
        <w:t>conflicts</w:t>
      </w:r>
      <w:r>
        <w:rPr>
          <w:color w:val="374151"/>
          <w:spacing w:val="-1"/>
          <w:shd w:fill="F7F7F8" w:color="auto" w:val="clear"/>
        </w:rPr>
        <w:t> </w:t>
      </w:r>
      <w:r>
        <w:rPr>
          <w:color w:val="374151"/>
          <w:shd w:fill="F7F7F8" w:color="auto" w:val="clear"/>
        </w:rPr>
        <w:t>arise,</w:t>
      </w:r>
      <w:r>
        <w:rPr>
          <w:color w:val="374151"/>
          <w:spacing w:val="-2"/>
          <w:shd w:fill="F7F7F8" w:color="auto" w:val="clear"/>
        </w:rPr>
        <w:t> </w:t>
      </w:r>
      <w:r>
        <w:rPr>
          <w:color w:val="374151"/>
          <w:shd w:fill="F7F7F8" w:color="auto" w:val="clear"/>
        </w:rPr>
        <w:t>consultation</w:t>
      </w:r>
      <w:r>
        <w:rPr>
          <w:color w:val="374151"/>
          <w:spacing w:val="-2"/>
          <w:shd w:fill="F7F7F8" w:color="auto" w:val="clear"/>
        </w:rPr>
        <w:t> </w:t>
      </w:r>
      <w:r>
        <w:rPr>
          <w:color w:val="374151"/>
          <w:shd w:fill="F7F7F8" w:color="auto" w:val="clear"/>
        </w:rPr>
        <w:t>with</w:t>
      </w:r>
      <w:r>
        <w:rPr>
          <w:color w:val="374151"/>
          <w:spacing w:val="-2"/>
          <w:shd w:fill="F7F7F8" w:color="auto" w:val="clear"/>
        </w:rPr>
        <w:t> </w:t>
      </w:r>
      <w:r>
        <w:rPr>
          <w:color w:val="374151"/>
          <w:shd w:fill="F7F7F8" w:color="auto" w:val="clear"/>
        </w:rPr>
        <w:t>supervisors</w:t>
      </w:r>
      <w:r>
        <w:rPr>
          <w:color w:val="374151"/>
          <w:spacing w:val="-2"/>
          <w:shd w:fill="F7F7F8" w:color="auto" w:val="clear"/>
        </w:rPr>
        <w:t> </w:t>
      </w:r>
      <w:r>
        <w:rPr>
          <w:color w:val="374151"/>
          <w:shd w:fill="F7F7F8" w:color="auto" w:val="clear"/>
        </w:rPr>
        <w:t>or</w:t>
      </w:r>
      <w:r>
        <w:rPr>
          <w:color w:val="374151"/>
          <w:spacing w:val="-1"/>
          <w:shd w:fill="F7F7F8" w:color="auto" w:val="clear"/>
        </w:rPr>
        <w:t> </w:t>
      </w:r>
      <w:r>
        <w:rPr>
          <w:color w:val="374151"/>
          <w:spacing w:val="-2"/>
          <w:shd w:fill="F7F7F8" w:color="auto" w:val="clear"/>
        </w:rPr>
        <w:t>peers</w:t>
      </w:r>
      <w:r>
        <w:rPr>
          <w:color w:val="374151"/>
          <w:spacing w:val="40"/>
          <w:shd w:fill="F7F7F8" w:color="auto" w:val="clear"/>
        </w:rPr>
        <w:t> </w:t>
      </w:r>
    </w:p>
    <w:p>
      <w:pPr>
        <w:pStyle w:val="BodyText"/>
        <w:ind w:left="280" w:right="668"/>
      </w:pPr>
      <w:r>
        <w:rPr/>
        <mc:AlternateContent>
          <mc:Choice Requires="wps">
            <w:drawing>
              <wp:anchor distT="0" distB="0" distL="0" distR="0" allowOverlap="1" layoutInCell="1" locked="0" behindDoc="1" simplePos="0" relativeHeight="487596032">
                <wp:simplePos x="0" y="0"/>
                <wp:positionH relativeFrom="page">
                  <wp:posOffset>1066800</wp:posOffset>
                </wp:positionH>
                <wp:positionV relativeFrom="paragraph">
                  <wp:posOffset>415204</wp:posOffset>
                </wp:positionV>
                <wp:extent cx="2882265" cy="393700"/>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2882265" cy="393700"/>
                        </a:xfrm>
                        <a:prstGeom prst="rect">
                          <a:avLst/>
                        </a:prstGeom>
                        <a:solidFill>
                          <a:srgbClr val="F7F7F8"/>
                        </a:solidFill>
                      </wps:spPr>
                      <wps:txbx>
                        <w:txbxContent>
                          <w:p>
                            <w:pPr>
                              <w:pStyle w:val="BodyText"/>
                              <w:spacing w:line="308" w:lineRule="exact"/>
                              <w:ind w:right="-15"/>
                              <w:rPr>
                                <w:color w:val="000000"/>
                              </w:rPr>
                            </w:pPr>
                            <w:r>
                              <w:rPr>
                                <w:color w:val="374151"/>
                              </w:rPr>
                              <w:t>and</w:t>
                            </w:r>
                            <w:r>
                              <w:rPr>
                                <w:color w:val="374151"/>
                                <w:spacing w:val="-2"/>
                              </w:rPr>
                              <w:t> </w:t>
                            </w:r>
                            <w:r>
                              <w:rPr>
                                <w:color w:val="374151"/>
                              </w:rPr>
                              <w:t>intimate</w:t>
                            </w:r>
                            <w:r>
                              <w:rPr>
                                <w:color w:val="374151"/>
                                <w:spacing w:val="-2"/>
                              </w:rPr>
                              <w:t> </w:t>
                            </w:r>
                            <w:r>
                              <w:rPr>
                                <w:color w:val="374151"/>
                              </w:rPr>
                              <w:t>aspects</w:t>
                            </w:r>
                            <w:r>
                              <w:rPr>
                                <w:color w:val="374151"/>
                                <w:spacing w:val="-1"/>
                              </w:rPr>
                              <w:t> </w:t>
                            </w:r>
                            <w:r>
                              <w:rPr>
                                <w:color w:val="374151"/>
                              </w:rPr>
                              <w:t>of</w:t>
                            </w:r>
                            <w:r>
                              <w:rPr>
                                <w:color w:val="374151"/>
                                <w:spacing w:val="-1"/>
                              </w:rPr>
                              <w:t> </w:t>
                            </w:r>
                            <w:r>
                              <w:rPr>
                                <w:color w:val="374151"/>
                              </w:rPr>
                              <w:t>human</w:t>
                            </w:r>
                            <w:r>
                              <w:rPr>
                                <w:color w:val="374151"/>
                                <w:spacing w:val="-1"/>
                              </w:rPr>
                              <w:t> </w:t>
                            </w:r>
                            <w:r>
                              <w:rPr>
                                <w:color w:val="374151"/>
                                <w:spacing w:val="-2"/>
                              </w:rPr>
                              <w:t>sexuality.</w:t>
                            </w:r>
                          </w:p>
                        </w:txbxContent>
                      </wps:txbx>
                      <wps:bodyPr wrap="square" lIns="0" tIns="0" rIns="0" bIns="0" rtlCol="0">
                        <a:noAutofit/>
                      </wps:bodyPr>
                    </wps:wsp>
                  </a:graphicData>
                </a:graphic>
              </wp:anchor>
            </w:drawing>
          </mc:Choice>
          <mc:Fallback>
            <w:pict>
              <v:shape style="position:absolute;margin-left:84pt;margin-top:32.693298pt;width:226.95pt;height:31pt;mso-position-horizontal-relative:page;mso-position-vertical-relative:paragraph;z-index:-15720448;mso-wrap-distance-left:0;mso-wrap-distance-right:0" type="#_x0000_t202" id="docshape36" filled="true" fillcolor="#f7f7f8" stroked="false">
                <v:textbox inset="0,0,0,0">
                  <w:txbxContent>
                    <w:p>
                      <w:pPr>
                        <w:pStyle w:val="BodyText"/>
                        <w:spacing w:line="308" w:lineRule="exact"/>
                        <w:ind w:right="-15"/>
                        <w:rPr>
                          <w:color w:val="000000"/>
                        </w:rPr>
                      </w:pPr>
                      <w:r>
                        <w:rPr>
                          <w:color w:val="374151"/>
                        </w:rPr>
                        <w:t>and</w:t>
                      </w:r>
                      <w:r>
                        <w:rPr>
                          <w:color w:val="374151"/>
                          <w:spacing w:val="-2"/>
                        </w:rPr>
                        <w:t> </w:t>
                      </w:r>
                      <w:r>
                        <w:rPr>
                          <w:color w:val="374151"/>
                        </w:rPr>
                        <w:t>intimate</w:t>
                      </w:r>
                      <w:r>
                        <w:rPr>
                          <w:color w:val="374151"/>
                          <w:spacing w:val="-2"/>
                        </w:rPr>
                        <w:t> </w:t>
                      </w:r>
                      <w:r>
                        <w:rPr>
                          <w:color w:val="374151"/>
                        </w:rPr>
                        <w:t>aspects</w:t>
                      </w:r>
                      <w:r>
                        <w:rPr>
                          <w:color w:val="374151"/>
                          <w:spacing w:val="-1"/>
                        </w:rPr>
                        <w:t> </w:t>
                      </w:r>
                      <w:r>
                        <w:rPr>
                          <w:color w:val="374151"/>
                        </w:rPr>
                        <w:t>of</w:t>
                      </w:r>
                      <w:r>
                        <w:rPr>
                          <w:color w:val="374151"/>
                          <w:spacing w:val="-1"/>
                        </w:rPr>
                        <w:t> </w:t>
                      </w:r>
                      <w:r>
                        <w:rPr>
                          <w:color w:val="374151"/>
                        </w:rPr>
                        <w:t>human</w:t>
                      </w:r>
                      <w:r>
                        <w:rPr>
                          <w:color w:val="374151"/>
                          <w:spacing w:val="-1"/>
                        </w:rPr>
                        <w:t> </w:t>
                      </w:r>
                      <w:r>
                        <w:rPr>
                          <w:color w:val="374151"/>
                          <w:spacing w:val="-2"/>
                        </w:rPr>
                        <w:t>sexuality.</w:t>
                      </w:r>
                    </w:p>
                  </w:txbxContent>
                </v:textbox>
                <v:fill type="solid"/>
                <w10:wrap type="topAndBottom"/>
              </v:shape>
            </w:pict>
          </mc:Fallback>
        </mc:AlternateContent>
      </w:r>
      <w:r>
        <w:rPr>
          <w:color w:val="374151"/>
          <w:shd w:fill="F7F7F8" w:color="auto" w:val="clear"/>
        </w:rPr>
        <w:t>can</w:t>
      </w:r>
      <w:r>
        <w:rPr>
          <w:color w:val="374151"/>
          <w:spacing w:val="-4"/>
          <w:shd w:fill="F7F7F8" w:color="auto" w:val="clear"/>
        </w:rPr>
        <w:t> </w:t>
      </w:r>
      <w:r>
        <w:rPr>
          <w:color w:val="374151"/>
          <w:shd w:fill="F7F7F8" w:color="auto" w:val="clear"/>
        </w:rPr>
        <w:t>be</w:t>
      </w:r>
      <w:r>
        <w:rPr>
          <w:color w:val="374151"/>
          <w:spacing w:val="-5"/>
          <w:shd w:fill="F7F7F8" w:color="auto" w:val="clear"/>
        </w:rPr>
        <w:t> </w:t>
      </w:r>
      <w:r>
        <w:rPr>
          <w:color w:val="374151"/>
          <w:shd w:fill="F7F7F8" w:color="auto" w:val="clear"/>
        </w:rPr>
        <w:t>helpful</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navigating</w:t>
      </w:r>
      <w:r>
        <w:rPr>
          <w:color w:val="374151"/>
          <w:spacing w:val="-4"/>
          <w:shd w:fill="F7F7F8" w:color="auto" w:val="clear"/>
        </w:rPr>
        <w:t> </w:t>
      </w:r>
      <w:r>
        <w:rPr>
          <w:color w:val="374151"/>
          <w:shd w:fill="F7F7F8" w:color="auto" w:val="clear"/>
        </w:rPr>
        <w:t>complex</w:t>
      </w:r>
      <w:r>
        <w:rPr>
          <w:color w:val="374151"/>
          <w:spacing w:val="-4"/>
          <w:shd w:fill="F7F7F8" w:color="auto" w:val="clear"/>
        </w:rPr>
        <w:t> </w:t>
      </w:r>
      <w:r>
        <w:rPr>
          <w:color w:val="374151"/>
          <w:shd w:fill="F7F7F8" w:color="auto" w:val="clear"/>
        </w:rPr>
        <w:t>situations.</w:t>
      </w:r>
      <w:r>
        <w:rPr>
          <w:color w:val="374151"/>
          <w:spacing w:val="-4"/>
          <w:shd w:fill="F7F7F8" w:color="auto" w:val="clear"/>
        </w:rPr>
        <w:t> </w:t>
      </w:r>
      <w:r>
        <w:rPr>
          <w:color w:val="374151"/>
          <w:shd w:fill="F7F7F8" w:color="auto" w:val="clear"/>
        </w:rPr>
        <w:t>Remaining</w:t>
      </w:r>
      <w:r>
        <w:rPr>
          <w:color w:val="374151"/>
          <w:spacing w:val="-4"/>
          <w:shd w:fill="F7F7F8" w:color="auto" w:val="clear"/>
        </w:rPr>
        <w:t> </w:t>
      </w:r>
      <w:r>
        <w:rPr>
          <w:color w:val="374151"/>
          <w:shd w:fill="F7F7F8" w:color="auto" w:val="clear"/>
        </w:rPr>
        <w:t>committed</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pacing w:val="-5"/>
        </w:rPr>
        <w:t> </w:t>
      </w:r>
      <w:r>
        <w:rPr>
          <w:color w:val="374151"/>
          <w:shd w:fill="F7F7F8" w:color="auto" w:val="clear"/>
        </w:rPr>
        <w:t>well-being and autonomy of clients is paramount when addressing sensitive</w:t>
      </w:r>
      <w:r>
        <w:rPr>
          <w:color w:val="374151"/>
          <w:spacing w:val="40"/>
          <w:shd w:fill="F7F7F8" w:color="auto" w:val="clear"/>
        </w:rPr>
        <w:t> </w:t>
      </w:r>
    </w:p>
    <w:p>
      <w:pPr>
        <w:pStyle w:val="BodyText"/>
        <w:rPr>
          <w:sz w:val="12"/>
        </w:rPr>
      </w:pPr>
    </w:p>
    <w:p>
      <w:pPr>
        <w:pStyle w:val="Heading2"/>
        <w:spacing w:before="88"/>
      </w:pPr>
      <w:r>
        <w:rPr>
          <w:color w:val="374151"/>
          <w:spacing w:val="-2"/>
          <w:shd w:fill="F7F7F8" w:color="auto" w:val="clear"/>
        </w:rPr>
        <w:t>Conclusion</w:t>
      </w:r>
    </w:p>
    <w:p>
      <w:pPr>
        <w:pStyle w:val="BodyText"/>
        <w:spacing w:before="7"/>
        <w:rPr>
          <w:b/>
          <w:sz w:val="27"/>
        </w:rPr>
      </w:pPr>
    </w:p>
    <w:p>
      <w:pPr>
        <w:pStyle w:val="BodyText"/>
        <w:ind w:left="280" w:right="502"/>
      </w:pPr>
      <w:r>
        <w:rPr>
          <w:color w:val="374151"/>
          <w:shd w:fill="F7F7F8" w:color="auto" w:val="clear"/>
        </w:rPr>
        <w:t>As licensed mental health professionals, it is essential to recognize the </w:t>
      </w:r>
      <w:r>
        <w:rPr>
          <w:color w:val="374151"/>
        </w:rPr>
        <w:t> </w:t>
      </w:r>
      <w:r>
        <w:rPr>
          <w:color w:val="374151"/>
          <w:shd w:fill="F7F7F8" w:color="auto" w:val="clear"/>
        </w:rPr>
        <w:t>significance of human sexuality in clients' lives and the impact it has on their </w:t>
      </w:r>
      <w:r>
        <w:rPr>
          <w:color w:val="374151"/>
        </w:rPr>
        <w:t> </w:t>
      </w:r>
      <w:r>
        <w:rPr>
          <w:color w:val="374151"/>
          <w:shd w:fill="F7F7F8" w:color="auto" w:val="clear"/>
        </w:rPr>
        <w:t>overall mental well-being. Understanding human sexuality is essential for </w:t>
      </w:r>
      <w:r>
        <w:rPr>
          <w:color w:val="374151"/>
        </w:rPr>
        <w:t> </w:t>
      </w:r>
      <w:r>
        <w:rPr>
          <w:color w:val="374151"/>
          <w:shd w:fill="F7F7F8" w:color="auto" w:val="clear"/>
        </w:rPr>
        <w:t>licensed mental health professionals to provide comprehensive care to their </w:t>
      </w:r>
      <w:r>
        <w:rPr>
          <w:color w:val="374151"/>
        </w:rPr>
        <w:t> </w:t>
      </w:r>
      <w:r>
        <w:rPr>
          <w:color w:val="374151"/>
          <w:shd w:fill="F7F7F8" w:color="auto" w:val="clear"/>
        </w:rPr>
        <w:t>clients. By deepening our understanding of human sexuality, being culturally </w:t>
      </w:r>
      <w:r>
        <w:rPr>
          <w:color w:val="374151"/>
        </w:rPr>
        <w:t> </w:t>
      </w:r>
      <w:r>
        <w:rPr>
          <w:color w:val="374151"/>
          <w:shd w:fill="F7F7F8" w:color="auto" w:val="clear"/>
        </w:rPr>
        <w:t>sensitive, and staying updated with evidence-based practices, mental health </w:t>
      </w:r>
      <w:r>
        <w:rPr>
          <w:color w:val="374151"/>
        </w:rPr>
        <w:t> </w:t>
      </w:r>
      <w:r>
        <w:rPr>
          <w:color w:val="374151"/>
          <w:shd w:fill="F7F7F8" w:color="auto" w:val="clear"/>
        </w:rPr>
        <w:t>professionals</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create</w:t>
      </w:r>
      <w:r>
        <w:rPr>
          <w:color w:val="374151"/>
          <w:spacing w:val="-5"/>
          <w:shd w:fill="F7F7F8" w:color="auto" w:val="clear"/>
        </w:rPr>
        <w:t> </w:t>
      </w:r>
      <w:r>
        <w:rPr>
          <w:color w:val="374151"/>
          <w:shd w:fill="F7F7F8" w:color="auto" w:val="clear"/>
        </w:rPr>
        <w:t>safe</w:t>
      </w:r>
      <w:r>
        <w:rPr>
          <w:color w:val="374151"/>
          <w:spacing w:val="-5"/>
          <w:shd w:fill="F7F7F8" w:color="auto" w:val="clear"/>
        </w:rPr>
        <w:t> </w:t>
      </w:r>
      <w:r>
        <w:rPr>
          <w:color w:val="374151"/>
          <w:shd w:fill="F7F7F8" w:color="auto" w:val="clear"/>
        </w:rPr>
        <w:t>spaces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offer</w:t>
      </w:r>
      <w:r>
        <w:rPr>
          <w:color w:val="374151"/>
          <w:spacing w:val="-4"/>
          <w:shd w:fill="F7F7F8" w:color="auto" w:val="clear"/>
        </w:rPr>
        <w:t> </w:t>
      </w:r>
      <w:r>
        <w:rPr>
          <w:color w:val="374151"/>
          <w:shd w:fill="F7F7F8" w:color="auto" w:val="clear"/>
        </w:rPr>
        <w:t>effective</w:t>
      </w:r>
      <w:r>
        <w:rPr>
          <w:color w:val="374151"/>
          <w:spacing w:val="-5"/>
          <w:shd w:fill="F7F7F8" w:color="auto" w:val="clear"/>
        </w:rPr>
        <w:t> </w:t>
      </w:r>
      <w:r>
        <w:rPr>
          <w:color w:val="374151"/>
          <w:shd w:fill="F7F7F8" w:color="auto" w:val="clear"/>
        </w:rPr>
        <w:t>care</w:t>
      </w:r>
      <w:r>
        <w:rPr>
          <w:color w:val="374151"/>
          <w:spacing w:val="-5"/>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hd w:fill="F7F7F8" w:color="auto" w:val="clear"/>
        </w:rPr>
        <w:t>diverse</w:t>
      </w:r>
      <w:r>
        <w:rPr>
          <w:color w:val="374151"/>
          <w:spacing w:val="-5"/>
          <w:shd w:fill="F7F7F8" w:color="auto" w:val="clear"/>
        </w:rPr>
        <w:t> </w:t>
      </w:r>
      <w:r>
        <w:rPr>
          <w:color w:val="374151"/>
          <w:shd w:fill="F7F7F8" w:color="auto" w:val="clear"/>
        </w:rPr>
        <w:t>range</w:t>
      </w:r>
      <w:r>
        <w:rPr>
          <w:color w:val="374151"/>
          <w:spacing w:val="-14"/>
          <w:shd w:fill="F7F7F8" w:color="auto" w:val="clear"/>
        </w:rPr>
        <w:t> </w:t>
      </w:r>
      <w:r>
        <w:rPr>
          <w:color w:val="374151"/>
          <w:spacing w:val="-14"/>
        </w:rPr>
        <w:t> </w:t>
      </w:r>
      <w:r>
        <w:rPr>
          <w:color w:val="374151"/>
          <w:shd w:fill="F7F7F8" w:color="auto" w:val="clear"/>
        </w:rPr>
        <w:t>of sexual concerns. By developing knowledge and competence in this area, </w:t>
      </w:r>
      <w:r>
        <w:rPr>
          <w:color w:val="374151"/>
        </w:rPr>
        <w:t> </w:t>
      </w:r>
      <w:r>
        <w:rPr>
          <w:color w:val="374151"/>
          <w:shd w:fill="F7F7F8" w:color="auto" w:val="clear"/>
        </w:rPr>
        <w:t>professionals can create safe spaces, address sexual concerns, and support </w:t>
      </w:r>
      <w:r>
        <w:rPr>
          <w:color w:val="374151"/>
        </w:rPr>
        <w:t> </w:t>
      </w:r>
      <w:r>
        <w:rPr>
          <w:color w:val="374151"/>
          <w:shd w:fill="F7F7F8" w:color="auto" w:val="clear"/>
        </w:rPr>
        <w:t>clients' sexual well-being. Cultivating an inclusive, nonjudgmental approach </w:t>
      </w:r>
      <w:r>
        <w:rPr>
          <w:color w:val="374151"/>
        </w:rPr>
        <w:t> </w:t>
      </w:r>
      <w:r>
        <w:rPr>
          <w:color w:val="374151"/>
          <w:shd w:fill="F7F7F8" w:color="auto" w:val="clear"/>
        </w:rPr>
        <w:t>while</w:t>
      </w:r>
      <w:r>
        <w:rPr>
          <w:color w:val="374151"/>
          <w:spacing w:val="-4"/>
          <w:shd w:fill="F7F7F8" w:color="auto" w:val="clear"/>
        </w:rPr>
        <w:t> </w:t>
      </w:r>
      <w:r>
        <w:rPr>
          <w:color w:val="374151"/>
          <w:shd w:fill="F7F7F8" w:color="auto" w:val="clear"/>
        </w:rPr>
        <w:t>staying</w:t>
      </w:r>
      <w:r>
        <w:rPr>
          <w:color w:val="374151"/>
          <w:spacing w:val="-3"/>
          <w:shd w:fill="F7F7F8" w:color="auto" w:val="clear"/>
        </w:rPr>
        <w:t> </w:t>
      </w:r>
      <w:r>
        <w:rPr>
          <w:color w:val="374151"/>
          <w:shd w:fill="F7F7F8" w:color="auto" w:val="clear"/>
        </w:rPr>
        <w:t>attuned</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cultural</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societal</w:t>
      </w:r>
      <w:r>
        <w:rPr>
          <w:color w:val="374151"/>
          <w:spacing w:val="-3"/>
          <w:shd w:fill="F7F7F8" w:color="auto" w:val="clear"/>
        </w:rPr>
        <w:t> </w:t>
      </w:r>
      <w:r>
        <w:rPr>
          <w:color w:val="374151"/>
          <w:shd w:fill="F7F7F8" w:color="auto" w:val="clear"/>
        </w:rPr>
        <w:t>influences</w:t>
      </w:r>
      <w:r>
        <w:rPr>
          <w:color w:val="374151"/>
          <w:spacing w:val="-3"/>
          <w:shd w:fill="F7F7F8" w:color="auto" w:val="clear"/>
        </w:rPr>
        <w:t> </w:t>
      </w:r>
      <w:r>
        <w:rPr>
          <w:color w:val="374151"/>
          <w:shd w:fill="F7F7F8" w:color="auto" w:val="clear"/>
        </w:rPr>
        <w:t>allows</w:t>
      </w:r>
      <w:r>
        <w:rPr>
          <w:color w:val="374151"/>
          <w:spacing w:val="-3"/>
          <w:shd w:fill="F7F7F8" w:color="auto" w:val="clear"/>
        </w:rPr>
        <w:t> </w:t>
      </w:r>
      <w:r>
        <w:rPr>
          <w:color w:val="374151"/>
          <w:shd w:fill="F7F7F8" w:color="auto" w:val="clear"/>
        </w:rPr>
        <w:t>professionals</w:t>
      </w:r>
      <w:r>
        <w:rPr>
          <w:color w:val="374151"/>
          <w:spacing w:val="-3"/>
          <w:shd w:fill="F7F7F8" w:color="auto" w:val="clear"/>
        </w:rPr>
        <w:t> </w:t>
      </w:r>
      <w:r>
        <w:rPr>
          <w:color w:val="374151"/>
          <w:shd w:fill="F7F7F8" w:color="auto" w:val="clear"/>
        </w:rPr>
        <w:t>to</w:t>
      </w:r>
      <w:r>
        <w:rPr>
          <w:color w:val="374151"/>
        </w:rPr>
        <w:t> </w:t>
      </w:r>
      <w:r>
        <w:rPr>
          <w:color w:val="374151"/>
          <w:shd w:fill="F7F7F8" w:color="auto" w:val="clear"/>
        </w:rPr>
        <w:t>provide effective interventions and sexual education. Continuous self-</w:t>
      </w:r>
      <w:r>
        <w:rPr>
          <w:color w:val="374151"/>
        </w:rPr>
        <w:t> </w:t>
      </w:r>
      <w:r>
        <w:rPr>
          <w:color w:val="374151"/>
          <w:shd w:fill="F7F7F8" w:color="auto" w:val="clear"/>
        </w:rPr>
        <w:t>reflection and professional development enable mental health professionals to </w:t>
      </w:r>
      <w:r>
        <w:rPr>
          <w:color w:val="374151"/>
        </w:rPr>
        <w:t> </w:t>
      </w:r>
      <w:r>
        <w:rPr>
          <w:color w:val="374151"/>
          <w:shd w:fill="F7F7F8" w:color="auto" w:val="clear"/>
        </w:rPr>
        <w:t>enhance their understanding of human sexuality and deliver high-quality care </w:t>
      </w:r>
      <w:r>
        <w:rPr>
          <w:color w:val="374151"/>
        </w:rPr>
        <w:t> </w:t>
      </w:r>
      <w:r>
        <w:rPr>
          <w:color w:val="374151"/>
          <w:shd w:fill="F7F7F8" w:color="auto" w:val="clear"/>
        </w:rPr>
        <w:t>to a diverse range of clients.</w:t>
      </w:r>
    </w:p>
    <w:p>
      <w:pPr>
        <w:spacing w:after="0"/>
        <w:sectPr>
          <w:pgSz w:w="12240" w:h="15840"/>
          <w:pgMar w:header="0" w:footer="765" w:top="1260" w:bottom="980" w:left="1400" w:right="1180"/>
        </w:sectPr>
      </w:pPr>
    </w:p>
    <w:p>
      <w:pPr>
        <w:pStyle w:val="BodyText"/>
        <w:spacing w:before="66"/>
        <w:ind w:left="280" w:right="502"/>
      </w:pPr>
      <w:r>
        <w:rPr>
          <w:color w:val="374151"/>
          <w:shd w:fill="F7F7F8" w:color="auto" w:val="clear"/>
        </w:rPr>
        <w:t>Sexual health today encompasses not only certain aspects of reproductive </w:t>
      </w:r>
      <w:r>
        <w:rPr>
          <w:color w:val="374151"/>
        </w:rPr>
        <w:t> </w:t>
      </w:r>
      <w:r>
        <w:rPr>
          <w:color w:val="374151"/>
          <w:shd w:fill="F7F7F8" w:color="auto" w:val="clear"/>
        </w:rPr>
        <w:t>health – such as being able to control one’s fertility and being free from </w:t>
      </w:r>
      <w:r>
        <w:rPr>
          <w:color w:val="374151"/>
        </w:rPr>
        <w:t> </w:t>
      </w:r>
      <w:r>
        <w:rPr>
          <w:color w:val="374151"/>
          <w:shd w:fill="F7F7F8" w:color="auto" w:val="clear"/>
        </w:rPr>
        <w:t>sexually</w:t>
      </w:r>
      <w:r>
        <w:rPr>
          <w:color w:val="374151"/>
          <w:spacing w:val="-5"/>
          <w:shd w:fill="F7F7F8" w:color="auto" w:val="clear"/>
        </w:rPr>
        <w:t> </w:t>
      </w:r>
      <w:r>
        <w:rPr>
          <w:color w:val="374151"/>
          <w:shd w:fill="F7F7F8" w:color="auto" w:val="clear"/>
        </w:rPr>
        <w:t>transmitted</w:t>
      </w:r>
      <w:r>
        <w:rPr>
          <w:color w:val="374151"/>
          <w:spacing w:val="-5"/>
          <w:shd w:fill="F7F7F8" w:color="auto" w:val="clear"/>
        </w:rPr>
        <w:t> </w:t>
      </w:r>
      <w:r>
        <w:rPr>
          <w:color w:val="374151"/>
          <w:shd w:fill="F7F7F8" w:color="auto" w:val="clear"/>
        </w:rPr>
        <w:t>infections</w:t>
      </w:r>
      <w:r>
        <w:rPr>
          <w:color w:val="374151"/>
          <w:spacing w:val="-5"/>
          <w:shd w:fill="F7F7F8" w:color="auto" w:val="clear"/>
        </w:rPr>
        <w:t> </w:t>
      </w:r>
      <w:r>
        <w:rPr>
          <w:color w:val="374151"/>
          <w:shd w:fill="F7F7F8" w:color="auto" w:val="clear"/>
        </w:rPr>
        <w:t>(STIs),</w:t>
      </w:r>
      <w:r>
        <w:rPr>
          <w:color w:val="374151"/>
          <w:spacing w:val="-5"/>
          <w:shd w:fill="F7F7F8" w:color="auto" w:val="clear"/>
        </w:rPr>
        <w:t> </w:t>
      </w:r>
      <w:r>
        <w:rPr>
          <w:color w:val="374151"/>
          <w:shd w:fill="F7F7F8" w:color="auto" w:val="clear"/>
        </w:rPr>
        <w:t>sexual</w:t>
      </w:r>
      <w:r>
        <w:rPr>
          <w:color w:val="374151"/>
          <w:spacing w:val="-5"/>
          <w:shd w:fill="F7F7F8" w:color="auto" w:val="clear"/>
        </w:rPr>
        <w:t> </w:t>
      </w:r>
      <w:r>
        <w:rPr>
          <w:color w:val="374151"/>
          <w:shd w:fill="F7F7F8" w:color="auto" w:val="clear"/>
        </w:rPr>
        <w:t>dysfunction</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sequelae</w:t>
      </w:r>
      <w:r>
        <w:rPr>
          <w:color w:val="374151"/>
          <w:spacing w:val="-6"/>
          <w:shd w:fill="F7F7F8" w:color="auto" w:val="clear"/>
        </w:rPr>
        <w:t> </w:t>
      </w:r>
      <w:r>
        <w:rPr>
          <w:color w:val="374151"/>
          <w:shd w:fill="F7F7F8" w:color="auto" w:val="clear"/>
        </w:rPr>
        <w:t>related</w:t>
      </w:r>
      <w:r>
        <w:rPr>
          <w:color w:val="374151"/>
          <w:spacing w:val="-5"/>
          <w:shd w:fill="F7F7F8" w:color="auto" w:val="clear"/>
        </w:rPr>
        <w:t> </w:t>
      </w:r>
      <w:r>
        <w:rPr>
          <w:color w:val="374151"/>
          <w:spacing w:val="-5"/>
        </w:rPr>
        <w:t> </w:t>
      </w:r>
      <w:r>
        <w:rPr>
          <w:color w:val="374151"/>
          <w:shd w:fill="F7F7F8" w:color="auto" w:val="clear"/>
        </w:rPr>
        <w:t>to sexual violence or female genital mutilation – but also, the possibility of</w:t>
      </w:r>
      <w:r>
        <w:rPr>
          <w:color w:val="374151"/>
        </w:rPr>
        <w:t> </w:t>
      </w:r>
      <w:r>
        <w:rPr>
          <w:color w:val="374151"/>
          <w:shd w:fill="F7F7F8" w:color="auto" w:val="clear"/>
        </w:rPr>
        <w:t>having pleasurable and safe sexual experiences, free of coercion, </w:t>
      </w:r>
      <w:r>
        <w:rPr>
          <w:color w:val="374151"/>
        </w:rPr>
        <w:t> </w:t>
      </w:r>
      <w:r>
        <w:rPr>
          <w:color w:val="374151"/>
          <w:shd w:fill="F7F7F8" w:color="auto" w:val="clear"/>
        </w:rPr>
        <w:t>discrimination and violence. Indeed, it has become clear that human sexuality </w:t>
      </w:r>
      <w:r>
        <w:rPr>
          <w:color w:val="374151"/>
        </w:rPr>
        <w:t> </w:t>
      </w:r>
      <w:r>
        <w:rPr>
          <w:color w:val="374151"/>
          <w:shd w:fill="F7F7F8" w:color="auto" w:val="clear"/>
        </w:rPr>
        <w:t>includes many different forms of behavior and expression, and that the </w:t>
      </w:r>
      <w:r>
        <w:rPr>
          <w:color w:val="374151"/>
        </w:rPr>
        <w:t> </w:t>
      </w:r>
      <w:r>
        <w:rPr>
          <w:color w:val="374151"/>
          <w:shd w:fill="F7F7F8" w:color="auto" w:val="clear"/>
        </w:rPr>
        <w:t>recognition of the diversity of sexual behavior and expression contributes to </w:t>
      </w:r>
      <w:r>
        <w:rPr>
          <w:color w:val="374151"/>
        </w:rPr>
        <w:t> </w:t>
      </w:r>
      <w:r>
        <w:rPr>
          <w:color w:val="374151"/>
          <w:shd w:fill="F7F7F8" w:color="auto" w:val="clear"/>
        </w:rPr>
        <w:t>people’s overall sense of well-being and health.</w:t>
      </w:r>
    </w:p>
    <w:p>
      <w:pPr>
        <w:pStyle w:val="BodyText"/>
        <w:spacing w:before="3"/>
        <w:rPr>
          <w:sz w:val="26"/>
        </w:rPr>
      </w:pPr>
    </w:p>
    <w:p>
      <w:pPr>
        <w:pStyle w:val="BodyText"/>
        <w:ind w:left="280" w:right="515"/>
      </w:pPr>
      <w:r>
        <w:rPr>
          <w:color w:val="374151"/>
          <w:shd w:fill="F7F7F8" w:color="auto" w:val="clear"/>
        </w:rPr>
        <w:t>Developments over the past three decades, particularly in the wake of the HIV</w:t>
      </w:r>
      <w:r>
        <w:rPr>
          <w:color w:val="374151"/>
        </w:rPr>
        <w:t> </w:t>
      </w:r>
      <w:r>
        <w:rPr>
          <w:color w:val="374151"/>
          <w:shd w:fill="F7F7F8" w:color="auto" w:val="clear"/>
        </w:rPr>
        <w:t>pandemic, have brought an understanding that discrimination and inequality </w:t>
      </w:r>
      <w:r>
        <w:rPr>
          <w:color w:val="374151"/>
        </w:rPr>
        <w:t> </w:t>
      </w:r>
      <w:r>
        <w:rPr>
          <w:color w:val="374151"/>
          <w:shd w:fill="F7F7F8" w:color="auto" w:val="clear"/>
        </w:rPr>
        <w:t>also play a key role in whether or not people can attain and maintain sexual </w:t>
      </w:r>
      <w:r>
        <w:rPr>
          <w:color w:val="374151"/>
        </w:rPr>
        <w:t> </w:t>
      </w:r>
      <w:r>
        <w:rPr>
          <w:color w:val="374151"/>
          <w:shd w:fill="F7F7F8" w:color="auto" w:val="clear"/>
        </w:rPr>
        <w:t>health. For example, those who are perceived as having socially unacceptable </w:t>
      </w:r>
      <w:r>
        <w:rPr>
          <w:color w:val="374151"/>
        </w:rPr>
        <w:t> </w:t>
      </w:r>
      <w:r>
        <w:rPr>
          <w:color w:val="374151"/>
          <w:shd w:fill="F7F7F8" w:color="auto" w:val="clear"/>
        </w:rPr>
        <w:t>sexual practices or characteristics, such as being HIV-positive, being an </w:t>
      </w:r>
      <w:r>
        <w:rPr>
          <w:color w:val="374151"/>
        </w:rPr>
        <w:t> </w:t>
      </w:r>
      <w:r>
        <w:rPr>
          <w:color w:val="374151"/>
          <w:shd w:fill="F7F7F8" w:color="auto" w:val="clear"/>
        </w:rPr>
        <w:t>unmarried sexually active</w:t>
      </w:r>
      <w:r>
        <w:rPr>
          <w:color w:val="374151"/>
          <w:spacing w:val="-1"/>
          <w:shd w:fill="F7F7F8" w:color="auto" w:val="clear"/>
        </w:rPr>
        <w:t> </w:t>
      </w:r>
      <w:r>
        <w:rPr>
          <w:color w:val="374151"/>
          <w:shd w:fill="F7F7F8" w:color="auto" w:val="clear"/>
        </w:rPr>
        <w:t>adolescent, a</w:t>
      </w:r>
      <w:r>
        <w:rPr>
          <w:color w:val="374151"/>
          <w:spacing w:val="-1"/>
          <w:shd w:fill="F7F7F8" w:color="auto" w:val="clear"/>
        </w:rPr>
        <w:t> </w:t>
      </w:r>
      <w:r>
        <w:rPr>
          <w:color w:val="374151"/>
          <w:shd w:fill="F7F7F8" w:color="auto" w:val="clear"/>
        </w:rPr>
        <w:t>sex worker, a</w:t>
      </w:r>
      <w:r>
        <w:rPr>
          <w:color w:val="374151"/>
          <w:spacing w:val="-1"/>
          <w:shd w:fill="F7F7F8" w:color="auto" w:val="clear"/>
        </w:rPr>
        <w:t> </w:t>
      </w:r>
      <w:r>
        <w:rPr>
          <w:color w:val="374151"/>
          <w:shd w:fill="F7F7F8" w:color="auto" w:val="clear"/>
        </w:rPr>
        <w:t>migrant,</w:t>
      </w:r>
      <w:r>
        <w:rPr>
          <w:color w:val="374151"/>
          <w:spacing w:val="-7"/>
          <w:shd w:fill="F7F7F8" w:color="auto" w:val="clear"/>
        </w:rPr>
        <w:t> </w:t>
      </w:r>
      <w:r>
        <w:rPr>
          <w:color w:val="374151"/>
          <w:shd w:fill="F7F7F8" w:color="auto" w:val="clear"/>
        </w:rPr>
        <w:t>a</w:t>
      </w:r>
      <w:r>
        <w:rPr>
          <w:color w:val="374151"/>
          <w:spacing w:val="-7"/>
          <w:shd w:fill="F7F7F8" w:color="auto" w:val="clear"/>
        </w:rPr>
        <w:t> </w:t>
      </w:r>
      <w:r>
        <w:rPr>
          <w:color w:val="374151"/>
          <w:shd w:fill="F7F7F8" w:color="auto" w:val="clear"/>
        </w:rPr>
        <w:t>transgender</w:t>
      </w:r>
      <w:r>
        <w:rPr>
          <w:color w:val="374151"/>
          <w:spacing w:val="-6"/>
          <w:shd w:fill="F7F7F8" w:color="auto" w:val="clear"/>
        </w:rPr>
        <w:t> </w:t>
      </w:r>
      <w:r>
        <w:rPr>
          <w:color w:val="374151"/>
          <w:shd w:fill="F7F7F8" w:color="auto" w:val="clear"/>
        </w:rPr>
        <w:t>or</w:t>
      </w:r>
      <w:r>
        <w:rPr>
          <w:color w:val="374151"/>
        </w:rPr>
        <w:t> </w:t>
      </w:r>
      <w:r>
        <w:rPr>
          <w:color w:val="374151"/>
          <w:shd w:fill="F7F7F8" w:color="auto" w:val="clear"/>
        </w:rPr>
        <w:t>intersex</w:t>
      </w:r>
      <w:r>
        <w:rPr>
          <w:color w:val="374151"/>
          <w:spacing w:val="-1"/>
          <w:shd w:fill="F7F7F8" w:color="auto" w:val="clear"/>
        </w:rPr>
        <w:t> </w:t>
      </w:r>
      <w:r>
        <w:rPr>
          <w:color w:val="374151"/>
          <w:shd w:fill="F7F7F8" w:color="auto" w:val="clear"/>
        </w:rPr>
        <w:t>person,</w:t>
      </w:r>
      <w:r>
        <w:rPr>
          <w:color w:val="374151"/>
          <w:spacing w:val="-1"/>
          <w:shd w:fill="F7F7F8" w:color="auto" w:val="clear"/>
        </w:rPr>
        <w:t> </w:t>
      </w:r>
      <w:r>
        <w:rPr>
          <w:color w:val="374151"/>
          <w:shd w:fill="F7F7F8" w:color="auto" w:val="clear"/>
        </w:rPr>
        <w:t>or</w:t>
      </w:r>
      <w:r>
        <w:rPr>
          <w:color w:val="374151"/>
          <w:spacing w:val="-1"/>
          <w:shd w:fill="F7F7F8" w:color="auto" w:val="clear"/>
        </w:rPr>
        <w:t> </w:t>
      </w:r>
      <w:r>
        <w:rPr>
          <w:color w:val="374151"/>
          <w:shd w:fill="F7F7F8" w:color="auto" w:val="clear"/>
        </w:rPr>
        <w:t>engaging</w:t>
      </w:r>
      <w:r>
        <w:rPr>
          <w:color w:val="374151"/>
          <w:spacing w:val="-1"/>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same-sex</w:t>
      </w:r>
      <w:r>
        <w:rPr>
          <w:color w:val="374151"/>
          <w:spacing w:val="-1"/>
          <w:shd w:fill="F7F7F8" w:color="auto" w:val="clear"/>
        </w:rPr>
        <w:t> </w:t>
      </w:r>
      <w:r>
        <w:rPr>
          <w:color w:val="374151"/>
          <w:shd w:fill="F7F7F8" w:color="auto" w:val="clear"/>
        </w:rPr>
        <w:t>sexual</w:t>
      </w:r>
      <w:r>
        <w:rPr>
          <w:color w:val="374151"/>
          <w:spacing w:val="-1"/>
          <w:shd w:fill="F7F7F8" w:color="auto" w:val="clear"/>
        </w:rPr>
        <w:t> </w:t>
      </w:r>
      <w:r>
        <w:rPr>
          <w:color w:val="374151"/>
          <w:shd w:fill="F7F7F8" w:color="auto" w:val="clear"/>
        </w:rPr>
        <w:t>behavior,</w:t>
      </w:r>
      <w:r>
        <w:rPr>
          <w:color w:val="374151"/>
          <w:spacing w:val="-1"/>
          <w:shd w:fill="F7F7F8" w:color="auto" w:val="clear"/>
        </w:rPr>
        <w:t> </w:t>
      </w:r>
      <w:r>
        <w:rPr>
          <w:color w:val="374151"/>
          <w:shd w:fill="F7F7F8" w:color="auto" w:val="clear"/>
        </w:rPr>
        <w:t>suffer both </w:t>
      </w:r>
      <w:r>
        <w:rPr>
          <w:color w:val="374151"/>
        </w:rPr>
        <w:t> </w:t>
      </w:r>
      <w:r>
        <w:rPr>
          <w:color w:val="374151"/>
          <w:shd w:fill="F7F7F8" w:color="auto" w:val="clear"/>
        </w:rPr>
        <w:t>marginalization and stigma, which take a huge toll on people’s health.</w:t>
      </w:r>
      <w:r>
        <w:rPr>
          <w:color w:val="374151"/>
          <w:spacing w:val="-2"/>
          <w:shd w:fill="F7F7F8" w:color="auto" w:val="clear"/>
        </w:rPr>
        <w:t> </w:t>
      </w:r>
      <w:r>
        <w:rPr>
          <w:color w:val="374151"/>
          <w:shd w:fill="F7F7F8" w:color="auto" w:val="clear"/>
        </w:rPr>
        <w:t>Those </w:t>
      </w:r>
      <w:r>
        <w:rPr>
          <w:color w:val="374151"/>
        </w:rPr>
        <w:t> </w:t>
      </w:r>
      <w:r>
        <w:rPr>
          <w:color w:val="374151"/>
          <w:shd w:fill="F7F7F8" w:color="auto" w:val="clear"/>
        </w:rPr>
        <w:t>who are deprived of, or unable to access, information and services related to </w:t>
      </w:r>
      <w:r>
        <w:rPr>
          <w:color w:val="374151"/>
        </w:rPr>
        <w:t> </w:t>
      </w:r>
      <w:r>
        <w:rPr>
          <w:color w:val="374151"/>
          <w:shd w:fill="F7F7F8" w:color="auto" w:val="clear"/>
        </w:rPr>
        <w:t>sexuality</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sexual</w:t>
      </w:r>
      <w:r>
        <w:rPr>
          <w:color w:val="374151"/>
          <w:spacing w:val="-2"/>
          <w:shd w:fill="F7F7F8" w:color="auto" w:val="clear"/>
        </w:rPr>
        <w:t> </w:t>
      </w:r>
      <w:r>
        <w:rPr>
          <w:color w:val="374151"/>
          <w:shd w:fill="F7F7F8" w:color="auto" w:val="clear"/>
        </w:rPr>
        <w:t>health,</w:t>
      </w:r>
      <w:r>
        <w:rPr>
          <w:color w:val="374151"/>
          <w:spacing w:val="-2"/>
          <w:shd w:fill="F7F7F8" w:color="auto" w:val="clear"/>
        </w:rPr>
        <w:t> </w:t>
      </w:r>
      <w:r>
        <w:rPr>
          <w:color w:val="374151"/>
          <w:shd w:fill="F7F7F8" w:color="auto" w:val="clear"/>
        </w:rPr>
        <w:t>are</w:t>
      </w:r>
      <w:r>
        <w:rPr>
          <w:color w:val="374151"/>
          <w:spacing w:val="-3"/>
          <w:shd w:fill="F7F7F8" w:color="auto" w:val="clear"/>
        </w:rPr>
        <w:t> </w:t>
      </w:r>
      <w:r>
        <w:rPr>
          <w:color w:val="374151"/>
          <w:shd w:fill="F7F7F8" w:color="auto" w:val="clear"/>
        </w:rPr>
        <w:t>also</w:t>
      </w:r>
      <w:r>
        <w:rPr>
          <w:color w:val="374151"/>
          <w:spacing w:val="-2"/>
          <w:shd w:fill="F7F7F8" w:color="auto" w:val="clear"/>
        </w:rPr>
        <w:t> </w:t>
      </w:r>
      <w:r>
        <w:rPr>
          <w:color w:val="374151"/>
          <w:shd w:fill="F7F7F8" w:color="auto" w:val="clear"/>
        </w:rPr>
        <w:t>vulnerable</w:t>
      </w:r>
      <w:r>
        <w:rPr>
          <w:color w:val="374151"/>
          <w:spacing w:val="-3"/>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sexual</w:t>
      </w:r>
      <w:r>
        <w:rPr>
          <w:color w:val="374151"/>
          <w:spacing w:val="-2"/>
          <w:shd w:fill="F7F7F8" w:color="auto" w:val="clear"/>
        </w:rPr>
        <w:t> </w:t>
      </w:r>
      <w:r>
        <w:rPr>
          <w:color w:val="374151"/>
          <w:shd w:fill="F7F7F8" w:color="auto" w:val="clear"/>
        </w:rPr>
        <w:t>ill</w:t>
      </w:r>
      <w:r>
        <w:rPr>
          <w:color w:val="374151"/>
          <w:spacing w:val="-2"/>
          <w:shd w:fill="F7F7F8" w:color="auto" w:val="clear"/>
        </w:rPr>
        <w:t> </w:t>
      </w:r>
      <w:r>
        <w:rPr>
          <w:color w:val="374151"/>
          <w:shd w:fill="F7F7F8" w:color="auto" w:val="clear"/>
        </w:rPr>
        <w:t>health.</w:t>
      </w:r>
      <w:r>
        <w:rPr>
          <w:color w:val="374151"/>
          <w:spacing w:val="-2"/>
          <w:shd w:fill="F7F7F8" w:color="auto" w:val="clear"/>
        </w:rPr>
        <w:t> </w:t>
      </w:r>
      <w:r>
        <w:rPr>
          <w:color w:val="374151"/>
          <w:shd w:fill="F7F7F8" w:color="auto" w:val="clear"/>
        </w:rPr>
        <w:t>Indeed,</w:t>
      </w:r>
      <w:r>
        <w:rPr>
          <w:color w:val="374151"/>
          <w:spacing w:val="-2"/>
          <w:shd w:fill="F7F7F8" w:color="auto" w:val="clear"/>
        </w:rPr>
        <w:t> </w:t>
      </w:r>
      <w:r>
        <w:rPr>
          <w:color w:val="374151"/>
          <w:shd w:fill="F7F7F8" w:color="auto" w:val="clear"/>
        </w:rPr>
        <w:t>the</w:t>
      </w:r>
      <w:r>
        <w:rPr>
          <w:color w:val="374151"/>
          <w:spacing w:val="-3"/>
          <w:shd w:fill="F7F7F8" w:color="auto" w:val="clear"/>
        </w:rPr>
        <w:t> </w:t>
      </w:r>
      <w:r>
        <w:rPr>
          <w:color w:val="374151"/>
          <w:spacing w:val="-3"/>
        </w:rPr>
        <w:t> </w:t>
      </w:r>
      <w:r>
        <w:rPr>
          <w:color w:val="374151"/>
          <w:shd w:fill="F7F7F8" w:color="auto" w:val="clear"/>
        </w:rPr>
        <w:t>ability of individuals to achieve sexual health and well-being depends on their </w:t>
      </w:r>
      <w:r>
        <w:rPr>
          <w:color w:val="374151"/>
        </w:rPr>
        <w:t> </w:t>
      </w:r>
      <w:r>
        <w:rPr>
          <w:color w:val="374151"/>
          <w:shd w:fill="F7F7F8" w:color="auto" w:val="clear"/>
        </w:rPr>
        <w:t>access to comprehensive information about sexuality, knowledge about the </w:t>
      </w:r>
      <w:r>
        <w:rPr>
          <w:color w:val="374151"/>
        </w:rPr>
        <w:t> </w:t>
      </w:r>
      <w:r>
        <w:rPr>
          <w:color w:val="374151"/>
          <w:shd w:fill="F7F7F8" w:color="auto" w:val="clear"/>
        </w:rPr>
        <w:t>risks they face, vulnerability to the adverse consequences of sexual activity, </w:t>
      </w:r>
      <w:r>
        <w:rPr>
          <w:color w:val="374151"/>
        </w:rPr>
        <w:t> </w:t>
      </w:r>
      <w:r>
        <w:rPr>
          <w:color w:val="374151"/>
          <w:shd w:fill="F7F7F8" w:color="auto" w:val="clear"/>
        </w:rPr>
        <w:t>access to good quality sexual health care, and access to an environment that </w:t>
      </w:r>
      <w:r>
        <w:rPr>
          <w:color w:val="374151"/>
        </w:rPr>
        <w:t> </w:t>
      </w:r>
      <w:r>
        <w:rPr>
          <w:color w:val="374151"/>
          <w:shd w:fill="F7F7F8" w:color="auto" w:val="clear"/>
        </w:rPr>
        <w:t>affirms and promotes sexual health.</w:t>
      </w:r>
      <w:r>
        <w:rPr>
          <w:color w:val="374151"/>
          <w:spacing w:val="-20"/>
          <w:shd w:fill="F7F7F8" w:color="auto" w:val="clear"/>
        </w:rPr>
        <w:t> </w:t>
      </w:r>
      <w:r>
        <w:rPr>
          <w:color w:val="374151"/>
          <w:shd w:fill="F7F7F8" w:color="auto" w:val="clear"/>
        </w:rPr>
        <w:t>As well as being detrimental to their </w:t>
      </w:r>
      <w:r>
        <w:rPr>
          <w:color w:val="374151"/>
        </w:rPr>
        <w:t> </w:t>
      </w:r>
      <w:r>
        <w:rPr>
          <w:color w:val="374151"/>
          <w:shd w:fill="F7F7F8" w:color="auto" w:val="clear"/>
        </w:rPr>
        <w:t>sexual</w:t>
      </w:r>
      <w:r>
        <w:rPr>
          <w:color w:val="374151"/>
          <w:spacing w:val="-2"/>
          <w:shd w:fill="F7F7F8" w:color="auto" w:val="clear"/>
        </w:rPr>
        <w:t> </w:t>
      </w:r>
      <w:r>
        <w:rPr>
          <w:color w:val="374151"/>
          <w:shd w:fill="F7F7F8" w:color="auto" w:val="clear"/>
        </w:rPr>
        <w:t>health,</w:t>
      </w:r>
      <w:r>
        <w:rPr>
          <w:color w:val="374151"/>
          <w:spacing w:val="-2"/>
          <w:shd w:fill="F7F7F8" w:color="auto" w:val="clear"/>
        </w:rPr>
        <w:t> </w:t>
      </w:r>
      <w:r>
        <w:rPr>
          <w:color w:val="374151"/>
          <w:shd w:fill="F7F7F8" w:color="auto" w:val="clear"/>
        </w:rPr>
        <w:t>discrimination</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inequalities</w:t>
      </w:r>
      <w:r>
        <w:rPr>
          <w:color w:val="374151"/>
          <w:spacing w:val="-2"/>
          <w:shd w:fill="F7F7F8" w:color="auto" w:val="clear"/>
        </w:rPr>
        <w:t> </w:t>
      </w:r>
      <w:r>
        <w:rPr>
          <w:color w:val="374151"/>
          <w:shd w:fill="F7F7F8" w:color="auto" w:val="clear"/>
        </w:rPr>
        <w:t>may</w:t>
      </w:r>
      <w:r>
        <w:rPr>
          <w:color w:val="374151"/>
          <w:spacing w:val="-2"/>
          <w:shd w:fill="F7F7F8" w:color="auto" w:val="clear"/>
        </w:rPr>
        <w:t> </w:t>
      </w:r>
      <w:r>
        <w:rPr>
          <w:color w:val="374151"/>
          <w:shd w:fill="F7F7F8" w:color="auto" w:val="clear"/>
        </w:rPr>
        <w:t>also</w:t>
      </w:r>
      <w:r>
        <w:rPr>
          <w:color w:val="374151"/>
          <w:spacing w:val="-2"/>
          <w:shd w:fill="F7F7F8" w:color="auto" w:val="clear"/>
        </w:rPr>
        <w:t> </w:t>
      </w:r>
      <w:r>
        <w:rPr>
          <w:color w:val="374151"/>
          <w:shd w:fill="F7F7F8" w:color="auto" w:val="clear"/>
        </w:rPr>
        <w:t>constitute</w:t>
      </w:r>
      <w:r>
        <w:rPr>
          <w:color w:val="374151"/>
          <w:spacing w:val="-3"/>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violation</w:t>
      </w:r>
      <w:r>
        <w:rPr>
          <w:color w:val="374151"/>
          <w:spacing w:val="-2"/>
          <w:shd w:fill="F7F7F8" w:color="auto" w:val="clear"/>
        </w:rPr>
        <w:t> </w:t>
      </w:r>
      <w:r>
        <w:rPr>
          <w:color w:val="374151"/>
          <w:shd w:fill="F7F7F8" w:color="auto" w:val="clear"/>
        </w:rPr>
        <w:t>of</w:t>
      </w:r>
      <w:r>
        <w:rPr>
          <w:color w:val="374151"/>
        </w:rPr>
        <w:t> </w:t>
      </w:r>
      <w:r>
        <w:rPr>
          <w:color w:val="374151"/>
          <w:shd w:fill="F7F7F8" w:color="auto" w:val="clear"/>
        </w:rPr>
        <w:t>human rights. The achievement of the highest attainable standard of sexual </w:t>
      </w:r>
      <w:r>
        <w:rPr>
          <w:color w:val="374151"/>
        </w:rPr>
        <w:t> </w:t>
      </w:r>
      <w:r>
        <w:rPr>
          <w:color w:val="374151"/>
          <w:shd w:fill="F7F7F8" w:color="auto" w:val="clear"/>
        </w:rPr>
        <w:t>health is therefore closely linked to the extent to which people’s human rights </w:t>
      </w:r>
      <w:r>
        <w:rPr>
          <w:color w:val="374151"/>
        </w:rPr>
        <w:t> </w:t>
      </w:r>
      <w:r>
        <w:rPr>
          <w:color w:val="374151"/>
          <w:shd w:fill="F7F7F8" w:color="auto" w:val="clear"/>
        </w:rPr>
        <w:t>– such as the</w:t>
      </w:r>
      <w:r>
        <w:rPr>
          <w:color w:val="374151"/>
          <w:spacing w:val="-1"/>
          <w:shd w:fill="F7F7F8" w:color="auto" w:val="clear"/>
        </w:rPr>
        <w:t> </w:t>
      </w:r>
      <w:r>
        <w:rPr>
          <w:color w:val="374151"/>
          <w:shd w:fill="F7F7F8" w:color="auto" w:val="clear"/>
        </w:rPr>
        <w:t>rights to non-discrimination, to privacy and confidentiality, to be</w:t>
      </w:r>
      <w:r>
        <w:rPr>
          <w:color w:val="374151"/>
          <w:spacing w:val="-1"/>
          <w:shd w:fill="F7F7F8" w:color="auto" w:val="clear"/>
        </w:rPr>
        <w:t> </w:t>
      </w:r>
      <w:r>
        <w:rPr>
          <w:color w:val="374151"/>
          <w:spacing w:val="-1"/>
        </w:rPr>
        <w:t> </w:t>
      </w:r>
      <w:r>
        <w:rPr>
          <w:color w:val="374151"/>
          <w:shd w:fill="F7F7F8" w:color="auto" w:val="clear"/>
        </w:rPr>
        <w:t>free</w:t>
      </w:r>
      <w:r>
        <w:rPr>
          <w:color w:val="374151"/>
          <w:spacing w:val="-6"/>
          <w:shd w:fill="F7F7F8" w:color="auto" w:val="clear"/>
        </w:rPr>
        <w:t> </w:t>
      </w:r>
      <w:r>
        <w:rPr>
          <w:color w:val="374151"/>
          <w:shd w:fill="F7F7F8" w:color="auto" w:val="clear"/>
        </w:rPr>
        <w:t>from</w:t>
      </w:r>
      <w:r>
        <w:rPr>
          <w:color w:val="374151"/>
          <w:spacing w:val="-3"/>
          <w:shd w:fill="F7F7F8" w:color="auto" w:val="clear"/>
        </w:rPr>
        <w:t> </w:t>
      </w:r>
      <w:r>
        <w:rPr>
          <w:color w:val="374151"/>
          <w:shd w:fill="F7F7F8" w:color="auto" w:val="clear"/>
        </w:rPr>
        <w:t>violence</w:t>
      </w:r>
      <w:r>
        <w:rPr>
          <w:color w:val="374151"/>
          <w:spacing w:val="-4"/>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coercion,</w:t>
      </w:r>
      <w:r>
        <w:rPr>
          <w:color w:val="374151"/>
          <w:spacing w:val="-3"/>
          <w:shd w:fill="F7F7F8" w:color="auto" w:val="clear"/>
        </w:rPr>
        <w:t> </w:t>
      </w:r>
      <w:r>
        <w:rPr>
          <w:color w:val="374151"/>
          <w:shd w:fill="F7F7F8" w:color="auto" w:val="clear"/>
        </w:rPr>
        <w:t>as</w:t>
      </w:r>
      <w:r>
        <w:rPr>
          <w:color w:val="374151"/>
          <w:spacing w:val="-3"/>
          <w:shd w:fill="F7F7F8" w:color="auto" w:val="clear"/>
        </w:rPr>
        <w:t> </w:t>
      </w:r>
      <w:r>
        <w:rPr>
          <w:color w:val="374151"/>
          <w:shd w:fill="F7F7F8" w:color="auto" w:val="clear"/>
        </w:rPr>
        <w:t>well</w:t>
      </w:r>
      <w:r>
        <w:rPr>
          <w:color w:val="374151"/>
          <w:spacing w:val="-3"/>
          <w:shd w:fill="F7F7F8" w:color="auto" w:val="clear"/>
        </w:rPr>
        <w:t> </w:t>
      </w:r>
      <w:r>
        <w:rPr>
          <w:color w:val="374151"/>
          <w:shd w:fill="F7F7F8" w:color="auto" w:val="clear"/>
        </w:rPr>
        <w:t>as</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rights</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education,</w:t>
      </w:r>
      <w:r>
        <w:rPr>
          <w:color w:val="374151"/>
          <w:spacing w:val="-3"/>
          <w:shd w:fill="F7F7F8" w:color="auto" w:val="clear"/>
        </w:rPr>
        <w:t> </w:t>
      </w:r>
      <w:r>
        <w:rPr>
          <w:color w:val="374151"/>
          <w:shd w:fill="F7F7F8" w:color="auto" w:val="clear"/>
        </w:rPr>
        <w:t>information</w:t>
      </w:r>
      <w:r>
        <w:rPr>
          <w:color w:val="374151"/>
          <w:spacing w:val="-24"/>
          <w:shd w:fill="F7F7F8" w:color="auto" w:val="clear"/>
        </w:rPr>
        <w:t> </w:t>
      </w:r>
      <w:r>
        <w:rPr>
          <w:color w:val="374151"/>
          <w:spacing w:val="-24"/>
        </w:rPr>
        <w:t> </w:t>
      </w:r>
      <w:r>
        <w:rPr>
          <w:color w:val="374151"/>
          <w:shd w:fill="F7F7F8" w:color="auto" w:val="clear"/>
        </w:rPr>
        <w:t>and access to health services are respected, protected and fulfilled. In the past</w:t>
      </w:r>
      <w:r>
        <w:rPr>
          <w:color w:val="374151"/>
        </w:rPr>
        <w:t> </w:t>
      </w:r>
      <w:r>
        <w:rPr>
          <w:color w:val="374151"/>
          <w:shd w:fill="F7F7F8" w:color="auto" w:val="clear"/>
        </w:rPr>
        <w:t>two decades, an important body of human rights standards pertaining to</w:t>
      </w:r>
      <w:r>
        <w:rPr>
          <w:color w:val="374151"/>
        </w:rPr>
        <w:t> </w:t>
      </w:r>
      <w:r>
        <w:rPr>
          <w:color w:val="374151"/>
          <w:shd w:fill="F7F7F8" w:color="auto" w:val="clear"/>
        </w:rPr>
        <w:t>sexuality and sexual health has been developed.</w:t>
      </w:r>
    </w:p>
    <w:p>
      <w:pPr>
        <w:spacing w:after="0"/>
        <w:sectPr>
          <w:pgSz w:w="12240" w:h="15840"/>
          <w:pgMar w:header="0" w:footer="765" w:top="1580" w:bottom="980" w:left="1400" w:right="1180"/>
        </w:sectPr>
      </w:pPr>
    </w:p>
    <w:p>
      <w:pPr>
        <w:pStyle w:val="Heading1"/>
        <w:numPr>
          <w:ilvl w:val="0"/>
          <w:numId w:val="3"/>
        </w:numPr>
        <w:tabs>
          <w:tab w:pos="625" w:val="left" w:leader="none"/>
        </w:tabs>
        <w:spacing w:line="240" w:lineRule="auto" w:before="70" w:after="0"/>
        <w:ind w:left="625" w:right="0" w:hanging="345"/>
        <w:jc w:val="left"/>
      </w:pPr>
      <w:bookmarkStart w:name="_TOC_250008" w:id="2"/>
      <w:r>
        <w:rPr>
          <w:spacing w:val="-8"/>
        </w:rPr>
        <w:t>Sexuality</w:t>
      </w:r>
      <w:r>
        <w:rPr>
          <w:spacing w:val="-7"/>
        </w:rPr>
        <w:t> </w:t>
      </w:r>
      <w:bookmarkEnd w:id="2"/>
      <w:r>
        <w:rPr>
          <w:spacing w:val="-8"/>
        </w:rPr>
        <w:t>and Human Development</w:t>
      </w:r>
    </w:p>
    <w:p>
      <w:pPr>
        <w:pStyle w:val="Heading2"/>
        <w:spacing w:before="346"/>
      </w:pPr>
      <w:r>
        <w:rPr/>
        <w:t>Understanding</w:t>
      </w:r>
      <w:r>
        <w:rPr>
          <w:spacing w:val="-5"/>
        </w:rPr>
        <w:t> </w:t>
      </w:r>
      <w:r>
        <w:rPr/>
        <w:t>Human</w:t>
      </w:r>
      <w:r>
        <w:rPr>
          <w:spacing w:val="-5"/>
        </w:rPr>
        <w:t> </w:t>
      </w:r>
      <w:r>
        <w:rPr/>
        <w:t>Sexuality</w:t>
      </w:r>
      <w:r>
        <w:rPr>
          <w:spacing w:val="-5"/>
        </w:rPr>
        <w:t> </w:t>
      </w:r>
      <w:r>
        <w:rPr/>
        <w:t>in</w:t>
      </w:r>
      <w:r>
        <w:rPr>
          <w:spacing w:val="-5"/>
        </w:rPr>
        <w:t> </w:t>
      </w:r>
      <w:r>
        <w:rPr/>
        <w:t>the</w:t>
      </w:r>
      <w:r>
        <w:rPr>
          <w:spacing w:val="-6"/>
        </w:rPr>
        <w:t> </w:t>
      </w:r>
      <w:r>
        <w:rPr/>
        <w:t>Context</w:t>
      </w:r>
      <w:r>
        <w:rPr>
          <w:spacing w:val="-5"/>
        </w:rPr>
        <w:t> </w:t>
      </w:r>
      <w:r>
        <w:rPr/>
        <w:t>of</w:t>
      </w:r>
      <w:r>
        <w:rPr>
          <w:spacing w:val="-5"/>
        </w:rPr>
        <w:t> </w:t>
      </w:r>
      <w:r>
        <w:rPr/>
        <w:t>Human</w:t>
      </w:r>
      <w:r>
        <w:rPr>
          <w:spacing w:val="-5"/>
        </w:rPr>
        <w:t> </w:t>
      </w:r>
      <w:r>
        <w:rPr/>
        <w:t>Growth</w:t>
      </w:r>
      <w:r>
        <w:rPr>
          <w:spacing w:val="-5"/>
        </w:rPr>
        <w:t> </w:t>
      </w:r>
      <w:r>
        <w:rPr/>
        <w:t>and </w:t>
      </w:r>
      <w:r>
        <w:rPr>
          <w:spacing w:val="-2"/>
        </w:rPr>
        <w:t>Development</w:t>
      </w:r>
    </w:p>
    <w:p>
      <w:pPr>
        <w:pStyle w:val="BodyText"/>
        <w:spacing w:before="5"/>
        <w:rPr>
          <w:b/>
          <w:sz w:val="27"/>
        </w:rPr>
      </w:pPr>
    </w:p>
    <w:p>
      <w:pPr>
        <w:spacing w:before="0"/>
        <w:ind w:left="280" w:right="0" w:firstLine="0"/>
        <w:jc w:val="left"/>
        <w:rPr>
          <w:b/>
          <w:sz w:val="28"/>
        </w:rPr>
      </w:pPr>
      <w:r>
        <w:rPr>
          <w:b/>
          <w:spacing w:val="-2"/>
          <w:sz w:val="28"/>
        </w:rPr>
        <w:t>Introduction</w:t>
      </w:r>
    </w:p>
    <w:p>
      <w:pPr>
        <w:pStyle w:val="BodyText"/>
        <w:spacing w:before="8"/>
        <w:rPr>
          <w:b/>
          <w:sz w:val="27"/>
        </w:rPr>
      </w:pPr>
    </w:p>
    <w:p>
      <w:pPr>
        <w:pStyle w:val="BodyText"/>
        <w:ind w:left="280" w:right="502"/>
      </w:pPr>
      <w:r>
        <w:rPr/>
        <w:t>Human</w:t>
      </w:r>
      <w:r>
        <w:rPr>
          <w:spacing w:val="-4"/>
        </w:rPr>
        <w:t> </w:t>
      </w:r>
      <w:r>
        <w:rPr/>
        <w:t>sexuality</w:t>
      </w:r>
      <w:r>
        <w:rPr>
          <w:spacing w:val="-4"/>
        </w:rPr>
        <w:t> </w:t>
      </w:r>
      <w:r>
        <w:rPr/>
        <w:t>is</w:t>
      </w:r>
      <w:r>
        <w:rPr>
          <w:spacing w:val="-4"/>
        </w:rPr>
        <w:t> </w:t>
      </w:r>
      <w:r>
        <w:rPr/>
        <w:t>a</w:t>
      </w:r>
      <w:r>
        <w:rPr>
          <w:spacing w:val="-5"/>
        </w:rPr>
        <w:t> </w:t>
      </w:r>
      <w:r>
        <w:rPr/>
        <w:t>complex</w:t>
      </w:r>
      <w:r>
        <w:rPr>
          <w:spacing w:val="-4"/>
        </w:rPr>
        <w:t> </w:t>
      </w:r>
      <w:r>
        <w:rPr/>
        <w:t>and</w:t>
      </w:r>
      <w:r>
        <w:rPr>
          <w:spacing w:val="-4"/>
        </w:rPr>
        <w:t> </w:t>
      </w:r>
      <w:r>
        <w:rPr/>
        <w:t>integral</w:t>
      </w:r>
      <w:r>
        <w:rPr>
          <w:spacing w:val="-4"/>
        </w:rPr>
        <w:t> </w:t>
      </w:r>
      <w:r>
        <w:rPr/>
        <w:t>aspect</w:t>
      </w:r>
      <w:r>
        <w:rPr>
          <w:spacing w:val="-4"/>
        </w:rPr>
        <w:t> </w:t>
      </w:r>
      <w:r>
        <w:rPr/>
        <w:t>of</w:t>
      </w:r>
      <w:r>
        <w:rPr>
          <w:spacing w:val="-4"/>
        </w:rPr>
        <w:t> </w:t>
      </w:r>
      <w:r>
        <w:rPr/>
        <w:t>human</w:t>
      </w:r>
      <w:r>
        <w:rPr>
          <w:spacing w:val="-4"/>
        </w:rPr>
        <w:t> </w:t>
      </w:r>
      <w:r>
        <w:rPr/>
        <w:t>life,</w:t>
      </w:r>
      <w:r>
        <w:rPr>
          <w:spacing w:val="-4"/>
        </w:rPr>
        <w:t> </w:t>
      </w:r>
      <w:r>
        <w:rPr/>
        <w:t>encompassing various biological, psychological, and sociocultural factors. It plays a significant</w:t>
      </w:r>
      <w:r>
        <w:rPr>
          <w:spacing w:val="-5"/>
        </w:rPr>
        <w:t> </w:t>
      </w:r>
      <w:r>
        <w:rPr/>
        <w:t>role</w:t>
      </w:r>
      <w:r>
        <w:rPr>
          <w:spacing w:val="-6"/>
        </w:rPr>
        <w:t> </w:t>
      </w:r>
      <w:r>
        <w:rPr/>
        <w:t>in</w:t>
      </w:r>
      <w:r>
        <w:rPr>
          <w:spacing w:val="-5"/>
        </w:rPr>
        <w:t> </w:t>
      </w:r>
      <w:r>
        <w:rPr/>
        <w:t>human</w:t>
      </w:r>
      <w:r>
        <w:rPr>
          <w:spacing w:val="-5"/>
        </w:rPr>
        <w:t> </w:t>
      </w:r>
      <w:r>
        <w:rPr/>
        <w:t>growth</w:t>
      </w:r>
      <w:r>
        <w:rPr>
          <w:spacing w:val="-6"/>
        </w:rPr>
        <w:t> </w:t>
      </w:r>
      <w:r>
        <w:rPr/>
        <w:t>and</w:t>
      </w:r>
      <w:r>
        <w:rPr>
          <w:spacing w:val="-5"/>
        </w:rPr>
        <w:t> </w:t>
      </w:r>
      <w:r>
        <w:rPr/>
        <w:t>development,</w:t>
      </w:r>
      <w:r>
        <w:rPr>
          <w:spacing w:val="-5"/>
        </w:rPr>
        <w:t> </w:t>
      </w:r>
      <w:r>
        <w:rPr/>
        <w:t>shaping</w:t>
      </w:r>
      <w:r>
        <w:rPr>
          <w:spacing w:val="-6"/>
        </w:rPr>
        <w:t> </w:t>
      </w:r>
      <w:r>
        <w:rPr/>
        <w:t>individual</w:t>
      </w:r>
      <w:r>
        <w:rPr>
          <w:spacing w:val="-5"/>
        </w:rPr>
        <w:t> </w:t>
      </w:r>
      <w:r>
        <w:rPr/>
        <w:t>identity, relationships, and overall well-being. Understanding human sexuality within the</w:t>
      </w:r>
      <w:r>
        <w:rPr>
          <w:spacing w:val="-3"/>
        </w:rPr>
        <w:t> </w:t>
      </w:r>
      <w:r>
        <w:rPr/>
        <w:t>context</w:t>
      </w:r>
      <w:r>
        <w:rPr>
          <w:spacing w:val="-2"/>
        </w:rPr>
        <w:t> </w:t>
      </w:r>
      <w:r>
        <w:rPr/>
        <w:t>of</w:t>
      </w:r>
      <w:r>
        <w:rPr>
          <w:spacing w:val="-2"/>
        </w:rPr>
        <w:t> </w:t>
      </w:r>
      <w:r>
        <w:rPr/>
        <w:t>human</w:t>
      </w:r>
      <w:r>
        <w:rPr>
          <w:spacing w:val="-2"/>
        </w:rPr>
        <w:t> </w:t>
      </w:r>
      <w:r>
        <w:rPr/>
        <w:t>growth</w:t>
      </w:r>
      <w:r>
        <w:rPr>
          <w:spacing w:val="-2"/>
        </w:rPr>
        <w:t> </w:t>
      </w:r>
      <w:r>
        <w:rPr/>
        <w:t>and</w:t>
      </w:r>
      <w:r>
        <w:rPr>
          <w:spacing w:val="-2"/>
        </w:rPr>
        <w:t> </w:t>
      </w:r>
      <w:r>
        <w:rPr/>
        <w:t>development</w:t>
      </w:r>
      <w:r>
        <w:rPr>
          <w:spacing w:val="-2"/>
        </w:rPr>
        <w:t> </w:t>
      </w:r>
      <w:r>
        <w:rPr/>
        <w:t>is</w:t>
      </w:r>
      <w:r>
        <w:rPr>
          <w:spacing w:val="-2"/>
        </w:rPr>
        <w:t> </w:t>
      </w:r>
      <w:r>
        <w:rPr/>
        <w:t>crucial</w:t>
      </w:r>
      <w:r>
        <w:rPr>
          <w:spacing w:val="-2"/>
        </w:rPr>
        <w:t> </w:t>
      </w:r>
      <w:r>
        <w:rPr/>
        <w:t>for</w:t>
      </w:r>
      <w:r>
        <w:rPr>
          <w:spacing w:val="-2"/>
        </w:rPr>
        <w:t> </w:t>
      </w:r>
      <w:r>
        <w:rPr/>
        <w:t>promoting</w:t>
      </w:r>
      <w:r>
        <w:rPr>
          <w:spacing w:val="-2"/>
        </w:rPr>
        <w:t> </w:t>
      </w:r>
      <w:r>
        <w:rPr/>
        <w:t>healthy sexual development and fostering positive attitudes towards sexuality. In this section, we will explore the multidimensional nature of human sexuality, its development across the lifespan, and its implications for individuals and </w:t>
      </w:r>
      <w:r>
        <w:rPr>
          <w:spacing w:val="-2"/>
        </w:rPr>
        <w:t>society.</w:t>
      </w:r>
    </w:p>
    <w:p>
      <w:pPr>
        <w:pStyle w:val="BodyText"/>
        <w:spacing w:before="6"/>
        <w:rPr>
          <w:sz w:val="24"/>
        </w:rPr>
      </w:pPr>
    </w:p>
    <w:p>
      <w:pPr>
        <w:pStyle w:val="Heading2"/>
      </w:pPr>
      <w:r>
        <w:rPr/>
        <w:t>Biological</w:t>
      </w:r>
      <w:r>
        <w:rPr>
          <w:spacing w:val="-2"/>
        </w:rPr>
        <w:t> </w:t>
      </w:r>
      <w:r>
        <w:rPr/>
        <w:t>Factors</w:t>
      </w:r>
      <w:r>
        <w:rPr>
          <w:spacing w:val="-2"/>
        </w:rPr>
        <w:t> </w:t>
      </w:r>
      <w:r>
        <w:rPr/>
        <w:t>Shaping</w:t>
      </w:r>
      <w:r>
        <w:rPr>
          <w:spacing w:val="-2"/>
        </w:rPr>
        <w:t> </w:t>
      </w:r>
      <w:r>
        <w:rPr/>
        <w:t>Human</w:t>
      </w:r>
      <w:r>
        <w:rPr>
          <w:spacing w:val="-1"/>
        </w:rPr>
        <w:t> </w:t>
      </w:r>
      <w:r>
        <w:rPr>
          <w:spacing w:val="-2"/>
        </w:rPr>
        <w:t>Sexuality</w:t>
      </w:r>
    </w:p>
    <w:p>
      <w:pPr>
        <w:pStyle w:val="BodyText"/>
        <w:spacing w:before="8"/>
        <w:rPr>
          <w:b/>
          <w:sz w:val="27"/>
        </w:rPr>
      </w:pPr>
    </w:p>
    <w:p>
      <w:pPr>
        <w:pStyle w:val="Heading3"/>
        <w:spacing w:line="321" w:lineRule="exact"/>
        <w:rPr>
          <w:i w:val="0"/>
        </w:rPr>
      </w:pPr>
      <w:r>
        <w:rPr>
          <w:i/>
        </w:rPr>
        <w:t>Hormonal</w:t>
      </w:r>
      <w:r>
        <w:rPr>
          <w:i/>
          <w:spacing w:val="-2"/>
        </w:rPr>
        <w:t> </w:t>
      </w:r>
      <w:r>
        <w:rPr>
          <w:i/>
        </w:rPr>
        <w:t>Influences</w:t>
      </w:r>
      <w:r>
        <w:rPr>
          <w:i/>
          <w:spacing w:val="-2"/>
        </w:rPr>
        <w:t> </w:t>
      </w:r>
      <w:r>
        <w:rPr>
          <w:i/>
        </w:rPr>
        <w:t>on</w:t>
      </w:r>
      <w:r>
        <w:rPr>
          <w:i/>
          <w:spacing w:val="-2"/>
        </w:rPr>
        <w:t> </w:t>
      </w:r>
      <w:r>
        <w:rPr>
          <w:i/>
        </w:rPr>
        <w:t>Sexual</w:t>
      </w:r>
      <w:r>
        <w:rPr>
          <w:i/>
          <w:spacing w:val="-2"/>
        </w:rPr>
        <w:t> Developmen</w:t>
      </w:r>
      <w:r>
        <w:rPr>
          <w:i w:val="0"/>
          <w:spacing w:val="-2"/>
        </w:rPr>
        <w:t>t</w:t>
      </w:r>
    </w:p>
    <w:p>
      <w:pPr>
        <w:pStyle w:val="BodyText"/>
        <w:ind w:left="280" w:right="544"/>
      </w:pPr>
      <w:r>
        <w:rPr/>
        <w:t>Hormones play a vital role in the development and expression of human sexuality. During prenatal development, the presence or absence of specific hormones, such as androgens and estrogens, contributes to the differentiation of male and female sexual characteristics. Research indicates that exposure to varying hormone levels during critical periods of fetal development can influence sexual orientation and gender identity. Moreover, hormonal changes during</w:t>
      </w:r>
      <w:r>
        <w:rPr>
          <w:spacing w:val="-5"/>
        </w:rPr>
        <w:t> </w:t>
      </w:r>
      <w:r>
        <w:rPr/>
        <w:t>puberty</w:t>
      </w:r>
      <w:r>
        <w:rPr>
          <w:spacing w:val="-5"/>
        </w:rPr>
        <w:t> </w:t>
      </w:r>
      <w:r>
        <w:rPr/>
        <w:t>trigger</w:t>
      </w:r>
      <w:r>
        <w:rPr>
          <w:spacing w:val="-5"/>
        </w:rPr>
        <w:t> </w:t>
      </w:r>
      <w:r>
        <w:rPr/>
        <w:t>the</w:t>
      </w:r>
      <w:r>
        <w:rPr>
          <w:spacing w:val="-5"/>
        </w:rPr>
        <w:t> </w:t>
      </w:r>
      <w:r>
        <w:rPr/>
        <w:t>development</w:t>
      </w:r>
      <w:r>
        <w:rPr>
          <w:spacing w:val="-5"/>
        </w:rPr>
        <w:t> </w:t>
      </w:r>
      <w:r>
        <w:rPr/>
        <w:t>of</w:t>
      </w:r>
      <w:r>
        <w:rPr>
          <w:spacing w:val="-5"/>
        </w:rPr>
        <w:t> </w:t>
      </w:r>
      <w:r>
        <w:rPr/>
        <w:t>secondary</w:t>
      </w:r>
      <w:r>
        <w:rPr>
          <w:spacing w:val="-5"/>
        </w:rPr>
        <w:t> </w:t>
      </w:r>
      <w:r>
        <w:rPr/>
        <w:t>sexual</w:t>
      </w:r>
      <w:r>
        <w:rPr>
          <w:spacing w:val="-5"/>
        </w:rPr>
        <w:t> </w:t>
      </w:r>
      <w:r>
        <w:rPr/>
        <w:t>characteristics</w:t>
      </w:r>
      <w:r>
        <w:rPr>
          <w:spacing w:val="-5"/>
        </w:rPr>
        <w:t> </w:t>
      </w:r>
      <w:r>
        <w:rPr/>
        <w:t>and the onset of sexual desire.</w:t>
      </w:r>
    </w:p>
    <w:p>
      <w:pPr>
        <w:pStyle w:val="BodyText"/>
        <w:spacing w:before="7"/>
        <w:rPr>
          <w:sz w:val="24"/>
        </w:rPr>
      </w:pPr>
    </w:p>
    <w:p>
      <w:pPr>
        <w:pStyle w:val="BodyText"/>
        <w:ind w:left="280"/>
      </w:pPr>
      <w:r>
        <w:rPr>
          <w:spacing w:val="-2"/>
        </w:rPr>
        <w:t>References:</w:t>
      </w:r>
    </w:p>
    <w:p>
      <w:pPr>
        <w:pStyle w:val="BodyText"/>
        <w:spacing w:before="7"/>
        <w:rPr>
          <w:sz w:val="27"/>
        </w:rPr>
      </w:pPr>
    </w:p>
    <w:p>
      <w:pPr>
        <w:pStyle w:val="BodyText"/>
        <w:spacing w:before="1"/>
        <w:ind w:left="280" w:right="502"/>
      </w:pPr>
      <w:r>
        <w:rPr/>
        <w:t>Hines,</w:t>
      </w:r>
      <w:r>
        <w:rPr>
          <w:spacing w:val="-5"/>
        </w:rPr>
        <w:t> </w:t>
      </w:r>
      <w:r>
        <w:rPr/>
        <w:t>M.</w:t>
      </w:r>
      <w:r>
        <w:rPr>
          <w:spacing w:val="-5"/>
        </w:rPr>
        <w:t> </w:t>
      </w:r>
      <w:r>
        <w:rPr/>
        <w:t>(2020).</w:t>
      </w:r>
      <w:r>
        <w:rPr>
          <w:spacing w:val="-5"/>
        </w:rPr>
        <w:t> </w:t>
      </w:r>
      <w:r>
        <w:rPr/>
        <w:t>Prenatal</w:t>
      </w:r>
      <w:r>
        <w:rPr>
          <w:spacing w:val="-5"/>
        </w:rPr>
        <w:t> </w:t>
      </w:r>
      <w:r>
        <w:rPr/>
        <w:t>endocrine</w:t>
      </w:r>
      <w:r>
        <w:rPr>
          <w:spacing w:val="-5"/>
        </w:rPr>
        <w:t> </w:t>
      </w:r>
      <w:r>
        <w:rPr/>
        <w:t>influences</w:t>
      </w:r>
      <w:r>
        <w:rPr>
          <w:spacing w:val="-5"/>
        </w:rPr>
        <w:t> </w:t>
      </w:r>
      <w:r>
        <w:rPr/>
        <w:t>on</w:t>
      </w:r>
      <w:r>
        <w:rPr>
          <w:spacing w:val="-5"/>
        </w:rPr>
        <w:t> </w:t>
      </w:r>
      <w:r>
        <w:rPr/>
        <w:t>sexual</w:t>
      </w:r>
      <w:r>
        <w:rPr>
          <w:spacing w:val="-5"/>
        </w:rPr>
        <w:t> </w:t>
      </w:r>
      <w:r>
        <w:rPr/>
        <w:t>orientation</w:t>
      </w:r>
      <w:r>
        <w:rPr>
          <w:spacing w:val="-5"/>
        </w:rPr>
        <w:t> </w:t>
      </w:r>
      <w:r>
        <w:rPr/>
        <w:t>and gender identity. Journal of Neuroendocrinology, 32(1), e12767.</w:t>
      </w:r>
    </w:p>
    <w:p>
      <w:pPr>
        <w:pStyle w:val="BodyText"/>
        <w:spacing w:before="5"/>
        <w:rPr>
          <w:sz w:val="27"/>
        </w:rPr>
      </w:pPr>
    </w:p>
    <w:p>
      <w:pPr>
        <w:pStyle w:val="BodyText"/>
        <w:ind w:left="280" w:right="499"/>
      </w:pPr>
      <w:r>
        <w:rPr/>
        <w:t>Savic,</w:t>
      </w:r>
      <w:r>
        <w:rPr>
          <w:spacing w:val="-6"/>
        </w:rPr>
        <w:t> </w:t>
      </w:r>
      <w:r>
        <w:rPr/>
        <w:t>I.,</w:t>
      </w:r>
      <w:r>
        <w:rPr>
          <w:spacing w:val="-5"/>
        </w:rPr>
        <w:t> </w:t>
      </w:r>
      <w:r>
        <w:rPr/>
        <w:t>&amp;</w:t>
      </w:r>
      <w:r>
        <w:rPr>
          <w:spacing w:val="-18"/>
        </w:rPr>
        <w:t> </w:t>
      </w:r>
      <w:r>
        <w:rPr/>
        <w:t>Arver,</w:t>
      </w:r>
      <w:r>
        <w:rPr>
          <w:spacing w:val="-4"/>
        </w:rPr>
        <w:t> </w:t>
      </w:r>
      <w:r>
        <w:rPr/>
        <w:t>S.</w:t>
      </w:r>
      <w:r>
        <w:rPr>
          <w:spacing w:val="-5"/>
        </w:rPr>
        <w:t> </w:t>
      </w:r>
      <w:r>
        <w:rPr/>
        <w:t>(2020).</w:t>
      </w:r>
      <w:r>
        <w:rPr>
          <w:spacing w:val="-5"/>
        </w:rPr>
        <w:t> </w:t>
      </w:r>
      <w:r>
        <w:rPr/>
        <w:t>Sex</w:t>
      </w:r>
      <w:r>
        <w:rPr>
          <w:spacing w:val="-5"/>
        </w:rPr>
        <w:t> </w:t>
      </w:r>
      <w:r>
        <w:rPr/>
        <w:t>dimorphism</w:t>
      </w:r>
      <w:r>
        <w:rPr>
          <w:spacing w:val="-5"/>
        </w:rPr>
        <w:t> </w:t>
      </w:r>
      <w:r>
        <w:rPr/>
        <w:t>of</w:t>
      </w:r>
      <w:r>
        <w:rPr>
          <w:spacing w:val="-5"/>
        </w:rPr>
        <w:t> </w:t>
      </w:r>
      <w:r>
        <w:rPr/>
        <w:t>the</w:t>
      </w:r>
      <w:r>
        <w:rPr>
          <w:spacing w:val="-5"/>
        </w:rPr>
        <w:t> </w:t>
      </w:r>
      <w:r>
        <w:rPr/>
        <w:t>brain</w:t>
      </w:r>
      <w:r>
        <w:rPr>
          <w:spacing w:val="-5"/>
        </w:rPr>
        <w:t> </w:t>
      </w:r>
      <w:r>
        <w:rPr/>
        <w:t>in</w:t>
      </w:r>
      <w:r>
        <w:rPr>
          <w:spacing w:val="-5"/>
        </w:rPr>
        <w:t> </w:t>
      </w:r>
      <w:r>
        <w:rPr/>
        <w:t>male-to-female transsexuals. Cerebral Cortex, 30(7), 4178-4190.</w:t>
      </w:r>
    </w:p>
    <w:p>
      <w:pPr>
        <w:spacing w:after="0"/>
        <w:sectPr>
          <w:pgSz w:w="12240" w:h="15840"/>
          <w:pgMar w:header="0" w:footer="765" w:top="1260" w:bottom="980" w:left="1400" w:right="1180"/>
        </w:sectPr>
      </w:pPr>
    </w:p>
    <w:p>
      <w:pPr>
        <w:pStyle w:val="Heading2"/>
        <w:spacing w:before="66"/>
      </w:pPr>
      <w:r>
        <w:rPr/>
        <w:t>Psychological</w:t>
      </w:r>
      <w:r>
        <w:rPr>
          <w:spacing w:val="-18"/>
        </w:rPr>
        <w:t> </w:t>
      </w:r>
      <w:r>
        <w:rPr/>
        <w:t>Aspects</w:t>
      </w:r>
      <w:r>
        <w:rPr>
          <w:spacing w:val="-2"/>
        </w:rPr>
        <w:t> </w:t>
      </w:r>
      <w:r>
        <w:rPr/>
        <w:t>of</w:t>
      </w:r>
      <w:r>
        <w:rPr>
          <w:spacing w:val="-2"/>
        </w:rPr>
        <w:t> </w:t>
      </w:r>
      <w:r>
        <w:rPr/>
        <w:t>Sexual</w:t>
      </w:r>
      <w:r>
        <w:rPr>
          <w:spacing w:val="-2"/>
        </w:rPr>
        <w:t> Development</w:t>
      </w:r>
    </w:p>
    <w:p>
      <w:pPr>
        <w:pStyle w:val="BodyText"/>
        <w:spacing w:before="7"/>
        <w:rPr>
          <w:b/>
          <w:sz w:val="27"/>
        </w:rPr>
      </w:pPr>
    </w:p>
    <w:p>
      <w:pPr>
        <w:pStyle w:val="Heading3"/>
        <w:spacing w:line="321" w:lineRule="exact"/>
        <w:rPr>
          <w:i/>
        </w:rPr>
      </w:pPr>
      <w:r>
        <w:rPr>
          <w:i/>
        </w:rPr>
        <w:t>Psychosexual</w:t>
      </w:r>
      <w:r>
        <w:rPr>
          <w:i/>
          <w:spacing w:val="-6"/>
        </w:rPr>
        <w:t> </w:t>
      </w:r>
      <w:r>
        <w:rPr>
          <w:i/>
        </w:rPr>
        <w:t>Development:</w:t>
      </w:r>
      <w:r>
        <w:rPr>
          <w:i/>
          <w:spacing w:val="-4"/>
        </w:rPr>
        <w:t> </w:t>
      </w:r>
      <w:r>
        <w:rPr>
          <w:i/>
        </w:rPr>
        <w:t>Freud's</w:t>
      </w:r>
      <w:r>
        <w:rPr>
          <w:i/>
          <w:spacing w:val="-4"/>
        </w:rPr>
        <w:t> </w:t>
      </w:r>
      <w:r>
        <w:rPr>
          <w:i/>
          <w:spacing w:val="-2"/>
        </w:rPr>
        <w:t>Theory</w:t>
      </w:r>
    </w:p>
    <w:p>
      <w:pPr>
        <w:pStyle w:val="BodyText"/>
        <w:ind w:left="280" w:right="517"/>
      </w:pPr>
      <w:r>
        <w:rPr/>
        <w:t>Sigmund</w:t>
      </w:r>
      <w:r>
        <w:rPr>
          <w:spacing w:val="-5"/>
        </w:rPr>
        <w:t> </w:t>
      </w:r>
      <w:r>
        <w:rPr/>
        <w:t>Freud's</w:t>
      </w:r>
      <w:r>
        <w:rPr>
          <w:spacing w:val="-5"/>
        </w:rPr>
        <w:t> </w:t>
      </w:r>
      <w:r>
        <w:rPr/>
        <w:t>psychoanalytic</w:t>
      </w:r>
      <w:r>
        <w:rPr>
          <w:spacing w:val="-6"/>
        </w:rPr>
        <w:t> </w:t>
      </w:r>
      <w:r>
        <w:rPr/>
        <w:t>theory</w:t>
      </w:r>
      <w:r>
        <w:rPr>
          <w:spacing w:val="-5"/>
        </w:rPr>
        <w:t> </w:t>
      </w:r>
      <w:r>
        <w:rPr/>
        <w:t>proposed</w:t>
      </w:r>
      <w:r>
        <w:rPr>
          <w:spacing w:val="-5"/>
        </w:rPr>
        <w:t> </w:t>
      </w:r>
      <w:r>
        <w:rPr/>
        <w:t>that</w:t>
      </w:r>
      <w:r>
        <w:rPr>
          <w:spacing w:val="-5"/>
        </w:rPr>
        <w:t> </w:t>
      </w:r>
      <w:r>
        <w:rPr/>
        <w:t>human</w:t>
      </w:r>
      <w:r>
        <w:rPr>
          <w:spacing w:val="-5"/>
        </w:rPr>
        <w:t> </w:t>
      </w:r>
      <w:r>
        <w:rPr/>
        <w:t>sexuality</w:t>
      </w:r>
      <w:r>
        <w:rPr>
          <w:spacing w:val="-5"/>
        </w:rPr>
        <w:t> </w:t>
      </w:r>
      <w:r>
        <w:rPr/>
        <w:t>evolves through distinct stages, each characterized by specific psychosexual conflicts. According to Freud, individuals pass through oral, anal, phallic, latency, and genital stages, each with its unique developmental tasks and challenges.</w:t>
      </w:r>
      <w:r>
        <w:rPr>
          <w:spacing w:val="-5"/>
        </w:rPr>
        <w:t> </w:t>
      </w:r>
      <w:r>
        <w:rPr/>
        <w:t>While Freud's theory has limitations, it highlights the significance of early experiences and their impact on the formation of sexual identity and behavior.</w:t>
      </w:r>
    </w:p>
    <w:p>
      <w:pPr>
        <w:pStyle w:val="BodyText"/>
        <w:spacing w:before="8"/>
        <w:rPr>
          <w:sz w:val="26"/>
        </w:rPr>
      </w:pPr>
    </w:p>
    <w:p>
      <w:pPr>
        <w:pStyle w:val="BodyText"/>
        <w:spacing w:before="1"/>
        <w:ind w:left="280"/>
      </w:pPr>
      <w:r>
        <w:rPr>
          <w:spacing w:val="-2"/>
        </w:rPr>
        <w:t>References:</w:t>
      </w:r>
    </w:p>
    <w:p>
      <w:pPr>
        <w:pStyle w:val="BodyText"/>
        <w:spacing w:before="7"/>
        <w:rPr>
          <w:sz w:val="27"/>
        </w:rPr>
      </w:pPr>
    </w:p>
    <w:p>
      <w:pPr>
        <w:pStyle w:val="BodyText"/>
        <w:ind w:left="280" w:right="502"/>
      </w:pPr>
      <w:r>
        <w:rPr/>
        <w:t>Zucker, K. J. (2020). The psychoanalytic contributions of psychosexual development</w:t>
      </w:r>
      <w:r>
        <w:rPr>
          <w:spacing w:val="-17"/>
        </w:rPr>
        <w:t> </w:t>
      </w:r>
      <w:r>
        <w:rPr/>
        <w:t>theory:</w:t>
      </w:r>
      <w:r>
        <w:rPr>
          <w:spacing w:val="-18"/>
        </w:rPr>
        <w:t> </w:t>
      </w:r>
      <w:r>
        <w:rPr/>
        <w:t>A</w:t>
      </w:r>
      <w:r>
        <w:rPr>
          <w:spacing w:val="-17"/>
        </w:rPr>
        <w:t> </w:t>
      </w:r>
      <w:r>
        <w:rPr/>
        <w:t>historical</w:t>
      </w:r>
      <w:r>
        <w:rPr>
          <w:spacing w:val="-7"/>
        </w:rPr>
        <w:t> </w:t>
      </w:r>
      <w:r>
        <w:rPr/>
        <w:t>perspective.</w:t>
      </w:r>
      <w:r>
        <w:rPr>
          <w:spacing w:val="-18"/>
        </w:rPr>
        <w:t> </w:t>
      </w:r>
      <w:r>
        <w:rPr/>
        <w:t>Archives</w:t>
      </w:r>
      <w:r>
        <w:rPr>
          <w:spacing w:val="-6"/>
        </w:rPr>
        <w:t> </w:t>
      </w:r>
      <w:r>
        <w:rPr/>
        <w:t>of</w:t>
      </w:r>
      <w:r>
        <w:rPr>
          <w:spacing w:val="-7"/>
        </w:rPr>
        <w:t> </w:t>
      </w:r>
      <w:r>
        <w:rPr/>
        <w:t>Sexual</w:t>
      </w:r>
      <w:r>
        <w:rPr>
          <w:spacing w:val="-7"/>
        </w:rPr>
        <w:t> </w:t>
      </w:r>
      <w:r>
        <w:rPr/>
        <w:t>Behavior, 49(5), 1677-1689.</w:t>
      </w:r>
    </w:p>
    <w:p>
      <w:pPr>
        <w:pStyle w:val="BodyText"/>
        <w:spacing w:before="4"/>
        <w:rPr>
          <w:sz w:val="27"/>
        </w:rPr>
      </w:pPr>
    </w:p>
    <w:p>
      <w:pPr>
        <w:pStyle w:val="BodyText"/>
        <w:ind w:left="280" w:right="502"/>
      </w:pPr>
      <w:r>
        <w:rPr/>
        <w:t>Milrod,</w:t>
      </w:r>
      <w:r>
        <w:rPr>
          <w:spacing w:val="-7"/>
        </w:rPr>
        <w:t> </w:t>
      </w:r>
      <w:r>
        <w:rPr/>
        <w:t>D.,</w:t>
      </w:r>
      <w:r>
        <w:rPr>
          <w:spacing w:val="-7"/>
        </w:rPr>
        <w:t> </w:t>
      </w:r>
      <w:r>
        <w:rPr/>
        <w:t>&amp;</w:t>
      </w:r>
      <w:r>
        <w:rPr>
          <w:spacing w:val="-7"/>
        </w:rPr>
        <w:t> </w:t>
      </w:r>
      <w:r>
        <w:rPr/>
        <w:t>Chused,</w:t>
      </w:r>
      <w:r>
        <w:rPr>
          <w:spacing w:val="-7"/>
        </w:rPr>
        <w:t> </w:t>
      </w:r>
      <w:r>
        <w:rPr/>
        <w:t>J.</w:t>
      </w:r>
      <w:r>
        <w:rPr>
          <w:spacing w:val="-7"/>
        </w:rPr>
        <w:t> </w:t>
      </w:r>
      <w:r>
        <w:rPr/>
        <w:t>F.</w:t>
      </w:r>
      <w:r>
        <w:rPr>
          <w:spacing w:val="-7"/>
        </w:rPr>
        <w:t> </w:t>
      </w:r>
      <w:r>
        <w:rPr/>
        <w:t>(2021).</w:t>
      </w:r>
      <w:r>
        <w:rPr>
          <w:spacing w:val="-7"/>
        </w:rPr>
        <w:t> </w:t>
      </w:r>
      <w:r>
        <w:rPr/>
        <w:t>Developmental</w:t>
      </w:r>
      <w:r>
        <w:rPr>
          <w:spacing w:val="-7"/>
        </w:rPr>
        <w:t> </w:t>
      </w:r>
      <w:r>
        <w:rPr/>
        <w:t>theories:</w:t>
      </w:r>
      <w:r>
        <w:rPr>
          <w:spacing w:val="-7"/>
        </w:rPr>
        <w:t> </w:t>
      </w:r>
      <w:r>
        <w:rPr/>
        <w:t>Psychoanalytic perspectives. In Textbook of Psychoanalysis (pp. 231-245).</w:t>
      </w:r>
      <w:r>
        <w:rPr>
          <w:spacing w:val="-2"/>
        </w:rPr>
        <w:t> </w:t>
      </w:r>
      <w:r>
        <w:rPr/>
        <w:t>American Psychiatric Association Publishing.</w:t>
      </w:r>
    </w:p>
    <w:p>
      <w:pPr>
        <w:pStyle w:val="BodyText"/>
        <w:spacing w:before="3"/>
        <w:rPr>
          <w:sz w:val="27"/>
        </w:rPr>
      </w:pPr>
    </w:p>
    <w:p>
      <w:pPr>
        <w:pStyle w:val="Heading2"/>
      </w:pPr>
      <w:r>
        <w:rPr/>
        <w:t>Sociocultural</w:t>
      </w:r>
      <w:r>
        <w:rPr>
          <w:spacing w:val="-5"/>
        </w:rPr>
        <w:t> </w:t>
      </w:r>
      <w:r>
        <w:rPr/>
        <w:t>Factors</w:t>
      </w:r>
      <w:r>
        <w:rPr>
          <w:spacing w:val="-3"/>
        </w:rPr>
        <w:t> </w:t>
      </w:r>
      <w:r>
        <w:rPr/>
        <w:t>Influencing</w:t>
      </w:r>
      <w:r>
        <w:rPr>
          <w:spacing w:val="-3"/>
        </w:rPr>
        <w:t> </w:t>
      </w:r>
      <w:r>
        <w:rPr/>
        <w:t>Sexual</w:t>
      </w:r>
      <w:r>
        <w:rPr>
          <w:spacing w:val="-2"/>
        </w:rPr>
        <w:t> Development</w:t>
      </w:r>
    </w:p>
    <w:p>
      <w:pPr>
        <w:pStyle w:val="BodyText"/>
        <w:spacing w:before="8"/>
        <w:rPr>
          <w:b/>
          <w:sz w:val="27"/>
        </w:rPr>
      </w:pPr>
    </w:p>
    <w:p>
      <w:pPr>
        <w:pStyle w:val="Heading3"/>
        <w:spacing w:line="321" w:lineRule="exact"/>
        <w:rPr>
          <w:i/>
        </w:rPr>
      </w:pPr>
      <w:r>
        <w:rPr>
          <w:i/>
        </w:rPr>
        <w:t>Cultural</w:t>
      </w:r>
      <w:r>
        <w:rPr>
          <w:i/>
          <w:spacing w:val="-1"/>
        </w:rPr>
        <w:t> </w:t>
      </w:r>
      <w:r>
        <w:rPr>
          <w:i/>
        </w:rPr>
        <w:t>Norms</w:t>
      </w:r>
      <w:r>
        <w:rPr>
          <w:i/>
          <w:spacing w:val="-1"/>
        </w:rPr>
        <w:t> </w:t>
      </w:r>
      <w:r>
        <w:rPr>
          <w:i/>
        </w:rPr>
        <w:t>and</w:t>
      </w:r>
      <w:r>
        <w:rPr>
          <w:i/>
          <w:spacing w:val="-1"/>
        </w:rPr>
        <w:t> </w:t>
      </w:r>
      <w:r>
        <w:rPr>
          <w:i/>
          <w:spacing w:val="-2"/>
        </w:rPr>
        <w:t>Values</w:t>
      </w:r>
    </w:p>
    <w:p>
      <w:pPr>
        <w:pStyle w:val="BodyText"/>
        <w:ind w:left="280" w:right="502"/>
      </w:pPr>
      <w:r>
        <w:rPr/>
        <w:t>Sociocultural factors significantly shape individuals' understanding and expression of their sexuality. Cultural norms and values surrounding sexuality vary</w:t>
      </w:r>
      <w:r>
        <w:rPr>
          <w:spacing w:val="-1"/>
        </w:rPr>
        <w:t> </w:t>
      </w:r>
      <w:r>
        <w:rPr/>
        <w:t>across</w:t>
      </w:r>
      <w:r>
        <w:rPr>
          <w:spacing w:val="-1"/>
        </w:rPr>
        <w:t> </w:t>
      </w:r>
      <w:r>
        <w:rPr/>
        <w:t>societies,</w:t>
      </w:r>
      <w:r>
        <w:rPr>
          <w:spacing w:val="-1"/>
        </w:rPr>
        <w:t> </w:t>
      </w:r>
      <w:r>
        <w:rPr/>
        <w:t>influencing</w:t>
      </w:r>
      <w:r>
        <w:rPr>
          <w:spacing w:val="-1"/>
        </w:rPr>
        <w:t> </w:t>
      </w:r>
      <w:r>
        <w:rPr/>
        <w:t>sexual</w:t>
      </w:r>
      <w:r>
        <w:rPr>
          <w:spacing w:val="-1"/>
        </w:rPr>
        <w:t> </w:t>
      </w:r>
      <w:r>
        <w:rPr/>
        <w:t>attitudes,</w:t>
      </w:r>
      <w:r>
        <w:rPr>
          <w:spacing w:val="-1"/>
        </w:rPr>
        <w:t> </w:t>
      </w:r>
      <w:r>
        <w:rPr/>
        <w:t>behaviors,</w:t>
      </w:r>
      <w:r>
        <w:rPr>
          <w:spacing w:val="-1"/>
        </w:rPr>
        <w:t> </w:t>
      </w:r>
      <w:r>
        <w:rPr/>
        <w:t>and</w:t>
      </w:r>
      <w:r>
        <w:rPr>
          <w:spacing w:val="-1"/>
        </w:rPr>
        <w:t> </w:t>
      </w:r>
      <w:r>
        <w:rPr/>
        <w:t>expectations. For</w:t>
      </w:r>
      <w:r>
        <w:rPr>
          <w:spacing w:val="-4"/>
        </w:rPr>
        <w:t> </w:t>
      </w:r>
      <w:r>
        <w:rPr/>
        <w:t>example,</w:t>
      </w:r>
      <w:r>
        <w:rPr>
          <w:spacing w:val="-4"/>
        </w:rPr>
        <w:t> </w:t>
      </w:r>
      <w:r>
        <w:rPr/>
        <w:t>societies</w:t>
      </w:r>
      <w:r>
        <w:rPr>
          <w:spacing w:val="-4"/>
        </w:rPr>
        <w:t> </w:t>
      </w:r>
      <w:r>
        <w:rPr/>
        <w:t>with</w:t>
      </w:r>
      <w:r>
        <w:rPr>
          <w:spacing w:val="-4"/>
        </w:rPr>
        <w:t> </w:t>
      </w:r>
      <w:r>
        <w:rPr/>
        <w:t>conservative</w:t>
      </w:r>
      <w:r>
        <w:rPr>
          <w:spacing w:val="-5"/>
        </w:rPr>
        <w:t> </w:t>
      </w:r>
      <w:r>
        <w:rPr/>
        <w:t>attitudes</w:t>
      </w:r>
      <w:r>
        <w:rPr>
          <w:spacing w:val="-4"/>
        </w:rPr>
        <w:t> </w:t>
      </w:r>
      <w:r>
        <w:rPr/>
        <w:t>may</w:t>
      </w:r>
      <w:r>
        <w:rPr>
          <w:spacing w:val="-4"/>
        </w:rPr>
        <w:t> </w:t>
      </w:r>
      <w:r>
        <w:rPr/>
        <w:t>promote</w:t>
      </w:r>
      <w:r>
        <w:rPr>
          <w:spacing w:val="-5"/>
        </w:rPr>
        <w:t> </w:t>
      </w:r>
      <w:r>
        <w:rPr/>
        <w:t>abstinence</w:t>
      </w:r>
      <w:r>
        <w:rPr>
          <w:spacing w:val="-5"/>
        </w:rPr>
        <w:t> </w:t>
      </w:r>
      <w:r>
        <w:rPr/>
        <w:t>and traditional gender roles, while more liberal societies may encourage sexual exploration and embrace diverse sexual orientations. Understanding the influence</w:t>
      </w:r>
      <w:r>
        <w:rPr>
          <w:spacing w:val="-4"/>
        </w:rPr>
        <w:t> </w:t>
      </w:r>
      <w:r>
        <w:rPr/>
        <w:t>of</w:t>
      </w:r>
      <w:r>
        <w:rPr>
          <w:spacing w:val="-3"/>
        </w:rPr>
        <w:t> </w:t>
      </w:r>
      <w:r>
        <w:rPr/>
        <w:t>sociocultural</w:t>
      </w:r>
      <w:r>
        <w:rPr>
          <w:spacing w:val="-3"/>
        </w:rPr>
        <w:t> </w:t>
      </w:r>
      <w:r>
        <w:rPr/>
        <w:t>factors</w:t>
      </w:r>
      <w:r>
        <w:rPr>
          <w:spacing w:val="-3"/>
        </w:rPr>
        <w:t> </w:t>
      </w:r>
      <w:r>
        <w:rPr/>
        <w:t>helps</w:t>
      </w:r>
      <w:r>
        <w:rPr>
          <w:spacing w:val="-3"/>
        </w:rPr>
        <w:t> </w:t>
      </w:r>
      <w:r>
        <w:rPr/>
        <w:t>promote</w:t>
      </w:r>
      <w:r>
        <w:rPr>
          <w:spacing w:val="-4"/>
        </w:rPr>
        <w:t> </w:t>
      </w:r>
      <w:r>
        <w:rPr/>
        <w:t>inclusivity,</w:t>
      </w:r>
      <w:r>
        <w:rPr>
          <w:spacing w:val="-3"/>
        </w:rPr>
        <w:t> </w:t>
      </w:r>
      <w:r>
        <w:rPr/>
        <w:t>reduce</w:t>
      </w:r>
      <w:r>
        <w:rPr>
          <w:spacing w:val="-4"/>
        </w:rPr>
        <w:t> </w:t>
      </w:r>
      <w:r>
        <w:rPr/>
        <w:t>stigma,</w:t>
      </w:r>
      <w:r>
        <w:rPr>
          <w:spacing w:val="-3"/>
        </w:rPr>
        <w:t> </w:t>
      </w:r>
      <w:r>
        <w:rPr/>
        <w:t>and foster healthy sexual development.</w:t>
      </w:r>
    </w:p>
    <w:p>
      <w:pPr>
        <w:pStyle w:val="BodyText"/>
        <w:spacing w:before="7"/>
        <w:rPr>
          <w:sz w:val="24"/>
        </w:rPr>
      </w:pPr>
    </w:p>
    <w:p>
      <w:pPr>
        <w:pStyle w:val="BodyText"/>
        <w:ind w:left="280"/>
      </w:pPr>
      <w:r>
        <w:rPr>
          <w:spacing w:val="-2"/>
        </w:rPr>
        <w:t>References:</w:t>
      </w:r>
    </w:p>
    <w:p>
      <w:pPr>
        <w:pStyle w:val="BodyText"/>
        <w:spacing w:before="8"/>
        <w:rPr>
          <w:sz w:val="27"/>
        </w:rPr>
      </w:pPr>
    </w:p>
    <w:p>
      <w:pPr>
        <w:pStyle w:val="BodyText"/>
        <w:ind w:left="280" w:right="502"/>
      </w:pPr>
      <w:r>
        <w:rPr/>
        <w:t>Mercer, C. H., &amp; Tanton, C. (2020). Cultural context and sexual behavior. In The</w:t>
      </w:r>
      <w:r>
        <w:rPr>
          <w:spacing w:val="-6"/>
        </w:rPr>
        <w:t> </w:t>
      </w:r>
      <w:r>
        <w:rPr/>
        <w:t>International</w:t>
      </w:r>
      <w:r>
        <w:rPr>
          <w:spacing w:val="-5"/>
        </w:rPr>
        <w:t> </w:t>
      </w:r>
      <w:r>
        <w:rPr/>
        <w:t>Encyclopedia</w:t>
      </w:r>
      <w:r>
        <w:rPr>
          <w:spacing w:val="-6"/>
        </w:rPr>
        <w:t> </w:t>
      </w:r>
      <w:r>
        <w:rPr/>
        <w:t>of</w:t>
      </w:r>
      <w:r>
        <w:rPr>
          <w:spacing w:val="-5"/>
        </w:rPr>
        <w:t> </w:t>
      </w:r>
      <w:r>
        <w:rPr/>
        <w:t>Human</w:t>
      </w:r>
      <w:r>
        <w:rPr>
          <w:spacing w:val="-5"/>
        </w:rPr>
        <w:t> </w:t>
      </w:r>
      <w:r>
        <w:rPr/>
        <w:t>Sexuality</w:t>
      </w:r>
      <w:r>
        <w:rPr>
          <w:spacing w:val="-5"/>
        </w:rPr>
        <w:t> </w:t>
      </w:r>
      <w:r>
        <w:rPr/>
        <w:t>(pp.</w:t>
      </w:r>
      <w:r>
        <w:rPr>
          <w:spacing w:val="-5"/>
        </w:rPr>
        <w:t> </w:t>
      </w:r>
      <w:r>
        <w:rPr/>
        <w:t>55-67).</w:t>
      </w:r>
      <w:r>
        <w:rPr>
          <w:spacing w:val="-5"/>
        </w:rPr>
        <w:t> </w:t>
      </w:r>
      <w:r>
        <w:rPr/>
        <w:t>John</w:t>
      </w:r>
      <w:r>
        <w:rPr>
          <w:spacing w:val="-11"/>
        </w:rPr>
        <w:t> </w:t>
      </w:r>
      <w:r>
        <w:rPr/>
        <w:t>Wiley</w:t>
      </w:r>
      <w:r>
        <w:rPr>
          <w:spacing w:val="-5"/>
        </w:rPr>
        <w:t> </w:t>
      </w:r>
      <w:r>
        <w:rPr/>
        <w:t>&amp; Sons, Ltd.</w:t>
      </w:r>
    </w:p>
    <w:p>
      <w:pPr>
        <w:pStyle w:val="BodyText"/>
        <w:spacing w:before="3"/>
        <w:rPr>
          <w:sz w:val="27"/>
        </w:rPr>
      </w:pPr>
    </w:p>
    <w:p>
      <w:pPr>
        <w:pStyle w:val="BodyText"/>
        <w:ind w:left="280" w:right="502"/>
      </w:pPr>
      <w:r>
        <w:rPr/>
        <w:t>Loos,</w:t>
      </w:r>
      <w:r>
        <w:rPr>
          <w:spacing w:val="-9"/>
        </w:rPr>
        <w:t> </w:t>
      </w:r>
      <w:r>
        <w:rPr/>
        <w:t>A., &amp; Reis, L. (2021). Sexual education in the context of socio-cultural values:</w:t>
      </w:r>
      <w:r>
        <w:rPr>
          <w:spacing w:val="-18"/>
        </w:rPr>
        <w:t> </w:t>
      </w:r>
      <w:r>
        <w:rPr/>
        <w:t>A</w:t>
      </w:r>
      <w:r>
        <w:rPr>
          <w:spacing w:val="-17"/>
        </w:rPr>
        <w:t> </w:t>
      </w:r>
      <w:r>
        <w:rPr/>
        <w:t>comparison</w:t>
      </w:r>
      <w:r>
        <w:rPr>
          <w:spacing w:val="-8"/>
        </w:rPr>
        <w:t> </w:t>
      </w:r>
      <w:r>
        <w:rPr/>
        <w:t>between</w:t>
      </w:r>
      <w:r>
        <w:rPr>
          <w:spacing w:val="-5"/>
        </w:rPr>
        <w:t> </w:t>
      </w:r>
      <w:r>
        <w:rPr/>
        <w:t>Portugal,</w:t>
      </w:r>
      <w:r>
        <w:rPr>
          <w:spacing w:val="-5"/>
        </w:rPr>
        <w:t> </w:t>
      </w:r>
      <w:r>
        <w:rPr/>
        <w:t>the</w:t>
      </w:r>
      <w:r>
        <w:rPr>
          <w:spacing w:val="-6"/>
        </w:rPr>
        <w:t> </w:t>
      </w:r>
      <w:r>
        <w:rPr/>
        <w:t>Netherlands,</w:t>
      </w:r>
      <w:r>
        <w:rPr>
          <w:spacing w:val="-5"/>
        </w:rPr>
        <w:t> </w:t>
      </w:r>
      <w:r>
        <w:rPr/>
        <w:t>and</w:t>
      </w:r>
      <w:r>
        <w:rPr>
          <w:spacing w:val="-5"/>
        </w:rPr>
        <w:t> </w:t>
      </w:r>
      <w:r>
        <w:rPr/>
        <w:t>Sweden.</w:t>
      </w:r>
      <w:r>
        <w:rPr>
          <w:spacing w:val="-5"/>
        </w:rPr>
        <w:t> </w:t>
      </w:r>
      <w:r>
        <w:rPr/>
        <w:t>Journal of Comparative Family Studies, 52(3), 328-348.</w:t>
      </w:r>
    </w:p>
    <w:p>
      <w:pPr>
        <w:spacing w:after="0"/>
        <w:sectPr>
          <w:pgSz w:w="12240" w:h="15840"/>
          <w:pgMar w:header="0" w:footer="765" w:top="1260" w:bottom="980" w:left="1400" w:right="1180"/>
        </w:sectPr>
      </w:pPr>
    </w:p>
    <w:p>
      <w:pPr>
        <w:pStyle w:val="Heading2"/>
        <w:spacing w:before="66"/>
      </w:pPr>
      <w:r>
        <w:rPr/>
        <w:t>Sexual</w:t>
      </w:r>
      <w:r>
        <w:rPr>
          <w:spacing w:val="-8"/>
        </w:rPr>
        <w:t> </w:t>
      </w:r>
      <w:r>
        <w:rPr/>
        <w:t>Development</w:t>
      </w:r>
      <w:r>
        <w:rPr>
          <w:spacing w:val="-18"/>
        </w:rPr>
        <w:t> </w:t>
      </w:r>
      <w:r>
        <w:rPr/>
        <w:t>Across</w:t>
      </w:r>
      <w:r>
        <w:rPr>
          <w:spacing w:val="-4"/>
        </w:rPr>
        <w:t> </w:t>
      </w:r>
      <w:r>
        <w:rPr/>
        <w:t>the</w:t>
      </w:r>
      <w:r>
        <w:rPr>
          <w:spacing w:val="-4"/>
        </w:rPr>
        <w:t> </w:t>
      </w:r>
      <w:r>
        <w:rPr>
          <w:spacing w:val="-2"/>
        </w:rPr>
        <w:t>Lifespan</w:t>
      </w:r>
    </w:p>
    <w:p>
      <w:pPr>
        <w:pStyle w:val="BodyText"/>
        <w:spacing w:before="7"/>
        <w:rPr>
          <w:b/>
          <w:sz w:val="27"/>
        </w:rPr>
      </w:pPr>
    </w:p>
    <w:p>
      <w:pPr>
        <w:pStyle w:val="Heading3"/>
        <w:spacing w:line="321" w:lineRule="exact"/>
        <w:rPr>
          <w:i/>
        </w:rPr>
      </w:pPr>
      <w:r>
        <w:rPr>
          <w:i/>
        </w:rPr>
        <w:t>Infancy</w:t>
      </w:r>
      <w:r>
        <w:rPr>
          <w:i/>
          <w:spacing w:val="-3"/>
        </w:rPr>
        <w:t> </w:t>
      </w:r>
      <w:r>
        <w:rPr>
          <w:i/>
        </w:rPr>
        <w:t>and</w:t>
      </w:r>
      <w:r>
        <w:rPr>
          <w:i/>
          <w:spacing w:val="-2"/>
        </w:rPr>
        <w:t> </w:t>
      </w:r>
      <w:r>
        <w:rPr>
          <w:i/>
        </w:rPr>
        <w:t>Early</w:t>
      </w:r>
      <w:r>
        <w:rPr>
          <w:i/>
          <w:spacing w:val="-3"/>
        </w:rPr>
        <w:t> </w:t>
      </w:r>
      <w:r>
        <w:rPr>
          <w:i/>
          <w:spacing w:val="-2"/>
        </w:rPr>
        <w:t>Childhood</w:t>
      </w:r>
    </w:p>
    <w:p>
      <w:pPr>
        <w:pStyle w:val="BodyText"/>
        <w:ind w:left="280" w:right="499"/>
      </w:pPr>
      <w:r>
        <w:rPr/>
        <w:t>Sexual development begins in childhood, with children gradually becoming aware</w:t>
      </w:r>
      <w:r>
        <w:rPr>
          <w:spacing w:val="-1"/>
        </w:rPr>
        <w:t> </w:t>
      </w:r>
      <w:r>
        <w:rPr/>
        <w:t>of their bodies and experiencing curiosity about gender and sexuality. It is crucial for parents and caregivers to provide age-appropriate and accurate information</w:t>
      </w:r>
      <w:r>
        <w:rPr>
          <w:spacing w:val="-6"/>
        </w:rPr>
        <w:t> </w:t>
      </w:r>
      <w:r>
        <w:rPr/>
        <w:t>about</w:t>
      </w:r>
      <w:r>
        <w:rPr>
          <w:spacing w:val="-6"/>
        </w:rPr>
        <w:t> </w:t>
      </w:r>
      <w:r>
        <w:rPr/>
        <w:t>sexuality,</w:t>
      </w:r>
      <w:r>
        <w:rPr>
          <w:spacing w:val="-6"/>
        </w:rPr>
        <w:t> </w:t>
      </w:r>
      <w:r>
        <w:rPr/>
        <w:t>emphasizing</w:t>
      </w:r>
      <w:r>
        <w:rPr>
          <w:spacing w:val="-6"/>
        </w:rPr>
        <w:t> </w:t>
      </w:r>
      <w:r>
        <w:rPr/>
        <w:t>concepts</w:t>
      </w:r>
      <w:r>
        <w:rPr>
          <w:spacing w:val="-6"/>
        </w:rPr>
        <w:t> </w:t>
      </w:r>
      <w:r>
        <w:rPr/>
        <w:t>of</w:t>
      </w:r>
      <w:r>
        <w:rPr>
          <w:spacing w:val="-6"/>
        </w:rPr>
        <w:t> </w:t>
      </w:r>
      <w:r>
        <w:rPr/>
        <w:t>consent,</w:t>
      </w:r>
      <w:r>
        <w:rPr>
          <w:spacing w:val="-6"/>
        </w:rPr>
        <w:t> </w:t>
      </w:r>
      <w:r>
        <w:rPr/>
        <w:t>boundaries,</w:t>
      </w:r>
      <w:r>
        <w:rPr>
          <w:spacing w:val="-6"/>
        </w:rPr>
        <w:t> </w:t>
      </w:r>
      <w:r>
        <w:rPr/>
        <w:t>and healthy</w:t>
      </w:r>
      <w:r>
        <w:rPr>
          <w:spacing w:val="-5"/>
        </w:rPr>
        <w:t> </w:t>
      </w:r>
      <w:r>
        <w:rPr/>
        <w:t>relationships.</w:t>
      </w:r>
      <w:r>
        <w:rPr>
          <w:spacing w:val="-5"/>
        </w:rPr>
        <w:t> </w:t>
      </w:r>
      <w:r>
        <w:rPr/>
        <w:t>During</w:t>
      </w:r>
      <w:r>
        <w:rPr>
          <w:spacing w:val="-5"/>
        </w:rPr>
        <w:t> </w:t>
      </w:r>
      <w:r>
        <w:rPr/>
        <w:t>infancy</w:t>
      </w:r>
      <w:r>
        <w:rPr>
          <w:spacing w:val="-5"/>
        </w:rPr>
        <w:t> </w:t>
      </w:r>
      <w:r>
        <w:rPr/>
        <w:t>and</w:t>
      </w:r>
      <w:r>
        <w:rPr>
          <w:spacing w:val="-5"/>
        </w:rPr>
        <w:t> </w:t>
      </w:r>
      <w:r>
        <w:rPr/>
        <w:t>early</w:t>
      </w:r>
      <w:r>
        <w:rPr>
          <w:spacing w:val="-5"/>
        </w:rPr>
        <w:t> </w:t>
      </w:r>
      <w:r>
        <w:rPr/>
        <w:t>childhood,</w:t>
      </w:r>
      <w:r>
        <w:rPr>
          <w:spacing w:val="-5"/>
        </w:rPr>
        <w:t> </w:t>
      </w:r>
      <w:r>
        <w:rPr/>
        <w:t>sexual</w:t>
      </w:r>
      <w:r>
        <w:rPr>
          <w:spacing w:val="-5"/>
        </w:rPr>
        <w:t> </w:t>
      </w:r>
      <w:r>
        <w:rPr/>
        <w:t>development is primarily focused on self-discovery and exploration. Infants and young children become aware of their bodies and may engage in self-touching behaviors, which is a normal part of their curiosity and development. It's important for caregivers to respond in a developmentally appropriate manner, offering reassurance and guidance without shaming or punishing the child.</w:t>
      </w:r>
    </w:p>
    <w:p>
      <w:pPr>
        <w:pStyle w:val="BodyText"/>
        <w:spacing w:before="1"/>
        <w:rPr>
          <w:sz w:val="26"/>
        </w:rPr>
      </w:pPr>
    </w:p>
    <w:p>
      <w:pPr>
        <w:pStyle w:val="Heading3"/>
        <w:spacing w:line="321" w:lineRule="exact"/>
        <w:rPr>
          <w:i/>
        </w:rPr>
      </w:pPr>
      <w:r>
        <w:rPr>
          <w:i/>
        </w:rPr>
        <w:t>Middle</w:t>
      </w:r>
      <w:r>
        <w:rPr>
          <w:i/>
          <w:spacing w:val="-3"/>
        </w:rPr>
        <w:t> </w:t>
      </w:r>
      <w:r>
        <w:rPr>
          <w:i/>
          <w:spacing w:val="-2"/>
        </w:rPr>
        <w:t>Childhood</w:t>
      </w:r>
    </w:p>
    <w:p>
      <w:pPr>
        <w:pStyle w:val="BodyText"/>
        <w:ind w:left="280" w:right="502"/>
      </w:pPr>
      <w:r>
        <w:rPr/>
        <w:t>In middle childhood (roughly ages 6-12), sexual development continues as children</w:t>
      </w:r>
      <w:r>
        <w:rPr>
          <w:spacing w:val="-4"/>
        </w:rPr>
        <w:t> </w:t>
      </w:r>
      <w:r>
        <w:rPr/>
        <w:t>become</w:t>
      </w:r>
      <w:r>
        <w:rPr>
          <w:spacing w:val="-5"/>
        </w:rPr>
        <w:t> </w:t>
      </w:r>
      <w:r>
        <w:rPr/>
        <w:t>more</w:t>
      </w:r>
      <w:r>
        <w:rPr>
          <w:spacing w:val="-5"/>
        </w:rPr>
        <w:t> </w:t>
      </w:r>
      <w:r>
        <w:rPr/>
        <w:t>aware</w:t>
      </w:r>
      <w:r>
        <w:rPr>
          <w:spacing w:val="-5"/>
        </w:rPr>
        <w:t> </w:t>
      </w:r>
      <w:r>
        <w:rPr/>
        <w:t>of</w:t>
      </w:r>
      <w:r>
        <w:rPr>
          <w:spacing w:val="-4"/>
        </w:rPr>
        <w:t> </w:t>
      </w:r>
      <w:r>
        <w:rPr/>
        <w:t>gender</w:t>
      </w:r>
      <w:r>
        <w:rPr>
          <w:spacing w:val="-4"/>
        </w:rPr>
        <w:t> </w:t>
      </w:r>
      <w:r>
        <w:rPr/>
        <w:t>differences</w:t>
      </w:r>
      <w:r>
        <w:rPr>
          <w:spacing w:val="-4"/>
        </w:rPr>
        <w:t> </w:t>
      </w:r>
      <w:r>
        <w:rPr/>
        <w:t>and</w:t>
      </w:r>
      <w:r>
        <w:rPr>
          <w:spacing w:val="-4"/>
        </w:rPr>
        <w:t> </w:t>
      </w:r>
      <w:r>
        <w:rPr/>
        <w:t>social</w:t>
      </w:r>
      <w:r>
        <w:rPr>
          <w:spacing w:val="-4"/>
        </w:rPr>
        <w:t> </w:t>
      </w:r>
      <w:r>
        <w:rPr/>
        <w:t>norms</w:t>
      </w:r>
      <w:r>
        <w:rPr>
          <w:spacing w:val="-4"/>
        </w:rPr>
        <w:t> </w:t>
      </w:r>
      <w:r>
        <w:rPr/>
        <w:t>related</w:t>
      </w:r>
      <w:r>
        <w:rPr>
          <w:spacing w:val="-4"/>
        </w:rPr>
        <w:t> </w:t>
      </w:r>
      <w:r>
        <w:rPr/>
        <w:t>to sexuality. They may ask questions about reproduction or engage in innocent romanticized play. It's essential for caregivers and educators to provide accurate and age-appropriate information about sexuality, emphasizing concepts like consent, boundaries, and healthy relationships.</w:t>
      </w:r>
    </w:p>
    <w:p>
      <w:pPr>
        <w:pStyle w:val="BodyText"/>
        <w:spacing w:before="8"/>
        <w:rPr>
          <w:sz w:val="26"/>
        </w:rPr>
      </w:pPr>
    </w:p>
    <w:p>
      <w:pPr>
        <w:pStyle w:val="Heading3"/>
        <w:spacing w:line="321" w:lineRule="exact"/>
        <w:rPr>
          <w:i/>
        </w:rPr>
      </w:pPr>
      <w:r>
        <w:rPr>
          <w:i/>
          <w:spacing w:val="-2"/>
        </w:rPr>
        <w:t>Adolescence</w:t>
      </w:r>
    </w:p>
    <w:p>
      <w:pPr>
        <w:pStyle w:val="BodyText"/>
        <w:ind w:left="280" w:right="544"/>
      </w:pPr>
      <w:r>
        <w:rPr/>
        <w:t>During adolescence, individuals undergo significant physical and psychological changes.</w:t>
      </w:r>
      <w:r>
        <w:rPr>
          <w:spacing w:val="-6"/>
        </w:rPr>
        <w:t> </w:t>
      </w:r>
      <w:r>
        <w:rPr/>
        <w:t>They explore</w:t>
      </w:r>
      <w:r>
        <w:rPr>
          <w:spacing w:val="-1"/>
        </w:rPr>
        <w:t> </w:t>
      </w:r>
      <w:r>
        <w:rPr/>
        <w:t>their sexual identities, experience</w:t>
      </w:r>
      <w:r>
        <w:rPr>
          <w:spacing w:val="-1"/>
        </w:rPr>
        <w:t> </w:t>
      </w:r>
      <w:r>
        <w:rPr/>
        <w:t>sexual attraction, and may engage in sexual experimentation. Comprehensive sex education programs that address consent, contraception, sexually transmitted infections, and healthy relationships are essential for promoting responsible sexual behavior and reducing sexual health risks.</w:t>
      </w:r>
      <w:r>
        <w:rPr>
          <w:spacing w:val="-4"/>
        </w:rPr>
        <w:t> </w:t>
      </w:r>
      <w:r>
        <w:rPr/>
        <w:t>Adolescence marks a significant period of sexual development. Hormonal changes lead to the onset of puberty, the development of secondary sexual characteristics, and the awakening</w:t>
      </w:r>
      <w:r>
        <w:rPr>
          <w:spacing w:val="-6"/>
        </w:rPr>
        <w:t> </w:t>
      </w:r>
      <w:r>
        <w:rPr/>
        <w:t>of</w:t>
      </w:r>
      <w:r>
        <w:rPr>
          <w:spacing w:val="-5"/>
        </w:rPr>
        <w:t> </w:t>
      </w:r>
      <w:r>
        <w:rPr/>
        <w:t>sexual</w:t>
      </w:r>
      <w:r>
        <w:rPr>
          <w:spacing w:val="-5"/>
        </w:rPr>
        <w:t> </w:t>
      </w:r>
      <w:r>
        <w:rPr/>
        <w:t>desires.</w:t>
      </w:r>
      <w:r>
        <w:rPr>
          <w:spacing w:val="-18"/>
        </w:rPr>
        <w:t> </w:t>
      </w:r>
      <w:r>
        <w:rPr/>
        <w:t>Adolescents</w:t>
      </w:r>
      <w:r>
        <w:rPr>
          <w:spacing w:val="-4"/>
        </w:rPr>
        <w:t> </w:t>
      </w:r>
      <w:r>
        <w:rPr/>
        <w:t>may</w:t>
      </w:r>
      <w:r>
        <w:rPr>
          <w:spacing w:val="-5"/>
        </w:rPr>
        <w:t> </w:t>
      </w:r>
      <w:r>
        <w:rPr/>
        <w:t>experience</w:t>
      </w:r>
      <w:r>
        <w:rPr>
          <w:spacing w:val="-6"/>
        </w:rPr>
        <w:t> </w:t>
      </w:r>
      <w:r>
        <w:rPr/>
        <w:t>increased</w:t>
      </w:r>
      <w:r>
        <w:rPr>
          <w:spacing w:val="-5"/>
        </w:rPr>
        <w:t> </w:t>
      </w:r>
      <w:r>
        <w:rPr/>
        <w:t>interest</w:t>
      </w:r>
      <w:r>
        <w:rPr>
          <w:spacing w:val="-5"/>
        </w:rPr>
        <w:t> </w:t>
      </w:r>
      <w:r>
        <w:rPr/>
        <w:t>in romantic and sexual relationships, engage in self-exploration, and experience attraction to others. Educating adolescents about safe sex practices, consent, healthy relationships, and emotional well-being is crucial during this stage.</w:t>
      </w:r>
    </w:p>
    <w:p>
      <w:pPr>
        <w:pStyle w:val="BodyText"/>
        <w:spacing w:before="8"/>
        <w:rPr>
          <w:sz w:val="25"/>
        </w:rPr>
      </w:pPr>
    </w:p>
    <w:p>
      <w:pPr>
        <w:pStyle w:val="Heading3"/>
        <w:spacing w:line="321" w:lineRule="exact"/>
        <w:rPr>
          <w:i/>
        </w:rPr>
      </w:pPr>
      <w:r>
        <w:rPr>
          <w:i/>
          <w:spacing w:val="-2"/>
        </w:rPr>
        <w:t>Adulthood</w:t>
      </w:r>
    </w:p>
    <w:p>
      <w:pPr>
        <w:pStyle w:val="BodyText"/>
        <w:ind w:left="280" w:right="502"/>
      </w:pPr>
      <w:r>
        <w:rPr/>
        <w:t>Sexual</w:t>
      </w:r>
      <w:r>
        <w:rPr>
          <w:spacing w:val="-4"/>
        </w:rPr>
        <w:t> </w:t>
      </w:r>
      <w:r>
        <w:rPr/>
        <w:t>development</w:t>
      </w:r>
      <w:r>
        <w:rPr>
          <w:spacing w:val="-4"/>
        </w:rPr>
        <w:t> </w:t>
      </w:r>
      <w:r>
        <w:rPr/>
        <w:t>in</w:t>
      </w:r>
      <w:r>
        <w:rPr>
          <w:spacing w:val="-4"/>
        </w:rPr>
        <w:t> </w:t>
      </w:r>
      <w:r>
        <w:rPr/>
        <w:t>adulthood</w:t>
      </w:r>
      <w:r>
        <w:rPr>
          <w:spacing w:val="-4"/>
        </w:rPr>
        <w:t> </w:t>
      </w:r>
      <w:r>
        <w:rPr/>
        <w:t>varies</w:t>
      </w:r>
      <w:r>
        <w:rPr>
          <w:spacing w:val="-4"/>
        </w:rPr>
        <w:t> </w:t>
      </w:r>
      <w:r>
        <w:rPr/>
        <w:t>widely</w:t>
      </w:r>
      <w:r>
        <w:rPr>
          <w:spacing w:val="-4"/>
        </w:rPr>
        <w:t> </w:t>
      </w:r>
      <w:r>
        <w:rPr/>
        <w:t>and</w:t>
      </w:r>
      <w:r>
        <w:rPr>
          <w:spacing w:val="-4"/>
        </w:rPr>
        <w:t> </w:t>
      </w:r>
      <w:r>
        <w:rPr/>
        <w:t>is</w:t>
      </w:r>
      <w:r>
        <w:rPr>
          <w:spacing w:val="-4"/>
        </w:rPr>
        <w:t> </w:t>
      </w:r>
      <w:r>
        <w:rPr/>
        <w:t>influenced</w:t>
      </w:r>
      <w:r>
        <w:rPr>
          <w:spacing w:val="-4"/>
        </w:rPr>
        <w:t> </w:t>
      </w:r>
      <w:r>
        <w:rPr/>
        <w:t>by</w:t>
      </w:r>
      <w:r>
        <w:rPr>
          <w:spacing w:val="-4"/>
        </w:rPr>
        <w:t> </w:t>
      </w:r>
      <w:r>
        <w:rPr/>
        <w:t>cultural, social, and personal factors. Individuals may explore their sexual identities, engage</w:t>
      </w:r>
      <w:r>
        <w:rPr>
          <w:spacing w:val="-5"/>
        </w:rPr>
        <w:t> </w:t>
      </w:r>
      <w:r>
        <w:rPr/>
        <w:t>in</w:t>
      </w:r>
      <w:r>
        <w:rPr>
          <w:spacing w:val="-4"/>
        </w:rPr>
        <w:t> </w:t>
      </w:r>
      <w:r>
        <w:rPr/>
        <w:t>intimate</w:t>
      </w:r>
      <w:r>
        <w:rPr>
          <w:spacing w:val="-5"/>
        </w:rPr>
        <w:t> </w:t>
      </w:r>
      <w:r>
        <w:rPr/>
        <w:t>relationships,</w:t>
      </w:r>
      <w:r>
        <w:rPr>
          <w:spacing w:val="-4"/>
        </w:rPr>
        <w:t> </w:t>
      </w:r>
      <w:r>
        <w:rPr/>
        <w:t>and</w:t>
      </w:r>
      <w:r>
        <w:rPr>
          <w:spacing w:val="-4"/>
        </w:rPr>
        <w:t> </w:t>
      </w:r>
      <w:r>
        <w:rPr/>
        <w:t>experience</w:t>
      </w:r>
      <w:r>
        <w:rPr>
          <w:spacing w:val="-5"/>
        </w:rPr>
        <w:t> </w:t>
      </w:r>
      <w:r>
        <w:rPr/>
        <w:t>changes</w:t>
      </w:r>
      <w:r>
        <w:rPr>
          <w:spacing w:val="-4"/>
        </w:rPr>
        <w:t> </w:t>
      </w:r>
      <w:r>
        <w:rPr/>
        <w:t>in</w:t>
      </w:r>
      <w:r>
        <w:rPr>
          <w:spacing w:val="-4"/>
        </w:rPr>
        <w:t> </w:t>
      </w:r>
      <w:r>
        <w:rPr/>
        <w:t>sexual</w:t>
      </w:r>
      <w:r>
        <w:rPr>
          <w:spacing w:val="-4"/>
        </w:rPr>
        <w:t> </w:t>
      </w:r>
      <w:r>
        <w:rPr/>
        <w:t>desire</w:t>
      </w:r>
      <w:r>
        <w:rPr>
          <w:spacing w:val="-5"/>
        </w:rPr>
        <w:t> </w:t>
      </w:r>
      <w:r>
        <w:rPr/>
        <w:t>and function.</w:t>
      </w:r>
      <w:r>
        <w:rPr>
          <w:spacing w:val="-4"/>
        </w:rPr>
        <w:t> </w:t>
      </w:r>
      <w:r>
        <w:rPr/>
        <w:t>Healthy</w:t>
      </w:r>
      <w:r>
        <w:rPr>
          <w:spacing w:val="-1"/>
        </w:rPr>
        <w:t> </w:t>
      </w:r>
      <w:r>
        <w:rPr/>
        <w:t>sexual</w:t>
      </w:r>
      <w:r>
        <w:rPr>
          <w:spacing w:val="-2"/>
        </w:rPr>
        <w:t> </w:t>
      </w:r>
      <w:r>
        <w:rPr/>
        <w:t>development</w:t>
      </w:r>
      <w:r>
        <w:rPr>
          <w:spacing w:val="-1"/>
        </w:rPr>
        <w:t> </w:t>
      </w:r>
      <w:r>
        <w:rPr/>
        <w:t>in</w:t>
      </w:r>
      <w:r>
        <w:rPr>
          <w:spacing w:val="-2"/>
        </w:rPr>
        <w:t> </w:t>
      </w:r>
      <w:r>
        <w:rPr/>
        <w:t>adulthood</w:t>
      </w:r>
      <w:r>
        <w:rPr>
          <w:spacing w:val="-1"/>
        </w:rPr>
        <w:t> </w:t>
      </w:r>
      <w:r>
        <w:rPr/>
        <w:t>involves</w:t>
      </w:r>
      <w:r>
        <w:rPr>
          <w:spacing w:val="-1"/>
        </w:rPr>
        <w:t> </w:t>
      </w:r>
      <w:r>
        <w:rPr>
          <w:spacing w:val="-2"/>
        </w:rPr>
        <w:t>communication,</w:t>
      </w:r>
    </w:p>
    <w:p>
      <w:pPr>
        <w:spacing w:after="0"/>
        <w:sectPr>
          <w:pgSz w:w="12240" w:h="15840"/>
          <w:pgMar w:header="0" w:footer="765" w:top="1260" w:bottom="980" w:left="1400" w:right="1180"/>
        </w:sectPr>
      </w:pPr>
    </w:p>
    <w:p>
      <w:pPr>
        <w:pStyle w:val="BodyText"/>
        <w:spacing w:before="66"/>
        <w:ind w:left="280"/>
      </w:pPr>
      <w:r>
        <w:rPr/>
        <w:t>consent,</w:t>
      </w:r>
      <w:r>
        <w:rPr>
          <w:spacing w:val="-7"/>
        </w:rPr>
        <w:t> </w:t>
      </w:r>
      <w:r>
        <w:rPr/>
        <w:t>and</w:t>
      </w:r>
      <w:r>
        <w:rPr>
          <w:spacing w:val="-5"/>
        </w:rPr>
        <w:t> </w:t>
      </w:r>
      <w:r>
        <w:rPr/>
        <w:t>mutual</w:t>
      </w:r>
      <w:r>
        <w:rPr>
          <w:spacing w:val="-5"/>
        </w:rPr>
        <w:t> </w:t>
      </w:r>
      <w:r>
        <w:rPr/>
        <w:t>satisfaction</w:t>
      </w:r>
      <w:r>
        <w:rPr>
          <w:spacing w:val="-5"/>
        </w:rPr>
        <w:t> </w:t>
      </w:r>
      <w:r>
        <w:rPr/>
        <w:t>between</w:t>
      </w:r>
      <w:r>
        <w:rPr>
          <w:spacing w:val="-5"/>
        </w:rPr>
        <w:t> </w:t>
      </w:r>
      <w:r>
        <w:rPr/>
        <w:t>partners.</w:t>
      </w:r>
      <w:r>
        <w:rPr>
          <w:spacing w:val="-18"/>
        </w:rPr>
        <w:t> </w:t>
      </w:r>
      <w:r>
        <w:rPr/>
        <w:t>Addressing</w:t>
      </w:r>
      <w:r>
        <w:rPr>
          <w:spacing w:val="-4"/>
        </w:rPr>
        <w:t> </w:t>
      </w:r>
      <w:r>
        <w:rPr/>
        <w:t>any</w:t>
      </w:r>
      <w:r>
        <w:rPr>
          <w:spacing w:val="-5"/>
        </w:rPr>
        <w:t> </w:t>
      </w:r>
      <w:r>
        <w:rPr/>
        <w:t>concerns</w:t>
      </w:r>
      <w:r>
        <w:rPr>
          <w:spacing w:val="-5"/>
        </w:rPr>
        <w:t> </w:t>
      </w:r>
      <w:r>
        <w:rPr/>
        <w:t>or challenges related to sexual health is essential for overall well-being.</w:t>
      </w:r>
    </w:p>
    <w:p>
      <w:pPr>
        <w:pStyle w:val="BodyText"/>
        <w:spacing w:before="5"/>
        <w:rPr>
          <w:sz w:val="27"/>
        </w:rPr>
      </w:pPr>
    </w:p>
    <w:p>
      <w:pPr>
        <w:pStyle w:val="Heading3"/>
        <w:spacing w:line="321" w:lineRule="exact"/>
        <w:rPr>
          <w:i/>
        </w:rPr>
      </w:pPr>
      <w:r>
        <w:rPr>
          <w:i/>
        </w:rPr>
        <w:t>Older</w:t>
      </w:r>
      <w:r>
        <w:rPr>
          <w:i/>
          <w:spacing w:val="-12"/>
        </w:rPr>
        <w:t> </w:t>
      </w:r>
      <w:r>
        <w:rPr>
          <w:i/>
          <w:spacing w:val="-2"/>
        </w:rPr>
        <w:t>Adulthood</w:t>
      </w:r>
    </w:p>
    <w:p>
      <w:pPr>
        <w:pStyle w:val="BodyText"/>
        <w:ind w:left="280" w:right="502"/>
      </w:pPr>
      <w:r>
        <w:rPr/>
        <w:t>Sexual development and expression can continue into older adulthood, although it may be influenced by factors such as hormonal changes, health conditions, and relationship dynamics. Maintaining open communication, adapting</w:t>
      </w:r>
      <w:r>
        <w:rPr>
          <w:spacing w:val="-4"/>
        </w:rPr>
        <w:t> </w:t>
      </w:r>
      <w:r>
        <w:rPr/>
        <w:t>to</w:t>
      </w:r>
      <w:r>
        <w:rPr>
          <w:spacing w:val="-4"/>
        </w:rPr>
        <w:t> </w:t>
      </w:r>
      <w:r>
        <w:rPr/>
        <w:t>physical</w:t>
      </w:r>
      <w:r>
        <w:rPr>
          <w:spacing w:val="-4"/>
        </w:rPr>
        <w:t> </w:t>
      </w:r>
      <w:r>
        <w:rPr/>
        <w:t>changes,</w:t>
      </w:r>
      <w:r>
        <w:rPr>
          <w:spacing w:val="-4"/>
        </w:rPr>
        <w:t> </w:t>
      </w:r>
      <w:r>
        <w:rPr/>
        <w:t>and</w:t>
      </w:r>
      <w:r>
        <w:rPr>
          <w:spacing w:val="-4"/>
        </w:rPr>
        <w:t> </w:t>
      </w:r>
      <w:r>
        <w:rPr/>
        <w:t>seeking</w:t>
      </w:r>
      <w:r>
        <w:rPr>
          <w:spacing w:val="-4"/>
        </w:rPr>
        <w:t> </w:t>
      </w:r>
      <w:r>
        <w:rPr/>
        <w:t>support</w:t>
      </w:r>
      <w:r>
        <w:rPr>
          <w:spacing w:val="-4"/>
        </w:rPr>
        <w:t> </w:t>
      </w:r>
      <w:r>
        <w:rPr/>
        <w:t>for</w:t>
      </w:r>
      <w:r>
        <w:rPr>
          <w:spacing w:val="-4"/>
        </w:rPr>
        <w:t> </w:t>
      </w:r>
      <w:r>
        <w:rPr/>
        <w:t>sexual</w:t>
      </w:r>
      <w:r>
        <w:rPr>
          <w:spacing w:val="-4"/>
        </w:rPr>
        <w:t> </w:t>
      </w:r>
      <w:r>
        <w:rPr/>
        <w:t>health</w:t>
      </w:r>
      <w:r>
        <w:rPr>
          <w:spacing w:val="-4"/>
        </w:rPr>
        <w:t> </w:t>
      </w:r>
      <w:r>
        <w:rPr/>
        <w:t>concerns are important during this stage.</w:t>
      </w:r>
    </w:p>
    <w:p>
      <w:pPr>
        <w:pStyle w:val="BodyText"/>
        <w:spacing w:before="10"/>
        <w:rPr>
          <w:sz w:val="26"/>
        </w:rPr>
      </w:pPr>
    </w:p>
    <w:p>
      <w:pPr>
        <w:pStyle w:val="BodyText"/>
        <w:spacing w:before="1"/>
        <w:ind w:left="280"/>
      </w:pPr>
      <w:r>
        <w:rPr>
          <w:spacing w:val="-2"/>
        </w:rPr>
        <w:t>References:</w:t>
      </w:r>
    </w:p>
    <w:p>
      <w:pPr>
        <w:pStyle w:val="BodyText"/>
        <w:spacing w:before="7"/>
        <w:rPr>
          <w:sz w:val="27"/>
        </w:rPr>
      </w:pPr>
    </w:p>
    <w:p>
      <w:pPr>
        <w:pStyle w:val="BodyText"/>
        <w:ind w:left="280" w:right="502"/>
      </w:pPr>
      <w:r>
        <w:rPr/>
        <w:t>Tolman,</w:t>
      </w:r>
      <w:r>
        <w:rPr>
          <w:spacing w:val="-11"/>
        </w:rPr>
        <w:t> </w:t>
      </w:r>
      <w:r>
        <w:rPr/>
        <w:t>D.</w:t>
      </w:r>
      <w:r>
        <w:rPr>
          <w:spacing w:val="-7"/>
        </w:rPr>
        <w:t> </w:t>
      </w:r>
      <w:r>
        <w:rPr/>
        <w:t>L.,</w:t>
      </w:r>
      <w:r>
        <w:rPr>
          <w:spacing w:val="-7"/>
        </w:rPr>
        <w:t> </w:t>
      </w:r>
      <w:r>
        <w:rPr/>
        <w:t>&amp;</w:t>
      </w:r>
      <w:r>
        <w:rPr>
          <w:spacing w:val="-7"/>
        </w:rPr>
        <w:t> </w:t>
      </w:r>
      <w:r>
        <w:rPr/>
        <w:t>McClelland,</w:t>
      </w:r>
      <w:r>
        <w:rPr>
          <w:spacing w:val="-7"/>
        </w:rPr>
        <w:t> </w:t>
      </w:r>
      <w:r>
        <w:rPr/>
        <w:t>S.</w:t>
      </w:r>
      <w:r>
        <w:rPr>
          <w:spacing w:val="-7"/>
        </w:rPr>
        <w:t> </w:t>
      </w:r>
      <w:r>
        <w:rPr/>
        <w:t>I.</w:t>
      </w:r>
      <w:r>
        <w:rPr>
          <w:spacing w:val="-7"/>
        </w:rPr>
        <w:t> </w:t>
      </w:r>
      <w:r>
        <w:rPr/>
        <w:t>(2020).</w:t>
      </w:r>
      <w:r>
        <w:rPr>
          <w:spacing w:val="-18"/>
        </w:rPr>
        <w:t> </w:t>
      </w:r>
      <w:r>
        <w:rPr/>
        <w:t>Adolescent</w:t>
      </w:r>
      <w:r>
        <w:rPr>
          <w:spacing w:val="-7"/>
        </w:rPr>
        <w:t> </w:t>
      </w:r>
      <w:r>
        <w:rPr/>
        <w:t>sexuality.</w:t>
      </w:r>
      <w:r>
        <w:rPr>
          <w:spacing w:val="-7"/>
        </w:rPr>
        <w:t> </w:t>
      </w:r>
      <w:r>
        <w:rPr/>
        <w:t>In</w:t>
      </w:r>
      <w:r>
        <w:rPr>
          <w:spacing w:val="-7"/>
        </w:rPr>
        <w:t> </w:t>
      </w:r>
      <w:r>
        <w:rPr/>
        <w:t>Handbook of Sexuality and Psychology (pp. 311-327).</w:t>
      </w:r>
      <w:r>
        <w:rPr>
          <w:spacing w:val="-1"/>
        </w:rPr>
        <w:t> </w:t>
      </w:r>
      <w:r>
        <w:rPr/>
        <w:t>American Psychological </w:t>
      </w:r>
      <w:r>
        <w:rPr>
          <w:spacing w:val="-2"/>
        </w:rPr>
        <w:t>Association.</w:t>
      </w:r>
    </w:p>
    <w:p>
      <w:pPr>
        <w:pStyle w:val="BodyText"/>
        <w:spacing w:before="4"/>
        <w:rPr>
          <w:sz w:val="27"/>
        </w:rPr>
      </w:pPr>
    </w:p>
    <w:p>
      <w:pPr>
        <w:pStyle w:val="BodyText"/>
        <w:ind w:left="280" w:right="556"/>
        <w:jc w:val="both"/>
      </w:pPr>
      <w:r>
        <w:rPr/>
        <w:t>Salazar,</w:t>
      </w:r>
      <w:r>
        <w:rPr>
          <w:spacing w:val="-11"/>
        </w:rPr>
        <w:t> </w:t>
      </w:r>
      <w:r>
        <w:rPr/>
        <w:t>L.</w:t>
      </w:r>
      <w:r>
        <w:rPr>
          <w:spacing w:val="-7"/>
        </w:rPr>
        <w:t> </w:t>
      </w:r>
      <w:r>
        <w:rPr/>
        <w:t>F.,</w:t>
      </w:r>
      <w:r>
        <w:rPr>
          <w:spacing w:val="-7"/>
        </w:rPr>
        <w:t> </w:t>
      </w:r>
      <w:r>
        <w:rPr/>
        <w:t>Crosby,</w:t>
      </w:r>
      <w:r>
        <w:rPr>
          <w:spacing w:val="-7"/>
        </w:rPr>
        <w:t> </w:t>
      </w:r>
      <w:r>
        <w:rPr/>
        <w:t>R.</w:t>
      </w:r>
      <w:r>
        <w:rPr>
          <w:spacing w:val="-18"/>
        </w:rPr>
        <w:t> </w:t>
      </w:r>
      <w:r>
        <w:rPr/>
        <w:t>A.,</w:t>
      </w:r>
      <w:r>
        <w:rPr>
          <w:spacing w:val="-7"/>
        </w:rPr>
        <w:t> </w:t>
      </w:r>
      <w:r>
        <w:rPr/>
        <w:t>&amp;</w:t>
      </w:r>
      <w:r>
        <w:rPr>
          <w:spacing w:val="-7"/>
        </w:rPr>
        <w:t> </w:t>
      </w:r>
      <w:r>
        <w:rPr/>
        <w:t>DiClemente,</w:t>
      </w:r>
      <w:r>
        <w:rPr>
          <w:spacing w:val="-7"/>
        </w:rPr>
        <w:t> </w:t>
      </w:r>
      <w:r>
        <w:rPr/>
        <w:t>R.</w:t>
      </w:r>
      <w:r>
        <w:rPr>
          <w:spacing w:val="-7"/>
        </w:rPr>
        <w:t> </w:t>
      </w:r>
      <w:r>
        <w:rPr/>
        <w:t>J.</w:t>
      </w:r>
      <w:r>
        <w:rPr>
          <w:spacing w:val="-7"/>
        </w:rPr>
        <w:t> </w:t>
      </w:r>
      <w:r>
        <w:rPr/>
        <w:t>(2021).</w:t>
      </w:r>
      <w:r>
        <w:rPr>
          <w:spacing w:val="-7"/>
        </w:rPr>
        <w:t> </w:t>
      </w:r>
      <w:r>
        <w:rPr/>
        <w:t>Sexuality</w:t>
      </w:r>
      <w:r>
        <w:rPr>
          <w:spacing w:val="-7"/>
        </w:rPr>
        <w:t> </w:t>
      </w:r>
      <w:r>
        <w:rPr/>
        <w:t>and</w:t>
      </w:r>
      <w:r>
        <w:rPr>
          <w:spacing w:val="-7"/>
        </w:rPr>
        <w:t> </w:t>
      </w:r>
      <w:r>
        <w:rPr/>
        <w:t>sexual behavior.</w:t>
      </w:r>
      <w:r>
        <w:rPr>
          <w:spacing w:val="-8"/>
        </w:rPr>
        <w:t> </w:t>
      </w:r>
      <w:r>
        <w:rPr/>
        <w:t>In</w:t>
      </w:r>
      <w:r>
        <w:rPr>
          <w:spacing w:val="-18"/>
        </w:rPr>
        <w:t> </w:t>
      </w:r>
      <w:r>
        <w:rPr/>
        <w:t>Adolescent</w:t>
      </w:r>
      <w:r>
        <w:rPr>
          <w:spacing w:val="-5"/>
        </w:rPr>
        <w:t> </w:t>
      </w:r>
      <w:r>
        <w:rPr/>
        <w:t>Health:</w:t>
      </w:r>
      <w:r>
        <w:rPr>
          <w:spacing w:val="-6"/>
        </w:rPr>
        <w:t> </w:t>
      </w:r>
      <w:r>
        <w:rPr/>
        <w:t>Understanding</w:t>
      </w:r>
      <w:r>
        <w:rPr>
          <w:spacing w:val="-6"/>
        </w:rPr>
        <w:t> </w:t>
      </w:r>
      <w:r>
        <w:rPr/>
        <w:t>and</w:t>
      </w:r>
      <w:r>
        <w:rPr>
          <w:spacing w:val="-6"/>
        </w:rPr>
        <w:t> </w:t>
      </w:r>
      <w:r>
        <w:rPr/>
        <w:t>Preventing</w:t>
      </w:r>
      <w:r>
        <w:rPr>
          <w:spacing w:val="-6"/>
        </w:rPr>
        <w:t> </w:t>
      </w:r>
      <w:r>
        <w:rPr/>
        <w:t>Risk</w:t>
      </w:r>
      <w:r>
        <w:rPr>
          <w:spacing w:val="-6"/>
        </w:rPr>
        <w:t> </w:t>
      </w:r>
      <w:r>
        <w:rPr/>
        <w:t>Behaviors (pp. 147-172). Academic Press.</w:t>
      </w:r>
    </w:p>
    <w:p>
      <w:pPr>
        <w:pStyle w:val="BodyText"/>
        <w:spacing w:before="6"/>
        <w:rPr>
          <w:sz w:val="25"/>
        </w:rPr>
      </w:pPr>
    </w:p>
    <w:p>
      <w:pPr>
        <w:pStyle w:val="Heading2"/>
        <w:jc w:val="both"/>
      </w:pPr>
      <w:r>
        <w:rPr/>
        <w:t>Sexual</w:t>
      </w:r>
      <w:r>
        <w:rPr>
          <w:spacing w:val="-8"/>
        </w:rPr>
        <w:t> </w:t>
      </w:r>
      <w:r>
        <w:rPr/>
        <w:t>Health</w:t>
      </w:r>
      <w:r>
        <w:rPr>
          <w:spacing w:val="-8"/>
        </w:rPr>
        <w:t> </w:t>
      </w:r>
      <w:r>
        <w:rPr/>
        <w:t>and</w:t>
      </w:r>
      <w:r>
        <w:rPr>
          <w:spacing w:val="-13"/>
        </w:rPr>
        <w:t> </w:t>
      </w:r>
      <w:r>
        <w:rPr/>
        <w:t>Well-</w:t>
      </w:r>
      <w:r>
        <w:rPr>
          <w:spacing w:val="-2"/>
        </w:rPr>
        <w:t>being</w:t>
      </w:r>
    </w:p>
    <w:p>
      <w:pPr>
        <w:pStyle w:val="BodyText"/>
        <w:spacing w:before="8"/>
        <w:rPr>
          <w:b/>
          <w:sz w:val="27"/>
        </w:rPr>
      </w:pPr>
    </w:p>
    <w:p>
      <w:pPr>
        <w:pStyle w:val="Heading3"/>
        <w:spacing w:line="321" w:lineRule="exact"/>
        <w:rPr>
          <w:i/>
        </w:rPr>
      </w:pPr>
      <w:r>
        <w:rPr>
          <w:i/>
        </w:rPr>
        <w:t>Sexual</w:t>
      </w:r>
      <w:r>
        <w:rPr>
          <w:i/>
          <w:spacing w:val="-3"/>
        </w:rPr>
        <w:t> </w:t>
      </w:r>
      <w:r>
        <w:rPr>
          <w:i/>
        </w:rPr>
        <w:t>Dysfunction</w:t>
      </w:r>
      <w:r>
        <w:rPr>
          <w:i/>
          <w:spacing w:val="-2"/>
        </w:rPr>
        <w:t> </w:t>
      </w:r>
      <w:r>
        <w:rPr>
          <w:i/>
        </w:rPr>
        <w:t>and</w:t>
      </w:r>
      <w:r>
        <w:rPr>
          <w:i/>
          <w:spacing w:val="-2"/>
        </w:rPr>
        <w:t> Disorders</w:t>
      </w:r>
    </w:p>
    <w:p>
      <w:pPr>
        <w:pStyle w:val="BodyText"/>
        <w:ind w:left="280" w:right="502"/>
      </w:pPr>
      <w:r>
        <w:rPr/>
        <w:t>Sexual</w:t>
      </w:r>
      <w:r>
        <w:rPr>
          <w:spacing w:val="-5"/>
        </w:rPr>
        <w:t> </w:t>
      </w:r>
      <w:r>
        <w:rPr/>
        <w:t>dysfunction</w:t>
      </w:r>
      <w:r>
        <w:rPr>
          <w:spacing w:val="-5"/>
        </w:rPr>
        <w:t> </w:t>
      </w:r>
      <w:r>
        <w:rPr/>
        <w:t>refers</w:t>
      </w:r>
      <w:r>
        <w:rPr>
          <w:spacing w:val="-5"/>
        </w:rPr>
        <w:t> </w:t>
      </w:r>
      <w:r>
        <w:rPr/>
        <w:t>to</w:t>
      </w:r>
      <w:r>
        <w:rPr>
          <w:spacing w:val="-5"/>
        </w:rPr>
        <w:t> </w:t>
      </w:r>
      <w:r>
        <w:rPr/>
        <w:t>difficulties</w:t>
      </w:r>
      <w:r>
        <w:rPr>
          <w:spacing w:val="-5"/>
        </w:rPr>
        <w:t> </w:t>
      </w:r>
      <w:r>
        <w:rPr/>
        <w:t>or</w:t>
      </w:r>
      <w:r>
        <w:rPr>
          <w:spacing w:val="-5"/>
        </w:rPr>
        <w:t> </w:t>
      </w:r>
      <w:r>
        <w:rPr/>
        <w:t>disruptions</w:t>
      </w:r>
      <w:r>
        <w:rPr>
          <w:spacing w:val="-5"/>
        </w:rPr>
        <w:t> </w:t>
      </w:r>
      <w:r>
        <w:rPr/>
        <w:t>in</w:t>
      </w:r>
      <w:r>
        <w:rPr>
          <w:spacing w:val="-5"/>
        </w:rPr>
        <w:t> </w:t>
      </w:r>
      <w:r>
        <w:rPr/>
        <w:t>sexual</w:t>
      </w:r>
      <w:r>
        <w:rPr>
          <w:spacing w:val="-5"/>
        </w:rPr>
        <w:t> </w:t>
      </w:r>
      <w:r>
        <w:rPr/>
        <w:t>desire,</w:t>
      </w:r>
      <w:r>
        <w:rPr>
          <w:spacing w:val="-5"/>
        </w:rPr>
        <w:t> </w:t>
      </w:r>
      <w:r>
        <w:rPr/>
        <w:t>arousal, orgasm, or pain. These conditions can have various causes, including biological, psychological, and relational factors. Understanding the etiology and impact of sexual dysfunctions is crucial for accurate diagnosis and effective treatment.</w:t>
      </w:r>
      <w:r>
        <w:rPr>
          <w:spacing w:val="-5"/>
        </w:rPr>
        <w:t> </w:t>
      </w:r>
      <w:r>
        <w:rPr/>
        <w:t>Additionally, sexual disorders, such as paraphilias and gender dysphoria, require specialized care and support to address the unique challenges faced by individuals with these conditions.</w:t>
      </w:r>
    </w:p>
    <w:p>
      <w:pPr>
        <w:pStyle w:val="BodyText"/>
        <w:spacing w:before="6"/>
        <w:rPr>
          <w:sz w:val="26"/>
        </w:rPr>
      </w:pPr>
    </w:p>
    <w:p>
      <w:pPr>
        <w:pStyle w:val="BodyText"/>
        <w:ind w:left="280"/>
      </w:pPr>
      <w:r>
        <w:rPr>
          <w:spacing w:val="-2"/>
        </w:rPr>
        <w:t>References:</w:t>
      </w:r>
    </w:p>
    <w:p>
      <w:pPr>
        <w:pStyle w:val="BodyText"/>
        <w:spacing w:before="8"/>
        <w:rPr>
          <w:sz w:val="27"/>
        </w:rPr>
      </w:pPr>
    </w:p>
    <w:p>
      <w:pPr>
        <w:pStyle w:val="BodyText"/>
        <w:ind w:left="280" w:right="502"/>
      </w:pPr>
      <w:r>
        <w:rPr/>
        <w:t>McCabe, M. P., Sharlip, I. D., &amp;</w:t>
      </w:r>
      <w:r>
        <w:rPr>
          <w:spacing w:val="-8"/>
        </w:rPr>
        <w:t> </w:t>
      </w:r>
      <w:r>
        <w:rPr/>
        <w:t>Atalla, E. (2020). Psychological factors influencing</w:t>
      </w:r>
      <w:r>
        <w:rPr>
          <w:spacing w:val="-4"/>
        </w:rPr>
        <w:t> </w:t>
      </w:r>
      <w:r>
        <w:rPr/>
        <w:t>sexual</w:t>
      </w:r>
      <w:r>
        <w:rPr>
          <w:spacing w:val="-4"/>
        </w:rPr>
        <w:t> </w:t>
      </w:r>
      <w:r>
        <w:rPr/>
        <w:t>health.</w:t>
      </w:r>
      <w:r>
        <w:rPr>
          <w:spacing w:val="-4"/>
        </w:rPr>
        <w:t> </w:t>
      </w:r>
      <w:r>
        <w:rPr/>
        <w:t>In</w:t>
      </w:r>
      <w:r>
        <w:rPr>
          <w:spacing w:val="-10"/>
        </w:rPr>
        <w:t> </w:t>
      </w:r>
      <w:r>
        <w:rPr/>
        <w:t>The</w:t>
      </w:r>
      <w:r>
        <w:rPr>
          <w:spacing w:val="-5"/>
        </w:rPr>
        <w:t> </w:t>
      </w:r>
      <w:r>
        <w:rPr/>
        <w:t>Handbook</w:t>
      </w:r>
      <w:r>
        <w:rPr>
          <w:spacing w:val="-4"/>
        </w:rPr>
        <w:t> </w:t>
      </w:r>
      <w:r>
        <w:rPr/>
        <w:t>of</w:t>
      </w:r>
      <w:r>
        <w:rPr>
          <w:spacing w:val="-4"/>
        </w:rPr>
        <w:t> </w:t>
      </w:r>
      <w:r>
        <w:rPr/>
        <w:t>Clinical</w:t>
      </w:r>
      <w:r>
        <w:rPr>
          <w:spacing w:val="-4"/>
        </w:rPr>
        <w:t> </w:t>
      </w:r>
      <w:r>
        <w:rPr/>
        <w:t>Sexuality</w:t>
      </w:r>
      <w:r>
        <w:rPr>
          <w:spacing w:val="-4"/>
        </w:rPr>
        <w:t> </w:t>
      </w:r>
      <w:r>
        <w:rPr/>
        <w:t>for</w:t>
      </w:r>
      <w:r>
        <w:rPr>
          <w:spacing w:val="-4"/>
        </w:rPr>
        <w:t> </w:t>
      </w:r>
      <w:r>
        <w:rPr/>
        <w:t>Mental Health Professionals (3rd ed., pp. 73-90). Routledge.</w:t>
      </w:r>
    </w:p>
    <w:p>
      <w:pPr>
        <w:pStyle w:val="BodyText"/>
        <w:spacing w:before="3"/>
        <w:rPr>
          <w:sz w:val="27"/>
        </w:rPr>
      </w:pPr>
    </w:p>
    <w:p>
      <w:pPr>
        <w:pStyle w:val="BodyText"/>
        <w:ind w:left="280"/>
      </w:pPr>
      <w:r>
        <w:rPr/>
        <w:t>Zucker,</w:t>
      </w:r>
      <w:r>
        <w:rPr>
          <w:spacing w:val="-5"/>
        </w:rPr>
        <w:t> </w:t>
      </w:r>
      <w:r>
        <w:rPr/>
        <w:t>K.</w:t>
      </w:r>
      <w:r>
        <w:rPr>
          <w:spacing w:val="-5"/>
        </w:rPr>
        <w:t> </w:t>
      </w:r>
      <w:r>
        <w:rPr/>
        <w:t>J.</w:t>
      </w:r>
      <w:r>
        <w:rPr>
          <w:spacing w:val="-5"/>
        </w:rPr>
        <w:t> </w:t>
      </w:r>
      <w:r>
        <w:rPr/>
        <w:t>(2021).</w:t>
      </w:r>
      <w:r>
        <w:rPr>
          <w:spacing w:val="-5"/>
        </w:rPr>
        <w:t> </w:t>
      </w:r>
      <w:r>
        <w:rPr/>
        <w:t>Gender</w:t>
      </w:r>
      <w:r>
        <w:rPr>
          <w:spacing w:val="-5"/>
        </w:rPr>
        <w:t> </w:t>
      </w:r>
      <w:r>
        <w:rPr/>
        <w:t>dysphoria</w:t>
      </w:r>
      <w:r>
        <w:rPr>
          <w:spacing w:val="-6"/>
        </w:rPr>
        <w:t> </w:t>
      </w:r>
      <w:r>
        <w:rPr/>
        <w:t>in</w:t>
      </w:r>
      <w:r>
        <w:rPr>
          <w:spacing w:val="-5"/>
        </w:rPr>
        <w:t> </w:t>
      </w:r>
      <w:r>
        <w:rPr/>
        <w:t>children</w:t>
      </w:r>
      <w:r>
        <w:rPr>
          <w:spacing w:val="-5"/>
        </w:rPr>
        <w:t> </w:t>
      </w:r>
      <w:r>
        <w:rPr/>
        <w:t>and</w:t>
      </w:r>
      <w:r>
        <w:rPr>
          <w:spacing w:val="-5"/>
        </w:rPr>
        <w:t> </w:t>
      </w:r>
      <w:r>
        <w:rPr/>
        <w:t>adolescents:</w:t>
      </w:r>
      <w:r>
        <w:rPr>
          <w:spacing w:val="-5"/>
        </w:rPr>
        <w:t> </w:t>
      </w:r>
      <w:r>
        <w:rPr/>
        <w:t>Recent advances. Current Opinion in Psychiatry, 34(6), 631-636.</w:t>
      </w:r>
    </w:p>
    <w:p>
      <w:pPr>
        <w:spacing w:after="0"/>
        <w:sectPr>
          <w:pgSz w:w="12240" w:h="15840"/>
          <w:pgMar w:header="0" w:footer="765" w:top="1260" w:bottom="980" w:left="1400" w:right="1180"/>
        </w:sectPr>
      </w:pPr>
    </w:p>
    <w:p>
      <w:pPr>
        <w:pStyle w:val="Heading2"/>
        <w:spacing w:before="66"/>
      </w:pPr>
      <w:r>
        <w:rPr>
          <w:spacing w:val="-2"/>
        </w:rPr>
        <w:t>Conclusion</w:t>
      </w:r>
    </w:p>
    <w:p>
      <w:pPr>
        <w:pStyle w:val="BodyText"/>
        <w:spacing w:before="7"/>
        <w:rPr>
          <w:b/>
          <w:sz w:val="27"/>
        </w:rPr>
      </w:pPr>
    </w:p>
    <w:p>
      <w:pPr>
        <w:pStyle w:val="BodyText"/>
        <w:ind w:left="280" w:right="502"/>
      </w:pPr>
      <w:r>
        <w:rPr/>
        <w:t>Understanding human sexuality within the context of human growth and development is a multidimensional endeavor that encompasses biological, psychological, and sociocultural factors. From hormonal influences to psychosexual</w:t>
      </w:r>
      <w:r>
        <w:rPr>
          <w:spacing w:val="-5"/>
        </w:rPr>
        <w:t> </w:t>
      </w:r>
      <w:r>
        <w:rPr/>
        <w:t>development,</w:t>
      </w:r>
      <w:r>
        <w:rPr>
          <w:spacing w:val="-5"/>
        </w:rPr>
        <w:t> </w:t>
      </w:r>
      <w:r>
        <w:rPr/>
        <w:t>from</w:t>
      </w:r>
      <w:r>
        <w:rPr>
          <w:spacing w:val="-5"/>
        </w:rPr>
        <w:t> </w:t>
      </w:r>
      <w:r>
        <w:rPr/>
        <w:t>cultural</w:t>
      </w:r>
      <w:r>
        <w:rPr>
          <w:spacing w:val="-5"/>
        </w:rPr>
        <w:t> </w:t>
      </w:r>
      <w:r>
        <w:rPr/>
        <w:t>norms</w:t>
      </w:r>
      <w:r>
        <w:rPr>
          <w:spacing w:val="-5"/>
        </w:rPr>
        <w:t> </w:t>
      </w:r>
      <w:r>
        <w:rPr/>
        <w:t>to</w:t>
      </w:r>
      <w:r>
        <w:rPr>
          <w:spacing w:val="-5"/>
        </w:rPr>
        <w:t> </w:t>
      </w:r>
      <w:r>
        <w:rPr/>
        <w:t>sexual</w:t>
      </w:r>
      <w:r>
        <w:rPr>
          <w:spacing w:val="-5"/>
        </w:rPr>
        <w:t> </w:t>
      </w:r>
      <w:r>
        <w:rPr/>
        <w:t>health</w:t>
      </w:r>
      <w:r>
        <w:rPr>
          <w:spacing w:val="-5"/>
        </w:rPr>
        <w:t> </w:t>
      </w:r>
      <w:r>
        <w:rPr/>
        <w:t>across</w:t>
      </w:r>
      <w:r>
        <w:rPr>
          <w:spacing w:val="-5"/>
        </w:rPr>
        <w:t> </w:t>
      </w:r>
      <w:r>
        <w:rPr/>
        <w:t>the lifespan, exploring the diverse aspects of human sexuality allows for comprehensive and informed support of individuals' sexual well-being. By promoting accurate education, addressing sexual diversity, and reducing stigma, we can create a more inclusive and supportive society that values healthy sexual development for all.</w:t>
      </w:r>
    </w:p>
    <w:p>
      <w:pPr>
        <w:pStyle w:val="BodyText"/>
        <w:spacing w:before="3"/>
        <w:rPr>
          <w:sz w:val="26"/>
        </w:rPr>
      </w:pPr>
    </w:p>
    <w:p>
      <w:pPr>
        <w:pStyle w:val="BodyText"/>
        <w:spacing w:line="321" w:lineRule="exact" w:before="1"/>
        <w:ind w:left="280"/>
      </w:pPr>
      <w:r>
        <w:rPr>
          <w:spacing w:val="-2"/>
        </w:rPr>
        <w:t>References:</w:t>
      </w:r>
    </w:p>
    <w:p>
      <w:pPr>
        <w:pStyle w:val="ListParagraph"/>
        <w:numPr>
          <w:ilvl w:val="0"/>
          <w:numId w:val="5"/>
        </w:numPr>
        <w:tabs>
          <w:tab w:pos="1088" w:val="left" w:leader="none"/>
        </w:tabs>
        <w:spacing w:line="220" w:lineRule="auto" w:before="18" w:after="0"/>
        <w:ind w:left="1088" w:right="769" w:hanging="809"/>
        <w:jc w:val="left"/>
        <w:rPr>
          <w:sz w:val="28"/>
        </w:rPr>
      </w:pPr>
      <w:r>
        <w:rPr>
          <w:sz w:val="28"/>
        </w:rPr>
        <w:t>Hines,</w:t>
      </w:r>
      <w:r>
        <w:rPr>
          <w:spacing w:val="-5"/>
          <w:sz w:val="28"/>
        </w:rPr>
        <w:t> </w:t>
      </w:r>
      <w:r>
        <w:rPr>
          <w:sz w:val="28"/>
        </w:rPr>
        <w:t>M.</w:t>
      </w:r>
      <w:r>
        <w:rPr>
          <w:spacing w:val="-5"/>
          <w:sz w:val="28"/>
        </w:rPr>
        <w:t> </w:t>
      </w:r>
      <w:r>
        <w:rPr>
          <w:sz w:val="28"/>
        </w:rPr>
        <w:t>(2020).</w:t>
      </w:r>
      <w:r>
        <w:rPr>
          <w:spacing w:val="-5"/>
          <w:sz w:val="28"/>
        </w:rPr>
        <w:t> </w:t>
      </w:r>
      <w:r>
        <w:rPr>
          <w:sz w:val="28"/>
        </w:rPr>
        <w:t>Prenatal</w:t>
      </w:r>
      <w:r>
        <w:rPr>
          <w:spacing w:val="-5"/>
          <w:sz w:val="28"/>
        </w:rPr>
        <w:t> </w:t>
      </w:r>
      <w:r>
        <w:rPr>
          <w:sz w:val="28"/>
        </w:rPr>
        <w:t>endocrine</w:t>
      </w:r>
      <w:r>
        <w:rPr>
          <w:spacing w:val="-6"/>
          <w:sz w:val="28"/>
        </w:rPr>
        <w:t> </w:t>
      </w:r>
      <w:r>
        <w:rPr>
          <w:sz w:val="28"/>
        </w:rPr>
        <w:t>influences</w:t>
      </w:r>
      <w:r>
        <w:rPr>
          <w:spacing w:val="-5"/>
          <w:sz w:val="28"/>
        </w:rPr>
        <w:t> </w:t>
      </w:r>
      <w:r>
        <w:rPr>
          <w:sz w:val="28"/>
        </w:rPr>
        <w:t>on</w:t>
      </w:r>
      <w:r>
        <w:rPr>
          <w:spacing w:val="-5"/>
          <w:sz w:val="28"/>
        </w:rPr>
        <w:t> </w:t>
      </w:r>
      <w:r>
        <w:rPr>
          <w:sz w:val="28"/>
        </w:rPr>
        <w:t>sexual</w:t>
      </w:r>
      <w:r>
        <w:rPr>
          <w:spacing w:val="-5"/>
          <w:sz w:val="28"/>
        </w:rPr>
        <w:t> </w:t>
      </w:r>
      <w:r>
        <w:rPr>
          <w:sz w:val="28"/>
        </w:rPr>
        <w:t>orientation and gender identity. Journal of Neuroendocrinology, 32(1), e12767.</w:t>
      </w:r>
    </w:p>
    <w:p>
      <w:pPr>
        <w:pStyle w:val="ListParagraph"/>
        <w:numPr>
          <w:ilvl w:val="0"/>
          <w:numId w:val="5"/>
        </w:numPr>
        <w:tabs>
          <w:tab w:pos="1088" w:val="left" w:leader="none"/>
        </w:tabs>
        <w:spacing w:line="220" w:lineRule="auto" w:before="24" w:after="0"/>
        <w:ind w:left="1088" w:right="756" w:hanging="809"/>
        <w:jc w:val="left"/>
        <w:rPr>
          <w:sz w:val="28"/>
        </w:rPr>
      </w:pPr>
      <w:r>
        <w:rPr>
          <w:sz w:val="28"/>
        </w:rPr>
        <w:t>Savic,</w:t>
      </w:r>
      <w:r>
        <w:rPr>
          <w:spacing w:val="-6"/>
          <w:sz w:val="28"/>
        </w:rPr>
        <w:t> </w:t>
      </w:r>
      <w:r>
        <w:rPr>
          <w:sz w:val="28"/>
        </w:rPr>
        <w:t>I.,</w:t>
      </w:r>
      <w:r>
        <w:rPr>
          <w:spacing w:val="-4"/>
          <w:sz w:val="28"/>
        </w:rPr>
        <w:t> </w:t>
      </w:r>
      <w:r>
        <w:rPr>
          <w:sz w:val="28"/>
        </w:rPr>
        <w:t>&amp;</w:t>
      </w:r>
      <w:r>
        <w:rPr>
          <w:spacing w:val="-18"/>
          <w:sz w:val="28"/>
        </w:rPr>
        <w:t> </w:t>
      </w:r>
      <w:r>
        <w:rPr>
          <w:sz w:val="28"/>
        </w:rPr>
        <w:t>Arver,</w:t>
      </w:r>
      <w:r>
        <w:rPr>
          <w:spacing w:val="-4"/>
          <w:sz w:val="28"/>
        </w:rPr>
        <w:t> </w:t>
      </w:r>
      <w:r>
        <w:rPr>
          <w:sz w:val="28"/>
        </w:rPr>
        <w:t>S.</w:t>
      </w:r>
      <w:r>
        <w:rPr>
          <w:spacing w:val="-4"/>
          <w:sz w:val="28"/>
        </w:rPr>
        <w:t> </w:t>
      </w:r>
      <w:r>
        <w:rPr>
          <w:sz w:val="28"/>
        </w:rPr>
        <w:t>(2020).</w:t>
      </w:r>
      <w:r>
        <w:rPr>
          <w:spacing w:val="-4"/>
          <w:sz w:val="28"/>
        </w:rPr>
        <w:t> </w:t>
      </w:r>
      <w:r>
        <w:rPr>
          <w:sz w:val="28"/>
        </w:rPr>
        <w:t>Sex</w:t>
      </w:r>
      <w:r>
        <w:rPr>
          <w:spacing w:val="-4"/>
          <w:sz w:val="28"/>
        </w:rPr>
        <w:t> </w:t>
      </w:r>
      <w:r>
        <w:rPr>
          <w:sz w:val="28"/>
        </w:rPr>
        <w:t>dimorphism</w:t>
      </w:r>
      <w:r>
        <w:rPr>
          <w:spacing w:val="-4"/>
          <w:sz w:val="28"/>
        </w:rPr>
        <w:t> </w:t>
      </w:r>
      <w:r>
        <w:rPr>
          <w:sz w:val="28"/>
        </w:rPr>
        <w:t>of</w:t>
      </w:r>
      <w:r>
        <w:rPr>
          <w:spacing w:val="-4"/>
          <w:sz w:val="28"/>
        </w:rPr>
        <w:t> </w:t>
      </w:r>
      <w:r>
        <w:rPr>
          <w:sz w:val="28"/>
        </w:rPr>
        <w:t>the</w:t>
      </w:r>
      <w:r>
        <w:rPr>
          <w:spacing w:val="-5"/>
          <w:sz w:val="28"/>
        </w:rPr>
        <w:t> </w:t>
      </w:r>
      <w:r>
        <w:rPr>
          <w:sz w:val="28"/>
        </w:rPr>
        <w:t>brain</w:t>
      </w:r>
      <w:r>
        <w:rPr>
          <w:spacing w:val="-4"/>
          <w:sz w:val="28"/>
        </w:rPr>
        <w:t> </w:t>
      </w:r>
      <w:r>
        <w:rPr>
          <w:sz w:val="28"/>
        </w:rPr>
        <w:t>in</w:t>
      </w:r>
      <w:r>
        <w:rPr>
          <w:spacing w:val="-4"/>
          <w:sz w:val="28"/>
        </w:rPr>
        <w:t> </w:t>
      </w:r>
      <w:r>
        <w:rPr>
          <w:sz w:val="28"/>
        </w:rPr>
        <w:t>male-to- female transsexuals. Cerebral Cortex, 30(7), 4178-4190.</w:t>
      </w:r>
    </w:p>
    <w:p>
      <w:pPr>
        <w:pStyle w:val="ListParagraph"/>
        <w:numPr>
          <w:ilvl w:val="0"/>
          <w:numId w:val="5"/>
        </w:numPr>
        <w:tabs>
          <w:tab w:pos="1088" w:val="left" w:leader="none"/>
        </w:tabs>
        <w:spacing w:line="230" w:lineRule="auto" w:before="15" w:after="0"/>
        <w:ind w:left="1088" w:right="560" w:hanging="809"/>
        <w:jc w:val="left"/>
        <w:rPr>
          <w:sz w:val="28"/>
        </w:rPr>
      </w:pPr>
      <w:r>
        <w:rPr>
          <w:sz w:val="28"/>
        </w:rPr>
        <w:t>Zucker,</w:t>
      </w:r>
      <w:r>
        <w:rPr>
          <w:spacing w:val="-6"/>
          <w:sz w:val="28"/>
        </w:rPr>
        <w:t> </w:t>
      </w:r>
      <w:r>
        <w:rPr>
          <w:sz w:val="28"/>
        </w:rPr>
        <w:t>K.</w:t>
      </w:r>
      <w:r>
        <w:rPr>
          <w:spacing w:val="-6"/>
          <w:sz w:val="28"/>
        </w:rPr>
        <w:t> </w:t>
      </w:r>
      <w:r>
        <w:rPr>
          <w:sz w:val="28"/>
        </w:rPr>
        <w:t>J.</w:t>
      </w:r>
      <w:r>
        <w:rPr>
          <w:spacing w:val="-6"/>
          <w:sz w:val="28"/>
        </w:rPr>
        <w:t> </w:t>
      </w:r>
      <w:r>
        <w:rPr>
          <w:sz w:val="28"/>
        </w:rPr>
        <w:t>(2020).</w:t>
      </w:r>
      <w:r>
        <w:rPr>
          <w:spacing w:val="-12"/>
          <w:sz w:val="28"/>
        </w:rPr>
        <w:t> </w:t>
      </w:r>
      <w:r>
        <w:rPr>
          <w:sz w:val="28"/>
        </w:rPr>
        <w:t>The</w:t>
      </w:r>
      <w:r>
        <w:rPr>
          <w:spacing w:val="-7"/>
          <w:sz w:val="28"/>
        </w:rPr>
        <w:t> </w:t>
      </w:r>
      <w:r>
        <w:rPr>
          <w:sz w:val="28"/>
        </w:rPr>
        <w:t>psychoanalytic</w:t>
      </w:r>
      <w:r>
        <w:rPr>
          <w:spacing w:val="-7"/>
          <w:sz w:val="28"/>
        </w:rPr>
        <w:t> </w:t>
      </w:r>
      <w:r>
        <w:rPr>
          <w:sz w:val="28"/>
        </w:rPr>
        <w:t>contributions</w:t>
      </w:r>
      <w:r>
        <w:rPr>
          <w:spacing w:val="-6"/>
          <w:sz w:val="28"/>
        </w:rPr>
        <w:t> </w:t>
      </w:r>
      <w:r>
        <w:rPr>
          <w:sz w:val="28"/>
        </w:rPr>
        <w:t>of</w:t>
      </w:r>
      <w:r>
        <w:rPr>
          <w:spacing w:val="-6"/>
          <w:sz w:val="28"/>
        </w:rPr>
        <w:t> </w:t>
      </w:r>
      <w:r>
        <w:rPr>
          <w:sz w:val="28"/>
        </w:rPr>
        <w:t>psychosexual development theory: A historical perspective. Archives of Sexual Behavior, 49(5), 1677-1689.</w:t>
      </w:r>
    </w:p>
    <w:p>
      <w:pPr>
        <w:pStyle w:val="ListParagraph"/>
        <w:numPr>
          <w:ilvl w:val="0"/>
          <w:numId w:val="5"/>
        </w:numPr>
        <w:tabs>
          <w:tab w:pos="1088" w:val="left" w:leader="none"/>
        </w:tabs>
        <w:spacing w:line="230" w:lineRule="auto" w:before="9" w:after="0"/>
        <w:ind w:left="1088" w:right="1330" w:hanging="809"/>
        <w:jc w:val="left"/>
        <w:rPr>
          <w:sz w:val="28"/>
        </w:rPr>
      </w:pPr>
      <w:r>
        <w:rPr>
          <w:sz w:val="28"/>
        </w:rPr>
        <w:t>Milrod, D., &amp; Chused, J. F. (2021). Developmental theories: Psychoanalytic</w:t>
      </w:r>
      <w:r>
        <w:rPr>
          <w:spacing w:val="-11"/>
          <w:sz w:val="28"/>
        </w:rPr>
        <w:t> </w:t>
      </w:r>
      <w:r>
        <w:rPr>
          <w:sz w:val="28"/>
        </w:rPr>
        <w:t>perspectives.</w:t>
      </w:r>
      <w:r>
        <w:rPr>
          <w:spacing w:val="-10"/>
          <w:sz w:val="28"/>
        </w:rPr>
        <w:t> </w:t>
      </w:r>
      <w:r>
        <w:rPr>
          <w:sz w:val="28"/>
        </w:rPr>
        <w:t>In</w:t>
      </w:r>
      <w:r>
        <w:rPr>
          <w:spacing w:val="-15"/>
          <w:sz w:val="28"/>
        </w:rPr>
        <w:t> </w:t>
      </w:r>
      <w:r>
        <w:rPr>
          <w:sz w:val="28"/>
        </w:rPr>
        <w:t>Textbook</w:t>
      </w:r>
      <w:r>
        <w:rPr>
          <w:spacing w:val="-10"/>
          <w:sz w:val="28"/>
        </w:rPr>
        <w:t> </w:t>
      </w:r>
      <w:r>
        <w:rPr>
          <w:sz w:val="28"/>
        </w:rPr>
        <w:t>of</w:t>
      </w:r>
      <w:r>
        <w:rPr>
          <w:spacing w:val="-10"/>
          <w:sz w:val="28"/>
        </w:rPr>
        <w:t> </w:t>
      </w:r>
      <w:r>
        <w:rPr>
          <w:sz w:val="28"/>
        </w:rPr>
        <w:t>Psychoanalysis</w:t>
      </w:r>
      <w:r>
        <w:rPr>
          <w:spacing w:val="-10"/>
          <w:sz w:val="28"/>
        </w:rPr>
        <w:t> </w:t>
      </w:r>
      <w:r>
        <w:rPr>
          <w:sz w:val="28"/>
        </w:rPr>
        <w:t>(pp. 231-245). American Psychiatric Association Publishing.</w:t>
      </w:r>
    </w:p>
    <w:p>
      <w:pPr>
        <w:pStyle w:val="ListParagraph"/>
        <w:numPr>
          <w:ilvl w:val="0"/>
          <w:numId w:val="5"/>
        </w:numPr>
        <w:tabs>
          <w:tab w:pos="1088" w:val="left" w:leader="none"/>
        </w:tabs>
        <w:spacing w:line="230" w:lineRule="auto" w:before="9" w:after="0"/>
        <w:ind w:left="1088" w:right="798" w:hanging="809"/>
        <w:jc w:val="left"/>
        <w:rPr>
          <w:sz w:val="28"/>
        </w:rPr>
      </w:pPr>
      <w:r>
        <w:rPr>
          <w:sz w:val="28"/>
        </w:rPr>
        <w:t>Mercer, C. H., &amp; Tanton, C. (2020). Cultural context and sexual behavior.</w:t>
      </w:r>
      <w:r>
        <w:rPr>
          <w:spacing w:val="-7"/>
          <w:sz w:val="28"/>
        </w:rPr>
        <w:t> </w:t>
      </w:r>
      <w:r>
        <w:rPr>
          <w:sz w:val="28"/>
        </w:rPr>
        <w:t>In</w:t>
      </w:r>
      <w:r>
        <w:rPr>
          <w:spacing w:val="-12"/>
          <w:sz w:val="28"/>
        </w:rPr>
        <w:t> </w:t>
      </w:r>
      <w:r>
        <w:rPr>
          <w:sz w:val="28"/>
        </w:rPr>
        <w:t>The</w:t>
      </w:r>
      <w:r>
        <w:rPr>
          <w:spacing w:val="-8"/>
          <w:sz w:val="28"/>
        </w:rPr>
        <w:t> </w:t>
      </w:r>
      <w:r>
        <w:rPr>
          <w:sz w:val="28"/>
        </w:rPr>
        <w:t>International</w:t>
      </w:r>
      <w:r>
        <w:rPr>
          <w:spacing w:val="-7"/>
          <w:sz w:val="28"/>
        </w:rPr>
        <w:t> </w:t>
      </w:r>
      <w:r>
        <w:rPr>
          <w:sz w:val="28"/>
        </w:rPr>
        <w:t>Encyclopedia</w:t>
      </w:r>
      <w:r>
        <w:rPr>
          <w:spacing w:val="-8"/>
          <w:sz w:val="28"/>
        </w:rPr>
        <w:t> </w:t>
      </w:r>
      <w:r>
        <w:rPr>
          <w:sz w:val="28"/>
        </w:rPr>
        <w:t>of</w:t>
      </w:r>
      <w:r>
        <w:rPr>
          <w:spacing w:val="-7"/>
          <w:sz w:val="28"/>
        </w:rPr>
        <w:t> </w:t>
      </w:r>
      <w:r>
        <w:rPr>
          <w:sz w:val="28"/>
        </w:rPr>
        <w:t>Human</w:t>
      </w:r>
      <w:r>
        <w:rPr>
          <w:spacing w:val="-7"/>
          <w:sz w:val="28"/>
        </w:rPr>
        <w:t> </w:t>
      </w:r>
      <w:r>
        <w:rPr>
          <w:sz w:val="28"/>
        </w:rPr>
        <w:t>Sexuality</w:t>
      </w:r>
      <w:r>
        <w:rPr>
          <w:spacing w:val="-7"/>
          <w:sz w:val="28"/>
        </w:rPr>
        <w:t> </w:t>
      </w:r>
      <w:r>
        <w:rPr>
          <w:sz w:val="28"/>
        </w:rPr>
        <w:t>(pp. 55-67). John Wiley &amp; Sons, Ltd.</w:t>
      </w:r>
    </w:p>
    <w:p>
      <w:pPr>
        <w:pStyle w:val="ListParagraph"/>
        <w:numPr>
          <w:ilvl w:val="0"/>
          <w:numId w:val="5"/>
        </w:numPr>
        <w:tabs>
          <w:tab w:pos="1088" w:val="left" w:leader="none"/>
        </w:tabs>
        <w:spacing w:line="230" w:lineRule="auto" w:before="9" w:after="0"/>
        <w:ind w:left="1088" w:right="761" w:hanging="809"/>
        <w:jc w:val="both"/>
        <w:rPr>
          <w:sz w:val="28"/>
        </w:rPr>
      </w:pPr>
      <w:r>
        <w:rPr>
          <w:sz w:val="28"/>
        </w:rPr>
        <w:t>Loos,</w:t>
      </w:r>
      <w:r>
        <w:rPr>
          <w:spacing w:val="-18"/>
          <w:sz w:val="28"/>
        </w:rPr>
        <w:t> </w:t>
      </w:r>
      <w:r>
        <w:rPr>
          <w:sz w:val="28"/>
        </w:rPr>
        <w:t>A.,</w:t>
      </w:r>
      <w:r>
        <w:rPr>
          <w:spacing w:val="-2"/>
          <w:sz w:val="28"/>
        </w:rPr>
        <w:t> </w:t>
      </w:r>
      <w:r>
        <w:rPr>
          <w:sz w:val="28"/>
        </w:rPr>
        <w:t>&amp;</w:t>
      </w:r>
      <w:r>
        <w:rPr>
          <w:spacing w:val="-2"/>
          <w:sz w:val="28"/>
        </w:rPr>
        <w:t> </w:t>
      </w:r>
      <w:r>
        <w:rPr>
          <w:sz w:val="28"/>
        </w:rPr>
        <w:t>Reis,</w:t>
      </w:r>
      <w:r>
        <w:rPr>
          <w:spacing w:val="-2"/>
          <w:sz w:val="28"/>
        </w:rPr>
        <w:t> </w:t>
      </w:r>
      <w:r>
        <w:rPr>
          <w:sz w:val="28"/>
        </w:rPr>
        <w:t>L.</w:t>
      </w:r>
      <w:r>
        <w:rPr>
          <w:spacing w:val="-2"/>
          <w:sz w:val="28"/>
        </w:rPr>
        <w:t> </w:t>
      </w:r>
      <w:r>
        <w:rPr>
          <w:sz w:val="28"/>
        </w:rPr>
        <w:t>(2021).</w:t>
      </w:r>
      <w:r>
        <w:rPr>
          <w:spacing w:val="-2"/>
          <w:sz w:val="28"/>
        </w:rPr>
        <w:t> </w:t>
      </w:r>
      <w:r>
        <w:rPr>
          <w:sz w:val="28"/>
        </w:rPr>
        <w:t>Sexual</w:t>
      </w:r>
      <w:r>
        <w:rPr>
          <w:spacing w:val="-2"/>
          <w:sz w:val="28"/>
        </w:rPr>
        <w:t> </w:t>
      </w:r>
      <w:r>
        <w:rPr>
          <w:sz w:val="28"/>
        </w:rPr>
        <w:t>education</w:t>
      </w:r>
      <w:r>
        <w:rPr>
          <w:spacing w:val="-2"/>
          <w:sz w:val="28"/>
        </w:rPr>
        <w:t> </w:t>
      </w:r>
      <w:r>
        <w:rPr>
          <w:sz w:val="28"/>
        </w:rPr>
        <w:t>in</w:t>
      </w:r>
      <w:r>
        <w:rPr>
          <w:spacing w:val="-2"/>
          <w:sz w:val="28"/>
        </w:rPr>
        <w:t> </w:t>
      </w:r>
      <w:r>
        <w:rPr>
          <w:sz w:val="28"/>
        </w:rPr>
        <w:t>the</w:t>
      </w:r>
      <w:r>
        <w:rPr>
          <w:spacing w:val="-3"/>
          <w:sz w:val="28"/>
        </w:rPr>
        <w:t> </w:t>
      </w:r>
      <w:r>
        <w:rPr>
          <w:sz w:val="28"/>
        </w:rPr>
        <w:t>context</w:t>
      </w:r>
      <w:r>
        <w:rPr>
          <w:spacing w:val="-2"/>
          <w:sz w:val="28"/>
        </w:rPr>
        <w:t> </w:t>
      </w:r>
      <w:r>
        <w:rPr>
          <w:sz w:val="28"/>
        </w:rPr>
        <w:t>of</w:t>
      </w:r>
      <w:r>
        <w:rPr>
          <w:spacing w:val="-2"/>
          <w:sz w:val="28"/>
        </w:rPr>
        <w:t> </w:t>
      </w:r>
      <w:r>
        <w:rPr>
          <w:sz w:val="28"/>
        </w:rPr>
        <w:t>socio- cultural</w:t>
      </w:r>
      <w:r>
        <w:rPr>
          <w:spacing w:val="-9"/>
          <w:sz w:val="28"/>
        </w:rPr>
        <w:t> </w:t>
      </w:r>
      <w:r>
        <w:rPr>
          <w:sz w:val="28"/>
        </w:rPr>
        <w:t>values:</w:t>
      </w:r>
      <w:r>
        <w:rPr>
          <w:spacing w:val="-18"/>
          <w:sz w:val="28"/>
        </w:rPr>
        <w:t> </w:t>
      </w:r>
      <w:r>
        <w:rPr>
          <w:sz w:val="28"/>
        </w:rPr>
        <w:t>A</w:t>
      </w:r>
      <w:r>
        <w:rPr>
          <w:spacing w:val="-17"/>
          <w:sz w:val="28"/>
        </w:rPr>
        <w:t> </w:t>
      </w:r>
      <w:r>
        <w:rPr>
          <w:sz w:val="28"/>
        </w:rPr>
        <w:t>comparison</w:t>
      </w:r>
      <w:r>
        <w:rPr>
          <w:spacing w:val="-5"/>
          <w:sz w:val="28"/>
        </w:rPr>
        <w:t> </w:t>
      </w:r>
      <w:r>
        <w:rPr>
          <w:sz w:val="28"/>
        </w:rPr>
        <w:t>between</w:t>
      </w:r>
      <w:r>
        <w:rPr>
          <w:spacing w:val="-5"/>
          <w:sz w:val="28"/>
        </w:rPr>
        <w:t> </w:t>
      </w:r>
      <w:r>
        <w:rPr>
          <w:sz w:val="28"/>
        </w:rPr>
        <w:t>Portugal,</w:t>
      </w:r>
      <w:r>
        <w:rPr>
          <w:spacing w:val="-5"/>
          <w:sz w:val="28"/>
        </w:rPr>
        <w:t> </w:t>
      </w:r>
      <w:r>
        <w:rPr>
          <w:sz w:val="28"/>
        </w:rPr>
        <w:t>the</w:t>
      </w:r>
      <w:r>
        <w:rPr>
          <w:spacing w:val="-6"/>
          <w:sz w:val="28"/>
        </w:rPr>
        <w:t> </w:t>
      </w:r>
      <w:r>
        <w:rPr>
          <w:sz w:val="28"/>
        </w:rPr>
        <w:t>Netherlands,</w:t>
      </w:r>
      <w:r>
        <w:rPr>
          <w:spacing w:val="-5"/>
          <w:sz w:val="28"/>
        </w:rPr>
        <w:t> </w:t>
      </w:r>
      <w:r>
        <w:rPr>
          <w:sz w:val="28"/>
        </w:rPr>
        <w:t>and Sweden. Journal of Comparative Family Studies, 52(3), 328-348.</w:t>
      </w:r>
    </w:p>
    <w:p>
      <w:pPr>
        <w:pStyle w:val="ListParagraph"/>
        <w:numPr>
          <w:ilvl w:val="0"/>
          <w:numId w:val="5"/>
        </w:numPr>
        <w:tabs>
          <w:tab w:pos="1088" w:val="left" w:leader="none"/>
        </w:tabs>
        <w:spacing w:line="230" w:lineRule="auto" w:before="9" w:after="0"/>
        <w:ind w:left="1088" w:right="1009" w:hanging="809"/>
        <w:jc w:val="left"/>
        <w:rPr>
          <w:sz w:val="28"/>
        </w:rPr>
      </w:pPr>
      <w:r>
        <w:rPr>
          <w:sz w:val="28"/>
        </w:rPr>
        <w:t>Tolman,</w:t>
      </w:r>
      <w:r>
        <w:rPr>
          <w:spacing w:val="-12"/>
          <w:sz w:val="28"/>
        </w:rPr>
        <w:t> </w:t>
      </w:r>
      <w:r>
        <w:rPr>
          <w:sz w:val="28"/>
        </w:rPr>
        <w:t>D.</w:t>
      </w:r>
      <w:r>
        <w:rPr>
          <w:spacing w:val="-8"/>
          <w:sz w:val="28"/>
        </w:rPr>
        <w:t> </w:t>
      </w:r>
      <w:r>
        <w:rPr>
          <w:sz w:val="28"/>
        </w:rPr>
        <w:t>L.,</w:t>
      </w:r>
      <w:r>
        <w:rPr>
          <w:spacing w:val="-8"/>
          <w:sz w:val="28"/>
        </w:rPr>
        <w:t> </w:t>
      </w:r>
      <w:r>
        <w:rPr>
          <w:sz w:val="28"/>
        </w:rPr>
        <w:t>&amp;</w:t>
      </w:r>
      <w:r>
        <w:rPr>
          <w:spacing w:val="-8"/>
          <w:sz w:val="28"/>
        </w:rPr>
        <w:t> </w:t>
      </w:r>
      <w:r>
        <w:rPr>
          <w:sz w:val="28"/>
        </w:rPr>
        <w:t>McClelland,</w:t>
      </w:r>
      <w:r>
        <w:rPr>
          <w:spacing w:val="-8"/>
          <w:sz w:val="28"/>
        </w:rPr>
        <w:t> </w:t>
      </w:r>
      <w:r>
        <w:rPr>
          <w:sz w:val="28"/>
        </w:rPr>
        <w:t>S.</w:t>
      </w:r>
      <w:r>
        <w:rPr>
          <w:spacing w:val="-8"/>
          <w:sz w:val="28"/>
        </w:rPr>
        <w:t> </w:t>
      </w:r>
      <w:r>
        <w:rPr>
          <w:sz w:val="28"/>
        </w:rPr>
        <w:t>I.</w:t>
      </w:r>
      <w:r>
        <w:rPr>
          <w:spacing w:val="-8"/>
          <w:sz w:val="28"/>
        </w:rPr>
        <w:t> </w:t>
      </w:r>
      <w:r>
        <w:rPr>
          <w:sz w:val="28"/>
        </w:rPr>
        <w:t>(2020).</w:t>
      </w:r>
      <w:r>
        <w:rPr>
          <w:spacing w:val="-18"/>
          <w:sz w:val="28"/>
        </w:rPr>
        <w:t> </w:t>
      </w:r>
      <w:r>
        <w:rPr>
          <w:sz w:val="28"/>
        </w:rPr>
        <w:t>Adolescent</w:t>
      </w:r>
      <w:r>
        <w:rPr>
          <w:spacing w:val="-8"/>
          <w:sz w:val="28"/>
        </w:rPr>
        <w:t> </w:t>
      </w:r>
      <w:r>
        <w:rPr>
          <w:sz w:val="28"/>
        </w:rPr>
        <w:t>sexuality.</w:t>
      </w:r>
      <w:r>
        <w:rPr>
          <w:spacing w:val="-8"/>
          <w:sz w:val="28"/>
        </w:rPr>
        <w:t> </w:t>
      </w:r>
      <w:r>
        <w:rPr>
          <w:sz w:val="28"/>
        </w:rPr>
        <w:t>In Handbook of Sexuality and Psychology (pp. 311-327). American Psychological</w:t>
      </w:r>
      <w:r>
        <w:rPr>
          <w:spacing w:val="-3"/>
          <w:sz w:val="28"/>
        </w:rPr>
        <w:t> </w:t>
      </w:r>
      <w:r>
        <w:rPr>
          <w:sz w:val="28"/>
        </w:rPr>
        <w:t>Association.</w:t>
      </w:r>
    </w:p>
    <w:p>
      <w:pPr>
        <w:pStyle w:val="ListParagraph"/>
        <w:numPr>
          <w:ilvl w:val="0"/>
          <w:numId w:val="5"/>
        </w:numPr>
        <w:tabs>
          <w:tab w:pos="1088" w:val="left" w:leader="none"/>
        </w:tabs>
        <w:spacing w:line="230" w:lineRule="auto" w:before="10" w:after="0"/>
        <w:ind w:left="1088" w:right="533" w:hanging="809"/>
        <w:jc w:val="left"/>
        <w:rPr>
          <w:sz w:val="28"/>
        </w:rPr>
      </w:pPr>
      <w:r>
        <w:rPr>
          <w:sz w:val="28"/>
        </w:rPr>
        <w:t>Salazar,</w:t>
      </w:r>
      <w:r>
        <w:rPr>
          <w:spacing w:val="-12"/>
          <w:sz w:val="28"/>
        </w:rPr>
        <w:t> </w:t>
      </w:r>
      <w:r>
        <w:rPr>
          <w:sz w:val="28"/>
        </w:rPr>
        <w:t>L.</w:t>
      </w:r>
      <w:r>
        <w:rPr>
          <w:spacing w:val="-8"/>
          <w:sz w:val="28"/>
        </w:rPr>
        <w:t> </w:t>
      </w:r>
      <w:r>
        <w:rPr>
          <w:sz w:val="28"/>
        </w:rPr>
        <w:t>F.,</w:t>
      </w:r>
      <w:r>
        <w:rPr>
          <w:spacing w:val="-8"/>
          <w:sz w:val="28"/>
        </w:rPr>
        <w:t> </w:t>
      </w:r>
      <w:r>
        <w:rPr>
          <w:sz w:val="28"/>
        </w:rPr>
        <w:t>Crosby,</w:t>
      </w:r>
      <w:r>
        <w:rPr>
          <w:spacing w:val="-8"/>
          <w:sz w:val="28"/>
        </w:rPr>
        <w:t> </w:t>
      </w:r>
      <w:r>
        <w:rPr>
          <w:sz w:val="28"/>
        </w:rPr>
        <w:t>R.</w:t>
      </w:r>
      <w:r>
        <w:rPr>
          <w:spacing w:val="-18"/>
          <w:sz w:val="28"/>
        </w:rPr>
        <w:t> </w:t>
      </w:r>
      <w:r>
        <w:rPr>
          <w:sz w:val="28"/>
        </w:rPr>
        <w:t>A.,</w:t>
      </w:r>
      <w:r>
        <w:rPr>
          <w:spacing w:val="-8"/>
          <w:sz w:val="28"/>
        </w:rPr>
        <w:t> </w:t>
      </w:r>
      <w:r>
        <w:rPr>
          <w:sz w:val="28"/>
        </w:rPr>
        <w:t>&amp;</w:t>
      </w:r>
      <w:r>
        <w:rPr>
          <w:spacing w:val="-8"/>
          <w:sz w:val="28"/>
        </w:rPr>
        <w:t> </w:t>
      </w:r>
      <w:r>
        <w:rPr>
          <w:sz w:val="28"/>
        </w:rPr>
        <w:t>DiClemente,</w:t>
      </w:r>
      <w:r>
        <w:rPr>
          <w:spacing w:val="-8"/>
          <w:sz w:val="28"/>
        </w:rPr>
        <w:t> </w:t>
      </w:r>
      <w:r>
        <w:rPr>
          <w:sz w:val="28"/>
        </w:rPr>
        <w:t>R.</w:t>
      </w:r>
      <w:r>
        <w:rPr>
          <w:spacing w:val="-8"/>
          <w:sz w:val="28"/>
        </w:rPr>
        <w:t> </w:t>
      </w:r>
      <w:r>
        <w:rPr>
          <w:sz w:val="28"/>
        </w:rPr>
        <w:t>J.</w:t>
      </w:r>
      <w:r>
        <w:rPr>
          <w:spacing w:val="-8"/>
          <w:sz w:val="28"/>
        </w:rPr>
        <w:t> </w:t>
      </w:r>
      <w:r>
        <w:rPr>
          <w:sz w:val="28"/>
        </w:rPr>
        <w:t>(2021).</w:t>
      </w:r>
      <w:r>
        <w:rPr>
          <w:spacing w:val="-8"/>
          <w:sz w:val="28"/>
        </w:rPr>
        <w:t> </w:t>
      </w:r>
      <w:r>
        <w:rPr>
          <w:sz w:val="28"/>
        </w:rPr>
        <w:t>Sexuality</w:t>
      </w:r>
      <w:r>
        <w:rPr>
          <w:spacing w:val="-8"/>
          <w:sz w:val="28"/>
        </w:rPr>
        <w:t> </w:t>
      </w:r>
      <w:r>
        <w:rPr>
          <w:sz w:val="28"/>
        </w:rPr>
        <w:t>and sexual behavior. In</w:t>
      </w:r>
      <w:r>
        <w:rPr>
          <w:spacing w:val="-2"/>
          <w:sz w:val="28"/>
        </w:rPr>
        <w:t> </w:t>
      </w:r>
      <w:r>
        <w:rPr>
          <w:sz w:val="28"/>
        </w:rPr>
        <w:t>Adolescent Health: Understanding and Preventing Risk Behaviors (pp. 147-172). Academic Press.</w:t>
      </w:r>
    </w:p>
    <w:p>
      <w:pPr>
        <w:pStyle w:val="ListParagraph"/>
        <w:numPr>
          <w:ilvl w:val="0"/>
          <w:numId w:val="5"/>
        </w:numPr>
        <w:tabs>
          <w:tab w:pos="1088" w:val="left" w:leader="none"/>
        </w:tabs>
        <w:spacing w:line="232" w:lineRule="auto" w:before="6" w:after="0"/>
        <w:ind w:left="1088" w:right="1297" w:hanging="809"/>
        <w:jc w:val="left"/>
        <w:rPr>
          <w:sz w:val="28"/>
        </w:rPr>
      </w:pPr>
      <w:r>
        <w:rPr>
          <w:sz w:val="28"/>
        </w:rPr>
        <w:t>McCabe,</w:t>
      </w:r>
      <w:r>
        <w:rPr>
          <w:spacing w:val="-11"/>
          <w:sz w:val="28"/>
        </w:rPr>
        <w:t> </w:t>
      </w:r>
      <w:r>
        <w:rPr>
          <w:sz w:val="28"/>
        </w:rPr>
        <w:t>M.</w:t>
      </w:r>
      <w:r>
        <w:rPr>
          <w:spacing w:val="-7"/>
          <w:sz w:val="28"/>
        </w:rPr>
        <w:t> </w:t>
      </w:r>
      <w:r>
        <w:rPr>
          <w:sz w:val="28"/>
        </w:rPr>
        <w:t>P.,</w:t>
      </w:r>
      <w:r>
        <w:rPr>
          <w:spacing w:val="-7"/>
          <w:sz w:val="28"/>
        </w:rPr>
        <w:t> </w:t>
      </w:r>
      <w:r>
        <w:rPr>
          <w:sz w:val="28"/>
        </w:rPr>
        <w:t>Sharlip,</w:t>
      </w:r>
      <w:r>
        <w:rPr>
          <w:spacing w:val="-7"/>
          <w:sz w:val="28"/>
        </w:rPr>
        <w:t> </w:t>
      </w:r>
      <w:r>
        <w:rPr>
          <w:sz w:val="28"/>
        </w:rPr>
        <w:t>I.</w:t>
      </w:r>
      <w:r>
        <w:rPr>
          <w:spacing w:val="-7"/>
          <w:sz w:val="28"/>
        </w:rPr>
        <w:t> </w:t>
      </w:r>
      <w:r>
        <w:rPr>
          <w:sz w:val="28"/>
        </w:rPr>
        <w:t>D.,</w:t>
      </w:r>
      <w:r>
        <w:rPr>
          <w:spacing w:val="-7"/>
          <w:sz w:val="28"/>
        </w:rPr>
        <w:t> </w:t>
      </w:r>
      <w:r>
        <w:rPr>
          <w:sz w:val="28"/>
        </w:rPr>
        <w:t>&amp;</w:t>
      </w:r>
      <w:r>
        <w:rPr>
          <w:spacing w:val="-18"/>
          <w:sz w:val="28"/>
        </w:rPr>
        <w:t> </w:t>
      </w:r>
      <w:r>
        <w:rPr>
          <w:sz w:val="28"/>
        </w:rPr>
        <w:t>Atalla,</w:t>
      </w:r>
      <w:r>
        <w:rPr>
          <w:spacing w:val="-7"/>
          <w:sz w:val="28"/>
        </w:rPr>
        <w:t> </w:t>
      </w:r>
      <w:r>
        <w:rPr>
          <w:sz w:val="28"/>
        </w:rPr>
        <w:t>E.</w:t>
      </w:r>
      <w:r>
        <w:rPr>
          <w:spacing w:val="-7"/>
          <w:sz w:val="28"/>
        </w:rPr>
        <w:t> </w:t>
      </w:r>
      <w:r>
        <w:rPr>
          <w:sz w:val="28"/>
        </w:rPr>
        <w:t>(2020).</w:t>
      </w:r>
      <w:r>
        <w:rPr>
          <w:spacing w:val="-7"/>
          <w:sz w:val="28"/>
        </w:rPr>
        <w:t> </w:t>
      </w:r>
      <w:r>
        <w:rPr>
          <w:sz w:val="28"/>
        </w:rPr>
        <w:t>Psychological factors influencing sexual health. In The Handbook of Clinical Sexuality for Mental Health Professionals (3rd ed., pp. 73-90). </w:t>
      </w:r>
      <w:r>
        <w:rPr>
          <w:spacing w:val="-2"/>
          <w:sz w:val="28"/>
        </w:rPr>
        <w:t>Routledge.</w:t>
      </w:r>
    </w:p>
    <w:p>
      <w:pPr>
        <w:pStyle w:val="ListParagraph"/>
        <w:numPr>
          <w:ilvl w:val="0"/>
          <w:numId w:val="5"/>
        </w:numPr>
        <w:tabs>
          <w:tab w:pos="1088" w:val="left" w:leader="none"/>
        </w:tabs>
        <w:spacing w:line="220" w:lineRule="auto" w:before="20" w:after="0"/>
        <w:ind w:left="1088" w:right="983" w:hanging="809"/>
        <w:jc w:val="left"/>
        <w:rPr>
          <w:sz w:val="28"/>
        </w:rPr>
      </w:pPr>
      <w:r>
        <w:rPr>
          <w:sz w:val="28"/>
        </w:rPr>
        <w:t>Zucker,</w:t>
      </w:r>
      <w:r>
        <w:rPr>
          <w:spacing w:val="-6"/>
          <w:sz w:val="28"/>
        </w:rPr>
        <w:t> </w:t>
      </w:r>
      <w:r>
        <w:rPr>
          <w:sz w:val="28"/>
        </w:rPr>
        <w:t>K.</w:t>
      </w:r>
      <w:r>
        <w:rPr>
          <w:spacing w:val="-6"/>
          <w:sz w:val="28"/>
        </w:rPr>
        <w:t> </w:t>
      </w:r>
      <w:r>
        <w:rPr>
          <w:sz w:val="28"/>
        </w:rPr>
        <w:t>J.</w:t>
      </w:r>
      <w:r>
        <w:rPr>
          <w:spacing w:val="-6"/>
          <w:sz w:val="28"/>
        </w:rPr>
        <w:t> </w:t>
      </w:r>
      <w:r>
        <w:rPr>
          <w:sz w:val="28"/>
        </w:rPr>
        <w:t>(2021).</w:t>
      </w:r>
      <w:r>
        <w:rPr>
          <w:spacing w:val="-6"/>
          <w:sz w:val="28"/>
        </w:rPr>
        <w:t> </w:t>
      </w:r>
      <w:r>
        <w:rPr>
          <w:sz w:val="28"/>
        </w:rPr>
        <w:t>Gender</w:t>
      </w:r>
      <w:r>
        <w:rPr>
          <w:spacing w:val="-6"/>
          <w:sz w:val="28"/>
        </w:rPr>
        <w:t> </w:t>
      </w:r>
      <w:r>
        <w:rPr>
          <w:sz w:val="28"/>
        </w:rPr>
        <w:t>dysphoria</w:t>
      </w:r>
      <w:r>
        <w:rPr>
          <w:spacing w:val="-7"/>
          <w:sz w:val="28"/>
        </w:rPr>
        <w:t> </w:t>
      </w:r>
      <w:r>
        <w:rPr>
          <w:sz w:val="28"/>
        </w:rPr>
        <w:t>in</w:t>
      </w:r>
      <w:r>
        <w:rPr>
          <w:spacing w:val="-6"/>
          <w:sz w:val="28"/>
        </w:rPr>
        <w:t> </w:t>
      </w:r>
      <w:r>
        <w:rPr>
          <w:sz w:val="28"/>
        </w:rPr>
        <w:t>children</w:t>
      </w:r>
      <w:r>
        <w:rPr>
          <w:spacing w:val="-6"/>
          <w:sz w:val="28"/>
        </w:rPr>
        <w:t> </w:t>
      </w:r>
      <w:r>
        <w:rPr>
          <w:sz w:val="28"/>
        </w:rPr>
        <w:t>and</w:t>
      </w:r>
      <w:r>
        <w:rPr>
          <w:spacing w:val="-6"/>
          <w:sz w:val="28"/>
        </w:rPr>
        <w:t> </w:t>
      </w:r>
      <w:r>
        <w:rPr>
          <w:sz w:val="28"/>
        </w:rPr>
        <w:t>adolescents: Recent advances. Current Opinion in Psychiatry, 34(6), 631-636.</w:t>
      </w:r>
    </w:p>
    <w:p>
      <w:pPr>
        <w:spacing w:after="0" w:line="220" w:lineRule="auto"/>
        <w:jc w:val="left"/>
        <w:rPr>
          <w:sz w:val="28"/>
        </w:rPr>
        <w:sectPr>
          <w:pgSz w:w="12240" w:h="15840"/>
          <w:pgMar w:header="0" w:footer="765" w:top="1260" w:bottom="980" w:left="1400" w:right="1180"/>
        </w:sectPr>
      </w:pPr>
    </w:p>
    <w:p>
      <w:pPr>
        <w:pStyle w:val="ListParagraph"/>
        <w:numPr>
          <w:ilvl w:val="0"/>
          <w:numId w:val="5"/>
        </w:numPr>
        <w:tabs>
          <w:tab w:pos="1088" w:val="left" w:leader="none"/>
        </w:tabs>
        <w:spacing w:line="230" w:lineRule="auto" w:before="96" w:after="0"/>
        <w:ind w:left="1088" w:right="719" w:hanging="809"/>
        <w:jc w:val="left"/>
        <w:rPr>
          <w:sz w:val="28"/>
        </w:rPr>
      </w:pPr>
      <w:r>
        <w:rPr>
          <w:sz w:val="28"/>
        </w:rPr>
        <w:t>Goldbach, J.</w:t>
      </w:r>
      <w:r>
        <w:rPr>
          <w:spacing w:val="-2"/>
          <w:sz w:val="28"/>
        </w:rPr>
        <w:t> </w:t>
      </w:r>
      <w:r>
        <w:rPr>
          <w:sz w:val="28"/>
        </w:rPr>
        <w:t>T., &amp; Castro, C.</w:t>
      </w:r>
      <w:r>
        <w:rPr>
          <w:spacing w:val="-12"/>
          <w:sz w:val="28"/>
        </w:rPr>
        <w:t> </w:t>
      </w:r>
      <w:r>
        <w:rPr>
          <w:sz w:val="28"/>
        </w:rPr>
        <w:t>A. (2020). LGBT</w:t>
      </w:r>
      <w:r>
        <w:rPr>
          <w:spacing w:val="-2"/>
          <w:sz w:val="28"/>
        </w:rPr>
        <w:t> </w:t>
      </w:r>
      <w:r>
        <w:rPr>
          <w:sz w:val="28"/>
        </w:rPr>
        <w:t>sex education. In</w:t>
      </w:r>
      <w:r>
        <w:rPr>
          <w:spacing w:val="-2"/>
          <w:sz w:val="28"/>
        </w:rPr>
        <w:t> </w:t>
      </w:r>
      <w:r>
        <w:rPr>
          <w:sz w:val="28"/>
        </w:rPr>
        <w:t>The Wiley</w:t>
      </w:r>
      <w:r>
        <w:rPr>
          <w:spacing w:val="-7"/>
          <w:sz w:val="28"/>
        </w:rPr>
        <w:t> </w:t>
      </w:r>
      <w:r>
        <w:rPr>
          <w:sz w:val="28"/>
        </w:rPr>
        <w:t>Handbook</w:t>
      </w:r>
      <w:r>
        <w:rPr>
          <w:spacing w:val="-7"/>
          <w:sz w:val="28"/>
        </w:rPr>
        <w:t> </w:t>
      </w:r>
      <w:r>
        <w:rPr>
          <w:sz w:val="28"/>
        </w:rPr>
        <w:t>of</w:t>
      </w:r>
      <w:r>
        <w:rPr>
          <w:spacing w:val="-7"/>
          <w:sz w:val="28"/>
        </w:rPr>
        <w:t> </w:t>
      </w:r>
      <w:r>
        <w:rPr>
          <w:sz w:val="28"/>
        </w:rPr>
        <w:t>Sexuality</w:t>
      </w:r>
      <w:r>
        <w:rPr>
          <w:spacing w:val="-7"/>
          <w:sz w:val="28"/>
        </w:rPr>
        <w:t> </w:t>
      </w:r>
      <w:r>
        <w:rPr>
          <w:sz w:val="28"/>
        </w:rPr>
        <w:t>Education</w:t>
      </w:r>
      <w:r>
        <w:rPr>
          <w:spacing w:val="-7"/>
          <w:sz w:val="28"/>
        </w:rPr>
        <w:t> </w:t>
      </w:r>
      <w:r>
        <w:rPr>
          <w:sz w:val="28"/>
        </w:rPr>
        <w:t>(pp.</w:t>
      </w:r>
      <w:r>
        <w:rPr>
          <w:spacing w:val="-7"/>
          <w:sz w:val="28"/>
        </w:rPr>
        <w:t> </w:t>
      </w:r>
      <w:r>
        <w:rPr>
          <w:sz w:val="28"/>
        </w:rPr>
        <w:t>475-488).</w:t>
      </w:r>
      <w:r>
        <w:rPr>
          <w:spacing w:val="-7"/>
          <w:sz w:val="28"/>
        </w:rPr>
        <w:t> </w:t>
      </w:r>
      <w:r>
        <w:rPr>
          <w:sz w:val="28"/>
        </w:rPr>
        <w:t>John</w:t>
      </w:r>
      <w:r>
        <w:rPr>
          <w:spacing w:val="-12"/>
          <w:sz w:val="28"/>
        </w:rPr>
        <w:t> </w:t>
      </w:r>
      <w:r>
        <w:rPr>
          <w:sz w:val="28"/>
        </w:rPr>
        <w:t>Wiley</w:t>
      </w:r>
      <w:r>
        <w:rPr>
          <w:spacing w:val="-7"/>
          <w:sz w:val="28"/>
        </w:rPr>
        <w:t> </w:t>
      </w:r>
      <w:r>
        <w:rPr>
          <w:sz w:val="28"/>
        </w:rPr>
        <w:t>&amp; Sons, Ltd.</w:t>
      </w:r>
    </w:p>
    <w:p>
      <w:pPr>
        <w:pStyle w:val="ListParagraph"/>
        <w:numPr>
          <w:ilvl w:val="0"/>
          <w:numId w:val="5"/>
        </w:numPr>
        <w:tabs>
          <w:tab w:pos="1088" w:val="left" w:leader="none"/>
        </w:tabs>
        <w:spacing w:line="230" w:lineRule="auto" w:before="9" w:after="0"/>
        <w:ind w:left="1088" w:right="504" w:hanging="809"/>
        <w:jc w:val="left"/>
        <w:rPr>
          <w:sz w:val="28"/>
        </w:rPr>
      </w:pPr>
      <w:r>
        <w:rPr>
          <w:sz w:val="28"/>
        </w:rPr>
        <w:t>Reisner, S. L., &amp; Radix,</w:t>
      </w:r>
      <w:r>
        <w:rPr>
          <w:spacing w:val="-5"/>
          <w:sz w:val="28"/>
        </w:rPr>
        <w:t> </w:t>
      </w:r>
      <w:r>
        <w:rPr>
          <w:sz w:val="28"/>
        </w:rPr>
        <w:t>A. (2021). Gender-affirming healthcare for transgender</w:t>
      </w:r>
      <w:r>
        <w:rPr>
          <w:spacing w:val="-5"/>
          <w:sz w:val="28"/>
        </w:rPr>
        <w:t> </w:t>
      </w:r>
      <w:r>
        <w:rPr>
          <w:sz w:val="28"/>
        </w:rPr>
        <w:t>and</w:t>
      </w:r>
      <w:r>
        <w:rPr>
          <w:spacing w:val="-5"/>
          <w:sz w:val="28"/>
        </w:rPr>
        <w:t> </w:t>
      </w:r>
      <w:r>
        <w:rPr>
          <w:sz w:val="28"/>
        </w:rPr>
        <w:t>gender</w:t>
      </w:r>
      <w:r>
        <w:rPr>
          <w:spacing w:val="-5"/>
          <w:sz w:val="28"/>
        </w:rPr>
        <w:t> </w:t>
      </w:r>
      <w:r>
        <w:rPr>
          <w:sz w:val="28"/>
        </w:rPr>
        <w:t>diverse</w:t>
      </w:r>
      <w:r>
        <w:rPr>
          <w:spacing w:val="-6"/>
          <w:sz w:val="28"/>
        </w:rPr>
        <w:t> </w:t>
      </w:r>
      <w:r>
        <w:rPr>
          <w:sz w:val="28"/>
        </w:rPr>
        <w:t>individuals.</w:t>
      </w:r>
      <w:r>
        <w:rPr>
          <w:spacing w:val="-5"/>
          <w:sz w:val="28"/>
        </w:rPr>
        <w:t> </w:t>
      </w:r>
      <w:r>
        <w:rPr>
          <w:sz w:val="28"/>
        </w:rPr>
        <w:t>Current</w:t>
      </w:r>
      <w:r>
        <w:rPr>
          <w:spacing w:val="-5"/>
          <w:sz w:val="28"/>
        </w:rPr>
        <w:t> </w:t>
      </w:r>
      <w:r>
        <w:rPr>
          <w:sz w:val="28"/>
        </w:rPr>
        <w:t>Psychiatry</w:t>
      </w:r>
      <w:r>
        <w:rPr>
          <w:spacing w:val="-5"/>
          <w:sz w:val="28"/>
        </w:rPr>
        <w:t> </w:t>
      </w:r>
      <w:r>
        <w:rPr>
          <w:sz w:val="28"/>
        </w:rPr>
        <w:t>Reports, 23(2), 1-9.</w:t>
      </w:r>
    </w:p>
    <w:p>
      <w:pPr>
        <w:pStyle w:val="ListParagraph"/>
        <w:numPr>
          <w:ilvl w:val="0"/>
          <w:numId w:val="5"/>
        </w:numPr>
        <w:tabs>
          <w:tab w:pos="1088" w:val="left" w:leader="none"/>
        </w:tabs>
        <w:spacing w:line="230" w:lineRule="auto" w:before="9" w:after="0"/>
        <w:ind w:left="1088" w:right="1011" w:hanging="809"/>
        <w:jc w:val="left"/>
        <w:rPr>
          <w:sz w:val="28"/>
        </w:rPr>
      </w:pPr>
      <w:r>
        <w:rPr>
          <w:sz w:val="28"/>
        </w:rPr>
        <w:t>American Psychological Association. (2020). Guidelines for psychological</w:t>
      </w:r>
      <w:r>
        <w:rPr>
          <w:spacing w:val="-6"/>
          <w:sz w:val="28"/>
        </w:rPr>
        <w:t> </w:t>
      </w:r>
      <w:r>
        <w:rPr>
          <w:sz w:val="28"/>
        </w:rPr>
        <w:t>practice</w:t>
      </w:r>
      <w:r>
        <w:rPr>
          <w:spacing w:val="-7"/>
          <w:sz w:val="28"/>
        </w:rPr>
        <w:t> </w:t>
      </w:r>
      <w:r>
        <w:rPr>
          <w:sz w:val="28"/>
        </w:rPr>
        <w:t>with</w:t>
      </w:r>
      <w:r>
        <w:rPr>
          <w:spacing w:val="-6"/>
          <w:sz w:val="28"/>
        </w:rPr>
        <w:t> </w:t>
      </w:r>
      <w:r>
        <w:rPr>
          <w:sz w:val="28"/>
        </w:rPr>
        <w:t>transgender</w:t>
      </w:r>
      <w:r>
        <w:rPr>
          <w:spacing w:val="-6"/>
          <w:sz w:val="28"/>
        </w:rPr>
        <w:t> </w:t>
      </w:r>
      <w:r>
        <w:rPr>
          <w:sz w:val="28"/>
        </w:rPr>
        <w:t>and</w:t>
      </w:r>
      <w:r>
        <w:rPr>
          <w:spacing w:val="-6"/>
          <w:sz w:val="28"/>
        </w:rPr>
        <w:t> </w:t>
      </w:r>
      <w:r>
        <w:rPr>
          <w:sz w:val="28"/>
        </w:rPr>
        <w:t>gender</w:t>
      </w:r>
      <w:r>
        <w:rPr>
          <w:spacing w:val="-6"/>
          <w:sz w:val="28"/>
        </w:rPr>
        <w:t> </w:t>
      </w:r>
      <w:r>
        <w:rPr>
          <w:sz w:val="28"/>
        </w:rPr>
        <w:t>nonconforming people. American Psychologist, 75(4), 490-491.</w:t>
      </w:r>
    </w:p>
    <w:p>
      <w:pPr>
        <w:pStyle w:val="ListParagraph"/>
        <w:numPr>
          <w:ilvl w:val="0"/>
          <w:numId w:val="5"/>
        </w:numPr>
        <w:tabs>
          <w:tab w:pos="1088" w:val="left" w:leader="none"/>
        </w:tabs>
        <w:spacing w:line="232" w:lineRule="auto" w:before="7" w:after="0"/>
        <w:ind w:left="1088" w:right="536" w:hanging="809"/>
        <w:jc w:val="left"/>
        <w:rPr>
          <w:sz w:val="28"/>
        </w:rPr>
      </w:pPr>
      <w:r>
        <w:rPr>
          <w:sz w:val="28"/>
        </w:rPr>
        <w:t>Herbenick, D., Reece, M., Schick, V., Sanders, S.</w:t>
      </w:r>
      <w:r>
        <w:rPr>
          <w:spacing w:val="-9"/>
          <w:sz w:val="28"/>
        </w:rPr>
        <w:t> </w:t>
      </w:r>
      <w:r>
        <w:rPr>
          <w:sz w:val="28"/>
        </w:rPr>
        <w:t>A., Dodge, B., &amp; Fortenberry, J. D. (2020). Sexual diversity in the</w:t>
      </w:r>
      <w:r>
        <w:rPr>
          <w:spacing w:val="-1"/>
          <w:sz w:val="28"/>
        </w:rPr>
        <w:t> </w:t>
      </w:r>
      <w:r>
        <w:rPr>
          <w:sz w:val="28"/>
        </w:rPr>
        <w:t>United States: Results from</w:t>
      </w:r>
      <w:r>
        <w:rPr>
          <w:spacing w:val="-4"/>
          <w:sz w:val="28"/>
        </w:rPr>
        <w:t> </w:t>
      </w:r>
      <w:r>
        <w:rPr>
          <w:sz w:val="28"/>
        </w:rPr>
        <w:t>a</w:t>
      </w:r>
      <w:r>
        <w:rPr>
          <w:spacing w:val="-5"/>
          <w:sz w:val="28"/>
        </w:rPr>
        <w:t> </w:t>
      </w:r>
      <w:r>
        <w:rPr>
          <w:sz w:val="28"/>
        </w:rPr>
        <w:t>nationally</w:t>
      </w:r>
      <w:r>
        <w:rPr>
          <w:spacing w:val="-4"/>
          <w:sz w:val="28"/>
        </w:rPr>
        <w:t> </w:t>
      </w:r>
      <w:r>
        <w:rPr>
          <w:sz w:val="28"/>
        </w:rPr>
        <w:t>representative</w:t>
      </w:r>
      <w:r>
        <w:rPr>
          <w:spacing w:val="-5"/>
          <w:sz w:val="28"/>
        </w:rPr>
        <w:t> </w:t>
      </w:r>
      <w:r>
        <w:rPr>
          <w:sz w:val="28"/>
        </w:rPr>
        <w:t>probability</w:t>
      </w:r>
      <w:r>
        <w:rPr>
          <w:spacing w:val="-4"/>
          <w:sz w:val="28"/>
        </w:rPr>
        <w:t> </w:t>
      </w:r>
      <w:r>
        <w:rPr>
          <w:sz w:val="28"/>
        </w:rPr>
        <w:t>sample</w:t>
      </w:r>
      <w:r>
        <w:rPr>
          <w:spacing w:val="-5"/>
          <w:sz w:val="28"/>
        </w:rPr>
        <w:t> </w:t>
      </w:r>
      <w:r>
        <w:rPr>
          <w:sz w:val="28"/>
        </w:rPr>
        <w:t>of</w:t>
      </w:r>
      <w:r>
        <w:rPr>
          <w:spacing w:val="-4"/>
          <w:sz w:val="28"/>
        </w:rPr>
        <w:t> </w:t>
      </w:r>
      <w:r>
        <w:rPr>
          <w:sz w:val="28"/>
        </w:rPr>
        <w:t>adult</w:t>
      </w:r>
      <w:r>
        <w:rPr>
          <w:spacing w:val="-4"/>
          <w:sz w:val="28"/>
        </w:rPr>
        <w:t> </w:t>
      </w:r>
      <w:r>
        <w:rPr>
          <w:sz w:val="28"/>
        </w:rPr>
        <w:t>women</w:t>
      </w:r>
      <w:r>
        <w:rPr>
          <w:spacing w:val="-4"/>
          <w:sz w:val="28"/>
        </w:rPr>
        <w:t> </w:t>
      </w:r>
      <w:r>
        <w:rPr>
          <w:sz w:val="28"/>
        </w:rPr>
        <w:t>and men. PLOS One, 15(1), e0227892.</w:t>
      </w:r>
    </w:p>
    <w:p>
      <w:pPr>
        <w:pStyle w:val="ListParagraph"/>
        <w:numPr>
          <w:ilvl w:val="0"/>
          <w:numId w:val="5"/>
        </w:numPr>
        <w:tabs>
          <w:tab w:pos="1088" w:val="left" w:leader="none"/>
        </w:tabs>
        <w:spacing w:line="220" w:lineRule="auto" w:before="19" w:after="0"/>
        <w:ind w:left="1088" w:right="1219" w:hanging="809"/>
        <w:jc w:val="left"/>
        <w:rPr>
          <w:sz w:val="28"/>
        </w:rPr>
      </w:pPr>
      <w:r>
        <w:rPr>
          <w:sz w:val="28"/>
        </w:rPr>
        <w:t>Diamond,</w:t>
      </w:r>
      <w:r>
        <w:rPr>
          <w:spacing w:val="-9"/>
          <w:sz w:val="28"/>
        </w:rPr>
        <w:t> </w:t>
      </w:r>
      <w:r>
        <w:rPr>
          <w:sz w:val="28"/>
        </w:rPr>
        <w:t>L.</w:t>
      </w:r>
      <w:r>
        <w:rPr>
          <w:spacing w:val="-5"/>
          <w:sz w:val="28"/>
        </w:rPr>
        <w:t> </w:t>
      </w:r>
      <w:r>
        <w:rPr>
          <w:sz w:val="28"/>
        </w:rPr>
        <w:t>M.</w:t>
      </w:r>
      <w:r>
        <w:rPr>
          <w:spacing w:val="-5"/>
          <w:sz w:val="28"/>
        </w:rPr>
        <w:t> </w:t>
      </w:r>
      <w:r>
        <w:rPr>
          <w:sz w:val="28"/>
        </w:rPr>
        <w:t>(2021).</w:t>
      </w:r>
      <w:r>
        <w:rPr>
          <w:spacing w:val="-5"/>
          <w:sz w:val="28"/>
        </w:rPr>
        <w:t> </w:t>
      </w:r>
      <w:r>
        <w:rPr>
          <w:sz w:val="28"/>
        </w:rPr>
        <w:t>Sexual</w:t>
      </w:r>
      <w:r>
        <w:rPr>
          <w:spacing w:val="-5"/>
          <w:sz w:val="28"/>
        </w:rPr>
        <w:t> </w:t>
      </w:r>
      <w:r>
        <w:rPr>
          <w:sz w:val="28"/>
        </w:rPr>
        <w:t>fluidity:</w:t>
      </w:r>
      <w:r>
        <w:rPr>
          <w:spacing w:val="-18"/>
          <w:sz w:val="28"/>
        </w:rPr>
        <w:t> </w:t>
      </w:r>
      <w:r>
        <w:rPr>
          <w:sz w:val="28"/>
        </w:rPr>
        <w:t>A</w:t>
      </w:r>
      <w:r>
        <w:rPr>
          <w:spacing w:val="-17"/>
          <w:sz w:val="28"/>
        </w:rPr>
        <w:t> </w:t>
      </w:r>
      <w:r>
        <w:rPr>
          <w:sz w:val="28"/>
        </w:rPr>
        <w:t>dynamic,</w:t>
      </w:r>
      <w:r>
        <w:rPr>
          <w:spacing w:val="-5"/>
          <w:sz w:val="28"/>
        </w:rPr>
        <w:t> </w:t>
      </w:r>
      <w:r>
        <w:rPr>
          <w:sz w:val="28"/>
        </w:rPr>
        <w:t>multiprocess account. Journal of Sex Research, 58(1), 2-49.</w:t>
      </w:r>
    </w:p>
    <w:p>
      <w:pPr>
        <w:pStyle w:val="ListParagraph"/>
        <w:numPr>
          <w:ilvl w:val="0"/>
          <w:numId w:val="5"/>
        </w:numPr>
        <w:tabs>
          <w:tab w:pos="1088" w:val="left" w:leader="none"/>
        </w:tabs>
        <w:spacing w:line="220" w:lineRule="auto" w:before="24" w:after="0"/>
        <w:ind w:left="1088" w:right="1390" w:hanging="809"/>
        <w:jc w:val="left"/>
        <w:rPr>
          <w:sz w:val="28"/>
        </w:rPr>
      </w:pPr>
      <w:r>
        <w:rPr>
          <w:sz w:val="28"/>
        </w:rPr>
        <w:t>Rosenthal,</w:t>
      </w:r>
      <w:r>
        <w:rPr>
          <w:spacing w:val="-18"/>
          <w:sz w:val="28"/>
        </w:rPr>
        <w:t> </w:t>
      </w:r>
      <w:r>
        <w:rPr>
          <w:sz w:val="28"/>
        </w:rPr>
        <w:t>A.</w:t>
      </w:r>
      <w:r>
        <w:rPr>
          <w:spacing w:val="-6"/>
          <w:sz w:val="28"/>
        </w:rPr>
        <w:t> </w:t>
      </w:r>
      <w:r>
        <w:rPr>
          <w:sz w:val="28"/>
        </w:rPr>
        <w:t>M.,</w:t>
      </w:r>
      <w:r>
        <w:rPr>
          <w:spacing w:val="-5"/>
          <w:sz w:val="28"/>
        </w:rPr>
        <w:t> </w:t>
      </w:r>
      <w:r>
        <w:rPr>
          <w:sz w:val="28"/>
        </w:rPr>
        <w:t>&amp;</w:t>
      </w:r>
      <w:r>
        <w:rPr>
          <w:spacing w:val="-5"/>
          <w:sz w:val="28"/>
        </w:rPr>
        <w:t> </w:t>
      </w:r>
      <w:r>
        <w:rPr>
          <w:sz w:val="28"/>
        </w:rPr>
        <w:t>Sylva,</w:t>
      </w:r>
      <w:r>
        <w:rPr>
          <w:spacing w:val="-5"/>
          <w:sz w:val="28"/>
        </w:rPr>
        <w:t> </w:t>
      </w:r>
      <w:r>
        <w:rPr>
          <w:sz w:val="28"/>
        </w:rPr>
        <w:t>D.</w:t>
      </w:r>
      <w:r>
        <w:rPr>
          <w:spacing w:val="-5"/>
          <w:sz w:val="28"/>
        </w:rPr>
        <w:t> </w:t>
      </w:r>
      <w:r>
        <w:rPr>
          <w:sz w:val="28"/>
        </w:rPr>
        <w:t>(2020).</w:t>
      </w:r>
      <w:r>
        <w:rPr>
          <w:spacing w:val="-5"/>
          <w:sz w:val="28"/>
        </w:rPr>
        <w:t> </w:t>
      </w:r>
      <w:r>
        <w:rPr>
          <w:sz w:val="28"/>
        </w:rPr>
        <w:t>Comprehensive</w:t>
      </w:r>
      <w:r>
        <w:rPr>
          <w:spacing w:val="-6"/>
          <w:sz w:val="28"/>
        </w:rPr>
        <w:t> </w:t>
      </w:r>
      <w:r>
        <w:rPr>
          <w:sz w:val="28"/>
        </w:rPr>
        <w:t>sexuality education. Pediatrics, 146(2), e20200246.</w:t>
      </w:r>
    </w:p>
    <w:p>
      <w:pPr>
        <w:pStyle w:val="ListParagraph"/>
        <w:numPr>
          <w:ilvl w:val="0"/>
          <w:numId w:val="5"/>
        </w:numPr>
        <w:tabs>
          <w:tab w:pos="1088" w:val="left" w:leader="none"/>
        </w:tabs>
        <w:spacing w:line="230" w:lineRule="auto" w:before="15" w:after="0"/>
        <w:ind w:left="1088" w:right="673" w:hanging="809"/>
        <w:jc w:val="both"/>
        <w:rPr>
          <w:sz w:val="28"/>
        </w:rPr>
      </w:pPr>
      <w:r>
        <w:rPr>
          <w:sz w:val="28"/>
        </w:rPr>
        <w:t>Herbenick,</w:t>
      </w:r>
      <w:r>
        <w:rPr>
          <w:spacing w:val="-11"/>
          <w:sz w:val="28"/>
        </w:rPr>
        <w:t> </w:t>
      </w:r>
      <w:r>
        <w:rPr>
          <w:sz w:val="28"/>
        </w:rPr>
        <w:t>D.,</w:t>
      </w:r>
      <w:r>
        <w:rPr>
          <w:spacing w:val="-6"/>
          <w:sz w:val="28"/>
        </w:rPr>
        <w:t> </w:t>
      </w:r>
      <w:r>
        <w:rPr>
          <w:sz w:val="28"/>
        </w:rPr>
        <w:t>Fu,</w:t>
      </w:r>
      <w:r>
        <w:rPr>
          <w:spacing w:val="-11"/>
          <w:sz w:val="28"/>
        </w:rPr>
        <w:t> </w:t>
      </w:r>
      <w:r>
        <w:rPr>
          <w:sz w:val="28"/>
        </w:rPr>
        <w:t>T.</w:t>
      </w:r>
      <w:r>
        <w:rPr>
          <w:spacing w:val="-6"/>
          <w:sz w:val="28"/>
        </w:rPr>
        <w:t> </w:t>
      </w:r>
      <w:r>
        <w:rPr>
          <w:sz w:val="28"/>
        </w:rPr>
        <w:t>C.,</w:t>
      </w:r>
      <w:r>
        <w:rPr>
          <w:spacing w:val="-18"/>
          <w:sz w:val="28"/>
        </w:rPr>
        <w:t> </w:t>
      </w:r>
      <w:r>
        <w:rPr>
          <w:sz w:val="28"/>
        </w:rPr>
        <w:t>Arter,</w:t>
      </w:r>
      <w:r>
        <w:rPr>
          <w:spacing w:val="-5"/>
          <w:sz w:val="28"/>
        </w:rPr>
        <w:t> </w:t>
      </w:r>
      <w:r>
        <w:rPr>
          <w:sz w:val="28"/>
        </w:rPr>
        <w:t>J.,</w:t>
      </w:r>
      <w:r>
        <w:rPr>
          <w:spacing w:val="-6"/>
          <w:sz w:val="28"/>
        </w:rPr>
        <w:t> </w:t>
      </w:r>
      <w:r>
        <w:rPr>
          <w:sz w:val="28"/>
        </w:rPr>
        <w:t>Sanders,</w:t>
      </w:r>
      <w:r>
        <w:rPr>
          <w:spacing w:val="-6"/>
          <w:sz w:val="28"/>
        </w:rPr>
        <w:t> </w:t>
      </w:r>
      <w:r>
        <w:rPr>
          <w:sz w:val="28"/>
        </w:rPr>
        <w:t>S.</w:t>
      </w:r>
      <w:r>
        <w:rPr>
          <w:spacing w:val="-18"/>
          <w:sz w:val="28"/>
        </w:rPr>
        <w:t> </w:t>
      </w:r>
      <w:r>
        <w:rPr>
          <w:sz w:val="28"/>
        </w:rPr>
        <w:t>A.,</w:t>
      </w:r>
      <w:r>
        <w:rPr>
          <w:spacing w:val="-5"/>
          <w:sz w:val="28"/>
        </w:rPr>
        <w:t> </w:t>
      </w:r>
      <w:r>
        <w:rPr>
          <w:sz w:val="28"/>
        </w:rPr>
        <w:t>&amp;</w:t>
      </w:r>
      <w:r>
        <w:rPr>
          <w:spacing w:val="-6"/>
          <w:sz w:val="28"/>
        </w:rPr>
        <w:t> </w:t>
      </w:r>
      <w:r>
        <w:rPr>
          <w:sz w:val="28"/>
        </w:rPr>
        <w:t>Dodge,</w:t>
      </w:r>
      <w:r>
        <w:rPr>
          <w:spacing w:val="-6"/>
          <w:sz w:val="28"/>
        </w:rPr>
        <w:t> </w:t>
      </w:r>
      <w:r>
        <w:rPr>
          <w:sz w:val="28"/>
        </w:rPr>
        <w:t>B.</w:t>
      </w:r>
      <w:r>
        <w:rPr>
          <w:spacing w:val="-6"/>
          <w:sz w:val="28"/>
        </w:rPr>
        <w:t> </w:t>
      </w:r>
      <w:r>
        <w:rPr>
          <w:sz w:val="28"/>
        </w:rPr>
        <w:t>(2020). Research</w:t>
      </w:r>
      <w:r>
        <w:rPr>
          <w:spacing w:val="-5"/>
          <w:sz w:val="28"/>
        </w:rPr>
        <w:t> </w:t>
      </w:r>
      <w:r>
        <w:rPr>
          <w:sz w:val="28"/>
        </w:rPr>
        <w:t>priorities</w:t>
      </w:r>
      <w:r>
        <w:rPr>
          <w:spacing w:val="-5"/>
          <w:sz w:val="28"/>
        </w:rPr>
        <w:t> </w:t>
      </w:r>
      <w:r>
        <w:rPr>
          <w:sz w:val="28"/>
        </w:rPr>
        <w:t>for</w:t>
      </w:r>
      <w:r>
        <w:rPr>
          <w:spacing w:val="-5"/>
          <w:sz w:val="28"/>
        </w:rPr>
        <w:t> </w:t>
      </w:r>
      <w:r>
        <w:rPr>
          <w:sz w:val="28"/>
        </w:rPr>
        <w:t>sex/gender</w:t>
      </w:r>
      <w:r>
        <w:rPr>
          <w:spacing w:val="-5"/>
          <w:sz w:val="28"/>
        </w:rPr>
        <w:t> </w:t>
      </w:r>
      <w:r>
        <w:rPr>
          <w:sz w:val="28"/>
        </w:rPr>
        <w:t>diversity</w:t>
      </w:r>
      <w:r>
        <w:rPr>
          <w:spacing w:val="-5"/>
          <w:sz w:val="28"/>
        </w:rPr>
        <w:t> </w:t>
      </w:r>
      <w:r>
        <w:rPr>
          <w:sz w:val="28"/>
        </w:rPr>
        <w:t>in</w:t>
      </w:r>
      <w:r>
        <w:rPr>
          <w:spacing w:val="-5"/>
          <w:sz w:val="28"/>
        </w:rPr>
        <w:t> </w:t>
      </w:r>
      <w:r>
        <w:rPr>
          <w:sz w:val="28"/>
        </w:rPr>
        <w:t>the</w:t>
      </w:r>
      <w:r>
        <w:rPr>
          <w:spacing w:val="-5"/>
          <w:sz w:val="28"/>
        </w:rPr>
        <w:t> </w:t>
      </w:r>
      <w:r>
        <w:rPr>
          <w:sz w:val="28"/>
        </w:rPr>
        <w:t>twenty-first</w:t>
      </w:r>
      <w:r>
        <w:rPr>
          <w:spacing w:val="-5"/>
          <w:sz w:val="28"/>
        </w:rPr>
        <w:t> </w:t>
      </w:r>
      <w:r>
        <w:rPr>
          <w:sz w:val="28"/>
        </w:rPr>
        <w:t>century. Archives of Sexual Behavior, 49(8), 2803-2806.</w:t>
      </w:r>
    </w:p>
    <w:p>
      <w:pPr>
        <w:pStyle w:val="ListParagraph"/>
        <w:numPr>
          <w:ilvl w:val="0"/>
          <w:numId w:val="5"/>
        </w:numPr>
        <w:tabs>
          <w:tab w:pos="1088" w:val="left" w:leader="none"/>
        </w:tabs>
        <w:spacing w:line="230" w:lineRule="auto" w:before="9" w:after="0"/>
        <w:ind w:left="1088" w:right="572" w:hanging="809"/>
        <w:jc w:val="left"/>
        <w:rPr>
          <w:sz w:val="28"/>
        </w:rPr>
      </w:pPr>
      <w:r>
        <w:rPr>
          <w:sz w:val="28"/>
        </w:rPr>
        <w:t>World Health Organization. (2021). Sexual health, human rights and the</w:t>
      </w:r>
      <w:r>
        <w:rPr>
          <w:spacing w:val="-18"/>
          <w:sz w:val="28"/>
        </w:rPr>
        <w:t> </w:t>
      </w:r>
      <w:r>
        <w:rPr>
          <w:sz w:val="28"/>
        </w:rPr>
        <w:t>law.</w:t>
      </w:r>
      <w:r>
        <w:rPr>
          <w:spacing w:val="-17"/>
          <w:sz w:val="28"/>
        </w:rPr>
        <w:t> </w:t>
      </w:r>
      <w:r>
        <w:rPr>
          <w:sz w:val="28"/>
        </w:rPr>
        <w:t>Retrieved</w:t>
      </w:r>
      <w:r>
        <w:rPr>
          <w:spacing w:val="-18"/>
          <w:sz w:val="28"/>
        </w:rPr>
        <w:t> </w:t>
      </w:r>
      <w:r>
        <w:rPr>
          <w:sz w:val="28"/>
        </w:rPr>
        <w:t>from</w:t>
      </w:r>
      <w:r>
        <w:rPr>
          <w:spacing w:val="-17"/>
          <w:sz w:val="28"/>
        </w:rPr>
        <w:t> </w:t>
      </w:r>
      <w:r>
        <w:rPr>
          <w:color w:val="E4AF0A"/>
          <w:sz w:val="28"/>
          <w:u w:val="single" w:color="E4AF0A"/>
        </w:rPr>
        <w:t>https://</w:t>
      </w:r>
      <w:hyperlink r:id="rId13">
        <w:r>
          <w:rPr>
            <w:color w:val="E4AF0A"/>
            <w:sz w:val="28"/>
            <w:u w:val="single" w:color="E4AF0A"/>
          </w:rPr>
          <w:t>www.who.int/reproductivehealth/topics/</w:t>
        </w:r>
      </w:hyperlink>
      <w:r>
        <w:rPr>
          <w:color w:val="E4AF0A"/>
          <w:sz w:val="28"/>
        </w:rPr>
        <w:t> </w:t>
      </w:r>
      <w:r>
        <w:rPr>
          <w:color w:val="E4AF0A"/>
          <w:spacing w:val="-2"/>
          <w:sz w:val="28"/>
          <w:u w:val="single" w:color="E4AF0A"/>
        </w:rPr>
        <w:t>sexual_health/sh_hr_law/en/</w:t>
      </w:r>
    </w:p>
    <w:p>
      <w:pPr>
        <w:pStyle w:val="ListParagraph"/>
        <w:numPr>
          <w:ilvl w:val="0"/>
          <w:numId w:val="5"/>
        </w:numPr>
        <w:tabs>
          <w:tab w:pos="1088" w:val="left" w:leader="none"/>
        </w:tabs>
        <w:spacing w:line="230" w:lineRule="auto" w:before="9" w:after="0"/>
        <w:ind w:left="1088" w:right="904" w:hanging="809"/>
        <w:jc w:val="left"/>
        <w:rPr>
          <w:sz w:val="28"/>
        </w:rPr>
      </w:pPr>
      <w:r>
        <w:rPr>
          <w:sz w:val="28"/>
        </w:rPr>
        <w:t>Kleinplatz, P. J., &amp; Menard,</w:t>
      </w:r>
      <w:r>
        <w:rPr>
          <w:spacing w:val="-9"/>
          <w:sz w:val="28"/>
        </w:rPr>
        <w:t> </w:t>
      </w:r>
      <w:r>
        <w:rPr>
          <w:sz w:val="28"/>
        </w:rPr>
        <w:t>A. D. (2020). The other end of the continuum:</w:t>
      </w:r>
      <w:r>
        <w:rPr>
          <w:spacing w:val="-8"/>
          <w:sz w:val="28"/>
        </w:rPr>
        <w:t> </w:t>
      </w:r>
      <w:r>
        <w:rPr>
          <w:sz w:val="28"/>
        </w:rPr>
        <w:t>Reconsidering</w:t>
      </w:r>
      <w:r>
        <w:rPr>
          <w:spacing w:val="-8"/>
          <w:sz w:val="28"/>
        </w:rPr>
        <w:t> </w:t>
      </w:r>
      <w:r>
        <w:rPr>
          <w:sz w:val="28"/>
        </w:rPr>
        <w:t>heterosexuality.</w:t>
      </w:r>
      <w:r>
        <w:rPr>
          <w:spacing w:val="-8"/>
          <w:sz w:val="28"/>
        </w:rPr>
        <w:t> </w:t>
      </w:r>
      <w:r>
        <w:rPr>
          <w:sz w:val="28"/>
        </w:rPr>
        <w:t>Journal</w:t>
      </w:r>
      <w:r>
        <w:rPr>
          <w:spacing w:val="-8"/>
          <w:sz w:val="28"/>
        </w:rPr>
        <w:t> </w:t>
      </w:r>
      <w:r>
        <w:rPr>
          <w:sz w:val="28"/>
        </w:rPr>
        <w:t>of</w:t>
      </w:r>
      <w:r>
        <w:rPr>
          <w:spacing w:val="-8"/>
          <w:sz w:val="28"/>
        </w:rPr>
        <w:t> </w:t>
      </w:r>
      <w:r>
        <w:rPr>
          <w:sz w:val="28"/>
        </w:rPr>
        <w:t>Sex</w:t>
      </w:r>
      <w:r>
        <w:rPr>
          <w:spacing w:val="-8"/>
          <w:sz w:val="28"/>
        </w:rPr>
        <w:t> </w:t>
      </w:r>
      <w:r>
        <w:rPr>
          <w:sz w:val="28"/>
        </w:rPr>
        <w:t>&amp;</w:t>
      </w:r>
      <w:r>
        <w:rPr>
          <w:spacing w:val="-8"/>
          <w:sz w:val="28"/>
        </w:rPr>
        <w:t> </w:t>
      </w:r>
      <w:r>
        <w:rPr>
          <w:sz w:val="28"/>
        </w:rPr>
        <w:t>Marital Therapy, 46(8), 691-704.</w:t>
      </w:r>
    </w:p>
    <w:p>
      <w:pPr>
        <w:pStyle w:val="ListParagraph"/>
        <w:numPr>
          <w:ilvl w:val="0"/>
          <w:numId w:val="5"/>
        </w:numPr>
        <w:tabs>
          <w:tab w:pos="1088" w:val="left" w:leader="none"/>
        </w:tabs>
        <w:spacing w:line="230" w:lineRule="auto" w:before="9" w:after="0"/>
        <w:ind w:left="1088" w:right="702" w:hanging="809"/>
        <w:jc w:val="left"/>
        <w:rPr>
          <w:sz w:val="28"/>
        </w:rPr>
      </w:pPr>
      <w:r>
        <w:rPr>
          <w:sz w:val="28"/>
        </w:rPr>
        <w:t>Diamond,</w:t>
      </w:r>
      <w:r>
        <w:rPr>
          <w:spacing w:val="-4"/>
          <w:sz w:val="28"/>
        </w:rPr>
        <w:t> </w:t>
      </w:r>
      <w:r>
        <w:rPr>
          <w:sz w:val="28"/>
        </w:rPr>
        <w:t>L.</w:t>
      </w:r>
      <w:r>
        <w:rPr>
          <w:spacing w:val="-4"/>
          <w:sz w:val="28"/>
        </w:rPr>
        <w:t> </w:t>
      </w:r>
      <w:r>
        <w:rPr>
          <w:sz w:val="28"/>
        </w:rPr>
        <w:t>M.,</w:t>
      </w:r>
      <w:r>
        <w:rPr>
          <w:spacing w:val="-4"/>
          <w:sz w:val="28"/>
        </w:rPr>
        <w:t> </w:t>
      </w:r>
      <w:r>
        <w:rPr>
          <w:sz w:val="28"/>
        </w:rPr>
        <w:t>&amp;</w:t>
      </w:r>
      <w:r>
        <w:rPr>
          <w:spacing w:val="-4"/>
          <w:sz w:val="28"/>
        </w:rPr>
        <w:t> </w:t>
      </w:r>
      <w:r>
        <w:rPr>
          <w:sz w:val="28"/>
        </w:rPr>
        <w:t>Huebner,</w:t>
      </w:r>
      <w:r>
        <w:rPr>
          <w:spacing w:val="-4"/>
          <w:sz w:val="28"/>
        </w:rPr>
        <w:t> </w:t>
      </w:r>
      <w:r>
        <w:rPr>
          <w:sz w:val="28"/>
        </w:rPr>
        <w:t>D.</w:t>
      </w:r>
      <w:r>
        <w:rPr>
          <w:spacing w:val="-4"/>
          <w:sz w:val="28"/>
        </w:rPr>
        <w:t> </w:t>
      </w:r>
      <w:r>
        <w:rPr>
          <w:sz w:val="28"/>
        </w:rPr>
        <w:t>M.</w:t>
      </w:r>
      <w:r>
        <w:rPr>
          <w:spacing w:val="-4"/>
          <w:sz w:val="28"/>
        </w:rPr>
        <w:t> </w:t>
      </w:r>
      <w:r>
        <w:rPr>
          <w:sz w:val="28"/>
        </w:rPr>
        <w:t>(2020).</w:t>
      </w:r>
      <w:r>
        <w:rPr>
          <w:spacing w:val="-4"/>
          <w:sz w:val="28"/>
        </w:rPr>
        <w:t> </w:t>
      </w:r>
      <w:r>
        <w:rPr>
          <w:sz w:val="28"/>
        </w:rPr>
        <w:t>Is</w:t>
      </w:r>
      <w:r>
        <w:rPr>
          <w:spacing w:val="-4"/>
          <w:sz w:val="28"/>
        </w:rPr>
        <w:t> </w:t>
      </w:r>
      <w:r>
        <w:rPr>
          <w:sz w:val="28"/>
        </w:rPr>
        <w:t>good</w:t>
      </w:r>
      <w:r>
        <w:rPr>
          <w:spacing w:val="-4"/>
          <w:sz w:val="28"/>
        </w:rPr>
        <w:t> </w:t>
      </w:r>
      <w:r>
        <w:rPr>
          <w:sz w:val="28"/>
        </w:rPr>
        <w:t>sex</w:t>
      </w:r>
      <w:r>
        <w:rPr>
          <w:spacing w:val="-4"/>
          <w:sz w:val="28"/>
        </w:rPr>
        <w:t> </w:t>
      </w:r>
      <w:r>
        <w:rPr>
          <w:sz w:val="28"/>
        </w:rPr>
        <w:t>good</w:t>
      </w:r>
      <w:r>
        <w:rPr>
          <w:spacing w:val="-4"/>
          <w:sz w:val="28"/>
        </w:rPr>
        <w:t> </w:t>
      </w:r>
      <w:r>
        <w:rPr>
          <w:sz w:val="28"/>
        </w:rPr>
        <w:t>for</w:t>
      </w:r>
      <w:r>
        <w:rPr>
          <w:spacing w:val="-4"/>
          <w:sz w:val="28"/>
        </w:rPr>
        <w:t> </w:t>
      </w:r>
      <w:r>
        <w:rPr>
          <w:sz w:val="28"/>
        </w:rPr>
        <w:t>you? Rethinking sexuality and health. Annual Review of Clinical Psychology, 16, 441-468.</w:t>
      </w:r>
    </w:p>
    <w:p>
      <w:pPr>
        <w:pStyle w:val="ListParagraph"/>
        <w:numPr>
          <w:ilvl w:val="0"/>
          <w:numId w:val="5"/>
        </w:numPr>
        <w:tabs>
          <w:tab w:pos="1088" w:val="left" w:leader="none"/>
        </w:tabs>
        <w:spacing w:line="220" w:lineRule="auto" w:before="19" w:after="0"/>
        <w:ind w:left="1088" w:right="597" w:hanging="809"/>
        <w:jc w:val="left"/>
        <w:rPr>
          <w:sz w:val="28"/>
        </w:rPr>
      </w:pPr>
      <w:r>
        <w:rPr>
          <w:sz w:val="28"/>
        </w:rPr>
        <w:t>Mitchell,</w:t>
      </w:r>
      <w:r>
        <w:rPr>
          <w:spacing w:val="-5"/>
          <w:sz w:val="28"/>
        </w:rPr>
        <w:t> </w:t>
      </w:r>
      <w:r>
        <w:rPr>
          <w:sz w:val="28"/>
        </w:rPr>
        <w:t>R.</w:t>
      </w:r>
      <w:r>
        <w:rPr>
          <w:spacing w:val="-5"/>
          <w:sz w:val="28"/>
        </w:rPr>
        <w:t> </w:t>
      </w:r>
      <w:r>
        <w:rPr>
          <w:sz w:val="28"/>
        </w:rPr>
        <w:t>C.,</w:t>
      </w:r>
      <w:r>
        <w:rPr>
          <w:spacing w:val="-5"/>
          <w:sz w:val="28"/>
        </w:rPr>
        <w:t> </w:t>
      </w:r>
      <w:r>
        <w:rPr>
          <w:sz w:val="28"/>
        </w:rPr>
        <w:t>&amp;</w:t>
      </w:r>
      <w:r>
        <w:rPr>
          <w:spacing w:val="-5"/>
          <w:sz w:val="28"/>
        </w:rPr>
        <w:t> </w:t>
      </w:r>
      <w:r>
        <w:rPr>
          <w:sz w:val="28"/>
        </w:rPr>
        <w:t>Kattari,</w:t>
      </w:r>
      <w:r>
        <w:rPr>
          <w:spacing w:val="-5"/>
          <w:sz w:val="28"/>
        </w:rPr>
        <w:t> </w:t>
      </w:r>
      <w:r>
        <w:rPr>
          <w:sz w:val="28"/>
        </w:rPr>
        <w:t>S.</w:t>
      </w:r>
      <w:r>
        <w:rPr>
          <w:spacing w:val="-5"/>
          <w:sz w:val="28"/>
        </w:rPr>
        <w:t> </w:t>
      </w:r>
      <w:r>
        <w:rPr>
          <w:sz w:val="28"/>
        </w:rPr>
        <w:t>K.</w:t>
      </w:r>
      <w:r>
        <w:rPr>
          <w:spacing w:val="-5"/>
          <w:sz w:val="28"/>
        </w:rPr>
        <w:t> </w:t>
      </w:r>
      <w:r>
        <w:rPr>
          <w:sz w:val="28"/>
        </w:rPr>
        <w:t>(2021).</w:t>
      </w:r>
      <w:r>
        <w:rPr>
          <w:spacing w:val="-10"/>
          <w:sz w:val="28"/>
        </w:rPr>
        <w:t> </w:t>
      </w:r>
      <w:r>
        <w:rPr>
          <w:sz w:val="28"/>
        </w:rPr>
        <w:t>Transgender</w:t>
      </w:r>
      <w:r>
        <w:rPr>
          <w:spacing w:val="-5"/>
          <w:sz w:val="28"/>
        </w:rPr>
        <w:t> </w:t>
      </w:r>
      <w:r>
        <w:rPr>
          <w:sz w:val="28"/>
        </w:rPr>
        <w:t>people</w:t>
      </w:r>
      <w:r>
        <w:rPr>
          <w:spacing w:val="-5"/>
          <w:sz w:val="28"/>
        </w:rPr>
        <w:t> </w:t>
      </w:r>
      <w:r>
        <w:rPr>
          <w:sz w:val="28"/>
        </w:rPr>
        <w:t>and</w:t>
      </w:r>
      <w:r>
        <w:rPr>
          <w:spacing w:val="-5"/>
          <w:sz w:val="28"/>
        </w:rPr>
        <w:t> </w:t>
      </w:r>
      <w:r>
        <w:rPr>
          <w:sz w:val="28"/>
        </w:rPr>
        <w:t>health care disparities. Current Opinion in Psychology, 44, 1-5.</w:t>
      </w:r>
    </w:p>
    <w:p>
      <w:pPr>
        <w:pStyle w:val="ListParagraph"/>
        <w:numPr>
          <w:ilvl w:val="0"/>
          <w:numId w:val="5"/>
        </w:numPr>
        <w:tabs>
          <w:tab w:pos="1088" w:val="left" w:leader="none"/>
        </w:tabs>
        <w:spacing w:line="230" w:lineRule="auto" w:before="15" w:after="0"/>
        <w:ind w:left="1088" w:right="615" w:hanging="809"/>
        <w:jc w:val="both"/>
        <w:rPr>
          <w:sz w:val="28"/>
        </w:rPr>
      </w:pPr>
      <w:r>
        <w:rPr>
          <w:sz w:val="28"/>
        </w:rPr>
        <w:t>Bockting,</w:t>
      </w:r>
      <w:r>
        <w:rPr>
          <w:spacing w:val="-7"/>
          <w:sz w:val="28"/>
        </w:rPr>
        <w:t> </w:t>
      </w:r>
      <w:r>
        <w:rPr>
          <w:sz w:val="28"/>
        </w:rPr>
        <w:t>W.</w:t>
      </w:r>
      <w:r>
        <w:rPr>
          <w:spacing w:val="-1"/>
          <w:sz w:val="28"/>
        </w:rPr>
        <w:t> </w:t>
      </w:r>
      <w:r>
        <w:rPr>
          <w:sz w:val="28"/>
        </w:rPr>
        <w:t>O.,</w:t>
      </w:r>
      <w:r>
        <w:rPr>
          <w:spacing w:val="-1"/>
          <w:sz w:val="28"/>
        </w:rPr>
        <w:t> </w:t>
      </w:r>
      <w:r>
        <w:rPr>
          <w:sz w:val="28"/>
        </w:rPr>
        <w:t>&amp;</w:t>
      </w:r>
      <w:r>
        <w:rPr>
          <w:spacing w:val="-1"/>
          <w:sz w:val="28"/>
        </w:rPr>
        <w:t> </w:t>
      </w:r>
      <w:r>
        <w:rPr>
          <w:sz w:val="28"/>
        </w:rPr>
        <w:t>Coleman,</w:t>
      </w:r>
      <w:r>
        <w:rPr>
          <w:spacing w:val="-1"/>
          <w:sz w:val="28"/>
        </w:rPr>
        <w:t> </w:t>
      </w:r>
      <w:r>
        <w:rPr>
          <w:sz w:val="28"/>
        </w:rPr>
        <w:t>E.</w:t>
      </w:r>
      <w:r>
        <w:rPr>
          <w:spacing w:val="-1"/>
          <w:sz w:val="28"/>
        </w:rPr>
        <w:t> </w:t>
      </w:r>
      <w:r>
        <w:rPr>
          <w:sz w:val="28"/>
        </w:rPr>
        <w:t>(2021).</w:t>
      </w:r>
      <w:r>
        <w:rPr>
          <w:spacing w:val="-7"/>
          <w:sz w:val="28"/>
        </w:rPr>
        <w:t> </w:t>
      </w:r>
      <w:r>
        <w:rPr>
          <w:sz w:val="28"/>
        </w:rPr>
        <w:t>Transgender</w:t>
      </w:r>
      <w:r>
        <w:rPr>
          <w:spacing w:val="-1"/>
          <w:sz w:val="28"/>
        </w:rPr>
        <w:t> </w:t>
      </w:r>
      <w:r>
        <w:rPr>
          <w:sz w:val="28"/>
        </w:rPr>
        <w:t>sexual</w:t>
      </w:r>
      <w:r>
        <w:rPr>
          <w:spacing w:val="-1"/>
          <w:sz w:val="28"/>
        </w:rPr>
        <w:t> </w:t>
      </w:r>
      <w:r>
        <w:rPr>
          <w:sz w:val="28"/>
        </w:rPr>
        <w:t>health.</w:t>
      </w:r>
      <w:r>
        <w:rPr>
          <w:spacing w:val="-1"/>
          <w:sz w:val="28"/>
        </w:rPr>
        <w:t> </w:t>
      </w:r>
      <w:r>
        <w:rPr>
          <w:sz w:val="28"/>
        </w:rPr>
        <w:t>In Oxford</w:t>
      </w:r>
      <w:r>
        <w:rPr>
          <w:spacing w:val="-12"/>
          <w:sz w:val="28"/>
        </w:rPr>
        <w:t> </w:t>
      </w:r>
      <w:r>
        <w:rPr>
          <w:sz w:val="28"/>
        </w:rPr>
        <w:t>Textbook</w:t>
      </w:r>
      <w:r>
        <w:rPr>
          <w:spacing w:val="-7"/>
          <w:sz w:val="28"/>
        </w:rPr>
        <w:t> </w:t>
      </w:r>
      <w:r>
        <w:rPr>
          <w:sz w:val="28"/>
        </w:rPr>
        <w:t>of</w:t>
      </w:r>
      <w:r>
        <w:rPr>
          <w:spacing w:val="-7"/>
          <w:sz w:val="28"/>
        </w:rPr>
        <w:t> </w:t>
      </w:r>
      <w:r>
        <w:rPr>
          <w:sz w:val="28"/>
        </w:rPr>
        <w:t>Gender</w:t>
      </w:r>
      <w:r>
        <w:rPr>
          <w:spacing w:val="-7"/>
          <w:sz w:val="28"/>
        </w:rPr>
        <w:t> </w:t>
      </w:r>
      <w:r>
        <w:rPr>
          <w:sz w:val="28"/>
        </w:rPr>
        <w:t>and</w:t>
      </w:r>
      <w:r>
        <w:rPr>
          <w:spacing w:val="-7"/>
          <w:sz w:val="28"/>
        </w:rPr>
        <w:t> </w:t>
      </w:r>
      <w:r>
        <w:rPr>
          <w:sz w:val="28"/>
        </w:rPr>
        <w:t>Sexuality</w:t>
      </w:r>
      <w:r>
        <w:rPr>
          <w:spacing w:val="-7"/>
          <w:sz w:val="28"/>
        </w:rPr>
        <w:t> </w:t>
      </w:r>
      <w:r>
        <w:rPr>
          <w:sz w:val="28"/>
        </w:rPr>
        <w:t>in</w:t>
      </w:r>
      <w:r>
        <w:rPr>
          <w:spacing w:val="-7"/>
          <w:sz w:val="28"/>
        </w:rPr>
        <w:t> </w:t>
      </w:r>
      <w:r>
        <w:rPr>
          <w:sz w:val="28"/>
        </w:rPr>
        <w:t>Behavioral</w:t>
      </w:r>
      <w:r>
        <w:rPr>
          <w:spacing w:val="-7"/>
          <w:sz w:val="28"/>
        </w:rPr>
        <w:t> </w:t>
      </w:r>
      <w:r>
        <w:rPr>
          <w:sz w:val="28"/>
        </w:rPr>
        <w:t>Medicine</w:t>
      </w:r>
      <w:r>
        <w:rPr>
          <w:spacing w:val="-7"/>
          <w:sz w:val="28"/>
        </w:rPr>
        <w:t> </w:t>
      </w:r>
      <w:r>
        <w:rPr>
          <w:sz w:val="28"/>
        </w:rPr>
        <w:t>(pp. 271-283). Oxford University Press.</w:t>
      </w:r>
    </w:p>
    <w:p>
      <w:pPr>
        <w:pStyle w:val="ListParagraph"/>
        <w:numPr>
          <w:ilvl w:val="0"/>
          <w:numId w:val="5"/>
        </w:numPr>
        <w:tabs>
          <w:tab w:pos="1088" w:val="left" w:leader="none"/>
        </w:tabs>
        <w:spacing w:line="220" w:lineRule="auto" w:before="18" w:after="0"/>
        <w:ind w:left="1088" w:right="535" w:hanging="809"/>
        <w:jc w:val="both"/>
        <w:rPr>
          <w:sz w:val="28"/>
        </w:rPr>
      </w:pPr>
      <w:r>
        <w:rPr>
          <w:sz w:val="28"/>
        </w:rPr>
        <w:t>Lindley,</w:t>
      </w:r>
      <w:r>
        <w:rPr>
          <w:spacing w:val="-8"/>
          <w:sz w:val="28"/>
        </w:rPr>
        <w:t> </w:t>
      </w:r>
      <w:r>
        <w:rPr>
          <w:sz w:val="28"/>
        </w:rPr>
        <w:t>L.</w:t>
      </w:r>
      <w:r>
        <w:rPr>
          <w:spacing w:val="-8"/>
          <w:sz w:val="28"/>
        </w:rPr>
        <w:t> </w:t>
      </w:r>
      <w:r>
        <w:rPr>
          <w:sz w:val="28"/>
        </w:rPr>
        <w:t>L.,</w:t>
      </w:r>
      <w:r>
        <w:rPr>
          <w:spacing w:val="-8"/>
          <w:sz w:val="28"/>
        </w:rPr>
        <w:t> </w:t>
      </w:r>
      <w:r>
        <w:rPr>
          <w:sz w:val="28"/>
        </w:rPr>
        <w:t>&amp;</w:t>
      </w:r>
      <w:r>
        <w:rPr>
          <w:spacing w:val="-13"/>
          <w:sz w:val="28"/>
        </w:rPr>
        <w:t> </w:t>
      </w:r>
      <w:r>
        <w:rPr>
          <w:sz w:val="28"/>
        </w:rPr>
        <w:t>Walsemann,</w:t>
      </w:r>
      <w:r>
        <w:rPr>
          <w:spacing w:val="-8"/>
          <w:sz w:val="28"/>
        </w:rPr>
        <w:t> </w:t>
      </w:r>
      <w:r>
        <w:rPr>
          <w:sz w:val="28"/>
        </w:rPr>
        <w:t>K.</w:t>
      </w:r>
      <w:r>
        <w:rPr>
          <w:spacing w:val="-8"/>
          <w:sz w:val="28"/>
        </w:rPr>
        <w:t> </w:t>
      </w:r>
      <w:r>
        <w:rPr>
          <w:sz w:val="28"/>
        </w:rPr>
        <w:t>M.</w:t>
      </w:r>
      <w:r>
        <w:rPr>
          <w:spacing w:val="-8"/>
          <w:sz w:val="28"/>
        </w:rPr>
        <w:t> </w:t>
      </w:r>
      <w:r>
        <w:rPr>
          <w:sz w:val="28"/>
        </w:rPr>
        <w:t>(2020).</w:t>
      </w:r>
      <w:r>
        <w:rPr>
          <w:spacing w:val="-8"/>
          <w:sz w:val="28"/>
        </w:rPr>
        <w:t> </w:t>
      </w:r>
      <w:r>
        <w:rPr>
          <w:sz w:val="28"/>
        </w:rPr>
        <w:t>Sexual</w:t>
      </w:r>
      <w:r>
        <w:rPr>
          <w:spacing w:val="-8"/>
          <w:sz w:val="28"/>
        </w:rPr>
        <w:t> </w:t>
      </w:r>
      <w:r>
        <w:rPr>
          <w:sz w:val="28"/>
        </w:rPr>
        <w:t>orientation</w:t>
      </w:r>
      <w:r>
        <w:rPr>
          <w:spacing w:val="-8"/>
          <w:sz w:val="28"/>
        </w:rPr>
        <w:t> </w:t>
      </w:r>
      <w:r>
        <w:rPr>
          <w:sz w:val="28"/>
        </w:rPr>
        <w:t>and</w:t>
      </w:r>
      <w:r>
        <w:rPr>
          <w:spacing w:val="-8"/>
          <w:sz w:val="28"/>
        </w:rPr>
        <w:t> </w:t>
      </w:r>
      <w:r>
        <w:rPr>
          <w:sz w:val="28"/>
        </w:rPr>
        <w:t>risk of pregnancy among US women. Demography, 57(3), 961-982.</w:t>
      </w:r>
    </w:p>
    <w:p>
      <w:pPr>
        <w:pStyle w:val="ListParagraph"/>
        <w:numPr>
          <w:ilvl w:val="0"/>
          <w:numId w:val="5"/>
        </w:numPr>
        <w:tabs>
          <w:tab w:pos="1088" w:val="left" w:leader="none"/>
        </w:tabs>
        <w:spacing w:line="230" w:lineRule="auto" w:before="15" w:after="0"/>
        <w:ind w:left="1088" w:right="560" w:hanging="809"/>
        <w:jc w:val="left"/>
        <w:rPr>
          <w:sz w:val="28"/>
        </w:rPr>
      </w:pPr>
      <w:r>
        <w:rPr>
          <w:sz w:val="28"/>
        </w:rPr>
        <w:t>Perera-Delcourt, R., &amp; Cornish, F. (2020). Sexuality, risk and harm:</w:t>
      </w:r>
      <w:r>
        <w:rPr>
          <w:spacing w:val="-10"/>
          <w:sz w:val="28"/>
        </w:rPr>
        <w:t> </w:t>
      </w:r>
      <w:r>
        <w:rPr>
          <w:sz w:val="28"/>
        </w:rPr>
        <w:t>A call</w:t>
      </w:r>
      <w:r>
        <w:rPr>
          <w:spacing w:val="-3"/>
          <w:sz w:val="28"/>
        </w:rPr>
        <w:t> </w:t>
      </w:r>
      <w:r>
        <w:rPr>
          <w:sz w:val="28"/>
        </w:rPr>
        <w:t>for</w:t>
      </w:r>
      <w:r>
        <w:rPr>
          <w:spacing w:val="-3"/>
          <w:sz w:val="28"/>
        </w:rPr>
        <w:t> </w:t>
      </w:r>
      <w:r>
        <w:rPr>
          <w:sz w:val="28"/>
        </w:rPr>
        <w:t>a</w:t>
      </w:r>
      <w:r>
        <w:rPr>
          <w:spacing w:val="-4"/>
          <w:sz w:val="28"/>
        </w:rPr>
        <w:t> </w:t>
      </w:r>
      <w:r>
        <w:rPr>
          <w:sz w:val="28"/>
        </w:rPr>
        <w:t>more</w:t>
      </w:r>
      <w:r>
        <w:rPr>
          <w:spacing w:val="-4"/>
          <w:sz w:val="28"/>
        </w:rPr>
        <w:t> </w:t>
      </w:r>
      <w:r>
        <w:rPr>
          <w:sz w:val="28"/>
        </w:rPr>
        <w:t>inclusive</w:t>
      </w:r>
      <w:r>
        <w:rPr>
          <w:spacing w:val="-4"/>
          <w:sz w:val="28"/>
        </w:rPr>
        <w:t> </w:t>
      </w:r>
      <w:r>
        <w:rPr>
          <w:sz w:val="28"/>
        </w:rPr>
        <w:t>and</w:t>
      </w:r>
      <w:r>
        <w:rPr>
          <w:spacing w:val="-3"/>
          <w:sz w:val="28"/>
        </w:rPr>
        <w:t> </w:t>
      </w:r>
      <w:r>
        <w:rPr>
          <w:sz w:val="28"/>
        </w:rPr>
        <w:t>integrated</w:t>
      </w:r>
      <w:r>
        <w:rPr>
          <w:spacing w:val="-3"/>
          <w:sz w:val="28"/>
        </w:rPr>
        <w:t> </w:t>
      </w:r>
      <w:r>
        <w:rPr>
          <w:sz w:val="28"/>
        </w:rPr>
        <w:t>approach</w:t>
      </w:r>
      <w:r>
        <w:rPr>
          <w:spacing w:val="-3"/>
          <w:sz w:val="28"/>
        </w:rPr>
        <w:t> </w:t>
      </w:r>
      <w:r>
        <w:rPr>
          <w:sz w:val="28"/>
        </w:rPr>
        <w:t>to</w:t>
      </w:r>
      <w:r>
        <w:rPr>
          <w:spacing w:val="-3"/>
          <w:sz w:val="28"/>
        </w:rPr>
        <w:t> </w:t>
      </w:r>
      <w:r>
        <w:rPr>
          <w:sz w:val="28"/>
        </w:rPr>
        <w:t>sexual</w:t>
      </w:r>
      <w:r>
        <w:rPr>
          <w:spacing w:val="-3"/>
          <w:sz w:val="28"/>
        </w:rPr>
        <w:t> </w:t>
      </w:r>
      <w:r>
        <w:rPr>
          <w:sz w:val="28"/>
        </w:rPr>
        <w:t>health</w:t>
      </w:r>
      <w:r>
        <w:rPr>
          <w:spacing w:val="-3"/>
          <w:sz w:val="28"/>
        </w:rPr>
        <w:t> </w:t>
      </w:r>
      <w:r>
        <w:rPr>
          <w:sz w:val="28"/>
        </w:rPr>
        <w:t>in</w:t>
      </w:r>
      <w:r>
        <w:rPr>
          <w:spacing w:val="-3"/>
          <w:sz w:val="28"/>
        </w:rPr>
        <w:t> </w:t>
      </w:r>
      <w:r>
        <w:rPr>
          <w:sz w:val="28"/>
        </w:rPr>
        <w:t>the 21st century. Culture, Health &amp; Sexuality, 22(1), 1-19.</w:t>
      </w:r>
    </w:p>
    <w:p>
      <w:pPr>
        <w:spacing w:after="0" w:line="230" w:lineRule="auto"/>
        <w:jc w:val="left"/>
        <w:rPr>
          <w:sz w:val="28"/>
        </w:rPr>
        <w:sectPr>
          <w:pgSz w:w="12240" w:h="15840"/>
          <w:pgMar w:header="0" w:footer="765" w:top="1240" w:bottom="980" w:left="1400" w:right="1180"/>
        </w:sectPr>
      </w:pPr>
    </w:p>
    <w:p>
      <w:pPr>
        <w:pStyle w:val="Heading1"/>
        <w:numPr>
          <w:ilvl w:val="0"/>
          <w:numId w:val="3"/>
        </w:numPr>
        <w:tabs>
          <w:tab w:pos="640" w:val="left" w:leader="none"/>
        </w:tabs>
        <w:spacing w:line="240" w:lineRule="auto" w:before="70" w:after="0"/>
        <w:ind w:left="640" w:right="0" w:hanging="360"/>
        <w:jc w:val="left"/>
      </w:pPr>
      <w:bookmarkStart w:name="_TOC_250007" w:id="3"/>
      <w:r>
        <w:rPr/>
        <w:t>Sexual</w:t>
      </w:r>
      <w:r>
        <w:rPr>
          <w:spacing w:val="-3"/>
        </w:rPr>
        <w:t> </w:t>
      </w:r>
      <w:bookmarkEnd w:id="3"/>
      <w:r>
        <w:rPr>
          <w:spacing w:val="-2"/>
        </w:rPr>
        <w:t>Diversity</w:t>
      </w:r>
    </w:p>
    <w:p>
      <w:pPr>
        <w:pStyle w:val="BodyText"/>
        <w:rPr>
          <w:b/>
          <w:sz w:val="20"/>
        </w:rPr>
      </w:pPr>
    </w:p>
    <w:p>
      <w:pPr>
        <w:pStyle w:val="BodyText"/>
        <w:spacing w:before="3"/>
        <w:rPr>
          <w:b/>
          <w:sz w:val="19"/>
        </w:rPr>
      </w:pPr>
      <w:r>
        <w:rPr/>
        <mc:AlternateContent>
          <mc:Choice Requires="wps">
            <w:drawing>
              <wp:anchor distT="0" distB="0" distL="0" distR="0" allowOverlap="1" layoutInCell="1" locked="0" behindDoc="1" simplePos="0" relativeHeight="487596544">
                <wp:simplePos x="0" y="0"/>
                <wp:positionH relativeFrom="page">
                  <wp:posOffset>1066800</wp:posOffset>
                </wp:positionH>
                <wp:positionV relativeFrom="paragraph">
                  <wp:posOffset>155880</wp:posOffset>
                </wp:positionV>
                <wp:extent cx="4615180" cy="787400"/>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4615180" cy="787400"/>
                          <a:chExt cx="4615180" cy="787400"/>
                        </a:xfrm>
                      </wpg:grpSpPr>
                      <wps:wsp>
                        <wps:cNvPr id="39" name="Textbox 39"/>
                        <wps:cNvSpPr txBox="1"/>
                        <wps:spPr>
                          <a:xfrm>
                            <a:off x="0" y="393700"/>
                            <a:ext cx="96520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pacing w:val="-2"/>
                                  <w:sz w:val="28"/>
                                </w:rPr>
                                <w:t>Introduction</w:t>
                              </w:r>
                            </w:p>
                          </w:txbxContent>
                        </wps:txbx>
                        <wps:bodyPr wrap="square" lIns="0" tIns="0" rIns="0" bIns="0" rtlCol="0">
                          <a:noAutofit/>
                        </wps:bodyPr>
                      </wps:wsp>
                      <wps:wsp>
                        <wps:cNvPr id="40" name="Textbox 40"/>
                        <wps:cNvSpPr txBox="1"/>
                        <wps:spPr>
                          <a:xfrm>
                            <a:off x="0" y="0"/>
                            <a:ext cx="461518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Embracing</w:t>
                              </w:r>
                              <w:r>
                                <w:rPr>
                                  <w:b/>
                                  <w:color w:val="374151"/>
                                  <w:spacing w:val="-5"/>
                                  <w:sz w:val="28"/>
                                </w:rPr>
                                <w:t> </w:t>
                              </w:r>
                              <w:r>
                                <w:rPr>
                                  <w:b/>
                                  <w:color w:val="374151"/>
                                  <w:sz w:val="28"/>
                                </w:rPr>
                                <w:t>Sexual</w:t>
                              </w:r>
                              <w:r>
                                <w:rPr>
                                  <w:b/>
                                  <w:color w:val="374151"/>
                                  <w:spacing w:val="-2"/>
                                  <w:sz w:val="28"/>
                                </w:rPr>
                                <w:t> </w:t>
                              </w:r>
                              <w:r>
                                <w:rPr>
                                  <w:b/>
                                  <w:color w:val="374151"/>
                                  <w:sz w:val="28"/>
                                </w:rPr>
                                <w:t>Diversity:</w:t>
                              </w:r>
                              <w:r>
                                <w:rPr>
                                  <w:b/>
                                  <w:color w:val="374151"/>
                                  <w:spacing w:val="-2"/>
                                  <w:sz w:val="28"/>
                                </w:rPr>
                                <w:t> </w:t>
                              </w:r>
                              <w:r>
                                <w:rPr>
                                  <w:b/>
                                  <w:color w:val="374151"/>
                                  <w:sz w:val="28"/>
                                </w:rPr>
                                <w:t>Enhancing</w:t>
                              </w:r>
                              <w:r>
                                <w:rPr>
                                  <w:b/>
                                  <w:color w:val="374151"/>
                                  <w:spacing w:val="-2"/>
                                  <w:sz w:val="28"/>
                                </w:rPr>
                                <w:t> </w:t>
                              </w:r>
                              <w:r>
                                <w:rPr>
                                  <w:b/>
                                  <w:color w:val="374151"/>
                                  <w:sz w:val="28"/>
                                </w:rPr>
                                <w:t>Support</w:t>
                              </w:r>
                              <w:r>
                                <w:rPr>
                                  <w:b/>
                                  <w:color w:val="374151"/>
                                  <w:spacing w:val="-2"/>
                                  <w:sz w:val="28"/>
                                </w:rPr>
                                <w:t> </w:t>
                              </w:r>
                              <w:r>
                                <w:rPr>
                                  <w:b/>
                                  <w:color w:val="374151"/>
                                  <w:sz w:val="28"/>
                                </w:rPr>
                                <w:t>for</w:t>
                              </w:r>
                              <w:r>
                                <w:rPr>
                                  <w:b/>
                                  <w:color w:val="374151"/>
                                  <w:spacing w:val="-7"/>
                                  <w:sz w:val="28"/>
                                </w:rPr>
                                <w:t> </w:t>
                              </w:r>
                              <w:r>
                                <w:rPr>
                                  <w:b/>
                                  <w:color w:val="374151"/>
                                  <w:spacing w:val="-2"/>
                                  <w:sz w:val="28"/>
                                </w:rPr>
                                <w:t>Clients</w:t>
                              </w:r>
                            </w:p>
                          </w:txbxContent>
                        </wps:txbx>
                        <wps:bodyPr wrap="square" lIns="0" tIns="0" rIns="0" bIns="0" rtlCol="0">
                          <a:noAutofit/>
                        </wps:bodyPr>
                      </wps:wsp>
                    </wpg:wgp>
                  </a:graphicData>
                </a:graphic>
              </wp:anchor>
            </w:drawing>
          </mc:Choice>
          <mc:Fallback>
            <w:pict>
              <v:group style="position:absolute;margin-left:84pt;margin-top:12.274073pt;width:363.4pt;height:62pt;mso-position-horizontal-relative:page;mso-position-vertical-relative:paragraph;z-index:-15719936;mso-wrap-distance-left:0;mso-wrap-distance-right:0" id="docshapegroup37" coordorigin="1680,245" coordsize="7268,1240">
                <v:shape style="position:absolute;left:1680;top:865;width:1520;height:620" type="#_x0000_t202" id="docshape38" filled="true" fillcolor="#f7f7f8" stroked="false">
                  <v:textbox inset="0,0,0,0">
                    <w:txbxContent>
                      <w:p>
                        <w:pPr>
                          <w:spacing w:line="308" w:lineRule="exact" w:before="0"/>
                          <w:ind w:left="0" w:right="0" w:firstLine="0"/>
                          <w:jc w:val="left"/>
                          <w:rPr>
                            <w:b/>
                            <w:color w:val="000000"/>
                            <w:sz w:val="28"/>
                          </w:rPr>
                        </w:pPr>
                        <w:r>
                          <w:rPr>
                            <w:b/>
                            <w:color w:val="374151"/>
                            <w:spacing w:val="-2"/>
                            <w:sz w:val="28"/>
                          </w:rPr>
                          <w:t>Introduction</w:t>
                        </w:r>
                      </w:p>
                    </w:txbxContent>
                  </v:textbox>
                  <v:fill type="solid"/>
                  <w10:wrap type="none"/>
                </v:shape>
                <v:shape style="position:absolute;left:1680;top:245;width:7268;height:620" type="#_x0000_t202" id="docshape39" filled="true" fillcolor="#f7f7f8" stroked="false">
                  <v:textbox inset="0,0,0,0">
                    <w:txbxContent>
                      <w:p>
                        <w:pPr>
                          <w:spacing w:line="308" w:lineRule="exact" w:before="0"/>
                          <w:ind w:left="0" w:right="0" w:firstLine="0"/>
                          <w:jc w:val="left"/>
                          <w:rPr>
                            <w:b/>
                            <w:color w:val="000000"/>
                            <w:sz w:val="28"/>
                          </w:rPr>
                        </w:pPr>
                        <w:r>
                          <w:rPr>
                            <w:b/>
                            <w:color w:val="374151"/>
                            <w:sz w:val="28"/>
                          </w:rPr>
                          <w:t>Embracing</w:t>
                        </w:r>
                        <w:r>
                          <w:rPr>
                            <w:b/>
                            <w:color w:val="374151"/>
                            <w:spacing w:val="-5"/>
                            <w:sz w:val="28"/>
                          </w:rPr>
                          <w:t> </w:t>
                        </w:r>
                        <w:r>
                          <w:rPr>
                            <w:b/>
                            <w:color w:val="374151"/>
                            <w:sz w:val="28"/>
                          </w:rPr>
                          <w:t>Sexual</w:t>
                        </w:r>
                        <w:r>
                          <w:rPr>
                            <w:b/>
                            <w:color w:val="374151"/>
                            <w:spacing w:val="-2"/>
                            <w:sz w:val="28"/>
                          </w:rPr>
                          <w:t> </w:t>
                        </w:r>
                        <w:r>
                          <w:rPr>
                            <w:b/>
                            <w:color w:val="374151"/>
                            <w:sz w:val="28"/>
                          </w:rPr>
                          <w:t>Diversity:</w:t>
                        </w:r>
                        <w:r>
                          <w:rPr>
                            <w:b/>
                            <w:color w:val="374151"/>
                            <w:spacing w:val="-2"/>
                            <w:sz w:val="28"/>
                          </w:rPr>
                          <w:t> </w:t>
                        </w:r>
                        <w:r>
                          <w:rPr>
                            <w:b/>
                            <w:color w:val="374151"/>
                            <w:sz w:val="28"/>
                          </w:rPr>
                          <w:t>Enhancing</w:t>
                        </w:r>
                        <w:r>
                          <w:rPr>
                            <w:b/>
                            <w:color w:val="374151"/>
                            <w:spacing w:val="-2"/>
                            <w:sz w:val="28"/>
                          </w:rPr>
                          <w:t> </w:t>
                        </w:r>
                        <w:r>
                          <w:rPr>
                            <w:b/>
                            <w:color w:val="374151"/>
                            <w:sz w:val="28"/>
                          </w:rPr>
                          <w:t>Support</w:t>
                        </w:r>
                        <w:r>
                          <w:rPr>
                            <w:b/>
                            <w:color w:val="374151"/>
                            <w:spacing w:val="-2"/>
                            <w:sz w:val="28"/>
                          </w:rPr>
                          <w:t> </w:t>
                        </w:r>
                        <w:r>
                          <w:rPr>
                            <w:b/>
                            <w:color w:val="374151"/>
                            <w:sz w:val="28"/>
                          </w:rPr>
                          <w:t>for</w:t>
                        </w:r>
                        <w:r>
                          <w:rPr>
                            <w:b/>
                            <w:color w:val="374151"/>
                            <w:spacing w:val="-7"/>
                            <w:sz w:val="28"/>
                          </w:rPr>
                          <w:t> </w:t>
                        </w:r>
                        <w:r>
                          <w:rPr>
                            <w:b/>
                            <w:color w:val="374151"/>
                            <w:spacing w:val="-2"/>
                            <w:sz w:val="28"/>
                          </w:rPr>
                          <w:t>Clients</w:t>
                        </w:r>
                      </w:p>
                    </w:txbxContent>
                  </v:textbox>
                  <v:fill type="solid"/>
                  <w10:wrap type="none"/>
                </v:shape>
                <w10:wrap type="topAndBottom"/>
              </v:group>
            </w:pict>
          </mc:Fallback>
        </mc:AlternateContent>
      </w:r>
    </w:p>
    <w:p>
      <w:pPr>
        <w:pStyle w:val="BodyText"/>
        <w:spacing w:line="237" w:lineRule="auto" w:after="10"/>
        <w:ind w:left="280" w:right="668"/>
      </w:pPr>
      <w:r>
        <w:rPr>
          <w:color w:val="374151"/>
          <w:shd w:fill="F7F7F8" w:color="auto" w:val="clear"/>
        </w:rPr>
        <w:t>In today's ever-evolving society, the concept of sexual diversity has gained </w:t>
      </w:r>
      <w:r>
        <w:rPr>
          <w:color w:val="374151"/>
        </w:rPr>
        <w:t> </w:t>
      </w:r>
      <w:r>
        <w:rPr>
          <w:color w:val="374151"/>
          <w:shd w:fill="F7F7F8" w:color="auto" w:val="clear"/>
        </w:rPr>
        <w:t>increasing recognition and acceptance.</w:t>
      </w:r>
      <w:r>
        <w:rPr>
          <w:color w:val="374151"/>
          <w:spacing w:val="-10"/>
          <w:shd w:fill="F7F7F8" w:color="auto" w:val="clear"/>
        </w:rPr>
        <w:t> </w:t>
      </w:r>
      <w:r>
        <w:rPr>
          <w:color w:val="374151"/>
          <w:shd w:fill="F7F7F8" w:color="auto" w:val="clear"/>
        </w:rPr>
        <w:t>As licensed mental health </w:t>
      </w:r>
      <w:r>
        <w:rPr>
          <w:color w:val="374151"/>
        </w:rPr>
        <w:t> </w:t>
      </w:r>
      <w:r>
        <w:rPr>
          <w:color w:val="374151"/>
          <w:shd w:fill="F7F7F8" w:color="auto" w:val="clear"/>
        </w:rPr>
        <w:t>professionals, it is crucial for us to foster a welcoming and inclusive </w:t>
      </w:r>
      <w:r>
        <w:rPr>
          <w:color w:val="374151"/>
        </w:rPr>
        <w:t> </w:t>
      </w:r>
      <w:r>
        <w:rPr>
          <w:color w:val="374151"/>
          <w:shd w:fill="F7F7F8" w:color="auto" w:val="clear"/>
        </w:rPr>
        <w:t>environment that celebrates the diverse range of sexual orientations and </w:t>
      </w:r>
      <w:r>
        <w:rPr>
          <w:color w:val="374151"/>
        </w:rPr>
        <w:t> </w:t>
      </w:r>
      <w:r>
        <w:rPr>
          <w:color w:val="374151"/>
          <w:shd w:fill="F7F7F8" w:color="auto" w:val="clear"/>
        </w:rPr>
        <w:t>identities. This section aims to explore the importance of understanding and </w:t>
      </w:r>
      <w:r>
        <w:rPr>
          <w:color w:val="374151"/>
        </w:rPr>
        <w:t> </w:t>
      </w:r>
      <w:r>
        <w:rPr>
          <w:color w:val="374151"/>
          <w:shd w:fill="F7F7F8" w:color="auto" w:val="clear"/>
        </w:rPr>
        <w:t>supporting sexual diversity in mental health practice, highlighting key </w:t>
      </w:r>
      <w:r>
        <w:rPr>
          <w:color w:val="374151"/>
        </w:rPr>
        <w:t> </w:t>
      </w:r>
      <w:r>
        <w:rPr>
          <w:color w:val="374151"/>
          <w:shd w:fill="F7F7F8" w:color="auto" w:val="clear"/>
        </w:rPr>
        <w:t>considerations, challenges, and strategies for effectively working with clients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720975" cy="787400"/>
                <wp:effectExtent l="0" t="0" r="0" b="3175"/>
                <wp:docPr id="41" name="Group 41"/>
                <wp:cNvGraphicFramePr>
                  <a:graphicFrameLocks/>
                </wp:cNvGraphicFramePr>
                <a:graphic>
                  <a:graphicData uri="http://schemas.microsoft.com/office/word/2010/wordprocessingGroup">
                    <wpg:wgp>
                      <wpg:cNvPr id="41" name="Group 41"/>
                      <wpg:cNvGrpSpPr/>
                      <wpg:grpSpPr>
                        <a:xfrm>
                          <a:off x="0" y="0"/>
                          <a:ext cx="2720975" cy="787400"/>
                          <a:chExt cx="2720975" cy="787400"/>
                        </a:xfrm>
                      </wpg:grpSpPr>
                      <wps:wsp>
                        <wps:cNvPr id="42" name="Textbox 42"/>
                        <wps:cNvSpPr txBox="1"/>
                        <wps:spPr>
                          <a:xfrm>
                            <a:off x="0" y="393700"/>
                            <a:ext cx="242062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Understanding</w:t>
                              </w:r>
                              <w:r>
                                <w:rPr>
                                  <w:b/>
                                  <w:color w:val="374151"/>
                                  <w:spacing w:val="-3"/>
                                  <w:sz w:val="28"/>
                                </w:rPr>
                                <w:t> </w:t>
                              </w:r>
                              <w:r>
                                <w:rPr>
                                  <w:b/>
                                  <w:color w:val="374151"/>
                                  <w:sz w:val="28"/>
                                </w:rPr>
                                <w:t>Sexual</w:t>
                              </w:r>
                              <w:r>
                                <w:rPr>
                                  <w:b/>
                                  <w:color w:val="374151"/>
                                  <w:spacing w:val="-3"/>
                                  <w:sz w:val="28"/>
                                </w:rPr>
                                <w:t> </w:t>
                              </w:r>
                              <w:r>
                                <w:rPr>
                                  <w:b/>
                                  <w:color w:val="374151"/>
                                  <w:spacing w:val="-2"/>
                                  <w:sz w:val="28"/>
                                </w:rPr>
                                <w:t>Diversity</w:t>
                              </w:r>
                            </w:p>
                          </w:txbxContent>
                        </wps:txbx>
                        <wps:bodyPr wrap="square" lIns="0" tIns="0" rIns="0" bIns="0" rtlCol="0">
                          <a:noAutofit/>
                        </wps:bodyPr>
                      </wps:wsp>
                      <wps:wsp>
                        <wps:cNvPr id="43" name="Textbox 43"/>
                        <wps:cNvSpPr txBox="1"/>
                        <wps:spPr>
                          <a:xfrm>
                            <a:off x="0" y="0"/>
                            <a:ext cx="272097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who</w:t>
                              </w:r>
                              <w:r>
                                <w:rPr>
                                  <w:color w:val="374151"/>
                                  <w:spacing w:val="-1"/>
                                  <w:sz w:val="28"/>
                                </w:rPr>
                                <w:t> </w:t>
                              </w:r>
                              <w:r>
                                <w:rPr>
                                  <w:color w:val="374151"/>
                                  <w:sz w:val="28"/>
                                </w:rPr>
                                <w:t>identify within this </w:t>
                              </w:r>
                              <w:r>
                                <w:rPr>
                                  <w:color w:val="374151"/>
                                  <w:spacing w:val="-2"/>
                                  <w:sz w:val="28"/>
                                </w:rPr>
                                <w:t>demographic.</w:t>
                              </w:r>
                            </w:p>
                          </w:txbxContent>
                        </wps:txbx>
                        <wps:bodyPr wrap="square" lIns="0" tIns="0" rIns="0" bIns="0" rtlCol="0">
                          <a:noAutofit/>
                        </wps:bodyPr>
                      </wps:wsp>
                    </wpg:wgp>
                  </a:graphicData>
                </a:graphic>
              </wp:inline>
            </w:drawing>
          </mc:Choice>
          <mc:Fallback>
            <w:pict>
              <v:group style="width:214.25pt;height:62pt;mso-position-horizontal-relative:char;mso-position-vertical-relative:line" id="docshapegroup40" coordorigin="0,0" coordsize="4285,1240">
                <v:shape style="position:absolute;left:0;top:620;width:3812;height:620" type="#_x0000_t202" id="docshape41" filled="true" fillcolor="#f7f7f8" stroked="false">
                  <v:textbox inset="0,0,0,0">
                    <w:txbxContent>
                      <w:p>
                        <w:pPr>
                          <w:spacing w:line="308" w:lineRule="exact" w:before="0"/>
                          <w:ind w:left="0" w:right="0" w:firstLine="0"/>
                          <w:jc w:val="left"/>
                          <w:rPr>
                            <w:b/>
                            <w:color w:val="000000"/>
                            <w:sz w:val="28"/>
                          </w:rPr>
                        </w:pPr>
                        <w:r>
                          <w:rPr>
                            <w:b/>
                            <w:color w:val="374151"/>
                            <w:sz w:val="28"/>
                          </w:rPr>
                          <w:t>Understanding</w:t>
                        </w:r>
                        <w:r>
                          <w:rPr>
                            <w:b/>
                            <w:color w:val="374151"/>
                            <w:spacing w:val="-3"/>
                            <w:sz w:val="28"/>
                          </w:rPr>
                          <w:t> </w:t>
                        </w:r>
                        <w:r>
                          <w:rPr>
                            <w:b/>
                            <w:color w:val="374151"/>
                            <w:sz w:val="28"/>
                          </w:rPr>
                          <w:t>Sexual</w:t>
                        </w:r>
                        <w:r>
                          <w:rPr>
                            <w:b/>
                            <w:color w:val="374151"/>
                            <w:spacing w:val="-3"/>
                            <w:sz w:val="28"/>
                          </w:rPr>
                          <w:t> </w:t>
                        </w:r>
                        <w:r>
                          <w:rPr>
                            <w:b/>
                            <w:color w:val="374151"/>
                            <w:spacing w:val="-2"/>
                            <w:sz w:val="28"/>
                          </w:rPr>
                          <w:t>Diversity</w:t>
                        </w:r>
                      </w:p>
                    </w:txbxContent>
                  </v:textbox>
                  <v:fill type="solid"/>
                  <w10:wrap type="none"/>
                </v:shape>
                <v:shape style="position:absolute;left:0;top:0;width:4285;height:620" type="#_x0000_t202" id="docshape42" filled="true" fillcolor="#f7f7f8" stroked="false">
                  <v:textbox inset="0,0,0,0">
                    <w:txbxContent>
                      <w:p>
                        <w:pPr>
                          <w:spacing w:line="308" w:lineRule="exact" w:before="0"/>
                          <w:ind w:left="0" w:right="-15" w:firstLine="0"/>
                          <w:jc w:val="left"/>
                          <w:rPr>
                            <w:color w:val="000000"/>
                            <w:sz w:val="28"/>
                          </w:rPr>
                        </w:pPr>
                        <w:r>
                          <w:rPr>
                            <w:color w:val="374151"/>
                            <w:sz w:val="28"/>
                          </w:rPr>
                          <w:t>who</w:t>
                        </w:r>
                        <w:r>
                          <w:rPr>
                            <w:color w:val="374151"/>
                            <w:spacing w:val="-1"/>
                            <w:sz w:val="28"/>
                          </w:rPr>
                          <w:t> </w:t>
                        </w:r>
                        <w:r>
                          <w:rPr>
                            <w:color w:val="374151"/>
                            <w:sz w:val="28"/>
                          </w:rPr>
                          <w:t>identify within this </w:t>
                        </w:r>
                        <w:r>
                          <w:rPr>
                            <w:color w:val="374151"/>
                            <w:spacing w:val="-2"/>
                            <w:sz w:val="28"/>
                          </w:rPr>
                          <w:t>demographic.</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Sexual</w:t>
      </w:r>
      <w:r>
        <w:rPr>
          <w:color w:val="374151"/>
          <w:spacing w:val="-4"/>
          <w:shd w:fill="F7F7F8" w:color="auto" w:val="clear"/>
        </w:rPr>
        <w:t> </w:t>
      </w:r>
      <w:r>
        <w:rPr>
          <w:color w:val="374151"/>
          <w:shd w:fill="F7F7F8" w:color="auto" w:val="clear"/>
        </w:rPr>
        <w:t>diversity</w:t>
      </w:r>
      <w:r>
        <w:rPr>
          <w:color w:val="374151"/>
          <w:spacing w:val="-2"/>
          <w:shd w:fill="F7F7F8" w:color="auto" w:val="clear"/>
        </w:rPr>
        <w:t> </w:t>
      </w:r>
      <w:r>
        <w:rPr>
          <w:color w:val="374151"/>
          <w:shd w:fill="F7F7F8" w:color="auto" w:val="clear"/>
        </w:rPr>
        <w:t>encompasses</w:t>
      </w:r>
      <w:r>
        <w:rPr>
          <w:color w:val="374151"/>
          <w:spacing w:val="-2"/>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broad</w:t>
      </w:r>
      <w:r>
        <w:rPr>
          <w:color w:val="374151"/>
          <w:spacing w:val="-1"/>
          <w:shd w:fill="F7F7F8" w:color="auto" w:val="clear"/>
        </w:rPr>
        <w:t> </w:t>
      </w:r>
      <w:r>
        <w:rPr>
          <w:color w:val="374151"/>
          <w:shd w:fill="F7F7F8" w:color="auto" w:val="clear"/>
        </w:rPr>
        <w:t>range</w:t>
      </w:r>
      <w:r>
        <w:rPr>
          <w:color w:val="374151"/>
          <w:spacing w:val="-3"/>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identities,</w:t>
      </w:r>
      <w:r>
        <w:rPr>
          <w:color w:val="374151"/>
          <w:spacing w:val="-2"/>
          <w:shd w:fill="F7F7F8" w:color="auto" w:val="clear"/>
        </w:rPr>
        <w:t> </w:t>
      </w:r>
      <w:r>
        <w:rPr>
          <w:color w:val="374151"/>
          <w:shd w:fill="F7F7F8" w:color="auto" w:val="clear"/>
        </w:rPr>
        <w:t>orientations,</w:t>
      </w:r>
      <w:r>
        <w:rPr>
          <w:color w:val="374151"/>
          <w:spacing w:val="-1"/>
          <w:shd w:fill="F7F7F8" w:color="auto" w:val="clear"/>
        </w:rPr>
        <w:t> </w:t>
      </w:r>
      <w:r>
        <w:rPr>
          <w:color w:val="374151"/>
          <w:spacing w:val="-5"/>
          <w:shd w:fill="F7F7F8" w:color="auto" w:val="clear"/>
        </w:rPr>
        <w:t>and</w:t>
      </w:r>
      <w:r>
        <w:rPr>
          <w:color w:val="374151"/>
          <w:spacing w:val="40"/>
          <w:shd w:fill="F7F7F8" w:color="auto" w:val="clear"/>
        </w:rPr>
        <w:t> </w:t>
      </w:r>
    </w:p>
    <w:p>
      <w:pPr>
        <w:pStyle w:val="BodyText"/>
        <w:spacing w:after="4"/>
        <w:ind w:left="280" w:right="581"/>
      </w:pPr>
      <w:r>
        <w:rPr>
          <w:color w:val="374151"/>
          <w:shd w:fill="F7F7F8" w:color="auto" w:val="clear"/>
        </w:rPr>
        <w:t>expressions beyond the heterosexual population. It includes individuals who </w:t>
      </w:r>
      <w:r>
        <w:rPr>
          <w:color w:val="374151"/>
        </w:rPr>
        <w:t> </w:t>
      </w:r>
      <w:r>
        <w:rPr>
          <w:color w:val="374151"/>
          <w:shd w:fill="F7F7F8" w:color="auto" w:val="clear"/>
        </w:rPr>
        <w:t>identify</w:t>
      </w:r>
      <w:r>
        <w:rPr>
          <w:color w:val="374151"/>
          <w:spacing w:val="-5"/>
          <w:shd w:fill="F7F7F8" w:color="auto" w:val="clear"/>
        </w:rPr>
        <w:t> </w:t>
      </w:r>
      <w:r>
        <w:rPr>
          <w:color w:val="374151"/>
          <w:shd w:fill="F7F7F8" w:color="auto" w:val="clear"/>
        </w:rPr>
        <w:t>as</w:t>
      </w:r>
      <w:r>
        <w:rPr>
          <w:color w:val="374151"/>
          <w:spacing w:val="-5"/>
          <w:shd w:fill="F7F7F8" w:color="auto" w:val="clear"/>
        </w:rPr>
        <w:t> </w:t>
      </w:r>
      <w:r>
        <w:rPr>
          <w:color w:val="374151"/>
          <w:shd w:fill="F7F7F8" w:color="auto" w:val="clear"/>
        </w:rPr>
        <w:t>lesbian,</w:t>
      </w:r>
      <w:r>
        <w:rPr>
          <w:color w:val="374151"/>
          <w:spacing w:val="-5"/>
          <w:shd w:fill="F7F7F8" w:color="auto" w:val="clear"/>
        </w:rPr>
        <w:t> </w:t>
      </w:r>
      <w:r>
        <w:rPr>
          <w:color w:val="374151"/>
          <w:shd w:fill="F7F7F8" w:color="auto" w:val="clear"/>
        </w:rPr>
        <w:t>gay,</w:t>
      </w:r>
      <w:r>
        <w:rPr>
          <w:color w:val="374151"/>
          <w:spacing w:val="-5"/>
          <w:shd w:fill="F7F7F8" w:color="auto" w:val="clear"/>
        </w:rPr>
        <w:t> </w:t>
      </w:r>
      <w:r>
        <w:rPr>
          <w:color w:val="374151"/>
          <w:shd w:fill="F7F7F8" w:color="auto" w:val="clear"/>
        </w:rPr>
        <w:t>bisexual,</w:t>
      </w:r>
      <w:r>
        <w:rPr>
          <w:color w:val="374151"/>
          <w:spacing w:val="-5"/>
          <w:shd w:fill="F7F7F8" w:color="auto" w:val="clear"/>
        </w:rPr>
        <w:t> </w:t>
      </w:r>
      <w:r>
        <w:rPr>
          <w:color w:val="374151"/>
          <w:shd w:fill="F7F7F8" w:color="auto" w:val="clear"/>
        </w:rPr>
        <w:t>pansexual,</w:t>
      </w:r>
      <w:r>
        <w:rPr>
          <w:color w:val="374151"/>
          <w:spacing w:val="-5"/>
          <w:shd w:fill="F7F7F8" w:color="auto" w:val="clear"/>
        </w:rPr>
        <w:t> </w:t>
      </w:r>
      <w:r>
        <w:rPr>
          <w:color w:val="374151"/>
          <w:shd w:fill="F7F7F8" w:color="auto" w:val="clear"/>
        </w:rPr>
        <w:t>queer,</w:t>
      </w:r>
      <w:r>
        <w:rPr>
          <w:color w:val="374151"/>
          <w:spacing w:val="-5"/>
          <w:shd w:fill="F7F7F8" w:color="auto" w:val="clear"/>
        </w:rPr>
        <w:t> </w:t>
      </w:r>
      <w:r>
        <w:rPr>
          <w:color w:val="374151"/>
          <w:shd w:fill="F7F7F8" w:color="auto" w:val="clear"/>
        </w:rPr>
        <w:t>asexual,</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various</w:t>
      </w:r>
      <w:r>
        <w:rPr>
          <w:color w:val="374151"/>
          <w:spacing w:val="-5"/>
          <w:shd w:fill="F7F7F8" w:color="auto" w:val="clear"/>
        </w:rPr>
        <w:t> </w:t>
      </w:r>
      <w:r>
        <w:rPr>
          <w:color w:val="374151"/>
          <w:shd w:fill="F7F7F8" w:color="auto" w:val="clear"/>
        </w:rPr>
        <w:t>other</w:t>
      </w:r>
      <w:r>
        <w:rPr>
          <w:color w:val="374151"/>
          <w:spacing w:val="-6"/>
          <w:shd w:fill="F7F7F8" w:color="auto" w:val="clear"/>
        </w:rPr>
        <w:t> </w:t>
      </w:r>
      <w:r>
        <w:rPr>
          <w:color w:val="374151"/>
          <w:spacing w:val="-6"/>
        </w:rPr>
        <w:t> </w:t>
      </w:r>
      <w:r>
        <w:rPr>
          <w:color w:val="374151"/>
          <w:shd w:fill="F7F7F8" w:color="auto" w:val="clear"/>
        </w:rPr>
        <w:t>non-binary</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gender-fluid</w:t>
      </w:r>
      <w:r>
        <w:rPr>
          <w:color w:val="374151"/>
          <w:spacing w:val="-5"/>
          <w:shd w:fill="F7F7F8" w:color="auto" w:val="clear"/>
        </w:rPr>
        <w:t> </w:t>
      </w:r>
      <w:r>
        <w:rPr>
          <w:color w:val="374151"/>
          <w:shd w:fill="F7F7F8" w:color="auto" w:val="clear"/>
        </w:rPr>
        <w:t>identities.</w:t>
      </w:r>
      <w:r>
        <w:rPr>
          <w:color w:val="374151"/>
          <w:spacing w:val="-5"/>
          <w:shd w:fill="F7F7F8" w:color="auto" w:val="clear"/>
        </w:rPr>
        <w:t> </w:t>
      </w:r>
      <w:r>
        <w:rPr>
          <w:color w:val="374151"/>
          <w:shd w:fill="F7F7F8" w:color="auto" w:val="clear"/>
        </w:rPr>
        <w:t>Understanding</w:t>
      </w:r>
      <w:r>
        <w:rPr>
          <w:color w:val="374151"/>
          <w:spacing w:val="-5"/>
          <w:shd w:fill="F7F7F8" w:color="auto" w:val="clear"/>
        </w:rPr>
        <w:t> </w:t>
      </w:r>
      <w:r>
        <w:rPr>
          <w:color w:val="374151"/>
          <w:shd w:fill="F7F7F8" w:color="auto" w:val="clear"/>
        </w:rPr>
        <w:t>the</w:t>
      </w:r>
      <w:r>
        <w:rPr>
          <w:color w:val="374151"/>
          <w:spacing w:val="-6"/>
          <w:shd w:fill="F7F7F8" w:color="auto" w:val="clear"/>
        </w:rPr>
        <w:t> </w:t>
      </w:r>
      <w:r>
        <w:rPr>
          <w:color w:val="374151"/>
          <w:shd w:fill="F7F7F8" w:color="auto" w:val="clear"/>
        </w:rPr>
        <w:t>nuances</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unique</w:t>
      </w:r>
      <w:r>
        <w:rPr>
          <w:color w:val="374151"/>
          <w:spacing w:val="-6"/>
          <w:shd w:fill="F7F7F8" w:color="auto" w:val="clear"/>
        </w:rPr>
        <w:t> </w:t>
      </w:r>
      <w:r>
        <w:rPr>
          <w:color w:val="374151"/>
          <w:spacing w:val="-6"/>
        </w:rPr>
        <w:t> </w:t>
      </w:r>
      <w:r>
        <w:rPr>
          <w:color w:val="374151"/>
          <w:shd w:fill="F7F7F8" w:color="auto" w:val="clear"/>
        </w:rPr>
        <w:t>challenges faced by each group is vital to providing appropriate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563745" cy="787400"/>
                <wp:effectExtent l="0" t="0" r="0" b="3175"/>
                <wp:docPr id="44" name="Group 44"/>
                <wp:cNvGraphicFramePr>
                  <a:graphicFrameLocks/>
                </wp:cNvGraphicFramePr>
                <a:graphic>
                  <a:graphicData uri="http://schemas.microsoft.com/office/word/2010/wordprocessingGroup">
                    <wpg:wgp>
                      <wpg:cNvPr id="44" name="Group 44"/>
                      <wpg:cNvGrpSpPr/>
                      <wpg:grpSpPr>
                        <a:xfrm>
                          <a:off x="0" y="0"/>
                          <a:ext cx="4563745" cy="787400"/>
                          <a:chExt cx="4563745" cy="787400"/>
                        </a:xfrm>
                      </wpg:grpSpPr>
                      <wps:wsp>
                        <wps:cNvPr id="45" name="Textbox 45"/>
                        <wps:cNvSpPr txBox="1"/>
                        <wps:spPr>
                          <a:xfrm>
                            <a:off x="0" y="393700"/>
                            <a:ext cx="456374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Recognizing</w:t>
                              </w:r>
                              <w:r>
                                <w:rPr>
                                  <w:b/>
                                  <w:color w:val="374151"/>
                                  <w:spacing w:val="-2"/>
                                  <w:sz w:val="28"/>
                                </w:rPr>
                                <w:t> </w:t>
                              </w:r>
                              <w:r>
                                <w:rPr>
                                  <w:b/>
                                  <w:color w:val="374151"/>
                                  <w:sz w:val="28"/>
                                </w:rPr>
                                <w:t>the</w:t>
                              </w:r>
                              <w:r>
                                <w:rPr>
                                  <w:b/>
                                  <w:color w:val="374151"/>
                                  <w:spacing w:val="-3"/>
                                  <w:sz w:val="28"/>
                                </w:rPr>
                                <w:t> </w:t>
                              </w:r>
                              <w:r>
                                <w:rPr>
                                  <w:b/>
                                  <w:color w:val="374151"/>
                                  <w:sz w:val="28"/>
                                </w:rPr>
                                <w:t>Impact</w:t>
                              </w:r>
                              <w:r>
                                <w:rPr>
                                  <w:b/>
                                  <w:color w:val="374151"/>
                                  <w:spacing w:val="-2"/>
                                  <w:sz w:val="28"/>
                                </w:rPr>
                                <w:t> </w:t>
                              </w:r>
                              <w:r>
                                <w:rPr>
                                  <w:b/>
                                  <w:color w:val="374151"/>
                                  <w:sz w:val="28"/>
                                </w:rPr>
                                <w:t>of</w:t>
                              </w:r>
                              <w:r>
                                <w:rPr>
                                  <w:b/>
                                  <w:color w:val="374151"/>
                                  <w:spacing w:val="-1"/>
                                  <w:sz w:val="28"/>
                                </w:rPr>
                                <w:t> </w:t>
                              </w:r>
                              <w:r>
                                <w:rPr>
                                  <w:b/>
                                  <w:color w:val="374151"/>
                                  <w:sz w:val="28"/>
                                </w:rPr>
                                <w:t>Sexual</w:t>
                              </w:r>
                              <w:r>
                                <w:rPr>
                                  <w:b/>
                                  <w:color w:val="374151"/>
                                  <w:spacing w:val="-2"/>
                                  <w:sz w:val="28"/>
                                </w:rPr>
                                <w:t> </w:t>
                              </w:r>
                              <w:r>
                                <w:rPr>
                                  <w:b/>
                                  <w:color w:val="374151"/>
                                  <w:sz w:val="28"/>
                                </w:rPr>
                                <w:t>Identity</w:t>
                              </w:r>
                              <w:r>
                                <w:rPr>
                                  <w:b/>
                                  <w:color w:val="374151"/>
                                  <w:spacing w:val="-2"/>
                                  <w:sz w:val="28"/>
                                </w:rPr>
                                <w:t> </w:t>
                              </w:r>
                              <w:r>
                                <w:rPr>
                                  <w:b/>
                                  <w:color w:val="374151"/>
                                  <w:sz w:val="28"/>
                                </w:rPr>
                                <w:t>on</w:t>
                              </w:r>
                              <w:r>
                                <w:rPr>
                                  <w:b/>
                                  <w:color w:val="374151"/>
                                  <w:spacing w:val="-2"/>
                                  <w:sz w:val="28"/>
                                </w:rPr>
                                <w:t> </w:t>
                              </w:r>
                              <w:r>
                                <w:rPr>
                                  <w:b/>
                                  <w:color w:val="374151"/>
                                  <w:sz w:val="28"/>
                                </w:rPr>
                                <w:t>Mental</w:t>
                              </w:r>
                              <w:r>
                                <w:rPr>
                                  <w:b/>
                                  <w:color w:val="374151"/>
                                  <w:spacing w:val="-1"/>
                                  <w:sz w:val="28"/>
                                </w:rPr>
                                <w:t> </w:t>
                              </w:r>
                              <w:r>
                                <w:rPr>
                                  <w:b/>
                                  <w:color w:val="374151"/>
                                  <w:spacing w:val="-2"/>
                                  <w:sz w:val="28"/>
                                </w:rPr>
                                <w:t>Health</w:t>
                              </w:r>
                            </w:p>
                          </w:txbxContent>
                        </wps:txbx>
                        <wps:bodyPr wrap="square" lIns="0" tIns="0" rIns="0" bIns="0" rtlCol="0">
                          <a:noAutofit/>
                        </wps:bodyPr>
                      </wps:wsp>
                      <wps:wsp>
                        <wps:cNvPr id="46" name="Textbox 46"/>
                        <wps:cNvSpPr txBox="1"/>
                        <wps:spPr>
                          <a:xfrm>
                            <a:off x="0" y="0"/>
                            <a:ext cx="143192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compassionate</w:t>
                              </w:r>
                              <w:r>
                                <w:rPr>
                                  <w:color w:val="374151"/>
                                  <w:spacing w:val="-4"/>
                                  <w:sz w:val="28"/>
                                </w:rPr>
                                <w:t> </w:t>
                              </w:r>
                              <w:r>
                                <w:rPr>
                                  <w:color w:val="374151"/>
                                  <w:spacing w:val="-2"/>
                                  <w:sz w:val="28"/>
                                </w:rPr>
                                <w:t>care.</w:t>
                              </w:r>
                            </w:p>
                          </w:txbxContent>
                        </wps:txbx>
                        <wps:bodyPr wrap="square" lIns="0" tIns="0" rIns="0" bIns="0" rtlCol="0">
                          <a:noAutofit/>
                        </wps:bodyPr>
                      </wps:wsp>
                    </wpg:wgp>
                  </a:graphicData>
                </a:graphic>
              </wp:inline>
            </w:drawing>
          </mc:Choice>
          <mc:Fallback>
            <w:pict>
              <v:group style="width:359.35pt;height:62pt;mso-position-horizontal-relative:char;mso-position-vertical-relative:line" id="docshapegroup43" coordorigin="0,0" coordsize="7187,1240">
                <v:shape style="position:absolute;left:0;top:620;width:7187;height:620" type="#_x0000_t202" id="docshape44" filled="true" fillcolor="#f7f7f8" stroked="false">
                  <v:textbox inset="0,0,0,0">
                    <w:txbxContent>
                      <w:p>
                        <w:pPr>
                          <w:spacing w:line="308" w:lineRule="exact" w:before="0"/>
                          <w:ind w:left="0" w:right="0" w:firstLine="0"/>
                          <w:jc w:val="left"/>
                          <w:rPr>
                            <w:b/>
                            <w:color w:val="000000"/>
                            <w:sz w:val="28"/>
                          </w:rPr>
                        </w:pPr>
                        <w:r>
                          <w:rPr>
                            <w:b/>
                            <w:color w:val="374151"/>
                            <w:sz w:val="28"/>
                          </w:rPr>
                          <w:t>Recognizing</w:t>
                        </w:r>
                        <w:r>
                          <w:rPr>
                            <w:b/>
                            <w:color w:val="374151"/>
                            <w:spacing w:val="-2"/>
                            <w:sz w:val="28"/>
                          </w:rPr>
                          <w:t> </w:t>
                        </w:r>
                        <w:r>
                          <w:rPr>
                            <w:b/>
                            <w:color w:val="374151"/>
                            <w:sz w:val="28"/>
                          </w:rPr>
                          <w:t>the</w:t>
                        </w:r>
                        <w:r>
                          <w:rPr>
                            <w:b/>
                            <w:color w:val="374151"/>
                            <w:spacing w:val="-3"/>
                            <w:sz w:val="28"/>
                          </w:rPr>
                          <w:t> </w:t>
                        </w:r>
                        <w:r>
                          <w:rPr>
                            <w:b/>
                            <w:color w:val="374151"/>
                            <w:sz w:val="28"/>
                          </w:rPr>
                          <w:t>Impact</w:t>
                        </w:r>
                        <w:r>
                          <w:rPr>
                            <w:b/>
                            <w:color w:val="374151"/>
                            <w:spacing w:val="-2"/>
                            <w:sz w:val="28"/>
                          </w:rPr>
                          <w:t> </w:t>
                        </w:r>
                        <w:r>
                          <w:rPr>
                            <w:b/>
                            <w:color w:val="374151"/>
                            <w:sz w:val="28"/>
                          </w:rPr>
                          <w:t>of</w:t>
                        </w:r>
                        <w:r>
                          <w:rPr>
                            <w:b/>
                            <w:color w:val="374151"/>
                            <w:spacing w:val="-1"/>
                            <w:sz w:val="28"/>
                          </w:rPr>
                          <w:t> </w:t>
                        </w:r>
                        <w:r>
                          <w:rPr>
                            <w:b/>
                            <w:color w:val="374151"/>
                            <w:sz w:val="28"/>
                          </w:rPr>
                          <w:t>Sexual</w:t>
                        </w:r>
                        <w:r>
                          <w:rPr>
                            <w:b/>
                            <w:color w:val="374151"/>
                            <w:spacing w:val="-2"/>
                            <w:sz w:val="28"/>
                          </w:rPr>
                          <w:t> </w:t>
                        </w:r>
                        <w:r>
                          <w:rPr>
                            <w:b/>
                            <w:color w:val="374151"/>
                            <w:sz w:val="28"/>
                          </w:rPr>
                          <w:t>Identity</w:t>
                        </w:r>
                        <w:r>
                          <w:rPr>
                            <w:b/>
                            <w:color w:val="374151"/>
                            <w:spacing w:val="-2"/>
                            <w:sz w:val="28"/>
                          </w:rPr>
                          <w:t> </w:t>
                        </w:r>
                        <w:r>
                          <w:rPr>
                            <w:b/>
                            <w:color w:val="374151"/>
                            <w:sz w:val="28"/>
                          </w:rPr>
                          <w:t>on</w:t>
                        </w:r>
                        <w:r>
                          <w:rPr>
                            <w:b/>
                            <w:color w:val="374151"/>
                            <w:spacing w:val="-2"/>
                            <w:sz w:val="28"/>
                          </w:rPr>
                          <w:t> </w:t>
                        </w:r>
                        <w:r>
                          <w:rPr>
                            <w:b/>
                            <w:color w:val="374151"/>
                            <w:sz w:val="28"/>
                          </w:rPr>
                          <w:t>Mental</w:t>
                        </w:r>
                        <w:r>
                          <w:rPr>
                            <w:b/>
                            <w:color w:val="374151"/>
                            <w:spacing w:val="-1"/>
                            <w:sz w:val="28"/>
                          </w:rPr>
                          <w:t> </w:t>
                        </w:r>
                        <w:r>
                          <w:rPr>
                            <w:b/>
                            <w:color w:val="374151"/>
                            <w:spacing w:val="-2"/>
                            <w:sz w:val="28"/>
                          </w:rPr>
                          <w:t>Health</w:t>
                        </w:r>
                      </w:p>
                    </w:txbxContent>
                  </v:textbox>
                  <v:fill type="solid"/>
                  <w10:wrap type="none"/>
                </v:shape>
                <v:shape style="position:absolute;left:0;top:0;width:2255;height:620" type="#_x0000_t202" id="docshape45" filled="true" fillcolor="#f7f7f8" stroked="false">
                  <v:textbox inset="0,0,0,0">
                    <w:txbxContent>
                      <w:p>
                        <w:pPr>
                          <w:spacing w:line="308" w:lineRule="exact" w:before="0"/>
                          <w:ind w:left="0" w:right="-15" w:firstLine="0"/>
                          <w:jc w:val="left"/>
                          <w:rPr>
                            <w:color w:val="000000"/>
                            <w:sz w:val="28"/>
                          </w:rPr>
                        </w:pPr>
                        <w:r>
                          <w:rPr>
                            <w:color w:val="374151"/>
                            <w:sz w:val="28"/>
                          </w:rPr>
                          <w:t>compassionate</w:t>
                        </w:r>
                        <w:r>
                          <w:rPr>
                            <w:color w:val="374151"/>
                            <w:spacing w:val="-4"/>
                            <w:sz w:val="28"/>
                          </w:rPr>
                          <w:t> </w:t>
                        </w:r>
                        <w:r>
                          <w:rPr>
                            <w:color w:val="374151"/>
                            <w:spacing w:val="-2"/>
                            <w:sz w:val="28"/>
                          </w:rPr>
                          <w:t>care.</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Sexual</w:t>
      </w:r>
      <w:r>
        <w:rPr>
          <w:color w:val="374151"/>
          <w:spacing w:val="-1"/>
          <w:shd w:fill="F7F7F8" w:color="auto" w:val="clear"/>
        </w:rPr>
        <w:t> </w:t>
      </w:r>
      <w:r>
        <w:rPr>
          <w:color w:val="374151"/>
          <w:shd w:fill="F7F7F8" w:color="auto" w:val="clear"/>
        </w:rPr>
        <w:t>identity</w:t>
      </w:r>
      <w:r>
        <w:rPr>
          <w:color w:val="374151"/>
          <w:spacing w:val="-1"/>
          <w:shd w:fill="F7F7F8" w:color="auto" w:val="clear"/>
        </w:rPr>
        <w:t> </w:t>
      </w:r>
      <w:r>
        <w:rPr>
          <w:color w:val="374151"/>
          <w:shd w:fill="F7F7F8" w:color="auto" w:val="clear"/>
        </w:rPr>
        <w:t>plays</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significant</w:t>
      </w:r>
      <w:r>
        <w:rPr>
          <w:color w:val="374151"/>
          <w:spacing w:val="-1"/>
          <w:shd w:fill="F7F7F8" w:color="auto" w:val="clear"/>
        </w:rPr>
        <w:t> </w:t>
      </w:r>
      <w:r>
        <w:rPr>
          <w:color w:val="374151"/>
          <w:shd w:fill="F7F7F8" w:color="auto" w:val="clear"/>
        </w:rPr>
        <w:t>role</w:t>
      </w:r>
      <w:r>
        <w:rPr>
          <w:color w:val="374151"/>
          <w:spacing w:val="-2"/>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shaping</w:t>
      </w:r>
      <w:r>
        <w:rPr>
          <w:color w:val="374151"/>
          <w:spacing w:val="-1"/>
          <w:shd w:fill="F7F7F8" w:color="auto" w:val="clear"/>
        </w:rPr>
        <w:t> </w:t>
      </w:r>
      <w:r>
        <w:rPr>
          <w:color w:val="374151"/>
          <w:shd w:fill="F7F7F8" w:color="auto" w:val="clear"/>
        </w:rPr>
        <w:t>an</w:t>
      </w:r>
      <w:r>
        <w:rPr>
          <w:color w:val="374151"/>
          <w:spacing w:val="-1"/>
          <w:shd w:fill="F7F7F8" w:color="auto" w:val="clear"/>
        </w:rPr>
        <w:t> </w:t>
      </w:r>
      <w:r>
        <w:rPr>
          <w:color w:val="374151"/>
          <w:shd w:fill="F7F7F8" w:color="auto" w:val="clear"/>
        </w:rPr>
        <w:t>individual's</w:t>
      </w:r>
      <w:r>
        <w:rPr>
          <w:color w:val="374151"/>
          <w:spacing w:val="-1"/>
          <w:shd w:fill="F7F7F8" w:color="auto" w:val="clear"/>
        </w:rPr>
        <w:t> </w:t>
      </w:r>
      <w:r>
        <w:rPr>
          <w:color w:val="374151"/>
          <w:spacing w:val="-2"/>
          <w:shd w:fill="F7F7F8" w:color="auto" w:val="clear"/>
        </w:rPr>
        <w:t>experiences,</w:t>
      </w:r>
      <w:r>
        <w:rPr>
          <w:color w:val="374151"/>
          <w:spacing w:val="40"/>
          <w:shd w:fill="F7F7F8" w:color="auto" w:val="clear"/>
        </w:rPr>
        <w:t> </w:t>
      </w:r>
    </w:p>
    <w:p>
      <w:pPr>
        <w:pStyle w:val="BodyText"/>
        <w:spacing w:after="4"/>
        <w:ind w:left="280" w:right="502"/>
      </w:pPr>
      <w:r>
        <w:rPr>
          <w:color w:val="374151"/>
          <w:shd w:fill="F7F7F8" w:color="auto" w:val="clear"/>
        </w:rPr>
        <w:t>self-esteem, and mental well-being. Many sexual minority individuals face </w:t>
      </w:r>
      <w:r>
        <w:rPr>
          <w:color w:val="374151"/>
        </w:rPr>
        <w:t> </w:t>
      </w:r>
      <w:r>
        <w:rPr>
          <w:color w:val="374151"/>
          <w:shd w:fill="F7F7F8" w:color="auto" w:val="clear"/>
        </w:rPr>
        <w:t>societal discrimination, prejudice, and stigma, which can contribute to higher </w:t>
      </w:r>
      <w:r>
        <w:rPr>
          <w:color w:val="374151"/>
        </w:rPr>
        <w:t> </w:t>
      </w:r>
      <w:r>
        <w:rPr>
          <w:color w:val="374151"/>
          <w:shd w:fill="F7F7F8" w:color="auto" w:val="clear"/>
        </w:rPr>
        <w:t>rates</w:t>
      </w:r>
      <w:r>
        <w:rPr>
          <w:color w:val="374151"/>
          <w:spacing w:val="-5"/>
          <w:shd w:fill="F7F7F8" w:color="auto" w:val="clear"/>
        </w:rPr>
        <w:t> </w:t>
      </w:r>
      <w:r>
        <w:rPr>
          <w:color w:val="374151"/>
          <w:shd w:fill="F7F7F8" w:color="auto" w:val="clear"/>
        </w:rPr>
        <w:t>of</w:t>
      </w:r>
      <w:r>
        <w:rPr>
          <w:color w:val="374151"/>
          <w:spacing w:val="-5"/>
          <w:shd w:fill="F7F7F8" w:color="auto" w:val="clear"/>
        </w:rPr>
        <w:t> </w:t>
      </w:r>
      <w:r>
        <w:rPr>
          <w:color w:val="374151"/>
          <w:shd w:fill="F7F7F8" w:color="auto" w:val="clear"/>
        </w:rPr>
        <w:t>mental</w:t>
      </w:r>
      <w:r>
        <w:rPr>
          <w:color w:val="374151"/>
          <w:spacing w:val="-5"/>
          <w:shd w:fill="F7F7F8" w:color="auto" w:val="clear"/>
        </w:rPr>
        <w:t> </w:t>
      </w:r>
      <w:r>
        <w:rPr>
          <w:color w:val="374151"/>
          <w:shd w:fill="F7F7F8" w:color="auto" w:val="clear"/>
        </w:rPr>
        <w:t>health</w:t>
      </w:r>
      <w:r>
        <w:rPr>
          <w:color w:val="374151"/>
          <w:spacing w:val="-5"/>
          <w:shd w:fill="F7F7F8" w:color="auto" w:val="clear"/>
        </w:rPr>
        <w:t> </w:t>
      </w:r>
      <w:r>
        <w:rPr>
          <w:color w:val="374151"/>
          <w:shd w:fill="F7F7F8" w:color="auto" w:val="clear"/>
        </w:rPr>
        <w:t>issues</w:t>
      </w:r>
      <w:r>
        <w:rPr>
          <w:color w:val="374151"/>
          <w:spacing w:val="-5"/>
          <w:shd w:fill="F7F7F8" w:color="auto" w:val="clear"/>
        </w:rPr>
        <w:t> </w:t>
      </w:r>
      <w:r>
        <w:rPr>
          <w:color w:val="374151"/>
          <w:shd w:fill="F7F7F8" w:color="auto" w:val="clear"/>
        </w:rPr>
        <w:t>such</w:t>
      </w:r>
      <w:r>
        <w:rPr>
          <w:color w:val="374151"/>
          <w:spacing w:val="-5"/>
          <w:shd w:fill="F7F7F8" w:color="auto" w:val="clear"/>
        </w:rPr>
        <w:t> </w:t>
      </w:r>
      <w:r>
        <w:rPr>
          <w:color w:val="374151"/>
          <w:shd w:fill="F7F7F8" w:color="auto" w:val="clear"/>
        </w:rPr>
        <w:t>as</w:t>
      </w:r>
      <w:r>
        <w:rPr>
          <w:color w:val="374151"/>
          <w:spacing w:val="-5"/>
          <w:shd w:fill="F7F7F8" w:color="auto" w:val="clear"/>
        </w:rPr>
        <w:t> </w:t>
      </w:r>
      <w:r>
        <w:rPr>
          <w:color w:val="374151"/>
          <w:shd w:fill="F7F7F8" w:color="auto" w:val="clear"/>
        </w:rPr>
        <w:t>depression,</w:t>
      </w:r>
      <w:r>
        <w:rPr>
          <w:color w:val="374151"/>
          <w:spacing w:val="-5"/>
          <w:shd w:fill="F7F7F8" w:color="auto" w:val="clear"/>
        </w:rPr>
        <w:t> </w:t>
      </w:r>
      <w:r>
        <w:rPr>
          <w:color w:val="374151"/>
          <w:shd w:fill="F7F7F8" w:color="auto" w:val="clear"/>
        </w:rPr>
        <w:t>anxiety,</w:t>
      </w:r>
      <w:r>
        <w:rPr>
          <w:color w:val="374151"/>
          <w:spacing w:val="-5"/>
          <w:shd w:fill="F7F7F8" w:color="auto" w:val="clear"/>
        </w:rPr>
        <w:t> </w:t>
      </w:r>
      <w:r>
        <w:rPr>
          <w:color w:val="374151"/>
          <w:shd w:fill="F7F7F8" w:color="auto" w:val="clear"/>
        </w:rPr>
        <w:t>substance</w:t>
      </w:r>
      <w:r>
        <w:rPr>
          <w:color w:val="374151"/>
          <w:spacing w:val="-6"/>
          <w:shd w:fill="F7F7F8" w:color="auto" w:val="clear"/>
        </w:rPr>
        <w:t> </w:t>
      </w:r>
      <w:r>
        <w:rPr>
          <w:color w:val="374151"/>
          <w:shd w:fill="F7F7F8" w:color="auto" w:val="clear"/>
        </w:rPr>
        <w:t>abuse,</w:t>
      </w:r>
      <w:r>
        <w:rPr>
          <w:color w:val="374151"/>
          <w:spacing w:val="-5"/>
          <w:shd w:fill="F7F7F8" w:color="auto" w:val="clear"/>
        </w:rPr>
        <w:t> </w:t>
      </w:r>
      <w:r>
        <w:rPr>
          <w:color w:val="374151"/>
          <w:shd w:fill="F7F7F8" w:color="auto" w:val="clear"/>
        </w:rPr>
        <w:t>and</w:t>
      </w:r>
      <w:r>
        <w:rPr>
          <w:color w:val="374151"/>
          <w:spacing w:val="-6"/>
          <w:shd w:fill="F7F7F8" w:color="auto" w:val="clear"/>
        </w:rPr>
        <w:t> </w:t>
      </w:r>
      <w:r>
        <w:rPr>
          <w:color w:val="374151"/>
          <w:spacing w:val="-6"/>
        </w:rPr>
        <w:t> </w:t>
      </w:r>
      <w:r>
        <w:rPr>
          <w:color w:val="374151"/>
          <w:shd w:fill="F7F7F8" w:color="auto" w:val="clear"/>
        </w:rPr>
        <w:t>suicidality. Being aware of these challenges can guide mental health</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5471160" cy="787400"/>
                <wp:effectExtent l="0" t="0" r="0" b="3175"/>
                <wp:docPr id="47" name="Group 47"/>
                <wp:cNvGraphicFramePr>
                  <a:graphicFrameLocks/>
                </wp:cNvGraphicFramePr>
                <a:graphic>
                  <a:graphicData uri="http://schemas.microsoft.com/office/word/2010/wordprocessingGroup">
                    <wpg:wgp>
                      <wpg:cNvPr id="47" name="Group 47"/>
                      <wpg:cNvGrpSpPr/>
                      <wpg:grpSpPr>
                        <a:xfrm>
                          <a:off x="0" y="0"/>
                          <a:ext cx="5471160" cy="787400"/>
                          <a:chExt cx="5471160" cy="787400"/>
                        </a:xfrm>
                      </wpg:grpSpPr>
                      <wps:wsp>
                        <wps:cNvPr id="48" name="Textbox 48"/>
                        <wps:cNvSpPr txBox="1"/>
                        <wps:spPr>
                          <a:xfrm>
                            <a:off x="0" y="393700"/>
                            <a:ext cx="253873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Cultivating</w:t>
                              </w:r>
                              <w:r>
                                <w:rPr>
                                  <w:b/>
                                  <w:color w:val="374151"/>
                                  <w:spacing w:val="-1"/>
                                  <w:sz w:val="28"/>
                                </w:rPr>
                                <w:t> </w:t>
                              </w:r>
                              <w:r>
                                <w:rPr>
                                  <w:b/>
                                  <w:color w:val="374151"/>
                                  <w:sz w:val="28"/>
                                </w:rPr>
                                <w:t>Cultural</w:t>
                              </w:r>
                              <w:r>
                                <w:rPr>
                                  <w:b/>
                                  <w:color w:val="374151"/>
                                  <w:spacing w:val="-1"/>
                                  <w:sz w:val="28"/>
                                </w:rPr>
                                <w:t> </w:t>
                              </w:r>
                              <w:r>
                                <w:rPr>
                                  <w:b/>
                                  <w:color w:val="374151"/>
                                  <w:spacing w:val="-2"/>
                                  <w:sz w:val="28"/>
                                </w:rPr>
                                <w:t>Competence</w:t>
                              </w:r>
                            </w:p>
                          </w:txbxContent>
                        </wps:txbx>
                        <wps:bodyPr wrap="square" lIns="0" tIns="0" rIns="0" bIns="0" rtlCol="0">
                          <a:noAutofit/>
                        </wps:bodyPr>
                      </wps:wsp>
                      <wps:wsp>
                        <wps:cNvPr id="49" name="Textbox 49"/>
                        <wps:cNvSpPr txBox="1"/>
                        <wps:spPr>
                          <a:xfrm>
                            <a:off x="0" y="0"/>
                            <a:ext cx="547116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professionals</w:t>
                              </w:r>
                              <w:r>
                                <w:rPr>
                                  <w:color w:val="374151"/>
                                  <w:spacing w:val="-2"/>
                                  <w:sz w:val="28"/>
                                </w:rPr>
                                <w:t> </w:t>
                              </w:r>
                              <w:r>
                                <w:rPr>
                                  <w:color w:val="374151"/>
                                  <w:sz w:val="28"/>
                                </w:rPr>
                                <w:t>in</w:t>
                              </w:r>
                              <w:r>
                                <w:rPr>
                                  <w:color w:val="374151"/>
                                  <w:spacing w:val="-1"/>
                                  <w:sz w:val="28"/>
                                </w:rPr>
                                <w:t> </w:t>
                              </w:r>
                              <w:r>
                                <w:rPr>
                                  <w:color w:val="374151"/>
                                  <w:sz w:val="28"/>
                                </w:rPr>
                                <w:t>tailoring</w:t>
                              </w:r>
                              <w:r>
                                <w:rPr>
                                  <w:color w:val="374151"/>
                                  <w:spacing w:val="-1"/>
                                  <w:sz w:val="28"/>
                                </w:rPr>
                                <w:t> </w:t>
                              </w:r>
                              <w:r>
                                <w:rPr>
                                  <w:color w:val="374151"/>
                                  <w:sz w:val="28"/>
                                </w:rPr>
                                <w:t>interventions</w:t>
                              </w:r>
                              <w:r>
                                <w:rPr>
                                  <w:color w:val="374151"/>
                                  <w:spacing w:val="-2"/>
                                  <w:sz w:val="28"/>
                                </w:rPr>
                                <w:t> </w:t>
                              </w:r>
                              <w:r>
                                <w:rPr>
                                  <w:color w:val="374151"/>
                                  <w:sz w:val="28"/>
                                </w:rPr>
                                <w:t>and</w:t>
                              </w:r>
                              <w:r>
                                <w:rPr>
                                  <w:color w:val="374151"/>
                                  <w:spacing w:val="-1"/>
                                  <w:sz w:val="28"/>
                                </w:rPr>
                                <w:t> </w:t>
                              </w:r>
                              <w:r>
                                <w:rPr>
                                  <w:color w:val="374151"/>
                                  <w:sz w:val="28"/>
                                </w:rPr>
                                <w:t>support</w:t>
                              </w:r>
                              <w:r>
                                <w:rPr>
                                  <w:color w:val="374151"/>
                                  <w:spacing w:val="-2"/>
                                  <w:sz w:val="28"/>
                                </w:rPr>
                                <w:t> </w:t>
                              </w:r>
                              <w:r>
                                <w:rPr>
                                  <w:color w:val="374151"/>
                                  <w:sz w:val="28"/>
                                </w:rPr>
                                <w:t>to</w:t>
                              </w:r>
                              <w:r>
                                <w:rPr>
                                  <w:color w:val="374151"/>
                                  <w:spacing w:val="-1"/>
                                  <w:sz w:val="28"/>
                                </w:rPr>
                                <w:t> </w:t>
                              </w:r>
                              <w:r>
                                <w:rPr>
                                  <w:color w:val="374151"/>
                                  <w:sz w:val="28"/>
                                </w:rPr>
                                <w:t>address</w:t>
                              </w:r>
                              <w:r>
                                <w:rPr>
                                  <w:color w:val="374151"/>
                                  <w:spacing w:val="-1"/>
                                  <w:sz w:val="28"/>
                                </w:rPr>
                                <w:t> </w:t>
                              </w:r>
                              <w:r>
                                <w:rPr>
                                  <w:color w:val="374151"/>
                                  <w:sz w:val="28"/>
                                </w:rPr>
                                <w:t>specific</w:t>
                              </w:r>
                              <w:r>
                                <w:rPr>
                                  <w:color w:val="374151"/>
                                  <w:spacing w:val="-2"/>
                                  <w:sz w:val="28"/>
                                </w:rPr>
                                <w:t> needs.</w:t>
                              </w:r>
                            </w:p>
                          </w:txbxContent>
                        </wps:txbx>
                        <wps:bodyPr wrap="square" lIns="0" tIns="0" rIns="0" bIns="0" rtlCol="0">
                          <a:noAutofit/>
                        </wps:bodyPr>
                      </wps:wsp>
                    </wpg:wgp>
                  </a:graphicData>
                </a:graphic>
              </wp:inline>
            </w:drawing>
          </mc:Choice>
          <mc:Fallback>
            <w:pict>
              <v:group style="width:430.8pt;height:62pt;mso-position-horizontal-relative:char;mso-position-vertical-relative:line" id="docshapegroup46" coordorigin="0,0" coordsize="8616,1240">
                <v:shape style="position:absolute;left:0;top:620;width:3998;height:620" type="#_x0000_t202" id="docshape47" filled="true" fillcolor="#f7f7f8" stroked="false">
                  <v:textbox inset="0,0,0,0">
                    <w:txbxContent>
                      <w:p>
                        <w:pPr>
                          <w:spacing w:line="308" w:lineRule="exact" w:before="0"/>
                          <w:ind w:left="0" w:right="-15" w:firstLine="0"/>
                          <w:jc w:val="left"/>
                          <w:rPr>
                            <w:b/>
                            <w:color w:val="000000"/>
                            <w:sz w:val="28"/>
                          </w:rPr>
                        </w:pPr>
                        <w:r>
                          <w:rPr>
                            <w:b/>
                            <w:color w:val="374151"/>
                            <w:sz w:val="28"/>
                          </w:rPr>
                          <w:t>Cultivating</w:t>
                        </w:r>
                        <w:r>
                          <w:rPr>
                            <w:b/>
                            <w:color w:val="374151"/>
                            <w:spacing w:val="-1"/>
                            <w:sz w:val="28"/>
                          </w:rPr>
                          <w:t> </w:t>
                        </w:r>
                        <w:r>
                          <w:rPr>
                            <w:b/>
                            <w:color w:val="374151"/>
                            <w:sz w:val="28"/>
                          </w:rPr>
                          <w:t>Cultural</w:t>
                        </w:r>
                        <w:r>
                          <w:rPr>
                            <w:b/>
                            <w:color w:val="374151"/>
                            <w:spacing w:val="-1"/>
                            <w:sz w:val="28"/>
                          </w:rPr>
                          <w:t> </w:t>
                        </w:r>
                        <w:r>
                          <w:rPr>
                            <w:b/>
                            <w:color w:val="374151"/>
                            <w:spacing w:val="-2"/>
                            <w:sz w:val="28"/>
                          </w:rPr>
                          <w:t>Competence</w:t>
                        </w:r>
                      </w:p>
                    </w:txbxContent>
                  </v:textbox>
                  <v:fill type="solid"/>
                  <w10:wrap type="none"/>
                </v:shape>
                <v:shape style="position:absolute;left:0;top:0;width:8616;height:620" type="#_x0000_t202" id="docshape48" filled="true" fillcolor="#f7f7f8" stroked="false">
                  <v:textbox inset="0,0,0,0">
                    <w:txbxContent>
                      <w:p>
                        <w:pPr>
                          <w:spacing w:line="308" w:lineRule="exact" w:before="0"/>
                          <w:ind w:left="0" w:right="-15" w:firstLine="0"/>
                          <w:jc w:val="left"/>
                          <w:rPr>
                            <w:color w:val="000000"/>
                            <w:sz w:val="28"/>
                          </w:rPr>
                        </w:pPr>
                        <w:r>
                          <w:rPr>
                            <w:color w:val="374151"/>
                            <w:sz w:val="28"/>
                          </w:rPr>
                          <w:t>professionals</w:t>
                        </w:r>
                        <w:r>
                          <w:rPr>
                            <w:color w:val="374151"/>
                            <w:spacing w:val="-2"/>
                            <w:sz w:val="28"/>
                          </w:rPr>
                          <w:t> </w:t>
                        </w:r>
                        <w:r>
                          <w:rPr>
                            <w:color w:val="374151"/>
                            <w:sz w:val="28"/>
                          </w:rPr>
                          <w:t>in</w:t>
                        </w:r>
                        <w:r>
                          <w:rPr>
                            <w:color w:val="374151"/>
                            <w:spacing w:val="-1"/>
                            <w:sz w:val="28"/>
                          </w:rPr>
                          <w:t> </w:t>
                        </w:r>
                        <w:r>
                          <w:rPr>
                            <w:color w:val="374151"/>
                            <w:sz w:val="28"/>
                          </w:rPr>
                          <w:t>tailoring</w:t>
                        </w:r>
                        <w:r>
                          <w:rPr>
                            <w:color w:val="374151"/>
                            <w:spacing w:val="-1"/>
                            <w:sz w:val="28"/>
                          </w:rPr>
                          <w:t> </w:t>
                        </w:r>
                        <w:r>
                          <w:rPr>
                            <w:color w:val="374151"/>
                            <w:sz w:val="28"/>
                          </w:rPr>
                          <w:t>interventions</w:t>
                        </w:r>
                        <w:r>
                          <w:rPr>
                            <w:color w:val="374151"/>
                            <w:spacing w:val="-2"/>
                            <w:sz w:val="28"/>
                          </w:rPr>
                          <w:t> </w:t>
                        </w:r>
                        <w:r>
                          <w:rPr>
                            <w:color w:val="374151"/>
                            <w:sz w:val="28"/>
                          </w:rPr>
                          <w:t>and</w:t>
                        </w:r>
                        <w:r>
                          <w:rPr>
                            <w:color w:val="374151"/>
                            <w:spacing w:val="-1"/>
                            <w:sz w:val="28"/>
                          </w:rPr>
                          <w:t> </w:t>
                        </w:r>
                        <w:r>
                          <w:rPr>
                            <w:color w:val="374151"/>
                            <w:sz w:val="28"/>
                          </w:rPr>
                          <w:t>support</w:t>
                        </w:r>
                        <w:r>
                          <w:rPr>
                            <w:color w:val="374151"/>
                            <w:spacing w:val="-2"/>
                            <w:sz w:val="28"/>
                          </w:rPr>
                          <w:t> </w:t>
                        </w:r>
                        <w:r>
                          <w:rPr>
                            <w:color w:val="374151"/>
                            <w:sz w:val="28"/>
                          </w:rPr>
                          <w:t>to</w:t>
                        </w:r>
                        <w:r>
                          <w:rPr>
                            <w:color w:val="374151"/>
                            <w:spacing w:val="-1"/>
                            <w:sz w:val="28"/>
                          </w:rPr>
                          <w:t> </w:t>
                        </w:r>
                        <w:r>
                          <w:rPr>
                            <w:color w:val="374151"/>
                            <w:sz w:val="28"/>
                          </w:rPr>
                          <w:t>address</w:t>
                        </w:r>
                        <w:r>
                          <w:rPr>
                            <w:color w:val="374151"/>
                            <w:spacing w:val="-1"/>
                            <w:sz w:val="28"/>
                          </w:rPr>
                          <w:t> </w:t>
                        </w:r>
                        <w:r>
                          <w:rPr>
                            <w:color w:val="374151"/>
                            <w:sz w:val="28"/>
                          </w:rPr>
                          <w:t>specific</w:t>
                        </w:r>
                        <w:r>
                          <w:rPr>
                            <w:color w:val="374151"/>
                            <w:spacing w:val="-2"/>
                            <w:sz w:val="28"/>
                          </w:rPr>
                          <w:t> needs.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Cultivating</w:t>
      </w:r>
      <w:r>
        <w:rPr>
          <w:color w:val="374151"/>
          <w:spacing w:val="-4"/>
          <w:shd w:fill="F7F7F8" w:color="auto" w:val="clear"/>
        </w:rPr>
        <w:t> </w:t>
      </w:r>
      <w:r>
        <w:rPr>
          <w:color w:val="374151"/>
          <w:shd w:fill="F7F7F8" w:color="auto" w:val="clear"/>
        </w:rPr>
        <w:t>cultural</w:t>
      </w:r>
      <w:r>
        <w:rPr>
          <w:color w:val="374151"/>
          <w:spacing w:val="-1"/>
          <w:shd w:fill="F7F7F8" w:color="auto" w:val="clear"/>
        </w:rPr>
        <w:t> </w:t>
      </w:r>
      <w:r>
        <w:rPr>
          <w:color w:val="374151"/>
          <w:shd w:fill="F7F7F8" w:color="auto" w:val="clear"/>
        </w:rPr>
        <w:t>competence</w:t>
      </w:r>
      <w:r>
        <w:rPr>
          <w:color w:val="374151"/>
          <w:spacing w:val="-3"/>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realm</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sexual</w:t>
      </w:r>
      <w:r>
        <w:rPr>
          <w:color w:val="374151"/>
          <w:spacing w:val="-1"/>
          <w:shd w:fill="F7F7F8" w:color="auto" w:val="clear"/>
        </w:rPr>
        <w:t> </w:t>
      </w:r>
      <w:r>
        <w:rPr>
          <w:color w:val="374151"/>
          <w:shd w:fill="F7F7F8" w:color="auto" w:val="clear"/>
        </w:rPr>
        <w:t>diversity</w:t>
      </w:r>
      <w:r>
        <w:rPr>
          <w:color w:val="374151"/>
          <w:spacing w:val="-2"/>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essential</w:t>
      </w:r>
      <w:r>
        <w:rPr>
          <w:color w:val="374151"/>
          <w:spacing w:val="-1"/>
          <w:shd w:fill="F7F7F8" w:color="auto" w:val="clear"/>
        </w:rPr>
        <w:t> </w:t>
      </w:r>
      <w:r>
        <w:rPr>
          <w:color w:val="374151"/>
          <w:spacing w:val="-5"/>
          <w:shd w:fill="F7F7F8" w:color="auto" w:val="clear"/>
        </w:rPr>
        <w:t>for</w:t>
      </w:r>
      <w:r>
        <w:rPr>
          <w:color w:val="374151"/>
          <w:spacing w:val="40"/>
          <w:shd w:fill="F7F7F8" w:color="auto" w:val="clear"/>
        </w:rPr>
        <w:t> </w:t>
      </w:r>
    </w:p>
    <w:p>
      <w:pPr>
        <w:pStyle w:val="BodyText"/>
        <w:ind w:left="280" w:right="502"/>
      </w:pPr>
      <w:r>
        <w:rPr>
          <w:color w:val="374151"/>
          <w:shd w:fill="F7F7F8" w:color="auto" w:val="clear"/>
        </w:rPr>
        <w:t>mental health practitioners. This involves developing an understanding of </w:t>
      </w:r>
      <w:r>
        <w:rPr>
          <w:color w:val="374151"/>
        </w:rPr>
        <w:t> </w:t>
      </w:r>
      <w:r>
        <w:rPr>
          <w:color w:val="374151"/>
          <w:shd w:fill="F7F7F8" w:color="auto" w:val="clear"/>
        </w:rPr>
        <w:t>different</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identities,</w:t>
      </w:r>
      <w:r>
        <w:rPr>
          <w:color w:val="374151"/>
          <w:spacing w:val="-4"/>
          <w:shd w:fill="F7F7F8" w:color="auto" w:val="clear"/>
        </w:rPr>
        <w:t> </w:t>
      </w:r>
      <w:r>
        <w:rPr>
          <w:color w:val="374151"/>
          <w:shd w:fill="F7F7F8" w:color="auto" w:val="clear"/>
        </w:rPr>
        <w:t>their</w:t>
      </w:r>
      <w:r>
        <w:rPr>
          <w:color w:val="374151"/>
          <w:spacing w:val="-4"/>
          <w:shd w:fill="F7F7F8" w:color="auto" w:val="clear"/>
        </w:rPr>
        <w:t> </w:t>
      </w:r>
      <w:r>
        <w:rPr>
          <w:color w:val="374151"/>
          <w:shd w:fill="F7F7F8" w:color="auto" w:val="clear"/>
        </w:rPr>
        <w:t>histories,</w:t>
      </w:r>
      <w:r>
        <w:rPr>
          <w:color w:val="374151"/>
          <w:spacing w:val="-4"/>
          <w:shd w:fill="F7F7F8" w:color="auto" w:val="clear"/>
        </w:rPr>
        <w:t> </w:t>
      </w:r>
      <w:r>
        <w:rPr>
          <w:color w:val="374151"/>
          <w:shd w:fill="F7F7F8" w:color="auto" w:val="clear"/>
        </w:rPr>
        <w:t>unique</w:t>
      </w:r>
      <w:r>
        <w:rPr>
          <w:color w:val="374151"/>
          <w:spacing w:val="-5"/>
          <w:shd w:fill="F7F7F8" w:color="auto" w:val="clear"/>
        </w:rPr>
        <w:t> </w:t>
      </w:r>
      <w:r>
        <w:rPr>
          <w:color w:val="374151"/>
          <w:shd w:fill="F7F7F8" w:color="auto" w:val="clear"/>
        </w:rPr>
        <w:t>challenges,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impact</w:t>
      </w:r>
      <w:r>
        <w:rPr>
          <w:color w:val="374151"/>
          <w:spacing w:val="-4"/>
          <w:shd w:fill="F7F7F8" w:color="auto" w:val="clear"/>
        </w:rPr>
        <w:t> </w:t>
      </w:r>
      <w:r>
        <w:rPr>
          <w:color w:val="374151"/>
          <w:shd w:fill="F7F7F8" w:color="auto" w:val="clear"/>
        </w:rPr>
        <w:t>of</w:t>
      </w:r>
      <w:r>
        <w:rPr>
          <w:color w:val="374151"/>
          <w:spacing w:val="-5"/>
          <w:shd w:fill="F7F7F8" w:color="auto" w:val="clear"/>
        </w:rPr>
        <w:t> </w:t>
      </w:r>
      <w:r>
        <w:rPr>
          <w:color w:val="374151"/>
          <w:spacing w:val="-5"/>
        </w:rPr>
        <w:t> </w:t>
      </w:r>
      <w:r>
        <w:rPr>
          <w:color w:val="374151"/>
          <w:shd w:fill="F7F7F8" w:color="auto" w:val="clear"/>
        </w:rPr>
        <w:t>intersecting identities (e.g., race, ethnicity, gender, and socioeconomic status) </w:t>
      </w:r>
      <w:r>
        <w:rPr>
          <w:color w:val="374151"/>
        </w:rPr>
        <w:t> </w:t>
      </w:r>
      <w:r>
        <w:rPr>
          <w:color w:val="374151"/>
          <w:shd w:fill="F7F7F8" w:color="auto" w:val="clear"/>
        </w:rPr>
        <w:t>on an individual's experiences. Continuous education, attending workshops,</w:t>
      </w:r>
      <w:r>
        <w:rPr>
          <w:color w:val="374151"/>
          <w:spacing w:val="40"/>
          <w:shd w:fill="F7F7F8" w:color="auto" w:val="clear"/>
        </w:rPr>
        <w:t> </w:t>
      </w:r>
    </w:p>
    <w:p>
      <w:pPr>
        <w:spacing w:after="0"/>
        <w:sectPr>
          <w:pgSz w:w="12240" w:h="15840"/>
          <w:pgMar w:header="0" w:footer="765" w:top="126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598592">
                <wp:simplePos x="0" y="0"/>
                <wp:positionH relativeFrom="page">
                  <wp:posOffset>1066800</wp:posOffset>
                </wp:positionH>
                <wp:positionV relativeFrom="paragraph">
                  <wp:posOffset>251357</wp:posOffset>
                </wp:positionV>
                <wp:extent cx="4688205" cy="78740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4688205" cy="787400"/>
                          <a:chExt cx="4688205" cy="787400"/>
                        </a:xfrm>
                      </wpg:grpSpPr>
                      <wps:wsp>
                        <wps:cNvPr id="51" name="Textbox 51"/>
                        <wps:cNvSpPr txBox="1"/>
                        <wps:spPr>
                          <a:xfrm>
                            <a:off x="0" y="393700"/>
                            <a:ext cx="4148454"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Supporting</w:t>
                              </w:r>
                              <w:r>
                                <w:rPr>
                                  <w:b/>
                                  <w:color w:val="374151"/>
                                  <w:spacing w:val="-4"/>
                                  <w:sz w:val="28"/>
                                </w:rPr>
                                <w:t> </w:t>
                              </w:r>
                              <w:r>
                                <w:rPr>
                                  <w:b/>
                                  <w:color w:val="374151"/>
                                  <w:sz w:val="28"/>
                                </w:rPr>
                                <w:t>Sexual</w:t>
                              </w:r>
                              <w:r>
                                <w:rPr>
                                  <w:b/>
                                  <w:color w:val="374151"/>
                                  <w:spacing w:val="-1"/>
                                  <w:sz w:val="28"/>
                                </w:rPr>
                                <w:t> </w:t>
                              </w:r>
                              <w:r>
                                <w:rPr>
                                  <w:b/>
                                  <w:color w:val="374151"/>
                                  <w:sz w:val="28"/>
                                </w:rPr>
                                <w:t>Diversity</w:t>
                              </w:r>
                              <w:r>
                                <w:rPr>
                                  <w:b/>
                                  <w:color w:val="374151"/>
                                  <w:spacing w:val="-2"/>
                                  <w:sz w:val="28"/>
                                </w:rPr>
                                <w:t> </w:t>
                              </w:r>
                              <w:r>
                                <w:rPr>
                                  <w:b/>
                                  <w:color w:val="374151"/>
                                  <w:sz w:val="28"/>
                                </w:rPr>
                                <w:t>in</w:t>
                              </w:r>
                              <w:r>
                                <w:rPr>
                                  <w:b/>
                                  <w:color w:val="374151"/>
                                  <w:spacing w:val="-1"/>
                                  <w:sz w:val="28"/>
                                </w:rPr>
                                <w:t> </w:t>
                              </w:r>
                              <w:r>
                                <w:rPr>
                                  <w:b/>
                                  <w:color w:val="374151"/>
                                  <w:sz w:val="28"/>
                                </w:rPr>
                                <w:t>Mental</w:t>
                              </w:r>
                              <w:r>
                                <w:rPr>
                                  <w:b/>
                                  <w:color w:val="374151"/>
                                  <w:spacing w:val="-2"/>
                                  <w:sz w:val="28"/>
                                </w:rPr>
                                <w:t> </w:t>
                              </w:r>
                              <w:r>
                                <w:rPr>
                                  <w:b/>
                                  <w:color w:val="374151"/>
                                  <w:sz w:val="28"/>
                                </w:rPr>
                                <w:t>Health</w:t>
                              </w:r>
                              <w:r>
                                <w:rPr>
                                  <w:b/>
                                  <w:color w:val="374151"/>
                                  <w:spacing w:val="-1"/>
                                  <w:sz w:val="28"/>
                                </w:rPr>
                                <w:t> </w:t>
                              </w:r>
                              <w:r>
                                <w:rPr>
                                  <w:b/>
                                  <w:color w:val="374151"/>
                                  <w:spacing w:val="-2"/>
                                  <w:sz w:val="28"/>
                                </w:rPr>
                                <w:t>Practice</w:t>
                              </w:r>
                            </w:p>
                          </w:txbxContent>
                        </wps:txbx>
                        <wps:bodyPr wrap="square" lIns="0" tIns="0" rIns="0" bIns="0" rtlCol="0">
                          <a:noAutofit/>
                        </wps:bodyPr>
                      </wps:wsp>
                      <wps:wsp>
                        <wps:cNvPr id="52" name="Textbox 52"/>
                        <wps:cNvSpPr txBox="1"/>
                        <wps:spPr>
                          <a:xfrm>
                            <a:off x="0" y="0"/>
                            <a:ext cx="468820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experienced</w:t>
                              </w:r>
                              <w:r>
                                <w:rPr>
                                  <w:color w:val="374151"/>
                                  <w:spacing w:val="-5"/>
                                  <w:sz w:val="28"/>
                                </w:rPr>
                                <w:t> </w:t>
                              </w:r>
                              <w:r>
                                <w:rPr>
                                  <w:color w:val="374151"/>
                                  <w:sz w:val="28"/>
                                </w:rPr>
                                <w:t>colleagues</w:t>
                              </w:r>
                              <w:r>
                                <w:rPr>
                                  <w:color w:val="374151"/>
                                  <w:spacing w:val="-2"/>
                                  <w:sz w:val="28"/>
                                </w:rPr>
                                <w:t> </w:t>
                              </w:r>
                              <w:r>
                                <w:rPr>
                                  <w:color w:val="374151"/>
                                  <w:sz w:val="28"/>
                                </w:rPr>
                                <w:t>can</w:t>
                              </w:r>
                              <w:r>
                                <w:rPr>
                                  <w:color w:val="374151"/>
                                  <w:spacing w:val="-3"/>
                                  <w:sz w:val="28"/>
                                </w:rPr>
                                <w:t> </w:t>
                              </w:r>
                              <w:r>
                                <w:rPr>
                                  <w:color w:val="374151"/>
                                  <w:sz w:val="28"/>
                                </w:rPr>
                                <w:t>aid</w:t>
                              </w:r>
                              <w:r>
                                <w:rPr>
                                  <w:color w:val="374151"/>
                                  <w:spacing w:val="-2"/>
                                  <w:sz w:val="28"/>
                                </w:rPr>
                                <w:t> </w:t>
                              </w:r>
                              <w:r>
                                <w:rPr>
                                  <w:color w:val="374151"/>
                                  <w:sz w:val="28"/>
                                </w:rPr>
                                <w:t>in</w:t>
                              </w:r>
                              <w:r>
                                <w:rPr>
                                  <w:color w:val="374151"/>
                                  <w:spacing w:val="-3"/>
                                  <w:sz w:val="28"/>
                                </w:rPr>
                                <w:t> </w:t>
                              </w:r>
                              <w:r>
                                <w:rPr>
                                  <w:color w:val="374151"/>
                                  <w:sz w:val="28"/>
                                </w:rPr>
                                <w:t>enhancing</w:t>
                              </w:r>
                              <w:r>
                                <w:rPr>
                                  <w:color w:val="374151"/>
                                  <w:spacing w:val="-2"/>
                                  <w:sz w:val="28"/>
                                </w:rPr>
                                <w:t> </w:t>
                              </w:r>
                              <w:r>
                                <w:rPr>
                                  <w:color w:val="374151"/>
                                  <w:sz w:val="28"/>
                                </w:rPr>
                                <w:t>cultural</w:t>
                              </w:r>
                              <w:r>
                                <w:rPr>
                                  <w:color w:val="374151"/>
                                  <w:spacing w:val="-2"/>
                                  <w:sz w:val="28"/>
                                </w:rPr>
                                <w:t> competency.</w:t>
                              </w:r>
                            </w:p>
                          </w:txbxContent>
                        </wps:txbx>
                        <wps:bodyPr wrap="square" lIns="0" tIns="0" rIns="0" bIns="0" rtlCol="0">
                          <a:noAutofit/>
                        </wps:bodyPr>
                      </wps:wsp>
                    </wpg:wgp>
                  </a:graphicData>
                </a:graphic>
              </wp:anchor>
            </w:drawing>
          </mc:Choice>
          <mc:Fallback>
            <w:pict>
              <v:group style="position:absolute;margin-left:84pt;margin-top:19.791931pt;width:369.15pt;height:62pt;mso-position-horizontal-relative:page;mso-position-vertical-relative:paragraph;z-index:-15717888;mso-wrap-distance-left:0;mso-wrap-distance-right:0" id="docshapegroup49" coordorigin="1680,396" coordsize="7383,1240">
                <v:shape style="position:absolute;left:1680;top:1015;width:6533;height:620" type="#_x0000_t202" id="docshape50" filled="true" fillcolor="#f7f7f8" stroked="false">
                  <v:textbox inset="0,0,0,0">
                    <w:txbxContent>
                      <w:p>
                        <w:pPr>
                          <w:spacing w:line="308" w:lineRule="exact" w:before="0"/>
                          <w:ind w:left="0" w:right="-15" w:firstLine="0"/>
                          <w:jc w:val="left"/>
                          <w:rPr>
                            <w:b/>
                            <w:color w:val="000000"/>
                            <w:sz w:val="28"/>
                          </w:rPr>
                        </w:pPr>
                        <w:r>
                          <w:rPr>
                            <w:b/>
                            <w:color w:val="374151"/>
                            <w:sz w:val="28"/>
                          </w:rPr>
                          <w:t>Supporting</w:t>
                        </w:r>
                        <w:r>
                          <w:rPr>
                            <w:b/>
                            <w:color w:val="374151"/>
                            <w:spacing w:val="-4"/>
                            <w:sz w:val="28"/>
                          </w:rPr>
                          <w:t> </w:t>
                        </w:r>
                        <w:r>
                          <w:rPr>
                            <w:b/>
                            <w:color w:val="374151"/>
                            <w:sz w:val="28"/>
                          </w:rPr>
                          <w:t>Sexual</w:t>
                        </w:r>
                        <w:r>
                          <w:rPr>
                            <w:b/>
                            <w:color w:val="374151"/>
                            <w:spacing w:val="-1"/>
                            <w:sz w:val="28"/>
                          </w:rPr>
                          <w:t> </w:t>
                        </w:r>
                        <w:r>
                          <w:rPr>
                            <w:b/>
                            <w:color w:val="374151"/>
                            <w:sz w:val="28"/>
                          </w:rPr>
                          <w:t>Diversity</w:t>
                        </w:r>
                        <w:r>
                          <w:rPr>
                            <w:b/>
                            <w:color w:val="374151"/>
                            <w:spacing w:val="-2"/>
                            <w:sz w:val="28"/>
                          </w:rPr>
                          <w:t> </w:t>
                        </w:r>
                        <w:r>
                          <w:rPr>
                            <w:b/>
                            <w:color w:val="374151"/>
                            <w:sz w:val="28"/>
                          </w:rPr>
                          <w:t>in</w:t>
                        </w:r>
                        <w:r>
                          <w:rPr>
                            <w:b/>
                            <w:color w:val="374151"/>
                            <w:spacing w:val="-1"/>
                            <w:sz w:val="28"/>
                          </w:rPr>
                          <w:t> </w:t>
                        </w:r>
                        <w:r>
                          <w:rPr>
                            <w:b/>
                            <w:color w:val="374151"/>
                            <w:sz w:val="28"/>
                          </w:rPr>
                          <w:t>Mental</w:t>
                        </w:r>
                        <w:r>
                          <w:rPr>
                            <w:b/>
                            <w:color w:val="374151"/>
                            <w:spacing w:val="-2"/>
                            <w:sz w:val="28"/>
                          </w:rPr>
                          <w:t> </w:t>
                        </w:r>
                        <w:r>
                          <w:rPr>
                            <w:b/>
                            <w:color w:val="374151"/>
                            <w:sz w:val="28"/>
                          </w:rPr>
                          <w:t>Health</w:t>
                        </w:r>
                        <w:r>
                          <w:rPr>
                            <w:b/>
                            <w:color w:val="374151"/>
                            <w:spacing w:val="-1"/>
                            <w:sz w:val="28"/>
                          </w:rPr>
                          <w:t> </w:t>
                        </w:r>
                        <w:r>
                          <w:rPr>
                            <w:b/>
                            <w:color w:val="374151"/>
                            <w:spacing w:val="-2"/>
                            <w:sz w:val="28"/>
                          </w:rPr>
                          <w:t>Practice</w:t>
                        </w:r>
                      </w:p>
                    </w:txbxContent>
                  </v:textbox>
                  <v:fill type="solid"/>
                  <w10:wrap type="none"/>
                </v:shape>
                <v:shape style="position:absolute;left:1680;top:395;width:7383;height:620" type="#_x0000_t202" id="docshape51" filled="true" fillcolor="#f7f7f8" stroked="false">
                  <v:textbox inset="0,0,0,0">
                    <w:txbxContent>
                      <w:p>
                        <w:pPr>
                          <w:spacing w:line="308" w:lineRule="exact" w:before="0"/>
                          <w:ind w:left="0" w:right="-15" w:firstLine="0"/>
                          <w:jc w:val="left"/>
                          <w:rPr>
                            <w:color w:val="000000"/>
                            <w:sz w:val="28"/>
                          </w:rPr>
                        </w:pPr>
                        <w:r>
                          <w:rPr>
                            <w:color w:val="374151"/>
                            <w:sz w:val="28"/>
                          </w:rPr>
                          <w:t>experienced</w:t>
                        </w:r>
                        <w:r>
                          <w:rPr>
                            <w:color w:val="374151"/>
                            <w:spacing w:val="-5"/>
                            <w:sz w:val="28"/>
                          </w:rPr>
                          <w:t> </w:t>
                        </w:r>
                        <w:r>
                          <w:rPr>
                            <w:color w:val="374151"/>
                            <w:sz w:val="28"/>
                          </w:rPr>
                          <w:t>colleagues</w:t>
                        </w:r>
                        <w:r>
                          <w:rPr>
                            <w:color w:val="374151"/>
                            <w:spacing w:val="-2"/>
                            <w:sz w:val="28"/>
                          </w:rPr>
                          <w:t> </w:t>
                        </w:r>
                        <w:r>
                          <w:rPr>
                            <w:color w:val="374151"/>
                            <w:sz w:val="28"/>
                          </w:rPr>
                          <w:t>can</w:t>
                        </w:r>
                        <w:r>
                          <w:rPr>
                            <w:color w:val="374151"/>
                            <w:spacing w:val="-3"/>
                            <w:sz w:val="28"/>
                          </w:rPr>
                          <w:t> </w:t>
                        </w:r>
                        <w:r>
                          <w:rPr>
                            <w:color w:val="374151"/>
                            <w:sz w:val="28"/>
                          </w:rPr>
                          <w:t>aid</w:t>
                        </w:r>
                        <w:r>
                          <w:rPr>
                            <w:color w:val="374151"/>
                            <w:spacing w:val="-2"/>
                            <w:sz w:val="28"/>
                          </w:rPr>
                          <w:t> </w:t>
                        </w:r>
                        <w:r>
                          <w:rPr>
                            <w:color w:val="374151"/>
                            <w:sz w:val="28"/>
                          </w:rPr>
                          <w:t>in</w:t>
                        </w:r>
                        <w:r>
                          <w:rPr>
                            <w:color w:val="374151"/>
                            <w:spacing w:val="-3"/>
                            <w:sz w:val="28"/>
                          </w:rPr>
                          <w:t> </w:t>
                        </w:r>
                        <w:r>
                          <w:rPr>
                            <w:color w:val="374151"/>
                            <w:sz w:val="28"/>
                          </w:rPr>
                          <w:t>enhancing</w:t>
                        </w:r>
                        <w:r>
                          <w:rPr>
                            <w:color w:val="374151"/>
                            <w:spacing w:val="-2"/>
                            <w:sz w:val="28"/>
                          </w:rPr>
                          <w:t> </w:t>
                        </w:r>
                        <w:r>
                          <w:rPr>
                            <w:color w:val="374151"/>
                            <w:sz w:val="28"/>
                          </w:rPr>
                          <w:t>cultural</w:t>
                        </w:r>
                        <w:r>
                          <w:rPr>
                            <w:color w:val="374151"/>
                            <w:spacing w:val="-2"/>
                            <w:sz w:val="28"/>
                          </w:rPr>
                          <w:t> competency.</w:t>
                        </w:r>
                      </w:p>
                    </w:txbxContent>
                  </v:textbox>
                  <v:fill type="solid"/>
                  <w10:wrap type="none"/>
                </v:shape>
                <w10:wrap type="topAndBottom"/>
              </v:group>
            </w:pict>
          </mc:Fallback>
        </mc:AlternateContent>
      </w:r>
      <w:r>
        <w:rPr>
          <w:color w:val="374151"/>
          <w:shd w:fill="F7F7F8" w:color="auto" w:val="clear"/>
        </w:rPr>
        <w:t>engaging</w:t>
      </w:r>
      <w:r>
        <w:rPr>
          <w:color w:val="374151"/>
          <w:spacing w:val="-6"/>
          <w:shd w:fill="F7F7F8" w:color="auto" w:val="clear"/>
        </w:rPr>
        <w:t> </w:t>
      </w:r>
      <w:r>
        <w:rPr>
          <w:color w:val="374151"/>
          <w:shd w:fill="F7F7F8" w:color="auto" w:val="clear"/>
        </w:rPr>
        <w:t>with</w:t>
      </w:r>
      <w:r>
        <w:rPr>
          <w:color w:val="374151"/>
          <w:spacing w:val="-4"/>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LGBTQ+</w:t>
      </w:r>
      <w:r>
        <w:rPr>
          <w:color w:val="374151"/>
          <w:spacing w:val="-3"/>
          <w:shd w:fill="F7F7F8" w:color="auto" w:val="clear"/>
        </w:rPr>
        <w:t> </w:t>
      </w:r>
      <w:r>
        <w:rPr>
          <w:color w:val="374151"/>
          <w:shd w:fill="F7F7F8" w:color="auto" w:val="clear"/>
        </w:rPr>
        <w:t>community,</w:t>
      </w:r>
      <w:r>
        <w:rPr>
          <w:color w:val="374151"/>
          <w:spacing w:val="-4"/>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seeking</w:t>
      </w:r>
      <w:r>
        <w:rPr>
          <w:color w:val="374151"/>
          <w:spacing w:val="-4"/>
          <w:shd w:fill="F7F7F8" w:color="auto" w:val="clear"/>
        </w:rPr>
        <w:t> </w:t>
      </w:r>
      <w:r>
        <w:rPr>
          <w:color w:val="374151"/>
          <w:shd w:fill="F7F7F8" w:color="auto" w:val="clear"/>
        </w:rPr>
        <w:t>supervision</w:t>
      </w:r>
      <w:r>
        <w:rPr>
          <w:color w:val="374151"/>
          <w:spacing w:val="-3"/>
          <w:shd w:fill="F7F7F8" w:color="auto" w:val="clear"/>
        </w:rPr>
        <w:t> </w:t>
      </w:r>
      <w:r>
        <w:rPr>
          <w:color w:val="374151"/>
          <w:spacing w:val="-4"/>
          <w:shd w:fill="F7F7F8" w:color="auto" w:val="clear"/>
        </w:rPr>
        <w:t>from</w:t>
      </w:r>
      <w:r>
        <w:rPr>
          <w:color w:val="374151"/>
          <w:spacing w:val="40"/>
          <w:shd w:fill="F7F7F8" w:color="auto" w:val="clear"/>
        </w:rPr>
        <w:t> </w:t>
      </w:r>
    </w:p>
    <w:p>
      <w:pPr>
        <w:pStyle w:val="ListParagraph"/>
        <w:numPr>
          <w:ilvl w:val="0"/>
          <w:numId w:val="6"/>
        </w:numPr>
        <w:tabs>
          <w:tab w:pos="1217" w:val="left" w:leader="none"/>
        </w:tabs>
        <w:spacing w:line="320" w:lineRule="exact" w:before="0" w:after="0"/>
        <w:ind w:left="1217" w:right="0" w:hanging="457"/>
        <w:jc w:val="left"/>
        <w:rPr>
          <w:sz w:val="28"/>
        </w:rPr>
      </w:pPr>
      <w:r>
        <w:rPr>
          <w:b/>
          <w:color w:val="374151"/>
          <w:sz w:val="28"/>
          <w:shd w:fill="F7F7F8" w:color="auto" w:val="clear"/>
        </w:rPr>
        <w:t>Creating</w:t>
      </w:r>
      <w:r>
        <w:rPr>
          <w:b/>
          <w:color w:val="374151"/>
          <w:spacing w:val="-6"/>
          <w:sz w:val="28"/>
          <w:shd w:fill="F7F7F8" w:color="auto" w:val="clear"/>
        </w:rPr>
        <w:t> </w:t>
      </w:r>
      <w:r>
        <w:rPr>
          <w:b/>
          <w:color w:val="374151"/>
          <w:sz w:val="28"/>
          <w:shd w:fill="F7F7F8" w:color="auto" w:val="clear"/>
        </w:rPr>
        <w:t>a</w:t>
      </w:r>
      <w:r>
        <w:rPr>
          <w:b/>
          <w:color w:val="374151"/>
          <w:spacing w:val="-3"/>
          <w:sz w:val="28"/>
          <w:shd w:fill="F7F7F8" w:color="auto" w:val="clear"/>
        </w:rPr>
        <w:t> </w:t>
      </w:r>
      <w:r>
        <w:rPr>
          <w:b/>
          <w:color w:val="374151"/>
          <w:sz w:val="28"/>
          <w:shd w:fill="F7F7F8" w:color="auto" w:val="clear"/>
        </w:rPr>
        <w:t>Safe</w:t>
      </w:r>
      <w:r>
        <w:rPr>
          <w:b/>
          <w:color w:val="374151"/>
          <w:spacing w:val="-3"/>
          <w:sz w:val="28"/>
          <w:shd w:fill="F7F7F8" w:color="auto" w:val="clear"/>
        </w:rPr>
        <w:t> </w:t>
      </w:r>
      <w:r>
        <w:rPr>
          <w:b/>
          <w:color w:val="374151"/>
          <w:sz w:val="28"/>
          <w:shd w:fill="F7F7F8" w:color="auto" w:val="clear"/>
        </w:rPr>
        <w:t>and</w:t>
      </w:r>
      <w:r>
        <w:rPr>
          <w:b/>
          <w:color w:val="374151"/>
          <w:spacing w:val="-18"/>
          <w:sz w:val="28"/>
          <w:shd w:fill="F7F7F8" w:color="auto" w:val="clear"/>
        </w:rPr>
        <w:t> </w:t>
      </w:r>
      <w:r>
        <w:rPr>
          <w:b/>
          <w:color w:val="374151"/>
          <w:sz w:val="28"/>
          <w:shd w:fill="F7F7F8" w:color="auto" w:val="clear"/>
        </w:rPr>
        <w:t>Affirming</w:t>
      </w:r>
      <w:r>
        <w:rPr>
          <w:b/>
          <w:color w:val="374151"/>
          <w:spacing w:val="-2"/>
          <w:sz w:val="28"/>
          <w:shd w:fill="F7F7F8" w:color="auto" w:val="clear"/>
        </w:rPr>
        <w:t> </w:t>
      </w:r>
      <w:r>
        <w:rPr>
          <w:b/>
          <w:color w:val="374151"/>
          <w:sz w:val="28"/>
          <w:shd w:fill="F7F7F8" w:color="auto" w:val="clear"/>
        </w:rPr>
        <w:t>Environment</w:t>
      </w:r>
      <w:r>
        <w:rPr>
          <w:color w:val="374151"/>
          <w:sz w:val="28"/>
          <w:shd w:fill="F7F7F8" w:color="auto" w:val="clear"/>
        </w:rPr>
        <w:t>:</w:t>
      </w:r>
      <w:r>
        <w:rPr>
          <w:color w:val="374151"/>
          <w:spacing w:val="-3"/>
          <w:sz w:val="28"/>
        </w:rPr>
        <w:t> </w:t>
      </w:r>
      <w:r>
        <w:rPr>
          <w:color w:val="374151"/>
          <w:sz w:val="28"/>
          <w:shd w:fill="F7F7F8" w:color="auto" w:val="clear"/>
        </w:rPr>
        <w:t>Establishing</w:t>
      </w:r>
      <w:r>
        <w:rPr>
          <w:color w:val="374151"/>
          <w:spacing w:val="-3"/>
          <w:sz w:val="28"/>
          <w:shd w:fill="F7F7F8" w:color="auto" w:val="clear"/>
        </w:rPr>
        <w:t> </w:t>
      </w:r>
      <w:r>
        <w:rPr>
          <w:color w:val="374151"/>
          <w:sz w:val="28"/>
          <w:shd w:fill="F7F7F8" w:color="auto" w:val="clear"/>
        </w:rPr>
        <w:t>a</w:t>
      </w:r>
      <w:r>
        <w:rPr>
          <w:color w:val="374151"/>
          <w:spacing w:val="-3"/>
          <w:sz w:val="28"/>
          <w:shd w:fill="F7F7F8" w:color="auto" w:val="clear"/>
        </w:rPr>
        <w:t> </w:t>
      </w:r>
      <w:r>
        <w:rPr>
          <w:color w:val="374151"/>
          <w:spacing w:val="-4"/>
          <w:sz w:val="28"/>
          <w:shd w:fill="F7F7F8" w:color="auto" w:val="clear"/>
        </w:rPr>
        <w:t>safe</w:t>
      </w:r>
      <w:r>
        <w:rPr>
          <w:color w:val="374151"/>
          <w:spacing w:val="40"/>
          <w:sz w:val="28"/>
          <w:shd w:fill="F7F7F8" w:color="auto" w:val="clear"/>
        </w:rPr>
        <w:t> </w:t>
      </w:r>
    </w:p>
    <w:p>
      <w:pPr>
        <w:pStyle w:val="BodyText"/>
        <w:spacing w:line="237" w:lineRule="auto" w:after="8"/>
        <w:ind w:left="1218" w:right="604"/>
      </w:pPr>
      <w:r>
        <w:rPr>
          <w:color w:val="374151"/>
          <w:shd w:fill="F7F7F8" w:color="auto" w:val="clear"/>
        </w:rPr>
        <w:t>and</w:t>
      </w:r>
      <w:r>
        <w:rPr>
          <w:color w:val="374151"/>
          <w:spacing w:val="-5"/>
          <w:shd w:fill="F7F7F8" w:color="auto" w:val="clear"/>
        </w:rPr>
        <w:t> </w:t>
      </w:r>
      <w:r>
        <w:rPr>
          <w:color w:val="374151"/>
          <w:shd w:fill="F7F7F8" w:color="auto" w:val="clear"/>
        </w:rPr>
        <w:t>affirming</w:t>
      </w:r>
      <w:r>
        <w:rPr>
          <w:color w:val="374151"/>
          <w:spacing w:val="-5"/>
          <w:shd w:fill="F7F7F8" w:color="auto" w:val="clear"/>
        </w:rPr>
        <w:t> </w:t>
      </w:r>
      <w:r>
        <w:rPr>
          <w:color w:val="374151"/>
          <w:shd w:fill="F7F7F8" w:color="auto" w:val="clear"/>
        </w:rPr>
        <w:t>therapeutic</w:t>
      </w:r>
      <w:r>
        <w:rPr>
          <w:color w:val="374151"/>
          <w:spacing w:val="-6"/>
          <w:shd w:fill="F7F7F8" w:color="auto" w:val="clear"/>
        </w:rPr>
        <w:t> </w:t>
      </w:r>
      <w:r>
        <w:rPr>
          <w:color w:val="374151"/>
          <w:shd w:fill="F7F7F8" w:color="auto" w:val="clear"/>
        </w:rPr>
        <w:t>environment</w:t>
      </w:r>
      <w:r>
        <w:rPr>
          <w:color w:val="374151"/>
          <w:spacing w:val="-5"/>
          <w:shd w:fill="F7F7F8" w:color="auto" w:val="clear"/>
        </w:rPr>
        <w:t> </w:t>
      </w:r>
      <w:r>
        <w:rPr>
          <w:color w:val="374151"/>
          <w:shd w:fill="F7F7F8" w:color="auto" w:val="clear"/>
        </w:rPr>
        <w:t>is</w:t>
      </w:r>
      <w:r>
        <w:rPr>
          <w:color w:val="374151"/>
          <w:spacing w:val="-5"/>
          <w:shd w:fill="F7F7F8" w:color="auto" w:val="clear"/>
        </w:rPr>
        <w:t> </w:t>
      </w:r>
      <w:r>
        <w:rPr>
          <w:color w:val="374151"/>
          <w:shd w:fill="F7F7F8" w:color="auto" w:val="clear"/>
        </w:rPr>
        <w:t>crucial</w:t>
      </w:r>
      <w:r>
        <w:rPr>
          <w:color w:val="374151"/>
          <w:spacing w:val="-5"/>
          <w:shd w:fill="F7F7F8" w:color="auto" w:val="clear"/>
        </w:rPr>
        <w:t> </w:t>
      </w:r>
      <w:r>
        <w:rPr>
          <w:color w:val="374151"/>
          <w:shd w:fill="F7F7F8" w:color="auto" w:val="clear"/>
        </w:rPr>
        <w:t>for</w:t>
      </w:r>
      <w:r>
        <w:rPr>
          <w:color w:val="374151"/>
          <w:spacing w:val="-5"/>
          <w:shd w:fill="F7F7F8" w:color="auto" w:val="clear"/>
        </w:rPr>
        <w:t> </w:t>
      </w:r>
      <w:r>
        <w:rPr>
          <w:color w:val="374151"/>
          <w:shd w:fill="F7F7F8" w:color="auto" w:val="clear"/>
        </w:rPr>
        <w:t>sexual</w:t>
      </w:r>
      <w:r>
        <w:rPr>
          <w:color w:val="374151"/>
          <w:spacing w:val="-5"/>
          <w:shd w:fill="F7F7F8" w:color="auto" w:val="clear"/>
        </w:rPr>
        <w:t> </w:t>
      </w:r>
      <w:r>
        <w:rPr>
          <w:color w:val="374151"/>
          <w:shd w:fill="F7F7F8" w:color="auto" w:val="clear"/>
        </w:rPr>
        <w:t>minority</w:t>
      </w:r>
      <w:r>
        <w:rPr>
          <w:color w:val="374151"/>
          <w:spacing w:val="-6"/>
          <w:shd w:fill="F7F7F8" w:color="auto" w:val="clear"/>
        </w:rPr>
        <w:t> </w:t>
      </w:r>
      <w:r>
        <w:rPr>
          <w:color w:val="374151"/>
          <w:spacing w:val="-6"/>
        </w:rPr>
        <w:t> </w:t>
      </w:r>
      <w:r>
        <w:rPr>
          <w:color w:val="374151"/>
          <w:shd w:fill="F7F7F8" w:color="auto" w:val="clear"/>
        </w:rPr>
        <w:t>clients. Regularly assessing the therapeutic space for any potential </w:t>
      </w:r>
      <w:r>
        <w:rPr>
          <w:color w:val="374151"/>
        </w:rPr>
        <w:t> </w:t>
      </w:r>
      <w:r>
        <w:rPr>
          <w:color w:val="374151"/>
          <w:shd w:fill="F7F7F8" w:color="auto" w:val="clear"/>
        </w:rPr>
        <w:t>bias or microaggressions helps maintain a non-judgmental</w:t>
      </w:r>
      <w:r>
        <w:rPr>
          <w:color w:val="374151"/>
          <w:spacing w:val="40"/>
          <w:shd w:fill="F7F7F8" w:color="auto" w:val="clear"/>
        </w:rPr>
        <w:t> </w:t>
      </w:r>
    </w:p>
    <w:p>
      <w:pPr>
        <w:pStyle w:val="BodyText"/>
        <w:ind w:left="1218"/>
        <w:rPr>
          <w:sz w:val="20"/>
        </w:rPr>
      </w:pPr>
      <w:r>
        <w:rPr>
          <w:sz w:val="20"/>
        </w:rPr>
        <mc:AlternateContent>
          <mc:Choice Requires="wps">
            <w:drawing>
              <wp:inline distT="0" distB="0" distL="0" distR="0">
                <wp:extent cx="864235" cy="393700"/>
                <wp:effectExtent l="0" t="0" r="0" b="0"/>
                <wp:docPr id="53" name="Textbox 53"/>
                <wp:cNvGraphicFramePr>
                  <a:graphicFrameLocks/>
                </wp:cNvGraphicFramePr>
                <a:graphic>
                  <a:graphicData uri="http://schemas.microsoft.com/office/word/2010/wordprocessingShape">
                    <wps:wsp>
                      <wps:cNvPr id="53" name="Textbox 53"/>
                      <wps:cNvSpPr txBox="1"/>
                      <wps:spPr>
                        <a:xfrm>
                          <a:off x="0" y="0"/>
                          <a:ext cx="864235" cy="393700"/>
                        </a:xfrm>
                        <a:prstGeom prst="rect">
                          <a:avLst/>
                        </a:prstGeom>
                        <a:solidFill>
                          <a:srgbClr val="F7F7F8"/>
                        </a:solidFill>
                      </wps:spPr>
                      <wps:txbx>
                        <w:txbxContent>
                          <w:p>
                            <w:pPr>
                              <w:pStyle w:val="BodyText"/>
                              <w:spacing w:line="308" w:lineRule="exact"/>
                              <w:ind w:right="-15"/>
                              <w:rPr>
                                <w:color w:val="000000"/>
                              </w:rPr>
                            </w:pPr>
                            <w:r>
                              <w:rPr>
                                <w:color w:val="374151"/>
                                <w:spacing w:val="-2"/>
                              </w:rPr>
                              <w:t>atmosphere.</w:t>
                            </w:r>
                          </w:p>
                        </w:txbxContent>
                      </wps:txbx>
                      <wps:bodyPr wrap="square" lIns="0" tIns="0" rIns="0" bIns="0" rtlCol="0">
                        <a:noAutofit/>
                      </wps:bodyPr>
                    </wps:wsp>
                  </a:graphicData>
                </a:graphic>
              </wp:inline>
            </w:drawing>
          </mc:Choice>
          <mc:Fallback>
            <w:pict>
              <v:shape style="width:68.05pt;height:31pt;mso-position-horizontal-relative:char;mso-position-vertical-relative:line" type="#_x0000_t202" id="docshape52" filled="true" fillcolor="#f7f7f8" stroked="false">
                <w10:anchorlock/>
                <v:textbox inset="0,0,0,0">
                  <w:txbxContent>
                    <w:p>
                      <w:pPr>
                        <w:pStyle w:val="BodyText"/>
                        <w:spacing w:line="308" w:lineRule="exact"/>
                        <w:ind w:right="-15"/>
                        <w:rPr>
                          <w:color w:val="000000"/>
                        </w:rPr>
                      </w:pPr>
                      <w:r>
                        <w:rPr>
                          <w:color w:val="374151"/>
                          <w:spacing w:val="-2"/>
                        </w:rPr>
                        <w:t>atmosphere.</w:t>
                      </w:r>
                    </w:p>
                  </w:txbxContent>
                </v:textbox>
                <v:fill type="solid"/>
              </v:shape>
            </w:pict>
          </mc:Fallback>
        </mc:AlternateContent>
      </w:r>
      <w:r>
        <w:rPr>
          <w:sz w:val="20"/>
        </w:rPr>
      </w:r>
    </w:p>
    <w:p>
      <w:pPr>
        <w:pStyle w:val="ListParagraph"/>
        <w:numPr>
          <w:ilvl w:val="0"/>
          <w:numId w:val="6"/>
        </w:numPr>
        <w:tabs>
          <w:tab w:pos="1217" w:val="left" w:leader="none"/>
        </w:tabs>
        <w:spacing w:line="291" w:lineRule="exact" w:before="0" w:after="0"/>
        <w:ind w:left="1217" w:right="0" w:hanging="457"/>
        <w:jc w:val="left"/>
        <w:rPr>
          <w:sz w:val="28"/>
        </w:rPr>
      </w:pPr>
      <w:r>
        <w:rPr>
          <w:b/>
          <w:color w:val="374151"/>
          <w:sz w:val="28"/>
          <w:shd w:fill="F7F7F8" w:color="auto" w:val="clear"/>
        </w:rPr>
        <w:t>Active</w:t>
      </w:r>
      <w:r>
        <w:rPr>
          <w:b/>
          <w:color w:val="374151"/>
          <w:spacing w:val="-3"/>
          <w:sz w:val="28"/>
          <w:shd w:fill="F7F7F8" w:color="auto" w:val="clear"/>
        </w:rPr>
        <w:t> </w:t>
      </w:r>
      <w:r>
        <w:rPr>
          <w:b/>
          <w:color w:val="374151"/>
          <w:sz w:val="28"/>
          <w:shd w:fill="F7F7F8" w:color="auto" w:val="clear"/>
        </w:rPr>
        <w:t>Listening</w:t>
      </w:r>
      <w:r>
        <w:rPr>
          <w:b/>
          <w:color w:val="374151"/>
          <w:spacing w:val="-2"/>
          <w:sz w:val="28"/>
          <w:shd w:fill="F7F7F8" w:color="auto" w:val="clear"/>
        </w:rPr>
        <w:t> </w:t>
      </w:r>
      <w:r>
        <w:rPr>
          <w:b/>
          <w:color w:val="374151"/>
          <w:sz w:val="28"/>
          <w:shd w:fill="F7F7F8" w:color="auto" w:val="clear"/>
        </w:rPr>
        <w:t>and</w:t>
      </w:r>
      <w:r>
        <w:rPr>
          <w:b/>
          <w:color w:val="374151"/>
          <w:spacing w:val="-1"/>
          <w:sz w:val="28"/>
          <w:shd w:fill="F7F7F8" w:color="auto" w:val="clear"/>
        </w:rPr>
        <w:t> </w:t>
      </w:r>
      <w:r>
        <w:rPr>
          <w:b/>
          <w:color w:val="374151"/>
          <w:sz w:val="28"/>
          <w:shd w:fill="F7F7F8" w:color="auto" w:val="clear"/>
        </w:rPr>
        <w:t>Empathy:</w:t>
      </w:r>
      <w:r>
        <w:rPr>
          <w:b/>
          <w:color w:val="374151"/>
          <w:spacing w:val="-17"/>
          <w:sz w:val="28"/>
        </w:rPr>
        <w:t> </w:t>
      </w:r>
      <w:r>
        <w:rPr>
          <w:color w:val="374151"/>
          <w:sz w:val="28"/>
          <w:shd w:fill="F7F7F8" w:color="auto" w:val="clear"/>
        </w:rPr>
        <w:t>Active</w:t>
      </w:r>
      <w:r>
        <w:rPr>
          <w:color w:val="374151"/>
          <w:spacing w:val="-3"/>
          <w:sz w:val="28"/>
          <w:shd w:fill="F7F7F8" w:color="auto" w:val="clear"/>
        </w:rPr>
        <w:t> </w:t>
      </w:r>
      <w:r>
        <w:rPr>
          <w:color w:val="374151"/>
          <w:sz w:val="28"/>
          <w:shd w:fill="F7F7F8" w:color="auto" w:val="clear"/>
        </w:rPr>
        <w:t>listening</w:t>
      </w:r>
      <w:r>
        <w:rPr>
          <w:color w:val="374151"/>
          <w:spacing w:val="-1"/>
          <w:sz w:val="28"/>
          <w:shd w:fill="F7F7F8" w:color="auto" w:val="clear"/>
        </w:rPr>
        <w:t> </w:t>
      </w:r>
      <w:r>
        <w:rPr>
          <w:color w:val="374151"/>
          <w:sz w:val="28"/>
          <w:shd w:fill="F7F7F8" w:color="auto" w:val="clear"/>
        </w:rPr>
        <w:t>is</w:t>
      </w:r>
      <w:r>
        <w:rPr>
          <w:color w:val="374151"/>
          <w:spacing w:val="-2"/>
          <w:sz w:val="28"/>
          <w:shd w:fill="F7F7F8" w:color="auto" w:val="clear"/>
        </w:rPr>
        <w:t> </w:t>
      </w:r>
      <w:r>
        <w:rPr>
          <w:color w:val="374151"/>
          <w:sz w:val="28"/>
          <w:shd w:fill="F7F7F8" w:color="auto" w:val="clear"/>
        </w:rPr>
        <w:t>fundamental</w:t>
      </w:r>
      <w:r>
        <w:rPr>
          <w:color w:val="374151"/>
          <w:spacing w:val="-1"/>
          <w:sz w:val="28"/>
          <w:shd w:fill="F7F7F8" w:color="auto" w:val="clear"/>
        </w:rPr>
        <w:t> </w:t>
      </w:r>
      <w:r>
        <w:rPr>
          <w:color w:val="374151"/>
          <w:spacing w:val="-5"/>
          <w:sz w:val="28"/>
          <w:shd w:fill="F7F7F8" w:color="auto" w:val="clear"/>
        </w:rPr>
        <w:t>in</w:t>
      </w:r>
      <w:r>
        <w:rPr>
          <w:color w:val="374151"/>
          <w:spacing w:val="40"/>
          <w:sz w:val="28"/>
          <w:shd w:fill="F7F7F8" w:color="auto" w:val="clear"/>
        </w:rPr>
        <w:t> </w:t>
      </w:r>
    </w:p>
    <w:p>
      <w:pPr>
        <w:pStyle w:val="BodyText"/>
        <w:spacing w:line="237" w:lineRule="auto"/>
        <w:ind w:left="1218" w:right="502"/>
      </w:pPr>
      <w:r>
        <w:rPr/>
        <mc:AlternateContent>
          <mc:Choice Requires="wps">
            <w:drawing>
              <wp:anchor distT="0" distB="0" distL="0" distR="0" allowOverlap="1" layoutInCell="1" locked="0" behindDoc="1" simplePos="0" relativeHeight="487599616">
                <wp:simplePos x="0" y="0"/>
                <wp:positionH relativeFrom="page">
                  <wp:posOffset>1662545</wp:posOffset>
                </wp:positionH>
                <wp:positionV relativeFrom="paragraph">
                  <wp:posOffset>1021563</wp:posOffset>
                </wp:positionV>
                <wp:extent cx="696595" cy="393700"/>
                <wp:effectExtent l="0" t="0" r="0" b="0"/>
                <wp:wrapTopAndBottom/>
                <wp:docPr id="54" name="Textbox 54"/>
                <wp:cNvGraphicFramePr>
                  <a:graphicFrameLocks/>
                </wp:cNvGraphicFramePr>
                <a:graphic>
                  <a:graphicData uri="http://schemas.microsoft.com/office/word/2010/wordprocessingShape">
                    <wps:wsp>
                      <wps:cNvPr id="54" name="Textbox 54"/>
                      <wps:cNvSpPr txBox="1"/>
                      <wps:spPr>
                        <a:xfrm>
                          <a:off x="0" y="0"/>
                          <a:ext cx="696595" cy="393700"/>
                        </a:xfrm>
                        <a:prstGeom prst="rect">
                          <a:avLst/>
                        </a:prstGeom>
                        <a:solidFill>
                          <a:srgbClr val="F7F7F8"/>
                        </a:solidFill>
                      </wps:spPr>
                      <wps:txbx>
                        <w:txbxContent>
                          <w:p>
                            <w:pPr>
                              <w:pStyle w:val="BodyText"/>
                              <w:spacing w:line="308" w:lineRule="exact"/>
                              <w:rPr>
                                <w:color w:val="000000"/>
                              </w:rPr>
                            </w:pPr>
                            <w:r>
                              <w:rPr>
                                <w:color w:val="374151"/>
                                <w:spacing w:val="-2"/>
                              </w:rPr>
                              <w:t>emotions.</w:t>
                            </w:r>
                          </w:p>
                        </w:txbxContent>
                      </wps:txbx>
                      <wps:bodyPr wrap="square" lIns="0" tIns="0" rIns="0" bIns="0" rtlCol="0">
                        <a:noAutofit/>
                      </wps:bodyPr>
                    </wps:wsp>
                  </a:graphicData>
                </a:graphic>
              </wp:anchor>
            </w:drawing>
          </mc:Choice>
          <mc:Fallback>
            <w:pict>
              <v:shape style="position:absolute;margin-left:130.909103pt;margin-top:80.438057pt;width:54.85pt;height:31pt;mso-position-horizontal-relative:page;mso-position-vertical-relative:paragraph;z-index:-15716864;mso-wrap-distance-left:0;mso-wrap-distance-right:0" type="#_x0000_t202" id="docshape53" filled="true" fillcolor="#f7f7f8" stroked="false">
                <v:textbox inset="0,0,0,0">
                  <w:txbxContent>
                    <w:p>
                      <w:pPr>
                        <w:pStyle w:val="BodyText"/>
                        <w:spacing w:line="308" w:lineRule="exact"/>
                        <w:rPr>
                          <w:color w:val="000000"/>
                        </w:rPr>
                      </w:pPr>
                      <w:r>
                        <w:rPr>
                          <w:color w:val="374151"/>
                          <w:spacing w:val="-2"/>
                        </w:rPr>
                        <w:t>emotions.</w:t>
                      </w:r>
                    </w:p>
                  </w:txbxContent>
                </v:textbox>
                <v:fill type="solid"/>
                <w10:wrap type="topAndBottom"/>
              </v:shape>
            </w:pict>
          </mc:Fallback>
        </mc:AlternateContent>
      </w:r>
      <w:r>
        <w:rPr>
          <w:color w:val="374151"/>
          <w:shd w:fill="F7F7F8" w:color="auto" w:val="clear"/>
        </w:rPr>
        <w:t>any therapeutic setting, and it becomes even more critical when </w:t>
      </w:r>
      <w:r>
        <w:rPr>
          <w:color w:val="374151"/>
        </w:rPr>
        <w:t> </w:t>
      </w:r>
      <w:r>
        <w:rPr>
          <w:color w:val="374151"/>
          <w:shd w:fill="F7F7F8" w:color="auto" w:val="clear"/>
        </w:rPr>
        <w:t>working with sexual minority clients.</w:t>
      </w:r>
      <w:r>
        <w:rPr>
          <w:color w:val="374151"/>
          <w:spacing w:val="-10"/>
          <w:shd w:fill="F7F7F8" w:color="auto" w:val="clear"/>
        </w:rPr>
        <w:t> </w:t>
      </w:r>
      <w:r>
        <w:rPr>
          <w:color w:val="374151"/>
          <w:shd w:fill="F7F7F8" w:color="auto" w:val="clear"/>
        </w:rPr>
        <w:t>Allow clients to express their </w:t>
      </w:r>
      <w:r>
        <w:rPr>
          <w:color w:val="374151"/>
        </w:rPr>
        <w:t> </w:t>
      </w:r>
      <w:r>
        <w:rPr>
          <w:color w:val="374151"/>
          <w:shd w:fill="F7F7F8" w:color="auto" w:val="clear"/>
        </w:rPr>
        <w:t>experiences,</w:t>
      </w:r>
      <w:r>
        <w:rPr>
          <w:color w:val="374151"/>
          <w:spacing w:val="-6"/>
          <w:shd w:fill="F7F7F8" w:color="auto" w:val="clear"/>
        </w:rPr>
        <w:t> </w:t>
      </w:r>
      <w:r>
        <w:rPr>
          <w:color w:val="374151"/>
          <w:shd w:fill="F7F7F8" w:color="auto" w:val="clear"/>
        </w:rPr>
        <w:t>emotions,</w:t>
      </w:r>
      <w:r>
        <w:rPr>
          <w:color w:val="374151"/>
          <w:spacing w:val="-6"/>
          <w:shd w:fill="F7F7F8" w:color="auto" w:val="clear"/>
        </w:rPr>
        <w:t> </w:t>
      </w:r>
      <w:r>
        <w:rPr>
          <w:color w:val="374151"/>
          <w:shd w:fill="F7F7F8" w:color="auto" w:val="clear"/>
        </w:rPr>
        <w:t>and</w:t>
      </w:r>
      <w:r>
        <w:rPr>
          <w:color w:val="374151"/>
          <w:spacing w:val="-6"/>
          <w:shd w:fill="F7F7F8" w:color="auto" w:val="clear"/>
        </w:rPr>
        <w:t> </w:t>
      </w:r>
      <w:r>
        <w:rPr>
          <w:color w:val="374151"/>
          <w:shd w:fill="F7F7F8" w:color="auto" w:val="clear"/>
        </w:rPr>
        <w:t>concerns</w:t>
      </w:r>
      <w:r>
        <w:rPr>
          <w:color w:val="374151"/>
          <w:spacing w:val="-6"/>
          <w:shd w:fill="F7F7F8" w:color="auto" w:val="clear"/>
        </w:rPr>
        <w:t> </w:t>
      </w:r>
      <w:r>
        <w:rPr>
          <w:color w:val="374151"/>
          <w:shd w:fill="F7F7F8" w:color="auto" w:val="clear"/>
        </w:rPr>
        <w:t>without</w:t>
      </w:r>
      <w:r>
        <w:rPr>
          <w:color w:val="374151"/>
          <w:spacing w:val="-6"/>
          <w:shd w:fill="F7F7F8" w:color="auto" w:val="clear"/>
        </w:rPr>
        <w:t> </w:t>
      </w:r>
      <w:r>
        <w:rPr>
          <w:color w:val="374151"/>
          <w:shd w:fill="F7F7F8" w:color="auto" w:val="clear"/>
        </w:rPr>
        <w:t>interruption</w:t>
      </w:r>
      <w:r>
        <w:rPr>
          <w:color w:val="374151"/>
          <w:spacing w:val="-6"/>
          <w:shd w:fill="F7F7F8" w:color="auto" w:val="clear"/>
        </w:rPr>
        <w:t> </w:t>
      </w:r>
      <w:r>
        <w:rPr>
          <w:color w:val="374151"/>
          <w:shd w:fill="F7F7F8" w:color="auto" w:val="clear"/>
        </w:rPr>
        <w:t>or</w:t>
      </w:r>
      <w:r>
        <w:rPr>
          <w:color w:val="374151"/>
          <w:spacing w:val="-6"/>
          <w:shd w:fill="F7F7F8" w:color="auto" w:val="clear"/>
        </w:rPr>
        <w:t> </w:t>
      </w:r>
      <w:r>
        <w:rPr>
          <w:color w:val="374151"/>
          <w:shd w:fill="F7F7F8" w:color="auto" w:val="clear"/>
        </w:rPr>
        <w:t>judgment.</w:t>
      </w:r>
      <w:r>
        <w:rPr>
          <w:color w:val="374151"/>
        </w:rPr>
        <w:t> </w:t>
      </w:r>
      <w:r>
        <w:rPr>
          <w:color w:val="374151"/>
          <w:shd w:fill="F7F7F8" w:color="auto" w:val="clear"/>
        </w:rPr>
        <w:t>Practitioners should strive to understand and empathize with their </w:t>
      </w:r>
      <w:r>
        <w:rPr>
          <w:color w:val="374151"/>
        </w:rPr>
        <w:t> </w:t>
      </w:r>
      <w:r>
        <w:rPr>
          <w:color w:val="374151"/>
          <w:shd w:fill="F7F7F8" w:color="auto" w:val="clear"/>
        </w:rPr>
        <w:t>clients' unique perspectives, validating their experiences and</w:t>
      </w:r>
      <w:r>
        <w:rPr>
          <w:color w:val="374151"/>
          <w:spacing w:val="40"/>
          <w:shd w:fill="F7F7F8" w:color="auto" w:val="clear"/>
        </w:rPr>
        <w:t> </w:t>
      </w:r>
    </w:p>
    <w:p>
      <w:pPr>
        <w:pStyle w:val="ListParagraph"/>
        <w:numPr>
          <w:ilvl w:val="0"/>
          <w:numId w:val="6"/>
        </w:numPr>
        <w:tabs>
          <w:tab w:pos="1217" w:val="left" w:leader="none"/>
        </w:tabs>
        <w:spacing w:line="318" w:lineRule="exact" w:before="0" w:after="0"/>
        <w:ind w:left="1217" w:right="0" w:hanging="457"/>
        <w:jc w:val="left"/>
        <w:rPr>
          <w:sz w:val="28"/>
        </w:rPr>
      </w:pPr>
      <w:r>
        <w:rPr>
          <w:b/>
          <w:color w:val="374151"/>
          <w:sz w:val="28"/>
          <w:shd w:fill="F7F7F8" w:color="auto" w:val="clear"/>
        </w:rPr>
        <w:t>Tailoring</w:t>
      </w:r>
      <w:r>
        <w:rPr>
          <w:b/>
          <w:color w:val="374151"/>
          <w:spacing w:val="-20"/>
          <w:sz w:val="28"/>
          <w:shd w:fill="F7F7F8" w:color="auto" w:val="clear"/>
        </w:rPr>
        <w:t> </w:t>
      </w:r>
      <w:r>
        <w:rPr>
          <w:b/>
          <w:color w:val="374151"/>
          <w:sz w:val="28"/>
          <w:shd w:fill="F7F7F8" w:color="auto" w:val="clear"/>
        </w:rPr>
        <w:t>Treatment</w:t>
      </w:r>
      <w:r>
        <w:rPr>
          <w:b/>
          <w:color w:val="374151"/>
          <w:spacing w:val="-17"/>
          <w:sz w:val="28"/>
          <w:shd w:fill="F7F7F8" w:color="auto" w:val="clear"/>
        </w:rPr>
        <w:t> </w:t>
      </w:r>
      <w:r>
        <w:rPr>
          <w:b/>
          <w:color w:val="374151"/>
          <w:sz w:val="28"/>
          <w:shd w:fill="F7F7F8" w:color="auto" w:val="clear"/>
        </w:rPr>
        <w:t>Approaches</w:t>
      </w:r>
      <w:r>
        <w:rPr>
          <w:color w:val="374151"/>
          <w:sz w:val="28"/>
          <w:shd w:fill="F7F7F8" w:color="auto" w:val="clear"/>
        </w:rPr>
        <w:t>:</w:t>
      </w:r>
      <w:r>
        <w:rPr>
          <w:color w:val="374151"/>
          <w:spacing w:val="-17"/>
          <w:sz w:val="28"/>
        </w:rPr>
        <w:t> </w:t>
      </w:r>
      <w:r>
        <w:rPr>
          <w:color w:val="374151"/>
          <w:sz w:val="28"/>
          <w:shd w:fill="F7F7F8" w:color="auto" w:val="clear"/>
        </w:rPr>
        <w:t>Each</w:t>
      </w:r>
      <w:r>
        <w:rPr>
          <w:color w:val="374151"/>
          <w:spacing w:val="-11"/>
          <w:sz w:val="28"/>
          <w:shd w:fill="F7F7F8" w:color="auto" w:val="clear"/>
        </w:rPr>
        <w:t> </w:t>
      </w:r>
      <w:r>
        <w:rPr>
          <w:color w:val="374151"/>
          <w:sz w:val="28"/>
          <w:shd w:fill="F7F7F8" w:color="auto" w:val="clear"/>
        </w:rPr>
        <w:t>client's</w:t>
      </w:r>
      <w:r>
        <w:rPr>
          <w:color w:val="374151"/>
          <w:spacing w:val="-11"/>
          <w:sz w:val="28"/>
          <w:shd w:fill="F7F7F8" w:color="auto" w:val="clear"/>
        </w:rPr>
        <w:t> </w:t>
      </w:r>
      <w:r>
        <w:rPr>
          <w:color w:val="374151"/>
          <w:sz w:val="28"/>
          <w:shd w:fill="F7F7F8" w:color="auto" w:val="clear"/>
        </w:rPr>
        <w:t>needs</w:t>
      </w:r>
      <w:r>
        <w:rPr>
          <w:color w:val="374151"/>
          <w:spacing w:val="-12"/>
          <w:sz w:val="28"/>
          <w:shd w:fill="F7F7F8" w:color="auto" w:val="clear"/>
        </w:rPr>
        <w:t> </w:t>
      </w:r>
      <w:r>
        <w:rPr>
          <w:color w:val="374151"/>
          <w:sz w:val="28"/>
          <w:shd w:fill="F7F7F8" w:color="auto" w:val="clear"/>
        </w:rPr>
        <w:t>are</w:t>
      </w:r>
      <w:r>
        <w:rPr>
          <w:color w:val="374151"/>
          <w:spacing w:val="-11"/>
          <w:sz w:val="28"/>
          <w:shd w:fill="F7F7F8" w:color="auto" w:val="clear"/>
        </w:rPr>
        <w:t> </w:t>
      </w:r>
      <w:r>
        <w:rPr>
          <w:color w:val="374151"/>
          <w:spacing w:val="-2"/>
          <w:sz w:val="28"/>
          <w:shd w:fill="F7F7F8" w:color="auto" w:val="clear"/>
        </w:rPr>
        <w:t>unique,</w:t>
      </w:r>
      <w:r>
        <w:rPr>
          <w:color w:val="374151"/>
          <w:spacing w:val="40"/>
          <w:sz w:val="28"/>
          <w:shd w:fill="F7F7F8" w:color="auto" w:val="clear"/>
        </w:rPr>
        <w:t> </w:t>
      </w:r>
    </w:p>
    <w:p>
      <w:pPr>
        <w:pStyle w:val="BodyText"/>
        <w:spacing w:line="237" w:lineRule="auto"/>
        <w:ind w:left="1218" w:right="502"/>
      </w:pPr>
      <w:r>
        <w:rPr/>
        <mc:AlternateContent>
          <mc:Choice Requires="wps">
            <w:drawing>
              <wp:anchor distT="0" distB="0" distL="0" distR="0" allowOverlap="1" layoutInCell="1" locked="0" behindDoc="1" simplePos="0" relativeHeight="487600128">
                <wp:simplePos x="0" y="0"/>
                <wp:positionH relativeFrom="page">
                  <wp:posOffset>1662545</wp:posOffset>
                </wp:positionH>
                <wp:positionV relativeFrom="paragraph">
                  <wp:posOffset>1021563</wp:posOffset>
                </wp:positionV>
                <wp:extent cx="3214370" cy="393700"/>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3214370" cy="393700"/>
                        </a:xfrm>
                        <a:prstGeom prst="rect">
                          <a:avLst/>
                        </a:prstGeom>
                        <a:solidFill>
                          <a:srgbClr val="F7F7F8"/>
                        </a:solidFill>
                      </wps:spPr>
                      <wps:txbx>
                        <w:txbxContent>
                          <w:p>
                            <w:pPr>
                              <w:pStyle w:val="BodyText"/>
                              <w:spacing w:line="308" w:lineRule="exact"/>
                              <w:ind w:right="-15"/>
                              <w:rPr>
                                <w:color w:val="000000"/>
                              </w:rPr>
                            </w:pPr>
                            <w:r>
                              <w:rPr>
                                <w:color w:val="374151"/>
                              </w:rPr>
                              <w:t>homophobia</w:t>
                            </w:r>
                            <w:r>
                              <w:rPr>
                                <w:color w:val="374151"/>
                                <w:spacing w:val="-3"/>
                              </w:rPr>
                              <w:t> </w:t>
                            </w:r>
                            <w:r>
                              <w:rPr>
                                <w:color w:val="374151"/>
                              </w:rPr>
                              <w:t>can</w:t>
                            </w:r>
                            <w:r>
                              <w:rPr>
                                <w:color w:val="374151"/>
                                <w:spacing w:val="-1"/>
                              </w:rPr>
                              <w:t> </w:t>
                            </w:r>
                            <w:r>
                              <w:rPr>
                                <w:color w:val="374151"/>
                              </w:rPr>
                              <w:t>guide</w:t>
                            </w:r>
                            <w:r>
                              <w:rPr>
                                <w:color w:val="374151"/>
                                <w:spacing w:val="-2"/>
                              </w:rPr>
                              <w:t> </w:t>
                            </w:r>
                            <w:r>
                              <w:rPr>
                                <w:color w:val="374151"/>
                              </w:rPr>
                              <w:t>therapeutic</w:t>
                            </w:r>
                            <w:r>
                              <w:rPr>
                                <w:color w:val="374151"/>
                                <w:spacing w:val="-2"/>
                              </w:rPr>
                              <w:t> strategies.</w:t>
                            </w:r>
                          </w:p>
                        </w:txbxContent>
                      </wps:txbx>
                      <wps:bodyPr wrap="square" lIns="0" tIns="0" rIns="0" bIns="0" rtlCol="0">
                        <a:noAutofit/>
                      </wps:bodyPr>
                    </wps:wsp>
                  </a:graphicData>
                </a:graphic>
              </wp:anchor>
            </w:drawing>
          </mc:Choice>
          <mc:Fallback>
            <w:pict>
              <v:shape style="position:absolute;margin-left:130.909103pt;margin-top:80.438057pt;width:253.1pt;height:31pt;mso-position-horizontal-relative:page;mso-position-vertical-relative:paragraph;z-index:-15716352;mso-wrap-distance-left:0;mso-wrap-distance-right:0" type="#_x0000_t202" id="docshape54" filled="true" fillcolor="#f7f7f8" stroked="false">
                <v:textbox inset="0,0,0,0">
                  <w:txbxContent>
                    <w:p>
                      <w:pPr>
                        <w:pStyle w:val="BodyText"/>
                        <w:spacing w:line="308" w:lineRule="exact"/>
                        <w:ind w:right="-15"/>
                        <w:rPr>
                          <w:color w:val="000000"/>
                        </w:rPr>
                      </w:pPr>
                      <w:r>
                        <w:rPr>
                          <w:color w:val="374151"/>
                        </w:rPr>
                        <w:t>homophobia</w:t>
                      </w:r>
                      <w:r>
                        <w:rPr>
                          <w:color w:val="374151"/>
                          <w:spacing w:val="-3"/>
                        </w:rPr>
                        <w:t> </w:t>
                      </w:r>
                      <w:r>
                        <w:rPr>
                          <w:color w:val="374151"/>
                        </w:rPr>
                        <w:t>can</w:t>
                      </w:r>
                      <w:r>
                        <w:rPr>
                          <w:color w:val="374151"/>
                          <w:spacing w:val="-1"/>
                        </w:rPr>
                        <w:t> </w:t>
                      </w:r>
                      <w:r>
                        <w:rPr>
                          <w:color w:val="374151"/>
                        </w:rPr>
                        <w:t>guide</w:t>
                      </w:r>
                      <w:r>
                        <w:rPr>
                          <w:color w:val="374151"/>
                          <w:spacing w:val="-2"/>
                        </w:rPr>
                        <w:t> </w:t>
                      </w:r>
                      <w:r>
                        <w:rPr>
                          <w:color w:val="374151"/>
                        </w:rPr>
                        <w:t>therapeutic</w:t>
                      </w:r>
                      <w:r>
                        <w:rPr>
                          <w:color w:val="374151"/>
                          <w:spacing w:val="-2"/>
                        </w:rPr>
                        <w:t> strategies.</w:t>
                      </w:r>
                    </w:p>
                  </w:txbxContent>
                </v:textbox>
                <v:fill type="solid"/>
                <w10:wrap type="topAndBottom"/>
              </v:shape>
            </w:pict>
          </mc:Fallback>
        </mc:AlternateContent>
      </w:r>
      <w:r>
        <w:rPr>
          <w:color w:val="374151"/>
          <w:shd w:fill="F7F7F8" w:color="auto" w:val="clear"/>
        </w:rPr>
        <w:t>and mental health professionals should consider tailoring treatment </w:t>
      </w:r>
      <w:r>
        <w:rPr>
          <w:color w:val="374151"/>
        </w:rPr>
        <w:t> </w:t>
      </w:r>
      <w:r>
        <w:rPr>
          <w:color w:val="374151"/>
          <w:shd w:fill="F7F7F8" w:color="auto" w:val="clear"/>
        </w:rPr>
        <w:t>approaches accordingly. While evidence-based interventions are </w:t>
      </w:r>
      <w:r>
        <w:rPr>
          <w:color w:val="374151"/>
        </w:rPr>
        <w:t> </w:t>
      </w:r>
      <w:r>
        <w:rPr>
          <w:color w:val="374151"/>
          <w:shd w:fill="F7F7F8" w:color="auto" w:val="clear"/>
        </w:rPr>
        <w:t>valuable,</w:t>
      </w:r>
      <w:r>
        <w:rPr>
          <w:color w:val="374151"/>
          <w:spacing w:val="-4"/>
          <w:shd w:fill="F7F7F8" w:color="auto" w:val="clear"/>
        </w:rPr>
        <w:t> </w:t>
      </w:r>
      <w:r>
        <w:rPr>
          <w:color w:val="374151"/>
          <w:shd w:fill="F7F7F8" w:color="auto" w:val="clear"/>
        </w:rPr>
        <w:t>flexibility</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openness</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adapt</w:t>
      </w:r>
      <w:r>
        <w:rPr>
          <w:color w:val="374151"/>
          <w:spacing w:val="-4"/>
          <w:shd w:fill="F7F7F8" w:color="auto" w:val="clear"/>
        </w:rPr>
        <w:t> </w:t>
      </w:r>
      <w:r>
        <w:rPr>
          <w:color w:val="374151"/>
          <w:shd w:fill="F7F7F8" w:color="auto" w:val="clear"/>
        </w:rPr>
        <w:t>them</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fit</w:t>
      </w:r>
      <w:r>
        <w:rPr>
          <w:color w:val="374151"/>
          <w:spacing w:val="-4"/>
          <w:shd w:fill="F7F7F8" w:color="auto" w:val="clear"/>
        </w:rPr>
        <w:t> </w:t>
      </w:r>
      <w:r>
        <w:rPr>
          <w:color w:val="374151"/>
          <w:shd w:fill="F7F7F8" w:color="auto" w:val="clear"/>
        </w:rPr>
        <w:t>clients'</w:t>
      </w:r>
      <w:r>
        <w:rPr>
          <w:color w:val="374151"/>
          <w:spacing w:val="-4"/>
          <w:shd w:fill="F7F7F8" w:color="auto" w:val="clear"/>
        </w:rPr>
        <w:t> </w:t>
      </w:r>
      <w:r>
        <w:rPr>
          <w:color w:val="374151"/>
          <w:shd w:fill="F7F7F8" w:color="auto" w:val="clear"/>
        </w:rPr>
        <w:t>specific</w:t>
      </w:r>
      <w:r>
        <w:rPr>
          <w:color w:val="374151"/>
          <w:spacing w:val="-5"/>
          <w:shd w:fill="F7F7F8" w:color="auto" w:val="clear"/>
        </w:rPr>
        <w:t> </w:t>
      </w:r>
      <w:r>
        <w:rPr>
          <w:color w:val="374151"/>
          <w:spacing w:val="-5"/>
        </w:rPr>
        <w:t> </w:t>
      </w:r>
      <w:r>
        <w:rPr>
          <w:color w:val="374151"/>
          <w:shd w:fill="F7F7F8" w:color="auto" w:val="clear"/>
        </w:rPr>
        <w:t>identities and experiences are crucial. Understanding the potential </w:t>
      </w:r>
      <w:r>
        <w:rPr>
          <w:color w:val="374151"/>
        </w:rPr>
        <w:t> </w:t>
      </w:r>
      <w:r>
        <w:rPr>
          <w:color w:val="374151"/>
          <w:shd w:fill="F7F7F8" w:color="auto" w:val="clear"/>
        </w:rPr>
        <w:t>impact of minority stress, family rejection, and internalized</w:t>
      </w:r>
      <w:r>
        <w:rPr>
          <w:color w:val="374151"/>
          <w:spacing w:val="40"/>
          <w:shd w:fill="F7F7F8" w:color="auto" w:val="clear"/>
        </w:rPr>
        <w:t> </w:t>
      </w:r>
    </w:p>
    <w:p>
      <w:pPr>
        <w:pStyle w:val="ListParagraph"/>
        <w:numPr>
          <w:ilvl w:val="0"/>
          <w:numId w:val="6"/>
        </w:numPr>
        <w:tabs>
          <w:tab w:pos="1217" w:val="left" w:leader="none"/>
        </w:tabs>
        <w:spacing w:line="318" w:lineRule="exact" w:before="0" w:after="0"/>
        <w:ind w:left="1217" w:right="0" w:hanging="457"/>
        <w:jc w:val="left"/>
        <w:rPr>
          <w:sz w:val="28"/>
        </w:rPr>
      </w:pPr>
      <w:r>
        <w:rPr>
          <w:b/>
          <w:color w:val="374151"/>
          <w:sz w:val="28"/>
          <w:shd w:fill="F7F7F8" w:color="auto" w:val="clear"/>
        </w:rPr>
        <w:t>Collaboration</w:t>
      </w:r>
      <w:r>
        <w:rPr>
          <w:b/>
          <w:color w:val="374151"/>
          <w:spacing w:val="-4"/>
          <w:sz w:val="28"/>
          <w:shd w:fill="F7F7F8" w:color="auto" w:val="clear"/>
        </w:rPr>
        <w:t> </w:t>
      </w:r>
      <w:r>
        <w:rPr>
          <w:b/>
          <w:color w:val="374151"/>
          <w:sz w:val="28"/>
          <w:shd w:fill="F7F7F8" w:color="auto" w:val="clear"/>
        </w:rPr>
        <w:t>and</w:t>
      </w:r>
      <w:r>
        <w:rPr>
          <w:b/>
          <w:color w:val="374151"/>
          <w:spacing w:val="-2"/>
          <w:sz w:val="28"/>
          <w:shd w:fill="F7F7F8" w:color="auto" w:val="clear"/>
        </w:rPr>
        <w:t> </w:t>
      </w:r>
      <w:r>
        <w:rPr>
          <w:b/>
          <w:color w:val="374151"/>
          <w:sz w:val="28"/>
          <w:shd w:fill="F7F7F8" w:color="auto" w:val="clear"/>
        </w:rPr>
        <w:t>Referral:</w:t>
      </w:r>
      <w:r>
        <w:rPr>
          <w:b/>
          <w:color w:val="374151"/>
          <w:spacing w:val="-3"/>
          <w:sz w:val="28"/>
        </w:rPr>
        <w:t> </w:t>
      </w:r>
      <w:r>
        <w:rPr>
          <w:color w:val="374151"/>
          <w:sz w:val="28"/>
          <w:shd w:fill="F7F7F8" w:color="auto" w:val="clear"/>
        </w:rPr>
        <w:t>Collaborating</w:t>
      </w:r>
      <w:r>
        <w:rPr>
          <w:color w:val="374151"/>
          <w:spacing w:val="-2"/>
          <w:sz w:val="28"/>
          <w:shd w:fill="F7F7F8" w:color="auto" w:val="clear"/>
        </w:rPr>
        <w:t> </w:t>
      </w:r>
      <w:r>
        <w:rPr>
          <w:color w:val="374151"/>
          <w:sz w:val="28"/>
          <w:shd w:fill="F7F7F8" w:color="auto" w:val="clear"/>
        </w:rPr>
        <w:t>with</w:t>
      </w:r>
      <w:r>
        <w:rPr>
          <w:color w:val="374151"/>
          <w:spacing w:val="-2"/>
          <w:sz w:val="28"/>
          <w:shd w:fill="F7F7F8" w:color="auto" w:val="clear"/>
        </w:rPr>
        <w:t> </w:t>
      </w:r>
      <w:r>
        <w:rPr>
          <w:color w:val="374151"/>
          <w:sz w:val="28"/>
          <w:shd w:fill="F7F7F8" w:color="auto" w:val="clear"/>
        </w:rPr>
        <w:t>other</w:t>
      </w:r>
      <w:r>
        <w:rPr>
          <w:color w:val="374151"/>
          <w:spacing w:val="-1"/>
          <w:sz w:val="28"/>
          <w:shd w:fill="F7F7F8" w:color="auto" w:val="clear"/>
        </w:rPr>
        <w:t> </w:t>
      </w:r>
      <w:r>
        <w:rPr>
          <w:color w:val="374151"/>
          <w:spacing w:val="-2"/>
          <w:sz w:val="28"/>
          <w:shd w:fill="F7F7F8" w:color="auto" w:val="clear"/>
        </w:rPr>
        <w:t>professionals</w:t>
      </w:r>
      <w:r>
        <w:rPr>
          <w:color w:val="374151"/>
          <w:spacing w:val="40"/>
          <w:sz w:val="28"/>
          <w:shd w:fill="F7F7F8" w:color="auto" w:val="clear"/>
        </w:rPr>
        <w:t> </w:t>
      </w:r>
    </w:p>
    <w:p>
      <w:pPr>
        <w:pStyle w:val="BodyText"/>
        <w:spacing w:line="237" w:lineRule="auto"/>
        <w:ind w:left="1218" w:right="502"/>
      </w:pPr>
      <w:r>
        <w:rPr/>
        <mc:AlternateContent>
          <mc:Choice Requires="wps">
            <w:drawing>
              <wp:anchor distT="0" distB="0" distL="0" distR="0" allowOverlap="1" layoutInCell="1" locked="0" behindDoc="1" simplePos="0" relativeHeight="487600640">
                <wp:simplePos x="0" y="0"/>
                <wp:positionH relativeFrom="page">
                  <wp:posOffset>1066800</wp:posOffset>
                </wp:positionH>
                <wp:positionV relativeFrom="paragraph">
                  <wp:posOffset>819155</wp:posOffset>
                </wp:positionV>
                <wp:extent cx="2321560" cy="787400"/>
                <wp:effectExtent l="0" t="0" r="0" b="0"/>
                <wp:wrapTopAndBottom/>
                <wp:docPr id="56" name="Group 56"/>
                <wp:cNvGraphicFramePr>
                  <a:graphicFrameLocks/>
                </wp:cNvGraphicFramePr>
                <a:graphic>
                  <a:graphicData uri="http://schemas.microsoft.com/office/word/2010/wordprocessingGroup">
                    <wpg:wgp>
                      <wpg:cNvPr id="56" name="Group 56"/>
                      <wpg:cNvGrpSpPr/>
                      <wpg:grpSpPr>
                        <a:xfrm>
                          <a:off x="0" y="0"/>
                          <a:ext cx="2321560" cy="787400"/>
                          <a:chExt cx="2321560" cy="787400"/>
                        </a:xfrm>
                      </wpg:grpSpPr>
                      <wps:wsp>
                        <wps:cNvPr id="57" name="Textbox 57"/>
                        <wps:cNvSpPr txBox="1"/>
                        <wps:spPr>
                          <a:xfrm>
                            <a:off x="0" y="393700"/>
                            <a:ext cx="232156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Challenges</w:t>
                              </w:r>
                              <w:r>
                                <w:rPr>
                                  <w:b/>
                                  <w:color w:val="374151"/>
                                  <w:spacing w:val="-3"/>
                                  <w:sz w:val="28"/>
                                </w:rPr>
                                <w:t> </w:t>
                              </w:r>
                              <w:r>
                                <w:rPr>
                                  <w:b/>
                                  <w:color w:val="374151"/>
                                  <w:sz w:val="28"/>
                                </w:rPr>
                                <w:t>and</w:t>
                              </w:r>
                              <w:r>
                                <w:rPr>
                                  <w:b/>
                                  <w:color w:val="374151"/>
                                  <w:spacing w:val="-3"/>
                                  <w:sz w:val="28"/>
                                </w:rPr>
                                <w:t> </w:t>
                              </w:r>
                              <w:r>
                                <w:rPr>
                                  <w:b/>
                                  <w:color w:val="374151"/>
                                  <w:sz w:val="28"/>
                                </w:rPr>
                                <w:t>Self-</w:t>
                              </w:r>
                              <w:r>
                                <w:rPr>
                                  <w:b/>
                                  <w:color w:val="374151"/>
                                  <w:spacing w:val="-2"/>
                                  <w:sz w:val="28"/>
                                </w:rPr>
                                <w:t>Reflection</w:t>
                              </w:r>
                            </w:p>
                          </w:txbxContent>
                        </wps:txbx>
                        <wps:bodyPr wrap="square" lIns="0" tIns="0" rIns="0" bIns="0" rtlCol="0">
                          <a:noAutofit/>
                        </wps:bodyPr>
                      </wps:wsp>
                      <wps:wsp>
                        <wps:cNvPr id="58" name="Textbox 58"/>
                        <wps:cNvSpPr txBox="1"/>
                        <wps:spPr>
                          <a:xfrm>
                            <a:off x="595745" y="0"/>
                            <a:ext cx="161417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referrals</w:t>
                              </w:r>
                              <w:r>
                                <w:rPr>
                                  <w:color w:val="374151"/>
                                  <w:spacing w:val="-2"/>
                                  <w:sz w:val="28"/>
                                </w:rPr>
                                <w:t> </w:t>
                              </w:r>
                              <w:r>
                                <w:rPr>
                                  <w:color w:val="374151"/>
                                  <w:sz w:val="28"/>
                                </w:rPr>
                                <w:t>when</w:t>
                              </w:r>
                              <w:r>
                                <w:rPr>
                                  <w:color w:val="374151"/>
                                  <w:spacing w:val="-2"/>
                                  <w:sz w:val="28"/>
                                </w:rPr>
                                <w:t> needed.</w:t>
                              </w:r>
                            </w:p>
                          </w:txbxContent>
                        </wps:txbx>
                        <wps:bodyPr wrap="square" lIns="0" tIns="0" rIns="0" bIns="0" rtlCol="0">
                          <a:noAutofit/>
                        </wps:bodyPr>
                      </wps:wsp>
                    </wpg:wgp>
                  </a:graphicData>
                </a:graphic>
              </wp:anchor>
            </w:drawing>
          </mc:Choice>
          <mc:Fallback>
            <w:pict>
              <v:group style="position:absolute;margin-left:84pt;margin-top:64.500412pt;width:182.8pt;height:62pt;mso-position-horizontal-relative:page;mso-position-vertical-relative:paragraph;z-index:-15715840;mso-wrap-distance-left:0;mso-wrap-distance-right:0" id="docshapegroup55" coordorigin="1680,1290" coordsize="3656,1240">
                <v:shape style="position:absolute;left:1680;top:1910;width:3656;height:620" type="#_x0000_t202" id="docshape56" filled="true" fillcolor="#f7f7f8" stroked="false">
                  <v:textbox inset="0,0,0,0">
                    <w:txbxContent>
                      <w:p>
                        <w:pPr>
                          <w:spacing w:line="308" w:lineRule="exact" w:before="0"/>
                          <w:ind w:left="0" w:right="0" w:firstLine="0"/>
                          <w:jc w:val="left"/>
                          <w:rPr>
                            <w:b/>
                            <w:color w:val="000000"/>
                            <w:sz w:val="28"/>
                          </w:rPr>
                        </w:pPr>
                        <w:r>
                          <w:rPr>
                            <w:b/>
                            <w:color w:val="374151"/>
                            <w:sz w:val="28"/>
                          </w:rPr>
                          <w:t>Challenges</w:t>
                        </w:r>
                        <w:r>
                          <w:rPr>
                            <w:b/>
                            <w:color w:val="374151"/>
                            <w:spacing w:val="-3"/>
                            <w:sz w:val="28"/>
                          </w:rPr>
                          <w:t> </w:t>
                        </w:r>
                        <w:r>
                          <w:rPr>
                            <w:b/>
                            <w:color w:val="374151"/>
                            <w:sz w:val="28"/>
                          </w:rPr>
                          <w:t>and</w:t>
                        </w:r>
                        <w:r>
                          <w:rPr>
                            <w:b/>
                            <w:color w:val="374151"/>
                            <w:spacing w:val="-3"/>
                            <w:sz w:val="28"/>
                          </w:rPr>
                          <w:t> </w:t>
                        </w:r>
                        <w:r>
                          <w:rPr>
                            <w:b/>
                            <w:color w:val="374151"/>
                            <w:sz w:val="28"/>
                          </w:rPr>
                          <w:t>Self-</w:t>
                        </w:r>
                        <w:r>
                          <w:rPr>
                            <w:b/>
                            <w:color w:val="374151"/>
                            <w:spacing w:val="-2"/>
                            <w:sz w:val="28"/>
                          </w:rPr>
                          <w:t>Reflection</w:t>
                        </w:r>
                      </w:p>
                    </w:txbxContent>
                  </v:textbox>
                  <v:fill type="solid"/>
                  <w10:wrap type="none"/>
                </v:shape>
                <v:shape style="position:absolute;left:2618;top:1290;width:2542;height:620" type="#_x0000_t202" id="docshape57" filled="true" fillcolor="#f7f7f8" stroked="false">
                  <v:textbox inset="0,0,0,0">
                    <w:txbxContent>
                      <w:p>
                        <w:pPr>
                          <w:spacing w:line="308" w:lineRule="exact" w:before="0"/>
                          <w:ind w:left="0" w:right="-15" w:firstLine="0"/>
                          <w:jc w:val="left"/>
                          <w:rPr>
                            <w:color w:val="000000"/>
                            <w:sz w:val="28"/>
                          </w:rPr>
                        </w:pPr>
                        <w:r>
                          <w:rPr>
                            <w:color w:val="374151"/>
                            <w:sz w:val="28"/>
                          </w:rPr>
                          <w:t>referrals</w:t>
                        </w:r>
                        <w:r>
                          <w:rPr>
                            <w:color w:val="374151"/>
                            <w:spacing w:val="-2"/>
                            <w:sz w:val="28"/>
                          </w:rPr>
                          <w:t> </w:t>
                        </w:r>
                        <w:r>
                          <w:rPr>
                            <w:color w:val="374151"/>
                            <w:sz w:val="28"/>
                          </w:rPr>
                          <w:t>when</w:t>
                        </w:r>
                        <w:r>
                          <w:rPr>
                            <w:color w:val="374151"/>
                            <w:spacing w:val="-2"/>
                            <w:sz w:val="28"/>
                          </w:rPr>
                          <w:t> needed.</w:t>
                        </w:r>
                      </w:p>
                    </w:txbxContent>
                  </v:textbox>
                  <v:fill type="solid"/>
                  <w10:wrap type="none"/>
                </v:shape>
                <w10:wrap type="topAndBottom"/>
              </v:group>
            </w:pict>
          </mc:Fallback>
        </mc:AlternateContent>
      </w:r>
      <w:r>
        <w:rPr>
          <w:color w:val="374151"/>
          <w:shd w:fill="F7F7F8" w:color="auto" w:val="clear"/>
        </w:rPr>
        <w:t>who specialize in LGBTQ+ mental health or consulting with </w:t>
      </w:r>
      <w:r>
        <w:rPr>
          <w:color w:val="374151"/>
        </w:rPr>
        <w:t> </w:t>
      </w:r>
      <w:r>
        <w:rPr>
          <w:color w:val="374151"/>
          <w:shd w:fill="F7F7F8" w:color="auto" w:val="clear"/>
        </w:rPr>
        <w:t>community organizations can be beneficial in providing </w:t>
      </w:r>
      <w:r>
        <w:rPr>
          <w:color w:val="374151"/>
        </w:rPr>
        <w:t> </w:t>
      </w:r>
      <w:r>
        <w:rPr>
          <w:color w:val="374151"/>
          <w:shd w:fill="F7F7F8" w:color="auto" w:val="clear"/>
        </w:rPr>
        <w:t>comprehensive care. Establishing a network of trusted professionals </w:t>
      </w:r>
      <w:r>
        <w:rPr>
          <w:color w:val="374151"/>
        </w:rPr>
        <w:t> </w:t>
      </w:r>
      <w:r>
        <w:rPr>
          <w:color w:val="374151"/>
          <w:shd w:fill="F7F7F8" w:color="auto" w:val="clear"/>
        </w:rPr>
        <w:t>and being familiar with LGBTQ+ resources can facilitate appropriate</w:t>
      </w:r>
      <w:r>
        <w:rPr>
          <w:color w:val="374151"/>
          <w:spacing w:val="40"/>
          <w:shd w:fill="F7F7F8" w:color="auto" w:val="clear"/>
        </w:rPr>
        <w:t> </w:t>
      </w:r>
    </w:p>
    <w:p>
      <w:pPr>
        <w:pStyle w:val="BodyText"/>
        <w:spacing w:line="237" w:lineRule="auto"/>
        <w:ind w:left="280" w:right="502"/>
        <w:rPr>
          <w:rFonts w:ascii="Arial"/>
          <w:sz w:val="24"/>
        </w:rPr>
      </w:pPr>
      <w:r>
        <w:rPr>
          <w:color w:val="374151"/>
          <w:shd w:fill="F7F7F8" w:color="auto" w:val="clear"/>
        </w:rPr>
        <w:t>Engaging with sexual diversity in mental health practice also requires self-</w:t>
      </w:r>
      <w:r>
        <w:rPr>
          <w:color w:val="374151"/>
        </w:rPr>
        <w:t> </w:t>
      </w:r>
      <w:r>
        <w:rPr>
          <w:color w:val="374151"/>
          <w:shd w:fill="F7F7F8" w:color="auto" w:val="clear"/>
        </w:rPr>
        <w:t>reflection and recognition of personal biases. Implicit biases or lack of </w:t>
      </w:r>
      <w:r>
        <w:rPr>
          <w:color w:val="374151"/>
        </w:rPr>
        <w:t> </w:t>
      </w:r>
      <w:r>
        <w:rPr>
          <w:color w:val="374151"/>
          <w:shd w:fill="F7F7F8" w:color="auto" w:val="clear"/>
        </w:rPr>
        <w:t>awareness</w:t>
      </w:r>
      <w:r>
        <w:rPr>
          <w:color w:val="374151"/>
          <w:spacing w:val="-6"/>
          <w:shd w:fill="F7F7F8" w:color="auto" w:val="clear"/>
        </w:rPr>
        <w:t> </w:t>
      </w:r>
      <w:r>
        <w:rPr>
          <w:color w:val="374151"/>
          <w:shd w:fill="F7F7F8" w:color="auto" w:val="clear"/>
        </w:rPr>
        <w:t>can</w:t>
      </w:r>
      <w:r>
        <w:rPr>
          <w:color w:val="374151"/>
          <w:spacing w:val="-5"/>
          <w:shd w:fill="F7F7F8" w:color="auto" w:val="clear"/>
        </w:rPr>
        <w:t> </w:t>
      </w:r>
      <w:r>
        <w:rPr>
          <w:color w:val="374151"/>
          <w:shd w:fill="F7F7F8" w:color="auto" w:val="clear"/>
        </w:rPr>
        <w:t>unintentionally</w:t>
      </w:r>
      <w:r>
        <w:rPr>
          <w:color w:val="374151"/>
          <w:spacing w:val="-5"/>
          <w:shd w:fill="F7F7F8" w:color="auto" w:val="clear"/>
        </w:rPr>
        <w:t> </w:t>
      </w:r>
      <w:r>
        <w:rPr>
          <w:color w:val="374151"/>
          <w:shd w:fill="F7F7F8" w:color="auto" w:val="clear"/>
        </w:rPr>
        <w:t>impact</w:t>
      </w:r>
      <w:r>
        <w:rPr>
          <w:color w:val="374151"/>
          <w:spacing w:val="-5"/>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therapeutic</w:t>
      </w:r>
      <w:r>
        <w:rPr>
          <w:color w:val="374151"/>
          <w:spacing w:val="-5"/>
          <w:shd w:fill="F7F7F8" w:color="auto" w:val="clear"/>
        </w:rPr>
        <w:t> </w:t>
      </w:r>
      <w:r>
        <w:rPr>
          <w:color w:val="374151"/>
          <w:shd w:fill="F7F7F8" w:color="auto" w:val="clear"/>
        </w:rPr>
        <w:t>relationship.</w:t>
      </w:r>
      <w:r>
        <w:rPr>
          <w:color w:val="374151"/>
          <w:spacing w:val="-5"/>
          <w:shd w:fill="F7F7F8" w:color="auto" w:val="clear"/>
        </w:rPr>
        <w:t> </w:t>
      </w:r>
      <w:r>
        <w:rPr>
          <w:color w:val="374151"/>
          <w:shd w:fill="F7F7F8" w:color="auto" w:val="clear"/>
        </w:rPr>
        <w:t>Engaging</w:t>
      </w:r>
      <w:r>
        <w:rPr>
          <w:color w:val="374151"/>
          <w:spacing w:val="-5"/>
          <w:shd w:fill="F7F7F8" w:color="auto" w:val="clear"/>
        </w:rPr>
        <w:t> </w:t>
      </w:r>
      <w:r>
        <w:rPr>
          <w:color w:val="374151"/>
          <w:shd w:fill="F7F7F8" w:color="auto" w:val="clear"/>
        </w:rPr>
        <w:t>in</w:t>
      </w:r>
      <w:r>
        <w:rPr>
          <w:color w:val="374151"/>
          <w:spacing w:val="-18"/>
          <w:shd w:fill="F7F7F8" w:color="auto" w:val="clear"/>
        </w:rPr>
        <w:t> </w:t>
      </w:r>
      <w:r>
        <w:rPr>
          <w:color w:val="374151"/>
          <w:spacing w:val="-18"/>
        </w:rPr>
        <w:t> </w:t>
      </w:r>
      <w:r>
        <w:rPr>
          <w:color w:val="374151"/>
          <w:shd w:fill="F7F7F8" w:color="auto" w:val="clear"/>
        </w:rPr>
        <w:t>ongoing self-reflection, attending diversity and inclusion training, and seeking</w:t>
      </w:r>
      <w:r>
        <w:rPr>
          <w:color w:val="374151"/>
          <w:spacing w:val="-1"/>
          <w:shd w:fill="F7F7F8" w:color="auto" w:val="clear"/>
        </w:rPr>
        <w:t> </w:t>
      </w:r>
      <w:r>
        <w:rPr>
          <w:color w:val="374151"/>
          <w:spacing w:val="-1"/>
        </w:rPr>
        <w:t> </w:t>
      </w:r>
      <w:r>
        <w:rPr>
          <w:color w:val="374151"/>
          <w:shd w:fill="F7F7F8" w:color="auto" w:val="clear"/>
        </w:rPr>
        <w:t>supervision</w:t>
      </w:r>
      <w:r>
        <w:rPr>
          <w:color w:val="374151"/>
          <w:spacing w:val="-4"/>
          <w:shd w:fill="F7F7F8" w:color="auto" w:val="clear"/>
        </w:rPr>
        <w:t> </w:t>
      </w:r>
      <w:r>
        <w:rPr>
          <w:color w:val="374151"/>
          <w:shd w:fill="F7F7F8" w:color="auto" w:val="clear"/>
        </w:rPr>
        <w:t>can</w:t>
      </w:r>
      <w:r>
        <w:rPr>
          <w:color w:val="374151"/>
          <w:spacing w:val="-2"/>
          <w:shd w:fill="F7F7F8" w:color="auto" w:val="clear"/>
        </w:rPr>
        <w:t> </w:t>
      </w:r>
      <w:r>
        <w:rPr>
          <w:color w:val="374151"/>
          <w:shd w:fill="F7F7F8" w:color="auto" w:val="clear"/>
        </w:rPr>
        <w:t>aid</w:t>
      </w:r>
      <w:r>
        <w:rPr>
          <w:color w:val="374151"/>
          <w:spacing w:val="-2"/>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addressing</w:t>
      </w:r>
      <w:r>
        <w:rPr>
          <w:color w:val="374151"/>
          <w:spacing w:val="-2"/>
          <w:shd w:fill="F7F7F8" w:color="auto" w:val="clear"/>
        </w:rPr>
        <w:t> </w:t>
      </w:r>
      <w:r>
        <w:rPr>
          <w:color w:val="374151"/>
          <w:shd w:fill="F7F7F8" w:color="auto" w:val="clear"/>
        </w:rPr>
        <w:t>personal</w:t>
      </w:r>
      <w:r>
        <w:rPr>
          <w:color w:val="374151"/>
          <w:spacing w:val="-2"/>
          <w:shd w:fill="F7F7F8" w:color="auto" w:val="clear"/>
        </w:rPr>
        <w:t> </w:t>
      </w:r>
      <w:r>
        <w:rPr>
          <w:color w:val="374151"/>
          <w:shd w:fill="F7F7F8" w:color="auto" w:val="clear"/>
        </w:rPr>
        <w:t>biases</w:t>
      </w:r>
      <w:r>
        <w:rPr>
          <w:color w:val="374151"/>
          <w:spacing w:val="-1"/>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ensuring</w:t>
      </w:r>
      <w:r>
        <w:rPr>
          <w:color w:val="374151"/>
          <w:spacing w:val="-2"/>
          <w:shd w:fill="F7F7F8" w:color="auto" w:val="clear"/>
        </w:rPr>
        <w:t> </w:t>
      </w:r>
      <w:r>
        <w:rPr>
          <w:color w:val="374151"/>
          <w:shd w:fill="F7F7F8" w:color="auto" w:val="clear"/>
        </w:rPr>
        <w:t>ethical</w:t>
      </w:r>
      <w:r>
        <w:rPr>
          <w:color w:val="374151"/>
          <w:spacing w:val="-1"/>
          <w:shd w:fill="F7F7F8" w:color="auto" w:val="clear"/>
        </w:rPr>
        <w:t> </w:t>
      </w:r>
      <w:r>
        <w:rPr>
          <w:color w:val="374151"/>
          <w:spacing w:val="-2"/>
          <w:shd w:fill="F7F7F8" w:color="auto" w:val="clear"/>
        </w:rPr>
        <w:t>practice</w:t>
      </w:r>
      <w:r>
        <w:rPr>
          <w:rFonts w:ascii="Arial"/>
          <w:color w:val="374151"/>
          <w:spacing w:val="-2"/>
          <w:sz w:val="24"/>
          <w:shd w:fill="F7F7F8" w:color="auto" w:val="clear"/>
        </w:rPr>
        <w:t>.</w:t>
      </w:r>
    </w:p>
    <w:p>
      <w:pPr>
        <w:spacing w:after="0" w:line="237" w:lineRule="auto"/>
        <w:rPr>
          <w:rFonts w:ascii="Arial"/>
          <w:sz w:val="24"/>
        </w:rPr>
        <w:sectPr>
          <w:pgSz w:w="12240" w:h="15840"/>
          <w:pgMar w:header="0" w:footer="765" w:top="1260" w:bottom="980" w:left="1400" w:right="1180"/>
        </w:sectPr>
      </w:pPr>
    </w:p>
    <w:p>
      <w:pPr>
        <w:pStyle w:val="BodyText"/>
        <w:rPr>
          <w:rFonts w:ascii="Arial"/>
          <w:sz w:val="20"/>
        </w:rPr>
      </w:pPr>
    </w:p>
    <w:p>
      <w:pPr>
        <w:pStyle w:val="BodyText"/>
        <w:rPr>
          <w:rFonts w:ascii="Arial"/>
          <w:sz w:val="25"/>
        </w:rPr>
      </w:pPr>
    </w:p>
    <w:p>
      <w:pPr>
        <w:pStyle w:val="BodyText"/>
        <w:spacing w:before="88"/>
        <w:ind w:left="280" w:right="498"/>
      </w:pPr>
      <w:r>
        <w:rPr/>
        <mc:AlternateContent>
          <mc:Choice Requires="wps">
            <w:drawing>
              <wp:anchor distT="0" distB="0" distL="0" distR="0" allowOverlap="1" layoutInCell="1" locked="0" behindDoc="0" simplePos="0" relativeHeight="15742464">
                <wp:simplePos x="0" y="0"/>
                <wp:positionH relativeFrom="page">
                  <wp:posOffset>1066800</wp:posOffset>
                </wp:positionH>
                <wp:positionV relativeFrom="paragraph">
                  <wp:posOffset>-329015</wp:posOffset>
                </wp:positionV>
                <wp:extent cx="850265" cy="39370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85026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pacing w:val="-2"/>
                                <w:sz w:val="28"/>
                              </w:rPr>
                              <w:t>Conclusion</w:t>
                            </w:r>
                          </w:p>
                        </w:txbxContent>
                      </wps:txbx>
                      <wps:bodyPr wrap="square" lIns="0" tIns="0" rIns="0" bIns="0" rtlCol="0">
                        <a:noAutofit/>
                      </wps:bodyPr>
                    </wps:wsp>
                  </a:graphicData>
                </a:graphic>
              </wp:anchor>
            </w:drawing>
          </mc:Choice>
          <mc:Fallback>
            <w:pict>
              <v:shape style="position:absolute;margin-left:84pt;margin-top:-25.906702pt;width:66.95pt;height:31pt;mso-position-horizontal-relative:page;mso-position-vertical-relative:paragraph;z-index:15742464" type="#_x0000_t202" id="docshape58" filled="true" fillcolor="#f7f7f8" stroked="false">
                <v:textbox inset="0,0,0,0">
                  <w:txbxContent>
                    <w:p>
                      <w:pPr>
                        <w:spacing w:line="308" w:lineRule="exact" w:before="0"/>
                        <w:ind w:left="0" w:right="0" w:firstLine="0"/>
                        <w:jc w:val="left"/>
                        <w:rPr>
                          <w:b/>
                          <w:color w:val="000000"/>
                          <w:sz w:val="28"/>
                        </w:rPr>
                      </w:pPr>
                      <w:r>
                        <w:rPr>
                          <w:b/>
                          <w:color w:val="374151"/>
                          <w:spacing w:val="-2"/>
                          <w:sz w:val="28"/>
                        </w:rPr>
                        <w:t>Conclusion</w:t>
                      </w:r>
                    </w:p>
                  </w:txbxContent>
                </v:textbox>
                <v:fill type="solid"/>
                <w10:wrap type="none"/>
              </v:shape>
            </w:pict>
          </mc:Fallback>
        </mc:AlternateContent>
      </w:r>
      <w:r>
        <w:rPr>
          <w:color w:val="374151"/>
          <w:shd w:fill="F7F7F8" w:color="auto" w:val="clear"/>
        </w:rPr>
        <w:t>As licensed mental health professionals, we have a vital role in supporting the </w:t>
      </w:r>
      <w:r>
        <w:rPr>
          <w:color w:val="374151"/>
        </w:rPr>
        <w:t> </w:t>
      </w:r>
      <w:r>
        <w:rPr>
          <w:color w:val="374151"/>
          <w:shd w:fill="F7F7F8" w:color="auto" w:val="clear"/>
        </w:rPr>
        <w:t>well-being of sexual minority clients. Embracing sexual diversity in our </w:t>
      </w:r>
      <w:r>
        <w:rPr>
          <w:color w:val="374151"/>
        </w:rPr>
        <w:t> </w:t>
      </w:r>
      <w:r>
        <w:rPr>
          <w:color w:val="374151"/>
          <w:shd w:fill="F7F7F8" w:color="auto" w:val="clear"/>
        </w:rPr>
        <w:t>practice involves continuous learning, cultural competence development, and </w:t>
      </w:r>
      <w:r>
        <w:rPr>
          <w:color w:val="374151"/>
        </w:rPr>
        <w:t> </w:t>
      </w:r>
      <w:r>
        <w:rPr>
          <w:color w:val="374151"/>
          <w:shd w:fill="F7F7F8" w:color="auto" w:val="clear"/>
        </w:rPr>
        <w:t>creating</w:t>
      </w:r>
      <w:r>
        <w:rPr>
          <w:color w:val="374151"/>
          <w:spacing w:val="-4"/>
          <w:shd w:fill="F7F7F8" w:color="auto" w:val="clear"/>
        </w:rPr>
        <w:t> </w:t>
      </w:r>
      <w:r>
        <w:rPr>
          <w:color w:val="374151"/>
          <w:shd w:fill="F7F7F8" w:color="auto" w:val="clear"/>
        </w:rPr>
        <w:t>a</w:t>
      </w:r>
      <w:r>
        <w:rPr>
          <w:color w:val="374151"/>
          <w:spacing w:val="-4"/>
        </w:rPr>
        <w:t> </w:t>
      </w:r>
      <w:r>
        <w:rPr>
          <w:color w:val="374151"/>
          <w:shd w:fill="F7F7F8" w:color="auto" w:val="clear"/>
        </w:rPr>
        <w:t>safe</w:t>
      </w:r>
      <w:r>
        <w:rPr>
          <w:color w:val="374151"/>
          <w:spacing w:val="-5"/>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affirming</w:t>
      </w:r>
      <w:r>
        <w:rPr>
          <w:color w:val="374151"/>
          <w:spacing w:val="-4"/>
          <w:shd w:fill="F7F7F8" w:color="auto" w:val="clear"/>
        </w:rPr>
        <w:t> </w:t>
      </w:r>
      <w:r>
        <w:rPr>
          <w:color w:val="374151"/>
          <w:shd w:fill="F7F7F8" w:color="auto" w:val="clear"/>
        </w:rPr>
        <w:t>environment</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our</w:t>
      </w:r>
      <w:r>
        <w:rPr>
          <w:color w:val="374151"/>
          <w:spacing w:val="-4"/>
          <w:shd w:fill="F7F7F8" w:color="auto" w:val="clear"/>
        </w:rPr>
        <w:t> </w:t>
      </w:r>
      <w:r>
        <w:rPr>
          <w:color w:val="374151"/>
          <w:shd w:fill="F7F7F8" w:color="auto" w:val="clear"/>
        </w:rPr>
        <w:t>clients.</w:t>
      </w:r>
      <w:r>
        <w:rPr>
          <w:color w:val="374151"/>
          <w:spacing w:val="-4"/>
          <w:shd w:fill="F7F7F8" w:color="auto" w:val="clear"/>
        </w:rPr>
        <w:t> </w:t>
      </w:r>
      <w:r>
        <w:rPr>
          <w:color w:val="374151"/>
          <w:shd w:fill="F7F7F8" w:color="auto" w:val="clear"/>
        </w:rPr>
        <w:t>By</w:t>
      </w:r>
      <w:r>
        <w:rPr>
          <w:color w:val="374151"/>
          <w:spacing w:val="-4"/>
          <w:shd w:fill="F7F7F8" w:color="auto" w:val="clear"/>
        </w:rPr>
        <w:t> </w:t>
      </w:r>
      <w:r>
        <w:rPr>
          <w:color w:val="374151"/>
          <w:shd w:fill="F7F7F8" w:color="auto" w:val="clear"/>
        </w:rPr>
        <w:t>understanding</w:t>
      </w:r>
      <w:r>
        <w:rPr>
          <w:color w:val="374151"/>
          <w:spacing w:val="-4"/>
          <w:shd w:fill="F7F7F8" w:color="auto" w:val="clear"/>
        </w:rPr>
        <w:t> </w:t>
      </w:r>
      <w:r>
        <w:rPr>
          <w:color w:val="374151"/>
          <w:shd w:fill="F7F7F8" w:color="auto" w:val="clear"/>
        </w:rPr>
        <w:t>the</w:t>
      </w:r>
      <w:r>
        <w:rPr>
          <w:color w:val="374151"/>
        </w:rPr>
        <w:t> </w:t>
      </w:r>
      <w:r>
        <w:rPr>
          <w:color w:val="374151"/>
          <w:shd w:fill="F7F7F8" w:color="auto" w:val="clear"/>
        </w:rPr>
        <w:t>impact</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identity</w:t>
      </w:r>
      <w:r>
        <w:rPr>
          <w:color w:val="374151"/>
          <w:spacing w:val="-4"/>
          <w:shd w:fill="F7F7F8" w:color="auto" w:val="clear"/>
        </w:rPr>
        <w:t> </w:t>
      </w:r>
      <w:r>
        <w:rPr>
          <w:color w:val="374151"/>
          <w:shd w:fill="F7F7F8" w:color="auto" w:val="clear"/>
        </w:rPr>
        <w:t>on</w:t>
      </w:r>
      <w:r>
        <w:rPr>
          <w:color w:val="374151"/>
          <w:spacing w:val="-4"/>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tailoring</w:t>
      </w:r>
      <w:r>
        <w:rPr>
          <w:color w:val="374151"/>
          <w:spacing w:val="-4"/>
          <w:shd w:fill="F7F7F8" w:color="auto" w:val="clear"/>
        </w:rPr>
        <w:t> </w:t>
      </w:r>
      <w:r>
        <w:rPr>
          <w:color w:val="374151"/>
          <w:shd w:fill="F7F7F8" w:color="auto" w:val="clear"/>
        </w:rPr>
        <w:t>our</w:t>
      </w:r>
      <w:r>
        <w:rPr>
          <w:color w:val="374151"/>
          <w:spacing w:val="-4"/>
          <w:shd w:fill="F7F7F8" w:color="auto" w:val="clear"/>
        </w:rPr>
        <w:t> </w:t>
      </w:r>
      <w:r>
        <w:rPr>
          <w:color w:val="374151"/>
          <w:shd w:fill="F7F7F8" w:color="auto" w:val="clear"/>
        </w:rPr>
        <w:t>approaches</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meet</w:t>
      </w:r>
      <w:r>
        <w:rPr>
          <w:color w:val="374151"/>
        </w:rPr>
        <w:t> </w:t>
      </w:r>
      <w:r>
        <w:rPr>
          <w:color w:val="374151"/>
          <w:shd w:fill="F7F7F8" w:color="auto" w:val="clear"/>
        </w:rPr>
        <w:t>the unique needs of sexual minority individuals, we can foster healing, </w:t>
      </w:r>
      <w:r>
        <w:rPr>
          <w:color w:val="374151"/>
        </w:rPr>
        <w:t> </w:t>
      </w:r>
      <w:r>
        <w:rPr>
          <w:color w:val="374151"/>
          <w:shd w:fill="F7F7F8" w:color="auto" w:val="clear"/>
        </w:rPr>
        <w:t>resilience, and empowerment.</w:t>
      </w:r>
    </w:p>
    <w:p>
      <w:pPr>
        <w:pStyle w:val="BodyText"/>
        <w:spacing w:before="1"/>
        <w:rPr>
          <w:sz w:val="30"/>
        </w:rPr>
      </w:pPr>
    </w:p>
    <w:p>
      <w:pPr>
        <w:pStyle w:val="BodyText"/>
        <w:spacing w:before="1"/>
        <w:ind w:left="280" w:right="559"/>
      </w:pPr>
      <w:r>
        <w:rPr>
          <w:color w:val="374151"/>
          <w:shd w:fill="F7F7F8" w:color="auto" w:val="clear"/>
        </w:rPr>
        <w:t>As we continue to navigate the landscape of sexual diversity, it is essential to </w:t>
      </w:r>
      <w:r>
        <w:rPr>
          <w:color w:val="374151"/>
        </w:rPr>
        <w:t> </w:t>
      </w:r>
      <w:r>
        <w:rPr>
          <w:color w:val="374151"/>
          <w:shd w:fill="F7F7F8" w:color="auto" w:val="clear"/>
        </w:rPr>
        <w:t>acknowledge and address the challenges that may arise in our practice. Some </w:t>
      </w:r>
      <w:r>
        <w:rPr>
          <w:color w:val="374151"/>
        </w:rPr>
        <w:t> </w:t>
      </w:r>
      <w:r>
        <w:rPr>
          <w:color w:val="374151"/>
          <w:shd w:fill="F7F7F8" w:color="auto" w:val="clear"/>
        </w:rPr>
        <w:t>of these challenges include personal biases, lack of knowledge or experience, </w:t>
      </w:r>
      <w:r>
        <w:rPr>
          <w:color w:val="374151"/>
        </w:rPr>
        <w:t> </w:t>
      </w:r>
      <w:r>
        <w:rPr>
          <w:color w:val="374151"/>
          <w:shd w:fill="F7F7F8" w:color="auto" w:val="clear"/>
        </w:rPr>
        <w:t>fear of saying or doing the wrong thing, and potential conflicts with religious </w:t>
      </w:r>
      <w:r>
        <w:rPr>
          <w:color w:val="374151"/>
        </w:rPr>
        <w:t> </w:t>
      </w:r>
      <w:r>
        <w:rPr>
          <w:color w:val="374151"/>
          <w:shd w:fill="F7F7F8" w:color="auto" w:val="clear"/>
        </w:rPr>
        <w:t>or cultural beliefs. It is crucial to approach these challenges with an open </w:t>
      </w:r>
      <w:r>
        <w:rPr>
          <w:color w:val="374151"/>
        </w:rPr>
        <w:t> </w:t>
      </w:r>
      <w:r>
        <w:rPr>
          <w:color w:val="374151"/>
          <w:shd w:fill="F7F7F8" w:color="auto" w:val="clear"/>
        </w:rPr>
        <w:t>mind,</w:t>
      </w:r>
      <w:r>
        <w:rPr>
          <w:color w:val="374151"/>
          <w:spacing w:val="-3"/>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commitment</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learning,</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willingness</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confront</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address</w:t>
      </w:r>
      <w:r>
        <w:rPr>
          <w:color w:val="374151"/>
          <w:spacing w:val="-3"/>
          <w:shd w:fill="F7F7F8" w:color="auto" w:val="clear"/>
        </w:rPr>
        <w:t> </w:t>
      </w:r>
      <w:r>
        <w:rPr>
          <w:color w:val="374151"/>
          <w:shd w:fill="F7F7F8" w:color="auto" w:val="clear"/>
        </w:rPr>
        <w:t>our</w:t>
      </w:r>
      <w:r>
        <w:rPr>
          <w:color w:val="374151"/>
          <w:spacing w:val="-12"/>
          <w:shd w:fill="F7F7F8" w:color="auto" w:val="clear"/>
        </w:rPr>
        <w:t> </w:t>
      </w:r>
      <w:r>
        <w:rPr>
          <w:color w:val="374151"/>
          <w:spacing w:val="-12"/>
        </w:rPr>
        <w:t> </w:t>
      </w:r>
      <w:r>
        <w:rPr>
          <w:color w:val="374151"/>
          <w:shd w:fill="F7F7F8" w:color="auto" w:val="clear"/>
        </w:rPr>
        <w:t>own biases and limitations.</w:t>
      </w:r>
      <w:r>
        <w:rPr>
          <w:color w:val="374151"/>
        </w:rPr>
        <w:t> </w:t>
      </w:r>
      <w:r>
        <w:rPr>
          <w:color w:val="374151"/>
          <w:shd w:fill="F7F7F8" w:color="auto" w:val="clear"/>
        </w:rPr>
        <w:t>Self-reflection is a valuable tool in this process.</w:t>
      </w:r>
      <w:r>
        <w:rPr>
          <w:color w:val="374151"/>
          <w:spacing w:val="40"/>
          <w:shd w:fill="F7F7F8" w:color="auto" w:val="clear"/>
        </w:rPr>
        <w:t> </w:t>
      </w:r>
    </w:p>
    <w:p>
      <w:pPr>
        <w:pStyle w:val="BodyText"/>
        <w:spacing w:line="237" w:lineRule="auto"/>
        <w:ind w:left="280" w:right="502"/>
      </w:pPr>
      <w:r>
        <w:rPr>
          <w:color w:val="374151"/>
          <w:shd w:fill="F7F7F8" w:color="auto" w:val="clear"/>
        </w:rPr>
        <w:t>Regularly examining our own beliefs, assumptions, and prejudices helps us to </w:t>
      </w:r>
      <w:r>
        <w:rPr>
          <w:color w:val="374151"/>
        </w:rPr>
        <w:t> </w:t>
      </w:r>
      <w:r>
        <w:rPr>
          <w:color w:val="374151"/>
          <w:shd w:fill="F7F7F8" w:color="auto" w:val="clear"/>
        </w:rPr>
        <w:t>identify</w:t>
      </w:r>
      <w:r>
        <w:rPr>
          <w:color w:val="374151"/>
          <w:spacing w:val="-4"/>
          <w:shd w:fill="F7F7F8" w:color="auto" w:val="clear"/>
        </w:rPr>
        <w:t> </w:t>
      </w:r>
      <w:r>
        <w:rPr>
          <w:color w:val="374151"/>
          <w:shd w:fill="F7F7F8" w:color="auto" w:val="clear"/>
        </w:rPr>
        <w:t>areas</w:t>
      </w:r>
      <w:r>
        <w:rPr>
          <w:color w:val="374151"/>
          <w:spacing w:val="-4"/>
          <w:shd w:fill="F7F7F8" w:color="auto" w:val="clear"/>
        </w:rPr>
        <w:t> </w:t>
      </w:r>
      <w:r>
        <w:rPr>
          <w:color w:val="374151"/>
          <w:shd w:fill="F7F7F8" w:color="auto" w:val="clear"/>
        </w:rPr>
        <w:t>where</w:t>
      </w:r>
      <w:r>
        <w:rPr>
          <w:color w:val="374151"/>
          <w:spacing w:val="-5"/>
          <w:shd w:fill="F7F7F8" w:color="auto" w:val="clear"/>
        </w:rPr>
        <w:t> </w:t>
      </w:r>
      <w:r>
        <w:rPr>
          <w:color w:val="374151"/>
          <w:shd w:fill="F7F7F8" w:color="auto" w:val="clear"/>
        </w:rPr>
        <w:t>we</w:t>
      </w:r>
      <w:r>
        <w:rPr>
          <w:color w:val="374151"/>
          <w:spacing w:val="-5"/>
          <w:shd w:fill="F7F7F8" w:color="auto" w:val="clear"/>
        </w:rPr>
        <w:t> </w:t>
      </w:r>
      <w:r>
        <w:rPr>
          <w:color w:val="374151"/>
          <w:shd w:fill="F7F7F8" w:color="auto" w:val="clear"/>
        </w:rPr>
        <w:t>may</w:t>
      </w:r>
      <w:r>
        <w:rPr>
          <w:color w:val="374151"/>
          <w:spacing w:val="-4"/>
          <w:shd w:fill="F7F7F8" w:color="auto" w:val="clear"/>
        </w:rPr>
        <w:t> </w:t>
      </w:r>
      <w:r>
        <w:rPr>
          <w:color w:val="374151"/>
          <w:shd w:fill="F7F7F8" w:color="auto" w:val="clear"/>
        </w:rPr>
        <w:t>need</w:t>
      </w:r>
      <w:r>
        <w:rPr>
          <w:color w:val="374151"/>
          <w:spacing w:val="-4"/>
          <w:shd w:fill="F7F7F8" w:color="auto" w:val="clear"/>
        </w:rPr>
        <w:t> </w:t>
      </w:r>
      <w:r>
        <w:rPr>
          <w:color w:val="374151"/>
          <w:shd w:fill="F7F7F8" w:color="auto" w:val="clear"/>
        </w:rPr>
        <w:t>further</w:t>
      </w:r>
      <w:r>
        <w:rPr>
          <w:color w:val="374151"/>
          <w:spacing w:val="-4"/>
          <w:shd w:fill="F7F7F8" w:color="auto" w:val="clear"/>
        </w:rPr>
        <w:t> </w:t>
      </w:r>
      <w:r>
        <w:rPr>
          <w:color w:val="374151"/>
          <w:shd w:fill="F7F7F8" w:color="auto" w:val="clear"/>
        </w:rPr>
        <w:t>growth</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understanding.</w:t>
      </w:r>
      <w:r>
        <w:rPr>
          <w:color w:val="374151"/>
          <w:spacing w:val="-4"/>
          <w:shd w:fill="F7F7F8" w:color="auto" w:val="clear"/>
        </w:rPr>
        <w:t> </w:t>
      </w:r>
      <w:r>
        <w:rPr>
          <w:color w:val="374151"/>
          <w:shd w:fill="F7F7F8" w:color="auto" w:val="clear"/>
        </w:rPr>
        <w:t>Engaging</w:t>
      </w:r>
      <w:r>
        <w:rPr>
          <w:color w:val="374151"/>
        </w:rPr>
        <w:t> </w:t>
      </w:r>
      <w:r>
        <w:rPr>
          <w:color w:val="374151"/>
          <w:shd w:fill="F7F7F8" w:color="auto" w:val="clear"/>
        </w:rPr>
        <w:t>in conversations with colleagues, seeking supervision, and participating in </w:t>
      </w:r>
      <w:r>
        <w:rPr>
          <w:color w:val="374151"/>
        </w:rPr>
        <w:t> </w:t>
      </w:r>
      <w:r>
        <w:rPr>
          <w:color w:val="374151"/>
          <w:shd w:fill="F7F7F8" w:color="auto" w:val="clear"/>
        </w:rPr>
        <w:t>diversity</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inclusion</w:t>
      </w:r>
      <w:r>
        <w:rPr>
          <w:color w:val="374151"/>
          <w:spacing w:val="-3"/>
          <w:shd w:fill="F7F7F8" w:color="auto" w:val="clear"/>
        </w:rPr>
        <w:t> </w:t>
      </w:r>
      <w:r>
        <w:rPr>
          <w:color w:val="374151"/>
          <w:shd w:fill="F7F7F8" w:color="auto" w:val="clear"/>
        </w:rPr>
        <w:t>training</w:t>
      </w:r>
      <w:r>
        <w:rPr>
          <w:color w:val="374151"/>
          <w:spacing w:val="-3"/>
          <w:shd w:fill="F7F7F8" w:color="auto" w:val="clear"/>
        </w:rPr>
        <w:t> </w:t>
      </w:r>
      <w:r>
        <w:rPr>
          <w:color w:val="374151"/>
          <w:shd w:fill="F7F7F8" w:color="auto" w:val="clear"/>
        </w:rPr>
        <w:t>can</w:t>
      </w:r>
      <w:r>
        <w:rPr>
          <w:color w:val="374151"/>
          <w:spacing w:val="-3"/>
          <w:shd w:fill="F7F7F8" w:color="auto" w:val="clear"/>
        </w:rPr>
        <w:t> </w:t>
      </w:r>
      <w:r>
        <w:rPr>
          <w:color w:val="374151"/>
          <w:shd w:fill="F7F7F8" w:color="auto" w:val="clear"/>
        </w:rPr>
        <w:t>also</w:t>
      </w:r>
      <w:r>
        <w:rPr>
          <w:color w:val="374151"/>
          <w:spacing w:val="-3"/>
          <w:shd w:fill="F7F7F8" w:color="auto" w:val="clear"/>
        </w:rPr>
        <w:t> </w:t>
      </w:r>
      <w:r>
        <w:rPr>
          <w:color w:val="374151"/>
          <w:shd w:fill="F7F7F8" w:color="auto" w:val="clear"/>
        </w:rPr>
        <w:t>support</w:t>
      </w:r>
      <w:r>
        <w:rPr>
          <w:color w:val="374151"/>
          <w:spacing w:val="-3"/>
          <w:shd w:fill="F7F7F8" w:color="auto" w:val="clear"/>
        </w:rPr>
        <w:t> </w:t>
      </w:r>
      <w:r>
        <w:rPr>
          <w:color w:val="374151"/>
          <w:shd w:fill="F7F7F8" w:color="auto" w:val="clear"/>
        </w:rPr>
        <w:t>our</w:t>
      </w:r>
      <w:r>
        <w:rPr>
          <w:color w:val="374151"/>
          <w:spacing w:val="-3"/>
          <w:shd w:fill="F7F7F8" w:color="auto" w:val="clear"/>
        </w:rPr>
        <w:t> </w:t>
      </w:r>
      <w:r>
        <w:rPr>
          <w:color w:val="374151"/>
          <w:shd w:fill="F7F7F8" w:color="auto" w:val="clear"/>
        </w:rPr>
        <w:t>professional</w:t>
      </w:r>
      <w:r>
        <w:rPr>
          <w:color w:val="374151"/>
          <w:spacing w:val="-3"/>
          <w:shd w:fill="F7F7F8" w:color="auto" w:val="clear"/>
        </w:rPr>
        <w:t> </w:t>
      </w:r>
      <w:r>
        <w:rPr>
          <w:color w:val="374151"/>
          <w:shd w:fill="F7F7F8" w:color="auto" w:val="clear"/>
        </w:rPr>
        <w:t>development</w:t>
      </w:r>
      <w:r>
        <w:rPr>
          <w:color w:val="374151"/>
          <w:spacing w:val="-4"/>
          <w:shd w:fill="F7F7F8" w:color="auto" w:val="clear"/>
        </w:rPr>
        <w:t> </w:t>
      </w:r>
      <w:r>
        <w:rPr>
          <w:color w:val="374151"/>
          <w:spacing w:val="-4"/>
        </w:rPr>
        <w:t> </w:t>
      </w:r>
      <w:r>
        <w:rPr>
          <w:color w:val="374151"/>
          <w:shd w:fill="F7F7F8" w:color="auto" w:val="clear"/>
        </w:rPr>
        <w:t>and enhance our ability to provide inclusive care.</w:t>
      </w:r>
    </w:p>
    <w:p>
      <w:pPr>
        <w:pStyle w:val="BodyText"/>
        <w:rPr>
          <w:sz w:val="30"/>
        </w:rPr>
      </w:pPr>
    </w:p>
    <w:p>
      <w:pPr>
        <w:pStyle w:val="BodyText"/>
        <w:spacing w:before="11"/>
        <w:rPr>
          <w:sz w:val="24"/>
        </w:rPr>
      </w:pPr>
    </w:p>
    <w:p>
      <w:pPr>
        <w:pStyle w:val="BodyText"/>
        <w:ind w:left="280" w:right="502"/>
      </w:pPr>
      <w:r>
        <w:rPr>
          <w:color w:val="374151"/>
          <w:shd w:fill="F7F7F8" w:color="auto" w:val="clear"/>
        </w:rPr>
        <w:t>It</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hd w:fill="F7F7F8" w:color="auto" w:val="clear"/>
        </w:rPr>
        <w:t>important</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remember</w:t>
      </w:r>
      <w:r>
        <w:rPr>
          <w:color w:val="374151"/>
          <w:spacing w:val="-4"/>
          <w:shd w:fill="F7F7F8" w:color="auto" w:val="clear"/>
        </w:rPr>
        <w:t> </w:t>
      </w:r>
      <w:r>
        <w:rPr>
          <w:color w:val="374151"/>
          <w:shd w:fill="F7F7F8" w:color="auto" w:val="clear"/>
        </w:rPr>
        <w:t>that</w:t>
      </w:r>
      <w:r>
        <w:rPr>
          <w:color w:val="374151"/>
          <w:spacing w:val="-4"/>
          <w:shd w:fill="F7F7F8" w:color="auto" w:val="clear"/>
        </w:rPr>
        <w:t> </w:t>
      </w:r>
      <w:r>
        <w:rPr>
          <w:color w:val="374151"/>
          <w:shd w:fill="F7F7F8" w:color="auto" w:val="clear"/>
        </w:rPr>
        <w:t>embracing</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diversity</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5"/>
          <w:shd w:fill="F7F7F8" w:color="auto" w:val="clear"/>
        </w:rPr>
        <w:t> </w:t>
      </w:r>
      <w:r>
        <w:rPr>
          <w:color w:val="374151"/>
          <w:spacing w:val="-5"/>
        </w:rPr>
        <w:t> </w:t>
      </w:r>
      <w:r>
        <w:rPr>
          <w:color w:val="374151"/>
          <w:shd w:fill="F7F7F8" w:color="auto" w:val="clear"/>
        </w:rPr>
        <w:t>practice is not a one-time effort but an ongoing commitment. Our </w:t>
      </w:r>
      <w:r>
        <w:rPr>
          <w:color w:val="374151"/>
        </w:rPr>
        <w:t> </w:t>
      </w:r>
      <w:r>
        <w:rPr>
          <w:color w:val="374151"/>
          <w:shd w:fill="F7F7F8" w:color="auto" w:val="clear"/>
        </w:rPr>
        <w:t>understanding of sexual orientations and identities continues to evolve, and </w:t>
      </w:r>
      <w:r>
        <w:rPr>
          <w:color w:val="374151"/>
        </w:rPr>
        <w:t> </w:t>
      </w:r>
      <w:r>
        <w:rPr>
          <w:color w:val="374151"/>
          <w:shd w:fill="F7F7F8" w:color="auto" w:val="clear"/>
        </w:rPr>
        <w:t>staying informed about current research, community resources, and best </w:t>
      </w:r>
      <w:r>
        <w:rPr>
          <w:color w:val="374151"/>
        </w:rPr>
        <w:t> </w:t>
      </w:r>
      <w:r>
        <w:rPr>
          <w:color w:val="374151"/>
          <w:shd w:fill="F7F7F8" w:color="auto" w:val="clear"/>
        </w:rPr>
        <w:t>practices is essential. Engaging with the LGBTQ+ community, attending </w:t>
      </w:r>
      <w:r>
        <w:rPr>
          <w:color w:val="374151"/>
        </w:rPr>
        <w:t> </w:t>
      </w:r>
      <w:r>
        <w:rPr>
          <w:color w:val="374151"/>
          <w:shd w:fill="F7F7F8" w:color="auto" w:val="clear"/>
        </w:rPr>
        <w:t>conferences and workshops, and staying connected to professional </w:t>
      </w:r>
      <w:r>
        <w:rPr>
          <w:color w:val="374151"/>
        </w:rPr>
        <w:t> </w:t>
      </w:r>
      <w:r>
        <w:rPr>
          <w:color w:val="374151"/>
          <w:shd w:fill="F7F7F8" w:color="auto" w:val="clear"/>
        </w:rPr>
        <w:t>organizations that focus on sexual diversity are excellent avenues for</w:t>
      </w:r>
      <w:r>
        <w:rPr>
          <w:color w:val="374151"/>
          <w:spacing w:val="40"/>
          <w:shd w:fill="F7F7F8" w:color="auto" w:val="clear"/>
        </w:rPr>
        <w:t> </w:t>
      </w:r>
    </w:p>
    <w:p>
      <w:pPr>
        <w:pStyle w:val="BodyText"/>
        <w:rPr>
          <w:sz w:val="20"/>
        </w:rPr>
      </w:pPr>
    </w:p>
    <w:p>
      <w:pPr>
        <w:pStyle w:val="BodyText"/>
        <w:spacing w:before="1"/>
        <w:rPr>
          <w:sz w:val="25"/>
        </w:rPr>
      </w:pPr>
    </w:p>
    <w:p>
      <w:pPr>
        <w:pStyle w:val="BodyText"/>
        <w:spacing w:before="88"/>
        <w:ind w:left="280" w:right="502"/>
      </w:pPr>
      <w:r>
        <w:rPr/>
        <mc:AlternateContent>
          <mc:Choice Requires="wps">
            <w:drawing>
              <wp:anchor distT="0" distB="0" distL="0" distR="0" allowOverlap="1" layoutInCell="1" locked="0" behindDoc="0" simplePos="0" relativeHeight="15741952">
                <wp:simplePos x="0" y="0"/>
                <wp:positionH relativeFrom="page">
                  <wp:posOffset>1066800</wp:posOffset>
                </wp:positionH>
                <wp:positionV relativeFrom="paragraph">
                  <wp:posOffset>-329014</wp:posOffset>
                </wp:positionV>
                <wp:extent cx="1452245" cy="3937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452245" cy="393700"/>
                        </a:xfrm>
                        <a:prstGeom prst="rect">
                          <a:avLst/>
                        </a:prstGeom>
                        <a:solidFill>
                          <a:srgbClr val="F7F7F8"/>
                        </a:solidFill>
                      </wps:spPr>
                      <wps:txbx>
                        <w:txbxContent>
                          <w:p>
                            <w:pPr>
                              <w:pStyle w:val="BodyText"/>
                              <w:spacing w:line="308" w:lineRule="exact"/>
                              <w:rPr>
                                <w:color w:val="000000"/>
                              </w:rPr>
                            </w:pPr>
                            <w:r>
                              <w:rPr>
                                <w:color w:val="374151"/>
                              </w:rPr>
                              <w:t>continuous</w:t>
                            </w:r>
                            <w:r>
                              <w:rPr>
                                <w:color w:val="374151"/>
                                <w:spacing w:val="-5"/>
                              </w:rPr>
                              <w:t> </w:t>
                            </w:r>
                            <w:r>
                              <w:rPr>
                                <w:color w:val="374151"/>
                                <w:spacing w:val="-2"/>
                              </w:rPr>
                              <w:t>learning.</w:t>
                            </w:r>
                          </w:p>
                        </w:txbxContent>
                      </wps:txbx>
                      <wps:bodyPr wrap="square" lIns="0" tIns="0" rIns="0" bIns="0" rtlCol="0">
                        <a:noAutofit/>
                      </wps:bodyPr>
                    </wps:wsp>
                  </a:graphicData>
                </a:graphic>
              </wp:anchor>
            </w:drawing>
          </mc:Choice>
          <mc:Fallback>
            <w:pict>
              <v:shape style="position:absolute;margin-left:84pt;margin-top:-25.906687pt;width:114.35pt;height:31pt;mso-position-horizontal-relative:page;mso-position-vertical-relative:paragraph;z-index:15741952" type="#_x0000_t202" id="docshape59" filled="true" fillcolor="#f7f7f8" stroked="false">
                <v:textbox inset="0,0,0,0">
                  <w:txbxContent>
                    <w:p>
                      <w:pPr>
                        <w:pStyle w:val="BodyText"/>
                        <w:spacing w:line="308" w:lineRule="exact"/>
                        <w:rPr>
                          <w:color w:val="000000"/>
                        </w:rPr>
                      </w:pPr>
                      <w:r>
                        <w:rPr>
                          <w:color w:val="374151"/>
                        </w:rPr>
                        <w:t>continuous</w:t>
                      </w:r>
                      <w:r>
                        <w:rPr>
                          <w:color w:val="374151"/>
                          <w:spacing w:val="-5"/>
                        </w:rPr>
                        <w:t> </w:t>
                      </w:r>
                      <w:r>
                        <w:rPr>
                          <w:color w:val="374151"/>
                          <w:spacing w:val="-2"/>
                        </w:rPr>
                        <w:t>learning.</w:t>
                      </w:r>
                    </w:p>
                  </w:txbxContent>
                </v:textbox>
                <v:fill type="solid"/>
                <w10:wrap type="none"/>
              </v:shape>
            </w:pict>
          </mc:Fallback>
        </mc:AlternateContent>
      </w:r>
      <w:r>
        <w:rPr>
          <w:color w:val="374151"/>
          <w:shd w:fill="F7F7F8" w:color="auto" w:val="clear"/>
        </w:rPr>
        <w:t>In conclusion, as clinicians, we have a responsibility to provide inclusive and </w:t>
      </w:r>
      <w:r>
        <w:rPr>
          <w:color w:val="374151"/>
        </w:rPr>
        <w:t> </w:t>
      </w:r>
      <w:r>
        <w:rPr>
          <w:color w:val="374151"/>
          <w:shd w:fill="F7F7F8" w:color="auto" w:val="clear"/>
        </w:rPr>
        <w:t>supportive care to individuals of all sexual orientations and identities. By </w:t>
      </w:r>
      <w:r>
        <w:rPr>
          <w:color w:val="374151"/>
        </w:rPr>
        <w:t> </w:t>
      </w:r>
      <w:r>
        <w:rPr>
          <w:color w:val="374151"/>
          <w:shd w:fill="F7F7F8" w:color="auto" w:val="clear"/>
        </w:rPr>
        <w:t>understanding the unique challenges faced by sexual minority individuals, </w:t>
      </w:r>
      <w:r>
        <w:rPr>
          <w:color w:val="374151"/>
        </w:rPr>
        <w:t> </w:t>
      </w:r>
      <w:r>
        <w:rPr>
          <w:color w:val="374151"/>
          <w:shd w:fill="F7F7F8" w:color="auto" w:val="clear"/>
        </w:rPr>
        <w:t>cultivating cultural competence, and creating safe and welcoming </w:t>
      </w:r>
      <w:r>
        <w:rPr>
          <w:color w:val="374151"/>
        </w:rPr>
        <w:t> </w:t>
      </w:r>
      <w:r>
        <w:rPr>
          <w:color w:val="374151"/>
          <w:shd w:fill="F7F7F8" w:color="auto" w:val="clear"/>
        </w:rPr>
        <w:t>environments, we can enhance the well-being and mental health outcomes of </w:t>
      </w:r>
      <w:r>
        <w:rPr>
          <w:color w:val="374151"/>
        </w:rPr>
        <w:t> </w:t>
      </w:r>
      <w:r>
        <w:rPr>
          <w:color w:val="374151"/>
          <w:shd w:fill="F7F7F8" w:color="auto" w:val="clear"/>
        </w:rPr>
        <w:t>our clients. Embracing sexual diversity requires self-reflection, ongoing </w:t>
      </w:r>
      <w:r>
        <w:rPr>
          <w:color w:val="374151"/>
        </w:rPr>
        <w:t> </w:t>
      </w:r>
      <w:r>
        <w:rPr>
          <w:color w:val="374151"/>
          <w:shd w:fill="F7F7F8" w:color="auto" w:val="clear"/>
        </w:rPr>
        <w:t>education,</w:t>
      </w:r>
      <w:r>
        <w:rPr>
          <w:color w:val="374151"/>
          <w:spacing w:val="-6"/>
          <w:shd w:fill="F7F7F8" w:color="auto" w:val="clear"/>
        </w:rPr>
        <w:t> </w:t>
      </w:r>
      <w:r>
        <w:rPr>
          <w:color w:val="374151"/>
          <w:shd w:fill="F7F7F8" w:color="auto" w:val="clear"/>
        </w:rPr>
        <w:t>and</w:t>
      </w:r>
      <w:r>
        <w:rPr>
          <w:color w:val="374151"/>
          <w:spacing w:val="-6"/>
          <w:shd w:fill="F7F7F8" w:color="auto" w:val="clear"/>
        </w:rPr>
        <w:t> </w:t>
      </w:r>
      <w:r>
        <w:rPr>
          <w:color w:val="374151"/>
          <w:shd w:fill="F7F7F8" w:color="auto" w:val="clear"/>
        </w:rPr>
        <w:t>a</w:t>
      </w:r>
      <w:r>
        <w:rPr>
          <w:color w:val="374151"/>
          <w:spacing w:val="-7"/>
          <w:shd w:fill="F7F7F8" w:color="auto" w:val="clear"/>
        </w:rPr>
        <w:t> </w:t>
      </w:r>
      <w:r>
        <w:rPr>
          <w:color w:val="374151"/>
          <w:shd w:fill="F7F7F8" w:color="auto" w:val="clear"/>
        </w:rPr>
        <w:t>commitment</w:t>
      </w:r>
      <w:r>
        <w:rPr>
          <w:color w:val="374151"/>
          <w:spacing w:val="-6"/>
          <w:shd w:fill="F7F7F8" w:color="auto" w:val="clear"/>
        </w:rPr>
        <w:t> </w:t>
      </w:r>
      <w:r>
        <w:rPr>
          <w:color w:val="374151"/>
          <w:shd w:fill="F7F7F8" w:color="auto" w:val="clear"/>
        </w:rPr>
        <w:t>to</w:t>
      </w:r>
      <w:r>
        <w:rPr>
          <w:color w:val="374151"/>
          <w:spacing w:val="-6"/>
          <w:shd w:fill="F7F7F8" w:color="auto" w:val="clear"/>
        </w:rPr>
        <w:t> </w:t>
      </w:r>
      <w:r>
        <w:rPr>
          <w:color w:val="374151"/>
          <w:shd w:fill="F7F7F8" w:color="auto" w:val="clear"/>
        </w:rPr>
        <w:t>challenging</w:t>
      </w:r>
      <w:r>
        <w:rPr>
          <w:color w:val="374151"/>
          <w:spacing w:val="-6"/>
          <w:shd w:fill="F7F7F8" w:color="auto" w:val="clear"/>
        </w:rPr>
        <w:t> </w:t>
      </w:r>
      <w:r>
        <w:rPr>
          <w:color w:val="374151"/>
          <w:shd w:fill="F7F7F8" w:color="auto" w:val="clear"/>
        </w:rPr>
        <w:t>our</w:t>
      </w:r>
      <w:r>
        <w:rPr>
          <w:color w:val="374151"/>
          <w:spacing w:val="-6"/>
          <w:shd w:fill="F7F7F8" w:color="auto" w:val="clear"/>
        </w:rPr>
        <w:t> </w:t>
      </w:r>
      <w:r>
        <w:rPr>
          <w:color w:val="374151"/>
          <w:shd w:fill="F7F7F8" w:color="auto" w:val="clear"/>
        </w:rPr>
        <w:t>own</w:t>
      </w:r>
      <w:r>
        <w:rPr>
          <w:color w:val="374151"/>
          <w:spacing w:val="-6"/>
          <w:shd w:fill="F7F7F8" w:color="auto" w:val="clear"/>
        </w:rPr>
        <w:t> </w:t>
      </w:r>
      <w:r>
        <w:rPr>
          <w:color w:val="374151"/>
          <w:shd w:fill="F7F7F8" w:color="auto" w:val="clear"/>
        </w:rPr>
        <w:t>biases.</w:t>
      </w:r>
      <w:r>
        <w:rPr>
          <w:color w:val="374151"/>
          <w:spacing w:val="-11"/>
          <w:shd w:fill="F7F7F8" w:color="auto" w:val="clear"/>
        </w:rPr>
        <w:t> </w:t>
      </w:r>
      <w:r>
        <w:rPr>
          <w:color w:val="374151"/>
          <w:shd w:fill="F7F7F8" w:color="auto" w:val="clear"/>
        </w:rPr>
        <w:t>Together,</w:t>
      </w:r>
      <w:r>
        <w:rPr>
          <w:color w:val="374151"/>
          <w:spacing w:val="-6"/>
          <w:shd w:fill="F7F7F8" w:color="auto" w:val="clear"/>
        </w:rPr>
        <w:t> </w:t>
      </w:r>
      <w:r>
        <w:rPr>
          <w:color w:val="374151"/>
          <w:shd w:fill="F7F7F8" w:color="auto" w:val="clear"/>
        </w:rPr>
        <w:t>we</w:t>
      </w:r>
      <w:r>
        <w:rPr>
          <w:color w:val="374151"/>
          <w:spacing w:val="-7"/>
          <w:shd w:fill="F7F7F8" w:color="auto" w:val="clear"/>
        </w:rPr>
        <w:t> </w:t>
      </w:r>
      <w:r>
        <w:rPr>
          <w:color w:val="374151"/>
          <w:shd w:fill="F7F7F8" w:color="auto" w:val="clear"/>
        </w:rPr>
        <w:t>can</w:t>
      </w:r>
      <w:r>
        <w:rPr>
          <w:color w:val="374151"/>
          <w:spacing w:val="-7"/>
          <w:shd w:fill="F7F7F8" w:color="auto" w:val="clear"/>
        </w:rPr>
        <w:t> </w:t>
      </w:r>
      <w:r>
        <w:rPr>
          <w:color w:val="374151"/>
          <w:spacing w:val="-7"/>
        </w:rPr>
        <w:t> </w:t>
      </w:r>
      <w:r>
        <w:rPr>
          <w:color w:val="374151"/>
          <w:shd w:fill="F7F7F8" w:color="auto" w:val="clear"/>
        </w:rPr>
        <w:t>contribute to a world where every individual feels valued, supported, and </w:t>
      </w:r>
      <w:r>
        <w:rPr>
          <w:color w:val="374151"/>
        </w:rPr>
        <w:t> </w:t>
      </w:r>
      <w:r>
        <w:rPr>
          <w:color w:val="374151"/>
          <w:shd w:fill="F7F7F8" w:color="auto" w:val="clear"/>
        </w:rPr>
        <w:t>empowered to live and thrive.</w:t>
      </w:r>
    </w:p>
    <w:p>
      <w:pPr>
        <w:spacing w:after="0"/>
        <w:sectPr>
          <w:pgSz w:w="12240" w:h="15840"/>
          <w:pgMar w:header="0" w:footer="765" w:top="1340" w:bottom="980" w:left="1400" w:right="1180"/>
        </w:sectPr>
      </w:pPr>
    </w:p>
    <w:p>
      <w:pPr>
        <w:pStyle w:val="Heading1"/>
        <w:numPr>
          <w:ilvl w:val="0"/>
          <w:numId w:val="3"/>
        </w:numPr>
        <w:tabs>
          <w:tab w:pos="640" w:val="left" w:leader="none"/>
        </w:tabs>
        <w:spacing w:line="242" w:lineRule="auto" w:before="70" w:after="0"/>
        <w:ind w:left="280" w:right="1943" w:firstLine="0"/>
        <w:jc w:val="left"/>
        <w:rPr>
          <w:color w:val="374151"/>
        </w:rPr>
      </w:pPr>
      <w:r>
        <w:rPr>
          <w:color w:val="374151"/>
          <w:shd w:fill="F7F7F8" w:color="auto" w:val="clear"/>
        </w:rPr>
        <w:t>DSM</w:t>
      </w:r>
      <w:r>
        <w:rPr>
          <w:color w:val="374151"/>
          <w:spacing w:val="-6"/>
          <w:shd w:fill="F7F7F8" w:color="auto" w:val="clear"/>
        </w:rPr>
        <w:t> </w:t>
      </w:r>
      <w:r>
        <w:rPr>
          <w:color w:val="374151"/>
          <w:shd w:fill="F7F7F8" w:color="auto" w:val="clear"/>
        </w:rPr>
        <w:t>5,</w:t>
      </w:r>
      <w:r>
        <w:rPr>
          <w:color w:val="374151"/>
          <w:spacing w:val="-5"/>
          <w:shd w:fill="F7F7F8" w:color="auto" w:val="clear"/>
        </w:rPr>
        <w:t> </w:t>
      </w:r>
      <w:r>
        <w:rPr>
          <w:color w:val="374151"/>
          <w:shd w:fill="F7F7F8" w:color="auto" w:val="clear"/>
        </w:rPr>
        <w:t>Sexual</w:t>
      </w:r>
      <w:r>
        <w:rPr>
          <w:color w:val="374151"/>
          <w:spacing w:val="-6"/>
          <w:shd w:fill="F7F7F8" w:color="auto" w:val="clear"/>
        </w:rPr>
        <w:t> </w:t>
      </w:r>
      <w:r>
        <w:rPr>
          <w:color w:val="374151"/>
          <w:shd w:fill="F7F7F8" w:color="auto" w:val="clear"/>
        </w:rPr>
        <w:t>Dysfunction</w:t>
      </w:r>
      <w:r>
        <w:rPr>
          <w:color w:val="374151"/>
          <w:spacing w:val="-5"/>
          <w:shd w:fill="F7F7F8" w:color="auto" w:val="clear"/>
        </w:rPr>
        <w:t> </w:t>
      </w:r>
      <w:r>
        <w:rPr>
          <w:color w:val="374151"/>
          <w:shd w:fill="F7F7F8" w:color="auto" w:val="clear"/>
        </w:rPr>
        <w:t>and</w:t>
      </w:r>
      <w:r>
        <w:rPr>
          <w:color w:val="374151"/>
          <w:spacing w:val="-12"/>
          <w:shd w:fill="F7F7F8" w:color="auto" w:val="clear"/>
        </w:rPr>
        <w:t> </w:t>
      </w:r>
      <w:r>
        <w:rPr>
          <w:color w:val="374151"/>
          <w:shd w:fill="F7F7F8" w:color="auto" w:val="clear"/>
        </w:rPr>
        <w:t>The</w:t>
      </w:r>
      <w:r>
        <w:rPr>
          <w:color w:val="374151"/>
          <w:spacing w:val="-6"/>
          <w:shd w:fill="F7F7F8" w:color="auto" w:val="clear"/>
        </w:rPr>
        <w:t> </w:t>
      </w:r>
      <w:r>
        <w:rPr>
          <w:color w:val="374151"/>
          <w:shd w:fill="F7F7F8" w:color="auto" w:val="clear"/>
        </w:rPr>
        <w:t>Cultural</w:t>
      </w:r>
      <w:r>
        <w:rPr>
          <w:color w:val="374151"/>
          <w:spacing w:val="-5"/>
          <w:shd w:fill="F7F7F8" w:color="auto" w:val="clear"/>
        </w:rPr>
        <w:t> </w:t>
      </w:r>
      <w:r>
        <w:rPr>
          <w:color w:val="374151"/>
          <w:spacing w:val="-5"/>
        </w:rPr>
        <w:t> </w:t>
      </w:r>
      <w:r>
        <w:rPr>
          <w:color w:val="374151"/>
          <w:shd w:fill="F7F7F8" w:color="auto" w:val="clear"/>
        </w:rPr>
        <w:t>Formulation Interview (CFI)</w:t>
      </w:r>
    </w:p>
    <w:p>
      <w:pPr>
        <w:pStyle w:val="BodyText"/>
        <w:spacing w:before="320"/>
        <w:ind w:left="280" w:right="502"/>
      </w:pPr>
      <w:r>
        <w:rPr/>
        <w:t>The</w:t>
      </w:r>
      <w:r>
        <w:rPr>
          <w:spacing w:val="-5"/>
        </w:rPr>
        <w:t> </w:t>
      </w:r>
      <w:r>
        <w:rPr/>
        <w:t>following</w:t>
      </w:r>
      <w:r>
        <w:rPr>
          <w:spacing w:val="-4"/>
        </w:rPr>
        <w:t> </w:t>
      </w:r>
      <w:r>
        <w:rPr/>
        <w:t>includes</w:t>
      </w:r>
      <w:r>
        <w:rPr>
          <w:spacing w:val="-4"/>
        </w:rPr>
        <w:t> </w:t>
      </w:r>
      <w:r>
        <w:rPr/>
        <w:t>notable</w:t>
      </w:r>
      <w:r>
        <w:rPr>
          <w:spacing w:val="-5"/>
        </w:rPr>
        <w:t> </w:t>
      </w:r>
      <w:r>
        <w:rPr/>
        <w:t>changes</w:t>
      </w:r>
      <w:r>
        <w:rPr>
          <w:spacing w:val="-4"/>
        </w:rPr>
        <w:t> </w:t>
      </w:r>
      <w:r>
        <w:rPr/>
        <w:t>and</w:t>
      </w:r>
      <w:r>
        <w:rPr>
          <w:spacing w:val="-4"/>
        </w:rPr>
        <w:t> </w:t>
      </w:r>
      <w:r>
        <w:rPr/>
        <w:t>additions</w:t>
      </w:r>
      <w:r>
        <w:rPr>
          <w:spacing w:val="-4"/>
        </w:rPr>
        <w:t> </w:t>
      </w:r>
      <w:r>
        <w:rPr/>
        <w:t>made</w:t>
      </w:r>
      <w:r>
        <w:rPr>
          <w:spacing w:val="-5"/>
        </w:rPr>
        <w:t> </w:t>
      </w:r>
      <w:r>
        <w:rPr/>
        <w:t>in</w:t>
      </w:r>
      <w:r>
        <w:rPr>
          <w:spacing w:val="-4"/>
        </w:rPr>
        <w:t> </w:t>
      </w:r>
      <w:r>
        <w:rPr/>
        <w:t>the</w:t>
      </w:r>
      <w:r>
        <w:rPr>
          <w:spacing w:val="-5"/>
        </w:rPr>
        <w:t> </w:t>
      </w:r>
      <w:r>
        <w:rPr/>
        <w:t>DSM-5 regarding sexual disorders:</w:t>
      </w:r>
    </w:p>
    <w:p>
      <w:pPr>
        <w:pStyle w:val="BodyText"/>
        <w:spacing w:before="3"/>
        <w:rPr>
          <w:sz w:val="24"/>
        </w:rPr>
      </w:pPr>
    </w:p>
    <w:p>
      <w:pPr>
        <w:pStyle w:val="ListParagraph"/>
        <w:numPr>
          <w:ilvl w:val="1"/>
          <w:numId w:val="3"/>
        </w:numPr>
        <w:tabs>
          <w:tab w:pos="1183" w:val="left" w:leader="none"/>
          <w:tab w:pos="1185" w:val="left" w:leader="none"/>
        </w:tabs>
        <w:spacing w:line="235" w:lineRule="auto" w:before="0" w:after="0"/>
        <w:ind w:left="1185" w:right="646" w:hanging="426"/>
        <w:jc w:val="left"/>
        <w:rPr>
          <w:sz w:val="28"/>
        </w:rPr>
      </w:pPr>
      <w:r>
        <w:rPr>
          <w:b/>
          <w:sz w:val="28"/>
        </w:rPr>
        <w:t>Reclassification</w:t>
      </w:r>
      <w:r>
        <w:rPr>
          <w:b/>
          <w:spacing w:val="-6"/>
          <w:sz w:val="28"/>
        </w:rPr>
        <w:t> </w:t>
      </w:r>
      <w:r>
        <w:rPr>
          <w:b/>
          <w:sz w:val="28"/>
        </w:rPr>
        <w:t>of</w:t>
      </w:r>
      <w:r>
        <w:rPr>
          <w:b/>
          <w:spacing w:val="-6"/>
          <w:sz w:val="28"/>
        </w:rPr>
        <w:t> </w:t>
      </w:r>
      <w:r>
        <w:rPr>
          <w:b/>
          <w:sz w:val="28"/>
        </w:rPr>
        <w:t>Paraphilias:</w:t>
      </w:r>
      <w:r>
        <w:rPr>
          <w:b/>
          <w:spacing w:val="-12"/>
          <w:sz w:val="28"/>
        </w:rPr>
        <w:t> </w:t>
      </w:r>
      <w:r>
        <w:rPr>
          <w:sz w:val="28"/>
        </w:rPr>
        <w:t>The</w:t>
      </w:r>
      <w:r>
        <w:rPr>
          <w:spacing w:val="-7"/>
          <w:sz w:val="28"/>
        </w:rPr>
        <w:t> </w:t>
      </w:r>
      <w:r>
        <w:rPr>
          <w:sz w:val="28"/>
        </w:rPr>
        <w:t>DSM-5</w:t>
      </w:r>
      <w:r>
        <w:rPr>
          <w:spacing w:val="-6"/>
          <w:sz w:val="28"/>
        </w:rPr>
        <w:t> </w:t>
      </w:r>
      <w:r>
        <w:rPr>
          <w:sz w:val="28"/>
        </w:rPr>
        <w:t>reclassified</w:t>
      </w:r>
      <w:r>
        <w:rPr>
          <w:spacing w:val="-6"/>
          <w:sz w:val="28"/>
        </w:rPr>
        <w:t> </w:t>
      </w:r>
      <w:r>
        <w:rPr>
          <w:sz w:val="28"/>
        </w:rPr>
        <w:t>paraphilias, which refer to intense and persistent sexual interests or behaviors outside of societal norms. Instead of being classified as separate disorders, paraphilias are now included under the category of "Paraphilic Disorders." This category includes various paraphilic disorders such as exhibitionistic disorder, voyeuristic disorder, and fetishistic disorder.</w:t>
      </w:r>
    </w:p>
    <w:p>
      <w:pPr>
        <w:pStyle w:val="BodyText"/>
        <w:rPr>
          <w:sz w:val="24"/>
        </w:rPr>
      </w:pPr>
    </w:p>
    <w:p>
      <w:pPr>
        <w:pStyle w:val="ListParagraph"/>
        <w:numPr>
          <w:ilvl w:val="1"/>
          <w:numId w:val="3"/>
        </w:numPr>
        <w:tabs>
          <w:tab w:pos="1183" w:val="left" w:leader="none"/>
          <w:tab w:pos="1185" w:val="left" w:leader="none"/>
        </w:tabs>
        <w:spacing w:line="235" w:lineRule="auto" w:before="0" w:after="0"/>
        <w:ind w:left="1185" w:right="641" w:hanging="426"/>
        <w:jc w:val="left"/>
        <w:rPr>
          <w:sz w:val="28"/>
        </w:rPr>
      </w:pPr>
      <w:r>
        <w:rPr>
          <w:b/>
          <w:sz w:val="28"/>
        </w:rPr>
        <w:t>Removal of the "NOS" (Not Otherwise Specified) Category: </w:t>
      </w:r>
      <w:r>
        <w:rPr>
          <w:sz w:val="28"/>
        </w:rPr>
        <w:t>The DSM-5</w:t>
      </w:r>
      <w:r>
        <w:rPr>
          <w:spacing w:val="-7"/>
          <w:sz w:val="28"/>
        </w:rPr>
        <w:t> </w:t>
      </w:r>
      <w:r>
        <w:rPr>
          <w:sz w:val="28"/>
        </w:rPr>
        <w:t>eliminated</w:t>
      </w:r>
      <w:r>
        <w:rPr>
          <w:spacing w:val="-7"/>
          <w:sz w:val="28"/>
        </w:rPr>
        <w:t> </w:t>
      </w:r>
      <w:r>
        <w:rPr>
          <w:sz w:val="28"/>
        </w:rPr>
        <w:t>the</w:t>
      </w:r>
      <w:r>
        <w:rPr>
          <w:spacing w:val="-7"/>
          <w:sz w:val="28"/>
        </w:rPr>
        <w:t> </w:t>
      </w:r>
      <w:r>
        <w:rPr>
          <w:sz w:val="28"/>
        </w:rPr>
        <w:t>"NOS"</w:t>
      </w:r>
      <w:r>
        <w:rPr>
          <w:spacing w:val="-7"/>
          <w:sz w:val="28"/>
        </w:rPr>
        <w:t> </w:t>
      </w:r>
      <w:r>
        <w:rPr>
          <w:sz w:val="28"/>
        </w:rPr>
        <w:t>category,</w:t>
      </w:r>
      <w:r>
        <w:rPr>
          <w:spacing w:val="-7"/>
          <w:sz w:val="28"/>
        </w:rPr>
        <w:t> </w:t>
      </w:r>
      <w:r>
        <w:rPr>
          <w:sz w:val="28"/>
        </w:rPr>
        <w:t>which</w:t>
      </w:r>
      <w:r>
        <w:rPr>
          <w:spacing w:val="-7"/>
          <w:sz w:val="28"/>
        </w:rPr>
        <w:t> </w:t>
      </w:r>
      <w:r>
        <w:rPr>
          <w:sz w:val="28"/>
        </w:rPr>
        <w:t>was</w:t>
      </w:r>
      <w:r>
        <w:rPr>
          <w:spacing w:val="-7"/>
          <w:sz w:val="28"/>
        </w:rPr>
        <w:t> </w:t>
      </w:r>
      <w:r>
        <w:rPr>
          <w:sz w:val="28"/>
        </w:rPr>
        <w:t>previously</w:t>
      </w:r>
      <w:r>
        <w:rPr>
          <w:spacing w:val="-7"/>
          <w:sz w:val="28"/>
        </w:rPr>
        <w:t> </w:t>
      </w:r>
      <w:r>
        <w:rPr>
          <w:sz w:val="28"/>
        </w:rPr>
        <w:t>used</w:t>
      </w:r>
      <w:r>
        <w:rPr>
          <w:spacing w:val="-7"/>
          <w:sz w:val="28"/>
        </w:rPr>
        <w:t> </w:t>
      </w:r>
      <w:r>
        <w:rPr>
          <w:sz w:val="28"/>
        </w:rPr>
        <w:t>to diagnose conditions that didn't meet specific criteria for a disorder. Instead, the DSM-5 introduced a new condition called "Other Specified Paraphilic Disorder" to address cases that do not meet the criteria for any specific paraphilic disorder but still cause clinically significant distress or impairment.</w:t>
      </w:r>
    </w:p>
    <w:p>
      <w:pPr>
        <w:pStyle w:val="BodyText"/>
        <w:spacing w:before="3"/>
        <w:rPr>
          <w:sz w:val="24"/>
        </w:rPr>
      </w:pPr>
    </w:p>
    <w:p>
      <w:pPr>
        <w:pStyle w:val="ListParagraph"/>
        <w:numPr>
          <w:ilvl w:val="1"/>
          <w:numId w:val="3"/>
        </w:numPr>
        <w:tabs>
          <w:tab w:pos="1183" w:val="left" w:leader="none"/>
          <w:tab w:pos="1185" w:val="left" w:leader="none"/>
        </w:tabs>
        <w:spacing w:line="232" w:lineRule="auto" w:before="0" w:after="0"/>
        <w:ind w:left="1185" w:right="601" w:hanging="426"/>
        <w:jc w:val="left"/>
        <w:rPr>
          <w:sz w:val="28"/>
        </w:rPr>
      </w:pPr>
      <w:r>
        <w:rPr>
          <w:b/>
          <w:sz w:val="28"/>
        </w:rPr>
        <w:t>Hypersexual Disorder: </w:t>
      </w:r>
      <w:r>
        <w:rPr>
          <w:sz w:val="28"/>
        </w:rPr>
        <w:t>The DSM-5 did not include a specific diagnosis for "hypersexual disorder" despite previous proposals. However, it does acknowledge that problematic, excessive, or compulsive sexual behaviors can occur and may be a focus of clinical attention.</w:t>
      </w:r>
      <w:r>
        <w:rPr>
          <w:spacing w:val="-10"/>
          <w:sz w:val="28"/>
        </w:rPr>
        <w:t> </w:t>
      </w:r>
      <w:r>
        <w:rPr>
          <w:sz w:val="28"/>
        </w:rPr>
        <w:t>These</w:t>
      </w:r>
      <w:r>
        <w:rPr>
          <w:spacing w:val="-6"/>
          <w:sz w:val="28"/>
        </w:rPr>
        <w:t> </w:t>
      </w:r>
      <w:r>
        <w:rPr>
          <w:sz w:val="28"/>
        </w:rPr>
        <w:t>behaviors</w:t>
      </w:r>
      <w:r>
        <w:rPr>
          <w:spacing w:val="-5"/>
          <w:sz w:val="28"/>
        </w:rPr>
        <w:t> </w:t>
      </w:r>
      <w:r>
        <w:rPr>
          <w:sz w:val="28"/>
        </w:rPr>
        <w:t>can</w:t>
      </w:r>
      <w:r>
        <w:rPr>
          <w:spacing w:val="-5"/>
          <w:sz w:val="28"/>
        </w:rPr>
        <w:t> </w:t>
      </w:r>
      <w:r>
        <w:rPr>
          <w:sz w:val="28"/>
        </w:rPr>
        <w:t>be</w:t>
      </w:r>
      <w:r>
        <w:rPr>
          <w:spacing w:val="-6"/>
          <w:sz w:val="28"/>
        </w:rPr>
        <w:t> </w:t>
      </w:r>
      <w:r>
        <w:rPr>
          <w:sz w:val="28"/>
        </w:rPr>
        <w:t>addressed</w:t>
      </w:r>
      <w:r>
        <w:rPr>
          <w:spacing w:val="-5"/>
          <w:sz w:val="28"/>
        </w:rPr>
        <w:t> </w:t>
      </w:r>
      <w:r>
        <w:rPr>
          <w:sz w:val="28"/>
        </w:rPr>
        <w:t>through</w:t>
      </w:r>
      <w:r>
        <w:rPr>
          <w:spacing w:val="-5"/>
          <w:sz w:val="28"/>
        </w:rPr>
        <w:t> </w:t>
      </w:r>
      <w:r>
        <w:rPr>
          <w:sz w:val="28"/>
        </w:rPr>
        <w:t>various</w:t>
      </w:r>
      <w:r>
        <w:rPr>
          <w:spacing w:val="-5"/>
          <w:sz w:val="28"/>
        </w:rPr>
        <w:t> </w:t>
      </w:r>
      <w:r>
        <w:rPr>
          <w:sz w:val="28"/>
        </w:rPr>
        <w:t>treatment approaches, such as psychotherapy.</w:t>
      </w:r>
    </w:p>
    <w:p>
      <w:pPr>
        <w:pStyle w:val="BodyText"/>
        <w:spacing w:before="1"/>
        <w:rPr>
          <w:sz w:val="25"/>
        </w:rPr>
      </w:pPr>
    </w:p>
    <w:p>
      <w:pPr>
        <w:pStyle w:val="ListParagraph"/>
        <w:numPr>
          <w:ilvl w:val="1"/>
          <w:numId w:val="3"/>
        </w:numPr>
        <w:tabs>
          <w:tab w:pos="1183" w:val="left" w:leader="none"/>
          <w:tab w:pos="1185" w:val="left" w:leader="none"/>
        </w:tabs>
        <w:spacing w:line="235" w:lineRule="auto" w:before="0" w:after="0"/>
        <w:ind w:left="1185" w:right="881" w:hanging="426"/>
        <w:jc w:val="left"/>
        <w:rPr>
          <w:sz w:val="28"/>
        </w:rPr>
      </w:pPr>
      <w:r>
        <w:rPr>
          <w:b/>
          <w:sz w:val="28"/>
        </w:rPr>
        <w:t>Changes in Gender Dysphoria Diagnosis: </w:t>
      </w:r>
      <w:r>
        <w:rPr>
          <w:sz w:val="28"/>
        </w:rPr>
        <w:t>The DSM-5 made significant changes to the diagnosis of gender dysphoria. Gender dysphoria refers to the distress experienced by individuals whose gender identity differs from their assigned sex at birth. It was previously</w:t>
      </w:r>
      <w:r>
        <w:rPr>
          <w:spacing w:val="-8"/>
          <w:sz w:val="28"/>
        </w:rPr>
        <w:t> </w:t>
      </w:r>
      <w:r>
        <w:rPr>
          <w:sz w:val="28"/>
        </w:rPr>
        <w:t>known</w:t>
      </w:r>
      <w:r>
        <w:rPr>
          <w:spacing w:val="-8"/>
          <w:sz w:val="28"/>
        </w:rPr>
        <w:t> </w:t>
      </w:r>
      <w:r>
        <w:rPr>
          <w:sz w:val="28"/>
        </w:rPr>
        <w:t>as</w:t>
      </w:r>
      <w:r>
        <w:rPr>
          <w:spacing w:val="-8"/>
          <w:sz w:val="28"/>
        </w:rPr>
        <w:t> </w:t>
      </w:r>
      <w:r>
        <w:rPr>
          <w:sz w:val="28"/>
        </w:rPr>
        <w:t>"gender</w:t>
      </w:r>
      <w:r>
        <w:rPr>
          <w:spacing w:val="-8"/>
          <w:sz w:val="28"/>
        </w:rPr>
        <w:t> </w:t>
      </w:r>
      <w:r>
        <w:rPr>
          <w:sz w:val="28"/>
        </w:rPr>
        <w:t>identity</w:t>
      </w:r>
      <w:r>
        <w:rPr>
          <w:spacing w:val="-8"/>
          <w:sz w:val="28"/>
        </w:rPr>
        <w:t> </w:t>
      </w:r>
      <w:r>
        <w:rPr>
          <w:sz w:val="28"/>
        </w:rPr>
        <w:t>disorder"</w:t>
      </w:r>
      <w:r>
        <w:rPr>
          <w:spacing w:val="-8"/>
          <w:sz w:val="28"/>
        </w:rPr>
        <w:t> </w:t>
      </w:r>
      <w:r>
        <w:rPr>
          <w:sz w:val="28"/>
        </w:rPr>
        <w:t>in</w:t>
      </w:r>
      <w:r>
        <w:rPr>
          <w:spacing w:val="-8"/>
          <w:sz w:val="28"/>
        </w:rPr>
        <w:t> </w:t>
      </w:r>
      <w:r>
        <w:rPr>
          <w:sz w:val="28"/>
        </w:rPr>
        <w:t>the</w:t>
      </w:r>
      <w:r>
        <w:rPr>
          <w:spacing w:val="-9"/>
          <w:sz w:val="28"/>
        </w:rPr>
        <w:t> </w:t>
      </w:r>
      <w:r>
        <w:rPr>
          <w:sz w:val="28"/>
        </w:rPr>
        <w:t>DSM-IV.</w:t>
      </w:r>
      <w:r>
        <w:rPr>
          <w:spacing w:val="-14"/>
          <w:sz w:val="28"/>
        </w:rPr>
        <w:t> </w:t>
      </w:r>
      <w:r>
        <w:rPr>
          <w:sz w:val="28"/>
        </w:rPr>
        <w:t>The DSM-5 aims to promote a more affirming and destigmatizing approach by focusing on the distress experienced rather than pathologizing gender diversity.</w:t>
      </w:r>
    </w:p>
    <w:p>
      <w:pPr>
        <w:pStyle w:val="BodyText"/>
        <w:spacing w:before="5"/>
        <w:rPr>
          <w:sz w:val="25"/>
        </w:rPr>
      </w:pPr>
    </w:p>
    <w:p>
      <w:pPr>
        <w:pStyle w:val="ListParagraph"/>
        <w:numPr>
          <w:ilvl w:val="1"/>
          <w:numId w:val="3"/>
        </w:numPr>
        <w:tabs>
          <w:tab w:pos="1183" w:val="left" w:leader="none"/>
          <w:tab w:pos="1185" w:val="left" w:leader="none"/>
        </w:tabs>
        <w:spacing w:line="225" w:lineRule="auto" w:before="0" w:after="0"/>
        <w:ind w:left="1185" w:right="829" w:hanging="426"/>
        <w:jc w:val="left"/>
        <w:rPr>
          <w:sz w:val="28"/>
        </w:rPr>
      </w:pPr>
      <w:r>
        <w:rPr>
          <w:b/>
          <w:sz w:val="28"/>
        </w:rPr>
        <w:t>Changes</w:t>
      </w:r>
      <w:r>
        <w:rPr>
          <w:b/>
          <w:spacing w:val="-4"/>
          <w:sz w:val="28"/>
        </w:rPr>
        <w:t> </w:t>
      </w:r>
      <w:r>
        <w:rPr>
          <w:b/>
          <w:sz w:val="28"/>
        </w:rPr>
        <w:t>to</w:t>
      </w:r>
      <w:r>
        <w:rPr>
          <w:b/>
          <w:spacing w:val="-4"/>
          <w:sz w:val="28"/>
        </w:rPr>
        <w:t> </w:t>
      </w:r>
      <w:r>
        <w:rPr>
          <w:b/>
          <w:sz w:val="28"/>
        </w:rPr>
        <w:t>the</w:t>
      </w:r>
      <w:r>
        <w:rPr>
          <w:b/>
          <w:spacing w:val="-5"/>
          <w:sz w:val="28"/>
        </w:rPr>
        <w:t> </w:t>
      </w:r>
      <w:r>
        <w:rPr>
          <w:b/>
          <w:sz w:val="28"/>
        </w:rPr>
        <w:t>Diagnostic</w:t>
      </w:r>
      <w:r>
        <w:rPr>
          <w:b/>
          <w:spacing w:val="-5"/>
          <w:sz w:val="28"/>
        </w:rPr>
        <w:t> </w:t>
      </w:r>
      <w:r>
        <w:rPr>
          <w:b/>
          <w:sz w:val="28"/>
        </w:rPr>
        <w:t>Criteria</w:t>
      </w:r>
      <w:r>
        <w:rPr>
          <w:b/>
          <w:spacing w:val="-4"/>
          <w:sz w:val="28"/>
        </w:rPr>
        <w:t> </w:t>
      </w:r>
      <w:r>
        <w:rPr>
          <w:b/>
          <w:sz w:val="28"/>
        </w:rPr>
        <w:t>for</w:t>
      </w:r>
      <w:r>
        <w:rPr>
          <w:b/>
          <w:spacing w:val="-10"/>
          <w:sz w:val="28"/>
        </w:rPr>
        <w:t> </w:t>
      </w:r>
      <w:r>
        <w:rPr>
          <w:b/>
          <w:sz w:val="28"/>
        </w:rPr>
        <w:t>Sexual</w:t>
      </w:r>
      <w:r>
        <w:rPr>
          <w:b/>
          <w:spacing w:val="-4"/>
          <w:sz w:val="28"/>
        </w:rPr>
        <w:t> </w:t>
      </w:r>
      <w:r>
        <w:rPr>
          <w:b/>
          <w:sz w:val="28"/>
        </w:rPr>
        <w:t>Dysfunctions:</w:t>
      </w:r>
      <w:r>
        <w:rPr>
          <w:b/>
          <w:spacing w:val="-10"/>
          <w:sz w:val="28"/>
        </w:rPr>
        <w:t> </w:t>
      </w:r>
      <w:r>
        <w:rPr>
          <w:sz w:val="28"/>
        </w:rPr>
        <w:t>The DSM-5 revised and updated the diagnostic criteria for sexual dysfunctions, which include conditions such as erectile disorder,</w:t>
      </w:r>
    </w:p>
    <w:p>
      <w:pPr>
        <w:spacing w:after="0" w:line="225" w:lineRule="auto"/>
        <w:jc w:val="left"/>
        <w:rPr>
          <w:sz w:val="28"/>
        </w:rPr>
        <w:sectPr>
          <w:pgSz w:w="12240" w:h="15840"/>
          <w:pgMar w:header="0" w:footer="765" w:top="1260" w:bottom="980" w:left="1400" w:right="1180"/>
        </w:sectPr>
      </w:pPr>
    </w:p>
    <w:p>
      <w:pPr>
        <w:pStyle w:val="BodyText"/>
        <w:spacing w:before="66"/>
        <w:ind w:left="1185" w:right="883"/>
        <w:jc w:val="both"/>
      </w:pPr>
      <w:r>
        <w:rPr/>
        <w:t>female orgasmic disorder, and premature ejaculation.</w:t>
      </w:r>
      <w:r>
        <w:rPr>
          <w:spacing w:val="-5"/>
        </w:rPr>
        <w:t> </w:t>
      </w:r>
      <w:r>
        <w:rPr/>
        <w:t>The revisions aimed</w:t>
      </w:r>
      <w:r>
        <w:rPr>
          <w:spacing w:val="-5"/>
        </w:rPr>
        <w:t> </w:t>
      </w:r>
      <w:r>
        <w:rPr/>
        <w:t>to</w:t>
      </w:r>
      <w:r>
        <w:rPr>
          <w:spacing w:val="-5"/>
        </w:rPr>
        <w:t> </w:t>
      </w:r>
      <w:r>
        <w:rPr/>
        <w:t>address</w:t>
      </w:r>
      <w:r>
        <w:rPr>
          <w:spacing w:val="-5"/>
        </w:rPr>
        <w:t> </w:t>
      </w:r>
      <w:r>
        <w:rPr/>
        <w:t>concerns</w:t>
      </w:r>
      <w:r>
        <w:rPr>
          <w:spacing w:val="-5"/>
        </w:rPr>
        <w:t> </w:t>
      </w:r>
      <w:r>
        <w:rPr/>
        <w:t>about</w:t>
      </w:r>
      <w:r>
        <w:rPr>
          <w:spacing w:val="-5"/>
        </w:rPr>
        <w:t> </w:t>
      </w:r>
      <w:r>
        <w:rPr/>
        <w:t>previous</w:t>
      </w:r>
      <w:r>
        <w:rPr>
          <w:spacing w:val="-5"/>
        </w:rPr>
        <w:t> </w:t>
      </w:r>
      <w:r>
        <w:rPr/>
        <w:t>diagnostic</w:t>
      </w:r>
      <w:r>
        <w:rPr>
          <w:spacing w:val="-6"/>
        </w:rPr>
        <w:t> </w:t>
      </w:r>
      <w:r>
        <w:rPr/>
        <w:t>thresholds</w:t>
      </w:r>
      <w:r>
        <w:rPr>
          <w:spacing w:val="-5"/>
        </w:rPr>
        <w:t> </w:t>
      </w:r>
      <w:r>
        <w:rPr/>
        <w:t>and better reflect the diversity of human sexual experiences.</w:t>
      </w:r>
    </w:p>
    <w:p>
      <w:pPr>
        <w:pStyle w:val="BodyText"/>
        <w:spacing w:before="5"/>
        <w:rPr>
          <w:sz w:val="24"/>
        </w:rPr>
      </w:pPr>
    </w:p>
    <w:p>
      <w:pPr>
        <w:pStyle w:val="ListParagraph"/>
        <w:numPr>
          <w:ilvl w:val="1"/>
          <w:numId w:val="3"/>
        </w:numPr>
        <w:tabs>
          <w:tab w:pos="1183" w:val="left" w:leader="none"/>
          <w:tab w:pos="1185" w:val="left" w:leader="none"/>
        </w:tabs>
        <w:spacing w:line="232" w:lineRule="auto" w:before="0" w:after="0"/>
        <w:ind w:left="1185" w:right="528" w:hanging="426"/>
        <w:jc w:val="left"/>
        <w:rPr>
          <w:sz w:val="28"/>
        </w:rPr>
      </w:pPr>
      <w:r>
        <w:rPr>
          <w:b/>
          <w:sz w:val="28"/>
        </w:rPr>
        <w:t>Genito-Pelvic Pain/Penetration Disorder: </w:t>
      </w:r>
      <w:r>
        <w:rPr>
          <w:sz w:val="28"/>
        </w:rPr>
        <w:t>This new diagnosis in the DSM-5 combines and replaces the previous separate diagnoses of dyspareunia (pain during intercourse) and vaginismus (involuntary muscle</w:t>
      </w:r>
      <w:r>
        <w:rPr>
          <w:spacing w:val="-6"/>
          <w:sz w:val="28"/>
        </w:rPr>
        <w:t> </w:t>
      </w:r>
      <w:r>
        <w:rPr>
          <w:sz w:val="28"/>
        </w:rPr>
        <w:t>contractions</w:t>
      </w:r>
      <w:r>
        <w:rPr>
          <w:spacing w:val="-5"/>
          <w:sz w:val="28"/>
        </w:rPr>
        <w:t> </w:t>
      </w:r>
      <w:r>
        <w:rPr>
          <w:sz w:val="28"/>
        </w:rPr>
        <w:t>that</w:t>
      </w:r>
      <w:r>
        <w:rPr>
          <w:spacing w:val="-6"/>
          <w:sz w:val="28"/>
        </w:rPr>
        <w:t> </w:t>
      </w:r>
      <w:r>
        <w:rPr>
          <w:sz w:val="28"/>
        </w:rPr>
        <w:t>make</w:t>
      </w:r>
      <w:r>
        <w:rPr>
          <w:spacing w:val="-6"/>
          <w:sz w:val="28"/>
        </w:rPr>
        <w:t> </w:t>
      </w:r>
      <w:r>
        <w:rPr>
          <w:sz w:val="28"/>
        </w:rPr>
        <w:t>penetration</w:t>
      </w:r>
      <w:r>
        <w:rPr>
          <w:spacing w:val="-5"/>
          <w:sz w:val="28"/>
        </w:rPr>
        <w:t> </w:t>
      </w:r>
      <w:r>
        <w:rPr>
          <w:sz w:val="28"/>
        </w:rPr>
        <w:t>difficult</w:t>
      </w:r>
      <w:r>
        <w:rPr>
          <w:spacing w:val="-6"/>
          <w:sz w:val="28"/>
        </w:rPr>
        <w:t> </w:t>
      </w:r>
      <w:r>
        <w:rPr>
          <w:sz w:val="28"/>
        </w:rPr>
        <w:t>or</w:t>
      </w:r>
      <w:r>
        <w:rPr>
          <w:spacing w:val="-5"/>
          <w:sz w:val="28"/>
        </w:rPr>
        <w:t> </w:t>
      </w:r>
      <w:r>
        <w:rPr>
          <w:sz w:val="28"/>
        </w:rPr>
        <w:t>impossible).</w:t>
      </w:r>
      <w:r>
        <w:rPr>
          <w:spacing w:val="-11"/>
          <w:sz w:val="28"/>
        </w:rPr>
        <w:t> </w:t>
      </w:r>
      <w:r>
        <w:rPr>
          <w:sz w:val="28"/>
        </w:rPr>
        <w:t>The change recognizes that individuals may experience both pain and difficulty with penetration.</w:t>
      </w:r>
    </w:p>
    <w:p>
      <w:pPr>
        <w:pStyle w:val="BodyText"/>
        <w:spacing w:before="3"/>
        <w:rPr>
          <w:sz w:val="25"/>
        </w:rPr>
      </w:pPr>
    </w:p>
    <w:p>
      <w:pPr>
        <w:pStyle w:val="ListParagraph"/>
        <w:numPr>
          <w:ilvl w:val="1"/>
          <w:numId w:val="3"/>
        </w:numPr>
        <w:tabs>
          <w:tab w:pos="1183" w:val="left" w:leader="none"/>
          <w:tab w:pos="1185" w:val="left" w:leader="none"/>
        </w:tabs>
        <w:spacing w:line="232" w:lineRule="auto" w:before="1" w:after="0"/>
        <w:ind w:left="1185" w:right="599" w:hanging="426"/>
        <w:jc w:val="left"/>
        <w:rPr>
          <w:sz w:val="28"/>
        </w:rPr>
      </w:pPr>
      <w:r>
        <w:rPr>
          <w:b/>
          <w:sz w:val="28"/>
        </w:rPr>
        <w:t>Disruptive Sexual</w:t>
      </w:r>
      <w:r>
        <w:rPr>
          <w:b/>
          <w:spacing w:val="-2"/>
          <w:sz w:val="28"/>
        </w:rPr>
        <w:t> </w:t>
      </w:r>
      <w:r>
        <w:rPr>
          <w:b/>
          <w:sz w:val="28"/>
        </w:rPr>
        <w:t>Arousal: </w:t>
      </w:r>
      <w:r>
        <w:rPr>
          <w:sz w:val="28"/>
        </w:rPr>
        <w:t>The DSM-5 introduced a new category called</w:t>
      </w:r>
      <w:r>
        <w:rPr>
          <w:spacing w:val="-7"/>
          <w:sz w:val="28"/>
        </w:rPr>
        <w:t> </w:t>
      </w:r>
      <w:r>
        <w:rPr>
          <w:sz w:val="28"/>
        </w:rPr>
        <w:t>"Disruptive</w:t>
      </w:r>
      <w:r>
        <w:rPr>
          <w:spacing w:val="-6"/>
          <w:sz w:val="28"/>
        </w:rPr>
        <w:t> </w:t>
      </w:r>
      <w:r>
        <w:rPr>
          <w:sz w:val="28"/>
        </w:rPr>
        <w:t>Sexual</w:t>
      </w:r>
      <w:r>
        <w:rPr>
          <w:spacing w:val="-18"/>
          <w:sz w:val="28"/>
        </w:rPr>
        <w:t> </w:t>
      </w:r>
      <w:r>
        <w:rPr>
          <w:sz w:val="28"/>
        </w:rPr>
        <w:t>Arousal,"</w:t>
      </w:r>
      <w:r>
        <w:rPr>
          <w:spacing w:val="-5"/>
          <w:sz w:val="28"/>
        </w:rPr>
        <w:t> </w:t>
      </w:r>
      <w:r>
        <w:rPr>
          <w:sz w:val="28"/>
        </w:rPr>
        <w:t>which</w:t>
      </w:r>
      <w:r>
        <w:rPr>
          <w:spacing w:val="-5"/>
          <w:sz w:val="28"/>
        </w:rPr>
        <w:t> </w:t>
      </w:r>
      <w:r>
        <w:rPr>
          <w:sz w:val="28"/>
        </w:rPr>
        <w:t>includes</w:t>
      </w:r>
      <w:r>
        <w:rPr>
          <w:spacing w:val="-5"/>
          <w:sz w:val="28"/>
        </w:rPr>
        <w:t> </w:t>
      </w:r>
      <w:r>
        <w:rPr>
          <w:sz w:val="28"/>
        </w:rPr>
        <w:t>conditions</w:t>
      </w:r>
      <w:r>
        <w:rPr>
          <w:spacing w:val="-5"/>
          <w:sz w:val="28"/>
        </w:rPr>
        <w:t> </w:t>
      </w:r>
      <w:r>
        <w:rPr>
          <w:sz w:val="28"/>
        </w:rPr>
        <w:t>such</w:t>
      </w:r>
      <w:r>
        <w:rPr>
          <w:spacing w:val="-5"/>
          <w:sz w:val="28"/>
        </w:rPr>
        <w:t> </w:t>
      </w:r>
      <w:r>
        <w:rPr>
          <w:sz w:val="28"/>
        </w:rPr>
        <w:t>as persistent genital arousal disorder. This change was made to address the experiences of individuals who may have persistent or recurrent genital sensations without subjective feelings of sexual desire or </w:t>
      </w:r>
      <w:r>
        <w:rPr>
          <w:spacing w:val="-2"/>
          <w:sz w:val="28"/>
        </w:rPr>
        <w:t>arousal.</w:t>
      </w:r>
    </w:p>
    <w:p>
      <w:pPr>
        <w:pStyle w:val="BodyText"/>
        <w:spacing w:before="3"/>
        <w:rPr>
          <w:sz w:val="25"/>
        </w:rPr>
      </w:pPr>
    </w:p>
    <w:p>
      <w:pPr>
        <w:pStyle w:val="ListParagraph"/>
        <w:numPr>
          <w:ilvl w:val="1"/>
          <w:numId w:val="3"/>
        </w:numPr>
        <w:tabs>
          <w:tab w:pos="1183" w:val="left" w:leader="none"/>
          <w:tab w:pos="1185" w:val="left" w:leader="none"/>
        </w:tabs>
        <w:spacing w:line="232" w:lineRule="auto" w:before="1" w:after="0"/>
        <w:ind w:left="1185" w:right="655" w:hanging="426"/>
        <w:jc w:val="left"/>
        <w:rPr>
          <w:sz w:val="28"/>
        </w:rPr>
      </w:pPr>
      <w:r>
        <w:rPr>
          <w:b/>
          <w:sz w:val="28"/>
        </w:rPr>
        <w:t>Changes</w:t>
      </w:r>
      <w:r>
        <w:rPr>
          <w:b/>
          <w:spacing w:val="-4"/>
          <w:sz w:val="28"/>
        </w:rPr>
        <w:t> </w:t>
      </w:r>
      <w:r>
        <w:rPr>
          <w:b/>
          <w:sz w:val="28"/>
        </w:rPr>
        <w:t>to</w:t>
      </w:r>
      <w:r>
        <w:rPr>
          <w:b/>
          <w:spacing w:val="-4"/>
          <w:sz w:val="28"/>
        </w:rPr>
        <w:t> </w:t>
      </w:r>
      <w:r>
        <w:rPr>
          <w:b/>
          <w:sz w:val="28"/>
        </w:rPr>
        <w:t>Pedophilic</w:t>
      </w:r>
      <w:r>
        <w:rPr>
          <w:b/>
          <w:spacing w:val="-5"/>
          <w:sz w:val="28"/>
        </w:rPr>
        <w:t> </w:t>
      </w:r>
      <w:r>
        <w:rPr>
          <w:b/>
          <w:sz w:val="28"/>
        </w:rPr>
        <w:t>Disorder</w:t>
      </w:r>
      <w:r>
        <w:rPr>
          <w:b/>
          <w:spacing w:val="-10"/>
          <w:sz w:val="28"/>
        </w:rPr>
        <w:t> </w:t>
      </w:r>
      <w:r>
        <w:rPr>
          <w:b/>
          <w:sz w:val="28"/>
        </w:rPr>
        <w:t>Criteria:</w:t>
      </w:r>
      <w:r>
        <w:rPr>
          <w:b/>
          <w:spacing w:val="-10"/>
          <w:sz w:val="28"/>
        </w:rPr>
        <w:t> </w:t>
      </w:r>
      <w:r>
        <w:rPr>
          <w:sz w:val="28"/>
        </w:rPr>
        <w:t>The</w:t>
      </w:r>
      <w:r>
        <w:rPr>
          <w:spacing w:val="-5"/>
          <w:sz w:val="28"/>
        </w:rPr>
        <w:t> </w:t>
      </w:r>
      <w:r>
        <w:rPr>
          <w:sz w:val="28"/>
        </w:rPr>
        <w:t>DSM-5</w:t>
      </w:r>
      <w:r>
        <w:rPr>
          <w:spacing w:val="-4"/>
          <w:sz w:val="28"/>
        </w:rPr>
        <w:t> </w:t>
      </w:r>
      <w:r>
        <w:rPr>
          <w:sz w:val="28"/>
        </w:rPr>
        <w:t>modified</w:t>
      </w:r>
      <w:r>
        <w:rPr>
          <w:spacing w:val="-4"/>
          <w:sz w:val="28"/>
        </w:rPr>
        <w:t> </w:t>
      </w:r>
      <w:r>
        <w:rPr>
          <w:sz w:val="28"/>
        </w:rPr>
        <w:t>the diagnostic</w:t>
      </w:r>
      <w:r>
        <w:rPr>
          <w:spacing w:val="-4"/>
          <w:sz w:val="28"/>
        </w:rPr>
        <w:t> </w:t>
      </w:r>
      <w:r>
        <w:rPr>
          <w:sz w:val="28"/>
        </w:rPr>
        <w:t>criteria</w:t>
      </w:r>
      <w:r>
        <w:rPr>
          <w:spacing w:val="-4"/>
          <w:sz w:val="28"/>
        </w:rPr>
        <w:t> </w:t>
      </w:r>
      <w:r>
        <w:rPr>
          <w:sz w:val="28"/>
        </w:rPr>
        <w:t>for</w:t>
      </w:r>
      <w:r>
        <w:rPr>
          <w:spacing w:val="-3"/>
          <w:sz w:val="28"/>
        </w:rPr>
        <w:t> </w:t>
      </w:r>
      <w:r>
        <w:rPr>
          <w:sz w:val="28"/>
        </w:rPr>
        <w:t>pedophilic</w:t>
      </w:r>
      <w:r>
        <w:rPr>
          <w:spacing w:val="-4"/>
          <w:sz w:val="28"/>
        </w:rPr>
        <w:t> </w:t>
      </w:r>
      <w:r>
        <w:rPr>
          <w:sz w:val="28"/>
        </w:rPr>
        <w:t>disorder,</w:t>
      </w:r>
      <w:r>
        <w:rPr>
          <w:spacing w:val="-3"/>
          <w:sz w:val="28"/>
        </w:rPr>
        <w:t> </w:t>
      </w:r>
      <w:r>
        <w:rPr>
          <w:sz w:val="28"/>
        </w:rPr>
        <w:t>which</w:t>
      </w:r>
      <w:r>
        <w:rPr>
          <w:spacing w:val="-3"/>
          <w:sz w:val="28"/>
        </w:rPr>
        <w:t> </w:t>
      </w:r>
      <w:r>
        <w:rPr>
          <w:sz w:val="28"/>
        </w:rPr>
        <w:t>refers</w:t>
      </w:r>
      <w:r>
        <w:rPr>
          <w:spacing w:val="-3"/>
          <w:sz w:val="28"/>
        </w:rPr>
        <w:t> </w:t>
      </w:r>
      <w:r>
        <w:rPr>
          <w:sz w:val="28"/>
        </w:rPr>
        <w:t>to</w:t>
      </w:r>
      <w:r>
        <w:rPr>
          <w:spacing w:val="-3"/>
          <w:sz w:val="28"/>
        </w:rPr>
        <w:t> </w:t>
      </w:r>
      <w:r>
        <w:rPr>
          <w:sz w:val="28"/>
        </w:rPr>
        <w:t>a</w:t>
      </w:r>
      <w:r>
        <w:rPr>
          <w:spacing w:val="-4"/>
          <w:sz w:val="28"/>
        </w:rPr>
        <w:t> </w:t>
      </w:r>
      <w:r>
        <w:rPr>
          <w:sz w:val="28"/>
        </w:rPr>
        <w:t>persistent sexual</w:t>
      </w:r>
      <w:r>
        <w:rPr>
          <w:spacing w:val="-4"/>
          <w:sz w:val="28"/>
        </w:rPr>
        <w:t> </w:t>
      </w:r>
      <w:r>
        <w:rPr>
          <w:sz w:val="28"/>
        </w:rPr>
        <w:t>interest</w:t>
      </w:r>
      <w:r>
        <w:rPr>
          <w:spacing w:val="-4"/>
          <w:sz w:val="28"/>
        </w:rPr>
        <w:t> </w:t>
      </w:r>
      <w:r>
        <w:rPr>
          <w:sz w:val="28"/>
        </w:rPr>
        <w:t>in</w:t>
      </w:r>
      <w:r>
        <w:rPr>
          <w:spacing w:val="-4"/>
          <w:sz w:val="28"/>
        </w:rPr>
        <w:t> </w:t>
      </w:r>
      <w:r>
        <w:rPr>
          <w:sz w:val="28"/>
        </w:rPr>
        <w:t>prepubescent</w:t>
      </w:r>
      <w:r>
        <w:rPr>
          <w:spacing w:val="-4"/>
          <w:sz w:val="28"/>
        </w:rPr>
        <w:t> </w:t>
      </w:r>
      <w:r>
        <w:rPr>
          <w:sz w:val="28"/>
        </w:rPr>
        <w:t>children.</w:t>
      </w:r>
      <w:r>
        <w:rPr>
          <w:spacing w:val="-10"/>
          <w:sz w:val="28"/>
        </w:rPr>
        <w:t> </w:t>
      </w:r>
      <w:r>
        <w:rPr>
          <w:sz w:val="28"/>
        </w:rPr>
        <w:t>The</w:t>
      </w:r>
      <w:r>
        <w:rPr>
          <w:spacing w:val="-5"/>
          <w:sz w:val="28"/>
        </w:rPr>
        <w:t> </w:t>
      </w:r>
      <w:r>
        <w:rPr>
          <w:sz w:val="28"/>
        </w:rPr>
        <w:t>changes</w:t>
      </w:r>
      <w:r>
        <w:rPr>
          <w:spacing w:val="-4"/>
          <w:sz w:val="28"/>
        </w:rPr>
        <w:t> </w:t>
      </w:r>
      <w:r>
        <w:rPr>
          <w:sz w:val="28"/>
        </w:rPr>
        <w:t>aimed</w:t>
      </w:r>
      <w:r>
        <w:rPr>
          <w:spacing w:val="-4"/>
          <w:sz w:val="28"/>
        </w:rPr>
        <w:t> </w:t>
      </w:r>
      <w:r>
        <w:rPr>
          <w:sz w:val="28"/>
        </w:rPr>
        <w:t>to</w:t>
      </w:r>
      <w:r>
        <w:rPr>
          <w:spacing w:val="-4"/>
          <w:sz w:val="28"/>
        </w:rPr>
        <w:t> </w:t>
      </w:r>
      <w:r>
        <w:rPr>
          <w:sz w:val="28"/>
        </w:rPr>
        <w:t>clarify the criteria and emphasize the importance of actual harm or risk of harm to children as a central aspect of the diagnosis.</w:t>
      </w:r>
    </w:p>
    <w:p>
      <w:pPr>
        <w:pStyle w:val="BodyText"/>
        <w:spacing w:before="7"/>
        <w:rPr>
          <w:sz w:val="24"/>
        </w:rPr>
      </w:pPr>
    </w:p>
    <w:p>
      <w:pPr>
        <w:pStyle w:val="ListParagraph"/>
        <w:numPr>
          <w:ilvl w:val="1"/>
          <w:numId w:val="3"/>
        </w:numPr>
        <w:tabs>
          <w:tab w:pos="1183" w:val="left" w:leader="none"/>
          <w:tab w:pos="1185" w:val="left" w:leader="none"/>
        </w:tabs>
        <w:spacing w:line="232" w:lineRule="auto" w:before="0" w:after="0"/>
        <w:ind w:left="1185" w:right="860" w:hanging="426"/>
        <w:jc w:val="left"/>
        <w:rPr>
          <w:sz w:val="28"/>
        </w:rPr>
      </w:pPr>
      <w:r>
        <w:rPr>
          <w:b/>
          <w:sz w:val="28"/>
        </w:rPr>
        <w:t>Removal of Sexual</w:t>
      </w:r>
      <w:r>
        <w:rPr>
          <w:b/>
          <w:spacing w:val="-4"/>
          <w:sz w:val="28"/>
        </w:rPr>
        <w:t> </w:t>
      </w:r>
      <w:r>
        <w:rPr>
          <w:b/>
          <w:sz w:val="28"/>
        </w:rPr>
        <w:t>Aversion Disorder: </w:t>
      </w:r>
      <w:r>
        <w:rPr>
          <w:sz w:val="28"/>
        </w:rPr>
        <w:t>The DSM-5 removed the diagnosis</w:t>
      </w:r>
      <w:r>
        <w:rPr>
          <w:spacing w:val="-6"/>
          <w:sz w:val="28"/>
        </w:rPr>
        <w:t> </w:t>
      </w:r>
      <w:r>
        <w:rPr>
          <w:sz w:val="28"/>
        </w:rPr>
        <w:t>of</w:t>
      </w:r>
      <w:r>
        <w:rPr>
          <w:spacing w:val="-6"/>
          <w:sz w:val="28"/>
        </w:rPr>
        <w:t> </w:t>
      </w:r>
      <w:r>
        <w:rPr>
          <w:sz w:val="28"/>
        </w:rPr>
        <w:t>"sexual</w:t>
      </w:r>
      <w:r>
        <w:rPr>
          <w:spacing w:val="-6"/>
          <w:sz w:val="28"/>
        </w:rPr>
        <w:t> </w:t>
      </w:r>
      <w:r>
        <w:rPr>
          <w:sz w:val="28"/>
        </w:rPr>
        <w:t>aversion</w:t>
      </w:r>
      <w:r>
        <w:rPr>
          <w:spacing w:val="-6"/>
          <w:sz w:val="28"/>
        </w:rPr>
        <w:t> </w:t>
      </w:r>
      <w:r>
        <w:rPr>
          <w:sz w:val="28"/>
        </w:rPr>
        <w:t>disorder,"</w:t>
      </w:r>
      <w:r>
        <w:rPr>
          <w:spacing w:val="-6"/>
          <w:sz w:val="28"/>
        </w:rPr>
        <w:t> </w:t>
      </w:r>
      <w:r>
        <w:rPr>
          <w:sz w:val="28"/>
        </w:rPr>
        <w:t>which</w:t>
      </w:r>
      <w:r>
        <w:rPr>
          <w:spacing w:val="-6"/>
          <w:sz w:val="28"/>
        </w:rPr>
        <w:t> </w:t>
      </w:r>
      <w:r>
        <w:rPr>
          <w:sz w:val="28"/>
        </w:rPr>
        <w:t>was</w:t>
      </w:r>
      <w:r>
        <w:rPr>
          <w:spacing w:val="-6"/>
          <w:sz w:val="28"/>
        </w:rPr>
        <w:t> </w:t>
      </w:r>
      <w:r>
        <w:rPr>
          <w:sz w:val="28"/>
        </w:rPr>
        <w:t>characterized</w:t>
      </w:r>
      <w:r>
        <w:rPr>
          <w:spacing w:val="-6"/>
          <w:sz w:val="28"/>
        </w:rPr>
        <w:t> </w:t>
      </w:r>
      <w:r>
        <w:rPr>
          <w:sz w:val="28"/>
        </w:rPr>
        <w:t>by extreme aversion or avoidance of sexual contact. This change was based on concerns that the diagnosis pathologized individuals with legitimate reasons for experiencing aversion or avoidance of sexual </w:t>
      </w:r>
      <w:r>
        <w:rPr>
          <w:spacing w:val="-2"/>
          <w:sz w:val="28"/>
        </w:rPr>
        <w:t>activities.</w:t>
      </w:r>
    </w:p>
    <w:p>
      <w:pPr>
        <w:pStyle w:val="BodyText"/>
        <w:spacing w:before="4"/>
        <w:rPr>
          <w:sz w:val="25"/>
        </w:rPr>
      </w:pPr>
    </w:p>
    <w:p>
      <w:pPr>
        <w:pStyle w:val="ListParagraph"/>
        <w:numPr>
          <w:ilvl w:val="1"/>
          <w:numId w:val="3"/>
        </w:numPr>
        <w:tabs>
          <w:tab w:pos="1183" w:val="left" w:leader="none"/>
          <w:tab w:pos="1185" w:val="left" w:leader="none"/>
        </w:tabs>
        <w:spacing w:line="232" w:lineRule="auto" w:before="0" w:after="0"/>
        <w:ind w:left="1185" w:right="659" w:hanging="426"/>
        <w:jc w:val="left"/>
        <w:rPr>
          <w:sz w:val="28"/>
        </w:rPr>
      </w:pPr>
      <w:r>
        <w:rPr>
          <w:b/>
          <w:sz w:val="28"/>
        </w:rPr>
        <w:t>Cultural</w:t>
      </w:r>
      <w:r>
        <w:rPr>
          <w:b/>
          <w:spacing w:val="-3"/>
          <w:sz w:val="28"/>
        </w:rPr>
        <w:t> </w:t>
      </w:r>
      <w:r>
        <w:rPr>
          <w:b/>
          <w:sz w:val="28"/>
        </w:rPr>
        <w:t>Considerations:</w:t>
      </w:r>
      <w:r>
        <w:rPr>
          <w:b/>
          <w:spacing w:val="-4"/>
          <w:sz w:val="28"/>
        </w:rPr>
        <w:t> </w:t>
      </w:r>
      <w:r>
        <w:rPr>
          <w:sz w:val="28"/>
        </w:rPr>
        <w:t>The</w:t>
      </w:r>
      <w:r>
        <w:rPr>
          <w:spacing w:val="-4"/>
          <w:sz w:val="28"/>
        </w:rPr>
        <w:t> </w:t>
      </w:r>
      <w:r>
        <w:rPr>
          <w:sz w:val="28"/>
        </w:rPr>
        <w:t>DSM-5</w:t>
      </w:r>
      <w:r>
        <w:rPr>
          <w:spacing w:val="-3"/>
          <w:sz w:val="28"/>
        </w:rPr>
        <w:t> </w:t>
      </w:r>
      <w:r>
        <w:rPr>
          <w:sz w:val="28"/>
        </w:rPr>
        <w:t>placed</w:t>
      </w:r>
      <w:r>
        <w:rPr>
          <w:spacing w:val="-3"/>
          <w:sz w:val="28"/>
        </w:rPr>
        <w:t> </w:t>
      </w:r>
      <w:r>
        <w:rPr>
          <w:sz w:val="28"/>
        </w:rPr>
        <w:t>increased</w:t>
      </w:r>
      <w:r>
        <w:rPr>
          <w:spacing w:val="-3"/>
          <w:sz w:val="28"/>
        </w:rPr>
        <w:t> </w:t>
      </w:r>
      <w:r>
        <w:rPr>
          <w:sz w:val="28"/>
        </w:rPr>
        <w:t>emphasis</w:t>
      </w:r>
      <w:r>
        <w:rPr>
          <w:spacing w:val="-3"/>
          <w:sz w:val="28"/>
        </w:rPr>
        <w:t> </w:t>
      </w:r>
      <w:r>
        <w:rPr>
          <w:sz w:val="28"/>
        </w:rPr>
        <w:t>on considering</w:t>
      </w:r>
      <w:r>
        <w:rPr>
          <w:spacing w:val="-6"/>
          <w:sz w:val="28"/>
        </w:rPr>
        <w:t> </w:t>
      </w:r>
      <w:r>
        <w:rPr>
          <w:sz w:val="28"/>
        </w:rPr>
        <w:t>cultural</w:t>
      </w:r>
      <w:r>
        <w:rPr>
          <w:spacing w:val="-6"/>
          <w:sz w:val="28"/>
        </w:rPr>
        <w:t> </w:t>
      </w:r>
      <w:r>
        <w:rPr>
          <w:sz w:val="28"/>
        </w:rPr>
        <w:t>and</w:t>
      </w:r>
      <w:r>
        <w:rPr>
          <w:spacing w:val="-6"/>
          <w:sz w:val="28"/>
        </w:rPr>
        <w:t> </w:t>
      </w:r>
      <w:r>
        <w:rPr>
          <w:sz w:val="28"/>
        </w:rPr>
        <w:t>sociocultural</w:t>
      </w:r>
      <w:r>
        <w:rPr>
          <w:spacing w:val="-6"/>
          <w:sz w:val="28"/>
        </w:rPr>
        <w:t> </w:t>
      </w:r>
      <w:r>
        <w:rPr>
          <w:sz w:val="28"/>
        </w:rPr>
        <w:t>factors</w:t>
      </w:r>
      <w:r>
        <w:rPr>
          <w:spacing w:val="-6"/>
          <w:sz w:val="28"/>
        </w:rPr>
        <w:t> </w:t>
      </w:r>
      <w:r>
        <w:rPr>
          <w:sz w:val="28"/>
        </w:rPr>
        <w:t>when</w:t>
      </w:r>
      <w:r>
        <w:rPr>
          <w:spacing w:val="-6"/>
          <w:sz w:val="28"/>
        </w:rPr>
        <w:t> </w:t>
      </w:r>
      <w:r>
        <w:rPr>
          <w:sz w:val="28"/>
        </w:rPr>
        <w:t>diagnosing</w:t>
      </w:r>
      <w:r>
        <w:rPr>
          <w:spacing w:val="-6"/>
          <w:sz w:val="28"/>
        </w:rPr>
        <w:t> </w:t>
      </w:r>
      <w:r>
        <w:rPr>
          <w:sz w:val="28"/>
        </w:rPr>
        <w:t>sexual disorders</w:t>
      </w:r>
      <w:r>
        <w:rPr>
          <w:spacing w:val="-2"/>
          <w:sz w:val="28"/>
        </w:rPr>
        <w:t> </w:t>
      </w:r>
      <w:r>
        <w:rPr>
          <w:sz w:val="28"/>
        </w:rPr>
        <w:t>and</w:t>
      </w:r>
      <w:r>
        <w:rPr>
          <w:spacing w:val="-2"/>
          <w:sz w:val="28"/>
        </w:rPr>
        <w:t> </w:t>
      </w:r>
      <w:r>
        <w:rPr>
          <w:sz w:val="28"/>
        </w:rPr>
        <w:t>issues.</w:t>
      </w:r>
      <w:r>
        <w:rPr>
          <w:spacing w:val="-2"/>
          <w:sz w:val="28"/>
        </w:rPr>
        <w:t> </w:t>
      </w:r>
      <w:r>
        <w:rPr>
          <w:sz w:val="28"/>
        </w:rPr>
        <w:t>It</w:t>
      </w:r>
      <w:r>
        <w:rPr>
          <w:spacing w:val="-2"/>
          <w:sz w:val="28"/>
        </w:rPr>
        <w:t> </w:t>
      </w:r>
      <w:r>
        <w:rPr>
          <w:sz w:val="28"/>
        </w:rPr>
        <w:t>recognizes</w:t>
      </w:r>
      <w:r>
        <w:rPr>
          <w:spacing w:val="-2"/>
          <w:sz w:val="28"/>
        </w:rPr>
        <w:t> </w:t>
      </w:r>
      <w:r>
        <w:rPr>
          <w:sz w:val="28"/>
        </w:rPr>
        <w:t>that</w:t>
      </w:r>
      <w:r>
        <w:rPr>
          <w:spacing w:val="-2"/>
          <w:sz w:val="28"/>
        </w:rPr>
        <w:t> </w:t>
      </w:r>
      <w:r>
        <w:rPr>
          <w:sz w:val="28"/>
        </w:rPr>
        <w:t>sexual</w:t>
      </w:r>
      <w:r>
        <w:rPr>
          <w:spacing w:val="-2"/>
          <w:sz w:val="28"/>
        </w:rPr>
        <w:t> </w:t>
      </w:r>
      <w:r>
        <w:rPr>
          <w:sz w:val="28"/>
        </w:rPr>
        <w:t>attitudes,</w:t>
      </w:r>
      <w:r>
        <w:rPr>
          <w:spacing w:val="-2"/>
          <w:sz w:val="28"/>
        </w:rPr>
        <w:t> </w:t>
      </w:r>
      <w:r>
        <w:rPr>
          <w:sz w:val="28"/>
        </w:rPr>
        <w:t>practices,</w:t>
      </w:r>
      <w:r>
        <w:rPr>
          <w:spacing w:val="-2"/>
          <w:sz w:val="28"/>
        </w:rPr>
        <w:t> </w:t>
      </w:r>
      <w:r>
        <w:rPr>
          <w:sz w:val="28"/>
        </w:rPr>
        <w:t>and dysfunctions can vary across different cultures and that a culturally sensitive</w:t>
      </w:r>
      <w:r>
        <w:rPr>
          <w:spacing w:val="-5"/>
          <w:sz w:val="28"/>
        </w:rPr>
        <w:t> </w:t>
      </w:r>
      <w:r>
        <w:rPr>
          <w:sz w:val="28"/>
        </w:rPr>
        <w:t>approach</w:t>
      </w:r>
      <w:r>
        <w:rPr>
          <w:spacing w:val="-4"/>
          <w:sz w:val="28"/>
        </w:rPr>
        <w:t> </w:t>
      </w:r>
      <w:r>
        <w:rPr>
          <w:sz w:val="28"/>
        </w:rPr>
        <w:t>is</w:t>
      </w:r>
      <w:r>
        <w:rPr>
          <w:spacing w:val="-4"/>
          <w:sz w:val="28"/>
        </w:rPr>
        <w:t> </w:t>
      </w:r>
      <w:r>
        <w:rPr>
          <w:sz w:val="28"/>
        </w:rPr>
        <w:t>necessary</w:t>
      </w:r>
      <w:r>
        <w:rPr>
          <w:spacing w:val="-4"/>
          <w:sz w:val="28"/>
        </w:rPr>
        <w:t> </w:t>
      </w:r>
      <w:r>
        <w:rPr>
          <w:sz w:val="28"/>
        </w:rPr>
        <w:t>for</w:t>
      </w:r>
      <w:r>
        <w:rPr>
          <w:spacing w:val="-4"/>
          <w:sz w:val="28"/>
        </w:rPr>
        <w:t> </w:t>
      </w:r>
      <w:r>
        <w:rPr>
          <w:sz w:val="28"/>
        </w:rPr>
        <w:t>accurate</w:t>
      </w:r>
      <w:r>
        <w:rPr>
          <w:spacing w:val="-5"/>
          <w:sz w:val="28"/>
        </w:rPr>
        <w:t> </w:t>
      </w:r>
      <w:r>
        <w:rPr>
          <w:sz w:val="28"/>
        </w:rPr>
        <w:t>assessment</w:t>
      </w:r>
      <w:r>
        <w:rPr>
          <w:spacing w:val="-4"/>
          <w:sz w:val="28"/>
        </w:rPr>
        <w:t> </w:t>
      </w:r>
      <w:r>
        <w:rPr>
          <w:sz w:val="28"/>
        </w:rPr>
        <w:t>and</w:t>
      </w:r>
      <w:r>
        <w:rPr>
          <w:spacing w:val="-4"/>
          <w:sz w:val="28"/>
        </w:rPr>
        <w:t> </w:t>
      </w:r>
      <w:r>
        <w:rPr>
          <w:sz w:val="28"/>
        </w:rPr>
        <w:t>diagnosis</w:t>
      </w:r>
    </w:p>
    <w:p>
      <w:pPr>
        <w:pStyle w:val="BodyText"/>
        <w:spacing w:before="11"/>
        <w:rPr>
          <w:sz w:val="24"/>
        </w:rPr>
      </w:pPr>
    </w:p>
    <w:p>
      <w:pPr>
        <w:pStyle w:val="ListParagraph"/>
        <w:numPr>
          <w:ilvl w:val="1"/>
          <w:numId w:val="3"/>
        </w:numPr>
        <w:tabs>
          <w:tab w:pos="1183" w:val="left" w:leader="none"/>
          <w:tab w:pos="1185" w:val="left" w:leader="none"/>
        </w:tabs>
        <w:spacing w:line="230" w:lineRule="auto" w:before="0" w:after="0"/>
        <w:ind w:left="1185" w:right="549" w:hanging="426"/>
        <w:jc w:val="left"/>
        <w:rPr>
          <w:sz w:val="28"/>
        </w:rPr>
      </w:pPr>
      <w:r>
        <w:rPr>
          <w:b/>
          <w:sz w:val="28"/>
        </w:rPr>
        <w:t>Sexual Interest/Arousal Disorder: </w:t>
      </w:r>
      <w:r>
        <w:rPr>
          <w:sz w:val="28"/>
        </w:rPr>
        <w:t>The DSM-5 introduced a new diagnosis</w:t>
      </w:r>
      <w:r>
        <w:rPr>
          <w:spacing w:val="-9"/>
          <w:sz w:val="28"/>
        </w:rPr>
        <w:t> </w:t>
      </w:r>
      <w:r>
        <w:rPr>
          <w:sz w:val="28"/>
        </w:rPr>
        <w:t>called</w:t>
      </w:r>
      <w:r>
        <w:rPr>
          <w:spacing w:val="-9"/>
          <w:sz w:val="28"/>
        </w:rPr>
        <w:t> </w:t>
      </w:r>
      <w:r>
        <w:rPr>
          <w:sz w:val="28"/>
        </w:rPr>
        <w:t>"sexual</w:t>
      </w:r>
      <w:r>
        <w:rPr>
          <w:spacing w:val="-9"/>
          <w:sz w:val="28"/>
        </w:rPr>
        <w:t> </w:t>
      </w:r>
      <w:r>
        <w:rPr>
          <w:sz w:val="28"/>
        </w:rPr>
        <w:t>interest/arousal</w:t>
      </w:r>
      <w:r>
        <w:rPr>
          <w:spacing w:val="-9"/>
          <w:sz w:val="28"/>
        </w:rPr>
        <w:t> </w:t>
      </w:r>
      <w:r>
        <w:rPr>
          <w:sz w:val="28"/>
        </w:rPr>
        <w:t>disorder,"</w:t>
      </w:r>
      <w:r>
        <w:rPr>
          <w:spacing w:val="-9"/>
          <w:sz w:val="28"/>
        </w:rPr>
        <w:t> </w:t>
      </w:r>
      <w:r>
        <w:rPr>
          <w:sz w:val="28"/>
        </w:rPr>
        <w:t>which</w:t>
      </w:r>
      <w:r>
        <w:rPr>
          <w:spacing w:val="-9"/>
          <w:sz w:val="28"/>
        </w:rPr>
        <w:t> </w:t>
      </w:r>
      <w:r>
        <w:rPr>
          <w:sz w:val="28"/>
        </w:rPr>
        <w:t>encompasses the previous separate diagnoses of hypoactive sexual desire disorder (low or absent sexual desire) and female sexual arousal disorder</w:t>
      </w:r>
    </w:p>
    <w:p>
      <w:pPr>
        <w:spacing w:after="0" w:line="230" w:lineRule="auto"/>
        <w:jc w:val="left"/>
        <w:rPr>
          <w:sz w:val="28"/>
        </w:rPr>
        <w:sectPr>
          <w:pgSz w:w="12240" w:h="15840"/>
          <w:pgMar w:header="0" w:footer="765" w:top="1260" w:bottom="980" w:left="1400" w:right="1180"/>
        </w:sectPr>
      </w:pPr>
    </w:p>
    <w:p>
      <w:pPr>
        <w:pStyle w:val="BodyText"/>
        <w:spacing w:before="66"/>
        <w:ind w:left="1185"/>
      </w:pPr>
      <w:r>
        <w:rPr/>
        <w:t>(difficulty</w:t>
      </w:r>
      <w:r>
        <w:rPr>
          <w:spacing w:val="-4"/>
        </w:rPr>
        <w:t> </w:t>
      </w:r>
      <w:r>
        <w:rPr/>
        <w:t>with</w:t>
      </w:r>
      <w:r>
        <w:rPr>
          <w:spacing w:val="-4"/>
        </w:rPr>
        <w:t> </w:t>
      </w:r>
      <w:r>
        <w:rPr/>
        <w:t>arousal).</w:t>
      </w:r>
      <w:r>
        <w:rPr>
          <w:spacing w:val="-10"/>
        </w:rPr>
        <w:t> </w:t>
      </w:r>
      <w:r>
        <w:rPr/>
        <w:t>This</w:t>
      </w:r>
      <w:r>
        <w:rPr>
          <w:spacing w:val="-4"/>
        </w:rPr>
        <w:t> </w:t>
      </w:r>
      <w:r>
        <w:rPr/>
        <w:t>change</w:t>
      </w:r>
      <w:r>
        <w:rPr>
          <w:spacing w:val="-5"/>
        </w:rPr>
        <w:t> </w:t>
      </w:r>
      <w:r>
        <w:rPr/>
        <w:t>reflects</w:t>
      </w:r>
      <w:r>
        <w:rPr>
          <w:spacing w:val="-4"/>
        </w:rPr>
        <w:t> </w:t>
      </w:r>
      <w:r>
        <w:rPr/>
        <w:t>a</w:t>
      </w:r>
      <w:r>
        <w:rPr>
          <w:spacing w:val="-5"/>
        </w:rPr>
        <w:t> </w:t>
      </w:r>
      <w:r>
        <w:rPr/>
        <w:t>shift</w:t>
      </w:r>
      <w:r>
        <w:rPr>
          <w:spacing w:val="-4"/>
        </w:rPr>
        <w:t> </w:t>
      </w:r>
      <w:r>
        <w:rPr/>
        <w:t>towards</w:t>
      </w:r>
      <w:r>
        <w:rPr>
          <w:spacing w:val="-4"/>
        </w:rPr>
        <w:t> </w:t>
      </w:r>
      <w:r>
        <w:rPr/>
        <w:t>a</w:t>
      </w:r>
      <w:r>
        <w:rPr>
          <w:spacing w:val="-5"/>
        </w:rPr>
        <w:t> </w:t>
      </w:r>
      <w:r>
        <w:rPr/>
        <w:t>more inclusive and gender-neutral approach.</w:t>
      </w:r>
    </w:p>
    <w:p>
      <w:pPr>
        <w:pStyle w:val="BodyText"/>
        <w:spacing w:before="7"/>
        <w:rPr>
          <w:sz w:val="24"/>
        </w:rPr>
      </w:pPr>
    </w:p>
    <w:p>
      <w:pPr>
        <w:pStyle w:val="ListParagraph"/>
        <w:numPr>
          <w:ilvl w:val="1"/>
          <w:numId w:val="3"/>
        </w:numPr>
        <w:tabs>
          <w:tab w:pos="1183" w:val="left" w:leader="none"/>
          <w:tab w:pos="1185" w:val="left" w:leader="none"/>
        </w:tabs>
        <w:spacing w:line="232" w:lineRule="auto" w:before="0" w:after="0"/>
        <w:ind w:left="1185" w:right="646" w:hanging="426"/>
        <w:jc w:val="left"/>
        <w:rPr>
          <w:sz w:val="28"/>
        </w:rPr>
      </w:pPr>
      <w:r>
        <w:rPr>
          <w:b/>
          <w:sz w:val="28"/>
        </w:rPr>
        <w:t>Gender Dysphoria in Children: </w:t>
      </w:r>
      <w:r>
        <w:rPr>
          <w:sz w:val="28"/>
        </w:rPr>
        <w:t>The DSM-5 included a new diagnosis</w:t>
      </w:r>
      <w:r>
        <w:rPr>
          <w:spacing w:val="-4"/>
          <w:sz w:val="28"/>
        </w:rPr>
        <w:t> </w:t>
      </w:r>
      <w:r>
        <w:rPr>
          <w:sz w:val="28"/>
        </w:rPr>
        <w:t>called</w:t>
      </w:r>
      <w:r>
        <w:rPr>
          <w:spacing w:val="-4"/>
          <w:sz w:val="28"/>
        </w:rPr>
        <w:t> </w:t>
      </w:r>
      <w:r>
        <w:rPr>
          <w:sz w:val="28"/>
        </w:rPr>
        <w:t>"gender</w:t>
      </w:r>
      <w:r>
        <w:rPr>
          <w:spacing w:val="-4"/>
          <w:sz w:val="28"/>
        </w:rPr>
        <w:t> </w:t>
      </w:r>
      <w:r>
        <w:rPr>
          <w:sz w:val="28"/>
        </w:rPr>
        <w:t>dysphoria</w:t>
      </w:r>
      <w:r>
        <w:rPr>
          <w:spacing w:val="-5"/>
          <w:sz w:val="28"/>
        </w:rPr>
        <w:t> </w:t>
      </w:r>
      <w:r>
        <w:rPr>
          <w:sz w:val="28"/>
        </w:rPr>
        <w:t>in</w:t>
      </w:r>
      <w:r>
        <w:rPr>
          <w:spacing w:val="-4"/>
          <w:sz w:val="28"/>
        </w:rPr>
        <w:t> </w:t>
      </w:r>
      <w:r>
        <w:rPr>
          <w:sz w:val="28"/>
        </w:rPr>
        <w:t>children"</w:t>
      </w:r>
      <w:r>
        <w:rPr>
          <w:spacing w:val="-4"/>
          <w:sz w:val="28"/>
        </w:rPr>
        <w:t> </w:t>
      </w:r>
      <w:r>
        <w:rPr>
          <w:sz w:val="28"/>
        </w:rPr>
        <w:t>to</w:t>
      </w:r>
      <w:r>
        <w:rPr>
          <w:spacing w:val="-4"/>
          <w:sz w:val="28"/>
        </w:rPr>
        <w:t> </w:t>
      </w:r>
      <w:r>
        <w:rPr>
          <w:sz w:val="28"/>
        </w:rPr>
        <w:t>address</w:t>
      </w:r>
      <w:r>
        <w:rPr>
          <w:spacing w:val="-4"/>
          <w:sz w:val="28"/>
        </w:rPr>
        <w:t> </w:t>
      </w:r>
      <w:r>
        <w:rPr>
          <w:sz w:val="28"/>
        </w:rPr>
        <w:t>the</w:t>
      </w:r>
      <w:r>
        <w:rPr>
          <w:spacing w:val="-5"/>
          <w:sz w:val="28"/>
        </w:rPr>
        <w:t> </w:t>
      </w:r>
      <w:r>
        <w:rPr>
          <w:sz w:val="28"/>
        </w:rPr>
        <w:t>distress experienced by children whose gender identity differs from their assigned sex at birth. It provides a framework for understanding and supporting these individuals during their development.</w:t>
      </w:r>
    </w:p>
    <w:p>
      <w:pPr>
        <w:pStyle w:val="BodyText"/>
        <w:spacing w:before="10"/>
        <w:rPr>
          <w:sz w:val="24"/>
        </w:rPr>
      </w:pPr>
    </w:p>
    <w:p>
      <w:pPr>
        <w:pStyle w:val="ListParagraph"/>
        <w:numPr>
          <w:ilvl w:val="1"/>
          <w:numId w:val="3"/>
        </w:numPr>
        <w:tabs>
          <w:tab w:pos="1183" w:val="left" w:leader="none"/>
          <w:tab w:pos="1185" w:val="left" w:leader="none"/>
        </w:tabs>
        <w:spacing w:line="230" w:lineRule="auto" w:before="0" w:after="0"/>
        <w:ind w:left="1185" w:right="665" w:hanging="426"/>
        <w:jc w:val="left"/>
        <w:rPr>
          <w:sz w:val="28"/>
        </w:rPr>
      </w:pPr>
      <w:r>
        <w:rPr>
          <w:b/>
          <w:sz w:val="28"/>
        </w:rPr>
        <w:t>Severity Specifiers: </w:t>
      </w:r>
      <w:r>
        <w:rPr>
          <w:sz w:val="28"/>
        </w:rPr>
        <w:t>The DSM-5 introduced severity specifiers for sexual</w:t>
      </w:r>
      <w:r>
        <w:rPr>
          <w:spacing w:val="-4"/>
          <w:sz w:val="28"/>
        </w:rPr>
        <w:t> </w:t>
      </w:r>
      <w:r>
        <w:rPr>
          <w:sz w:val="28"/>
        </w:rPr>
        <w:t>dysfunctions,</w:t>
      </w:r>
      <w:r>
        <w:rPr>
          <w:spacing w:val="-4"/>
          <w:sz w:val="28"/>
        </w:rPr>
        <w:t> </w:t>
      </w:r>
      <w:r>
        <w:rPr>
          <w:sz w:val="28"/>
        </w:rPr>
        <w:t>allowing</w:t>
      </w:r>
      <w:r>
        <w:rPr>
          <w:spacing w:val="-4"/>
          <w:sz w:val="28"/>
        </w:rPr>
        <w:t> </w:t>
      </w:r>
      <w:r>
        <w:rPr>
          <w:sz w:val="28"/>
        </w:rPr>
        <w:t>clinicians</w:t>
      </w:r>
      <w:r>
        <w:rPr>
          <w:spacing w:val="-4"/>
          <w:sz w:val="28"/>
        </w:rPr>
        <w:t> </w:t>
      </w:r>
      <w:r>
        <w:rPr>
          <w:sz w:val="28"/>
        </w:rPr>
        <w:t>to</w:t>
      </w:r>
      <w:r>
        <w:rPr>
          <w:spacing w:val="-4"/>
          <w:sz w:val="28"/>
        </w:rPr>
        <w:t> </w:t>
      </w:r>
      <w:r>
        <w:rPr>
          <w:sz w:val="28"/>
        </w:rPr>
        <w:t>indicate</w:t>
      </w:r>
      <w:r>
        <w:rPr>
          <w:spacing w:val="-5"/>
          <w:sz w:val="28"/>
        </w:rPr>
        <w:t> </w:t>
      </w:r>
      <w:r>
        <w:rPr>
          <w:sz w:val="28"/>
        </w:rPr>
        <w:t>the</w:t>
      </w:r>
      <w:r>
        <w:rPr>
          <w:spacing w:val="-5"/>
          <w:sz w:val="28"/>
        </w:rPr>
        <w:t> </w:t>
      </w:r>
      <w:r>
        <w:rPr>
          <w:sz w:val="28"/>
        </w:rPr>
        <w:t>severity</w:t>
      </w:r>
      <w:r>
        <w:rPr>
          <w:spacing w:val="-4"/>
          <w:sz w:val="28"/>
        </w:rPr>
        <w:t> </w:t>
      </w:r>
      <w:r>
        <w:rPr>
          <w:sz w:val="28"/>
        </w:rPr>
        <w:t>of</w:t>
      </w:r>
      <w:r>
        <w:rPr>
          <w:spacing w:val="-4"/>
          <w:sz w:val="28"/>
        </w:rPr>
        <w:t> </w:t>
      </w:r>
      <w:r>
        <w:rPr>
          <w:sz w:val="28"/>
        </w:rPr>
        <w:t>the symptoms and impairment experienced by individuals. This helps in determining appropriate treatment approaches and interventions.</w:t>
      </w:r>
    </w:p>
    <w:p>
      <w:pPr>
        <w:pStyle w:val="BodyText"/>
        <w:spacing w:before="2"/>
        <w:rPr>
          <w:sz w:val="25"/>
        </w:rPr>
      </w:pPr>
    </w:p>
    <w:p>
      <w:pPr>
        <w:pStyle w:val="ListParagraph"/>
        <w:numPr>
          <w:ilvl w:val="1"/>
          <w:numId w:val="3"/>
        </w:numPr>
        <w:tabs>
          <w:tab w:pos="1183" w:val="left" w:leader="none"/>
          <w:tab w:pos="1185" w:val="left" w:leader="none"/>
        </w:tabs>
        <w:spacing w:line="230" w:lineRule="auto" w:before="1" w:after="0"/>
        <w:ind w:left="1185" w:right="668" w:hanging="426"/>
        <w:jc w:val="left"/>
        <w:rPr>
          <w:sz w:val="28"/>
        </w:rPr>
      </w:pPr>
      <w:r>
        <w:rPr>
          <w:b/>
          <w:sz w:val="28"/>
        </w:rPr>
        <w:t>Co-Occurrence</w:t>
      </w:r>
      <w:r>
        <w:rPr>
          <w:b/>
          <w:spacing w:val="-7"/>
          <w:sz w:val="28"/>
        </w:rPr>
        <w:t> </w:t>
      </w:r>
      <w:r>
        <w:rPr>
          <w:b/>
          <w:sz w:val="28"/>
        </w:rPr>
        <w:t>of</w:t>
      </w:r>
      <w:r>
        <w:rPr>
          <w:b/>
          <w:spacing w:val="-6"/>
          <w:sz w:val="28"/>
        </w:rPr>
        <w:t> </w:t>
      </w:r>
      <w:r>
        <w:rPr>
          <w:b/>
          <w:sz w:val="28"/>
        </w:rPr>
        <w:t>Disorders:</w:t>
      </w:r>
      <w:r>
        <w:rPr>
          <w:b/>
          <w:spacing w:val="-11"/>
          <w:sz w:val="28"/>
        </w:rPr>
        <w:t> </w:t>
      </w:r>
      <w:r>
        <w:rPr>
          <w:sz w:val="28"/>
        </w:rPr>
        <w:t>The</w:t>
      </w:r>
      <w:r>
        <w:rPr>
          <w:spacing w:val="-7"/>
          <w:sz w:val="28"/>
        </w:rPr>
        <w:t> </w:t>
      </w:r>
      <w:r>
        <w:rPr>
          <w:sz w:val="28"/>
        </w:rPr>
        <w:t>DSM-5</w:t>
      </w:r>
      <w:r>
        <w:rPr>
          <w:spacing w:val="-6"/>
          <w:sz w:val="28"/>
        </w:rPr>
        <w:t> </w:t>
      </w:r>
      <w:r>
        <w:rPr>
          <w:sz w:val="28"/>
        </w:rPr>
        <w:t>acknowledges</w:t>
      </w:r>
      <w:r>
        <w:rPr>
          <w:spacing w:val="-6"/>
          <w:sz w:val="28"/>
        </w:rPr>
        <w:t> </w:t>
      </w:r>
      <w:r>
        <w:rPr>
          <w:sz w:val="28"/>
        </w:rPr>
        <w:t>that</w:t>
      </w:r>
      <w:r>
        <w:rPr>
          <w:spacing w:val="-6"/>
          <w:sz w:val="28"/>
        </w:rPr>
        <w:t> </w:t>
      </w:r>
      <w:r>
        <w:rPr>
          <w:sz w:val="28"/>
        </w:rPr>
        <w:t>sexual disorders can co-occur with other mental health disorders or medical conditions. It emphasizes the importance of comprehensive assessments</w:t>
      </w:r>
      <w:r>
        <w:rPr>
          <w:spacing w:val="-3"/>
          <w:sz w:val="28"/>
        </w:rPr>
        <w:t> </w:t>
      </w:r>
      <w:r>
        <w:rPr>
          <w:sz w:val="28"/>
        </w:rPr>
        <w:t>to</w:t>
      </w:r>
      <w:r>
        <w:rPr>
          <w:spacing w:val="-3"/>
          <w:sz w:val="28"/>
        </w:rPr>
        <w:t> </w:t>
      </w:r>
      <w:r>
        <w:rPr>
          <w:sz w:val="28"/>
        </w:rPr>
        <w:t>identify</w:t>
      </w:r>
      <w:r>
        <w:rPr>
          <w:spacing w:val="-3"/>
          <w:sz w:val="28"/>
        </w:rPr>
        <w:t> </w:t>
      </w:r>
      <w:r>
        <w:rPr>
          <w:sz w:val="28"/>
        </w:rPr>
        <w:t>any</w:t>
      </w:r>
      <w:r>
        <w:rPr>
          <w:spacing w:val="-3"/>
          <w:sz w:val="28"/>
        </w:rPr>
        <w:t> </w:t>
      </w:r>
      <w:r>
        <w:rPr>
          <w:sz w:val="28"/>
        </w:rPr>
        <w:t>underlying</w:t>
      </w:r>
      <w:r>
        <w:rPr>
          <w:spacing w:val="-3"/>
          <w:sz w:val="28"/>
        </w:rPr>
        <w:t> </w:t>
      </w:r>
      <w:r>
        <w:rPr>
          <w:sz w:val="28"/>
        </w:rPr>
        <w:t>causes</w:t>
      </w:r>
      <w:r>
        <w:rPr>
          <w:spacing w:val="-3"/>
          <w:sz w:val="28"/>
        </w:rPr>
        <w:t> </w:t>
      </w:r>
      <w:r>
        <w:rPr>
          <w:sz w:val="28"/>
        </w:rPr>
        <w:t>or</w:t>
      </w:r>
      <w:r>
        <w:rPr>
          <w:spacing w:val="-3"/>
          <w:sz w:val="28"/>
        </w:rPr>
        <w:t> </w:t>
      </w:r>
      <w:r>
        <w:rPr>
          <w:sz w:val="28"/>
        </w:rPr>
        <w:t>contributing</w:t>
      </w:r>
      <w:r>
        <w:rPr>
          <w:spacing w:val="-3"/>
          <w:sz w:val="28"/>
        </w:rPr>
        <w:t> </w:t>
      </w:r>
      <w:r>
        <w:rPr>
          <w:sz w:val="28"/>
        </w:rPr>
        <w:t>factors.</w:t>
      </w:r>
    </w:p>
    <w:p>
      <w:pPr>
        <w:pStyle w:val="BodyText"/>
        <w:spacing w:before="10"/>
        <w:rPr>
          <w:sz w:val="24"/>
        </w:rPr>
      </w:pPr>
    </w:p>
    <w:p>
      <w:pPr>
        <w:pStyle w:val="ListParagraph"/>
        <w:numPr>
          <w:ilvl w:val="1"/>
          <w:numId w:val="3"/>
        </w:numPr>
        <w:tabs>
          <w:tab w:pos="1183" w:val="left" w:leader="none"/>
          <w:tab w:pos="1185" w:val="left" w:leader="none"/>
        </w:tabs>
        <w:spacing w:line="232" w:lineRule="auto" w:before="0" w:after="0"/>
        <w:ind w:left="1185" w:right="810" w:hanging="426"/>
        <w:jc w:val="left"/>
        <w:rPr>
          <w:sz w:val="28"/>
        </w:rPr>
      </w:pPr>
      <w:r>
        <w:rPr>
          <w:b/>
          <w:sz w:val="28"/>
        </w:rPr>
        <w:t>Cultural Formulation Interview: </w:t>
      </w:r>
      <w:r>
        <w:rPr>
          <w:sz w:val="28"/>
        </w:rPr>
        <w:t>The DSM-5 includes a Cultural Formulation Interview, which is a structured interview designed to help clinicians explore cultural factors that may influence the presentation</w:t>
      </w:r>
      <w:r>
        <w:rPr>
          <w:spacing w:val="-4"/>
          <w:sz w:val="28"/>
        </w:rPr>
        <w:t> </w:t>
      </w:r>
      <w:r>
        <w:rPr>
          <w:sz w:val="28"/>
        </w:rPr>
        <w:t>and</w:t>
      </w:r>
      <w:r>
        <w:rPr>
          <w:spacing w:val="-4"/>
          <w:sz w:val="28"/>
        </w:rPr>
        <w:t> </w:t>
      </w:r>
      <w:r>
        <w:rPr>
          <w:sz w:val="28"/>
        </w:rPr>
        <w:t>experience</w:t>
      </w:r>
      <w:r>
        <w:rPr>
          <w:spacing w:val="-5"/>
          <w:sz w:val="28"/>
        </w:rPr>
        <w:t> </w:t>
      </w:r>
      <w:r>
        <w:rPr>
          <w:sz w:val="28"/>
        </w:rPr>
        <w:t>of</w:t>
      </w:r>
      <w:r>
        <w:rPr>
          <w:spacing w:val="-4"/>
          <w:sz w:val="28"/>
        </w:rPr>
        <w:t> </w:t>
      </w:r>
      <w:r>
        <w:rPr>
          <w:sz w:val="28"/>
        </w:rPr>
        <w:t>sexual</w:t>
      </w:r>
      <w:r>
        <w:rPr>
          <w:spacing w:val="-4"/>
          <w:sz w:val="28"/>
        </w:rPr>
        <w:t> </w:t>
      </w:r>
      <w:r>
        <w:rPr>
          <w:sz w:val="28"/>
        </w:rPr>
        <w:t>disorders</w:t>
      </w:r>
      <w:r>
        <w:rPr>
          <w:spacing w:val="-4"/>
          <w:sz w:val="28"/>
        </w:rPr>
        <w:t> </w:t>
      </w:r>
      <w:r>
        <w:rPr>
          <w:sz w:val="28"/>
        </w:rPr>
        <w:t>and</w:t>
      </w:r>
      <w:r>
        <w:rPr>
          <w:spacing w:val="-4"/>
          <w:sz w:val="28"/>
        </w:rPr>
        <w:t> </w:t>
      </w:r>
      <w:r>
        <w:rPr>
          <w:sz w:val="28"/>
        </w:rPr>
        <w:t>issues.</w:t>
      </w:r>
      <w:r>
        <w:rPr>
          <w:spacing w:val="-10"/>
          <w:sz w:val="28"/>
        </w:rPr>
        <w:t> </w:t>
      </w:r>
      <w:r>
        <w:rPr>
          <w:sz w:val="28"/>
        </w:rPr>
        <w:t>This</w:t>
      </w:r>
      <w:r>
        <w:rPr>
          <w:spacing w:val="-4"/>
          <w:sz w:val="28"/>
        </w:rPr>
        <w:t> </w:t>
      </w:r>
      <w:r>
        <w:rPr>
          <w:sz w:val="28"/>
        </w:rPr>
        <w:t>tool promotes a culturally sensitive approach to diagnosis and treatment </w:t>
      </w:r>
      <w:r>
        <w:rPr>
          <w:spacing w:val="-2"/>
          <w:sz w:val="28"/>
        </w:rPr>
        <w:t>planning.</w:t>
      </w:r>
    </w:p>
    <w:p>
      <w:pPr>
        <w:pStyle w:val="BodyText"/>
        <w:spacing w:before="3"/>
      </w:pPr>
    </w:p>
    <w:p>
      <w:pPr>
        <w:pStyle w:val="BodyText"/>
        <w:ind w:left="280" w:right="502"/>
      </w:pPr>
      <w:r>
        <w:rPr/>
        <w:t>The Cultural Formulation Interview (CFI) is a tool included in the DSM-5 that helps mental health professionals gather information about an individual's cultural background and its potential impact on their experience of mental health symptoms, including sexual disorders and issues. The CFI aims to enhance</w:t>
      </w:r>
      <w:r>
        <w:rPr>
          <w:spacing w:val="-5"/>
        </w:rPr>
        <w:t> </w:t>
      </w:r>
      <w:r>
        <w:rPr/>
        <w:t>cultural</w:t>
      </w:r>
      <w:r>
        <w:rPr>
          <w:spacing w:val="-4"/>
        </w:rPr>
        <w:t> </w:t>
      </w:r>
      <w:r>
        <w:rPr/>
        <w:t>sensitivity</w:t>
      </w:r>
      <w:r>
        <w:rPr>
          <w:spacing w:val="-4"/>
        </w:rPr>
        <w:t> </w:t>
      </w:r>
      <w:r>
        <w:rPr/>
        <w:t>and</w:t>
      </w:r>
      <w:r>
        <w:rPr>
          <w:spacing w:val="-4"/>
        </w:rPr>
        <w:t> </w:t>
      </w:r>
      <w:r>
        <w:rPr/>
        <w:t>promote</w:t>
      </w:r>
      <w:r>
        <w:rPr>
          <w:spacing w:val="-5"/>
        </w:rPr>
        <w:t> </w:t>
      </w:r>
      <w:r>
        <w:rPr/>
        <w:t>a</w:t>
      </w:r>
      <w:r>
        <w:rPr>
          <w:spacing w:val="-5"/>
        </w:rPr>
        <w:t> </w:t>
      </w:r>
      <w:r>
        <w:rPr/>
        <w:t>comprehensive</w:t>
      </w:r>
      <w:r>
        <w:rPr>
          <w:spacing w:val="-5"/>
        </w:rPr>
        <w:t> </w:t>
      </w:r>
      <w:r>
        <w:rPr/>
        <w:t>understanding</w:t>
      </w:r>
      <w:r>
        <w:rPr>
          <w:spacing w:val="-4"/>
        </w:rPr>
        <w:t> </w:t>
      </w:r>
      <w:r>
        <w:rPr/>
        <w:t>of</w:t>
      </w:r>
      <w:r>
        <w:rPr>
          <w:spacing w:val="-4"/>
        </w:rPr>
        <w:t> </w:t>
      </w:r>
      <w:r>
        <w:rPr/>
        <w:t>the individual within their cultural context. To view the full CFI, click here </w:t>
      </w:r>
      <w:r>
        <w:rPr>
          <w:color w:val="0000FF"/>
          <w:sz w:val="26"/>
          <w:u w:val="single" w:color="0000FF"/>
        </w:rPr>
        <w:t>APA</w:t>
      </w:r>
      <w:r>
        <w:rPr>
          <w:color w:val="0000FF"/>
          <w:sz w:val="26"/>
        </w:rPr>
        <w:t> </w:t>
      </w:r>
      <w:r>
        <w:rPr>
          <w:color w:val="0000FF"/>
          <w:sz w:val="26"/>
          <w:u w:val="single" w:color="0000FF"/>
        </w:rPr>
        <w:t>DSM</w:t>
      </w:r>
      <w:r>
        <w:rPr>
          <w:color w:val="0000FF"/>
          <w:spacing w:val="-1"/>
          <w:sz w:val="26"/>
          <w:u w:val="single" w:color="0000FF"/>
        </w:rPr>
        <w:t> </w:t>
      </w:r>
      <w:r>
        <w:rPr>
          <w:color w:val="0000FF"/>
          <w:sz w:val="26"/>
          <w:u w:val="single" w:color="0000FF"/>
        </w:rPr>
        <w:t>5</w:t>
      </w:r>
      <w:r>
        <w:rPr>
          <w:color w:val="0000FF"/>
          <w:spacing w:val="-1"/>
          <w:sz w:val="26"/>
          <w:u w:val="single" w:color="0000FF"/>
        </w:rPr>
        <w:t> </w:t>
      </w:r>
      <w:r>
        <w:rPr>
          <w:color w:val="0000FF"/>
          <w:sz w:val="26"/>
          <w:u w:val="single" w:color="0000FF"/>
        </w:rPr>
        <w:t>Resource</w:t>
      </w:r>
      <w:r>
        <w:rPr>
          <w:color w:val="0000FF"/>
          <w:spacing w:val="-2"/>
          <w:sz w:val="26"/>
          <w:u w:val="single" w:color="0000FF"/>
        </w:rPr>
        <w:t> </w:t>
      </w:r>
      <w:r>
        <w:rPr>
          <w:color w:val="0000FF"/>
          <w:sz w:val="26"/>
          <w:u w:val="single" w:color="0000FF"/>
        </w:rPr>
        <w:t>Page</w:t>
      </w:r>
      <w:r>
        <w:rPr>
          <w:color w:val="0000FF"/>
          <w:sz w:val="26"/>
        </w:rPr>
        <w:t> </w:t>
      </w:r>
      <w:r>
        <w:rPr/>
        <w:t>Here</w:t>
      </w:r>
      <w:r>
        <w:rPr>
          <w:spacing w:val="-2"/>
        </w:rPr>
        <w:t> </w:t>
      </w:r>
      <w:r>
        <w:rPr/>
        <w:t>are</w:t>
      </w:r>
      <w:r>
        <w:rPr>
          <w:spacing w:val="-2"/>
        </w:rPr>
        <w:t> </w:t>
      </w:r>
      <w:r>
        <w:rPr/>
        <w:t>some</w:t>
      </w:r>
      <w:r>
        <w:rPr>
          <w:spacing w:val="-2"/>
        </w:rPr>
        <w:t> </w:t>
      </w:r>
      <w:r>
        <w:rPr/>
        <w:t>key</w:t>
      </w:r>
      <w:r>
        <w:rPr>
          <w:spacing w:val="-1"/>
        </w:rPr>
        <w:t> </w:t>
      </w:r>
      <w:r>
        <w:rPr/>
        <w:t>components</w:t>
      </w:r>
      <w:r>
        <w:rPr>
          <w:spacing w:val="-1"/>
        </w:rPr>
        <w:t> </w:t>
      </w:r>
      <w:r>
        <w:rPr/>
        <w:t>and</w:t>
      </w:r>
      <w:r>
        <w:rPr>
          <w:spacing w:val="-1"/>
        </w:rPr>
        <w:t> </w:t>
      </w:r>
      <w:r>
        <w:rPr/>
        <w:t>examples</w:t>
      </w:r>
      <w:r>
        <w:rPr>
          <w:spacing w:val="-1"/>
        </w:rPr>
        <w:t> </w:t>
      </w:r>
      <w:r>
        <w:rPr/>
        <w:t>of</w:t>
      </w:r>
      <w:r>
        <w:rPr>
          <w:spacing w:val="-1"/>
        </w:rPr>
        <w:t> </w:t>
      </w:r>
      <w:r>
        <w:rPr/>
        <w:t>the</w:t>
      </w:r>
      <w:r>
        <w:rPr>
          <w:spacing w:val="-2"/>
        </w:rPr>
        <w:t> </w:t>
      </w:r>
      <w:r>
        <w:rPr/>
        <w:t>CFI:</w:t>
      </w:r>
    </w:p>
    <w:p>
      <w:pPr>
        <w:pStyle w:val="ListParagraph"/>
        <w:numPr>
          <w:ilvl w:val="0"/>
          <w:numId w:val="7"/>
        </w:numPr>
        <w:tabs>
          <w:tab w:pos="1183" w:val="left" w:leader="none"/>
          <w:tab w:pos="1185" w:val="left" w:leader="none"/>
        </w:tabs>
        <w:spacing w:line="235" w:lineRule="auto" w:before="263" w:after="0"/>
        <w:ind w:left="1185" w:right="636" w:hanging="426"/>
        <w:jc w:val="left"/>
        <w:rPr>
          <w:sz w:val="28"/>
        </w:rPr>
      </w:pPr>
      <w:r>
        <w:rPr>
          <w:b/>
          <w:sz w:val="28"/>
        </w:rPr>
        <w:t>Cultural Identity: </w:t>
      </w:r>
      <w:r>
        <w:rPr>
          <w:sz w:val="28"/>
        </w:rPr>
        <w:t>The CFI explores an individual's cultural identity by</w:t>
      </w:r>
      <w:r>
        <w:rPr>
          <w:spacing w:val="-7"/>
          <w:sz w:val="28"/>
        </w:rPr>
        <w:t> </w:t>
      </w:r>
      <w:r>
        <w:rPr>
          <w:sz w:val="28"/>
        </w:rPr>
        <w:t>asking</w:t>
      </w:r>
      <w:r>
        <w:rPr>
          <w:spacing w:val="-7"/>
          <w:sz w:val="28"/>
        </w:rPr>
        <w:t> </w:t>
      </w:r>
      <w:r>
        <w:rPr>
          <w:sz w:val="28"/>
        </w:rPr>
        <w:t>about</w:t>
      </w:r>
      <w:r>
        <w:rPr>
          <w:spacing w:val="-7"/>
          <w:sz w:val="28"/>
        </w:rPr>
        <w:t> </w:t>
      </w:r>
      <w:r>
        <w:rPr>
          <w:sz w:val="28"/>
        </w:rPr>
        <w:t>their</w:t>
      </w:r>
      <w:r>
        <w:rPr>
          <w:spacing w:val="-7"/>
          <w:sz w:val="28"/>
        </w:rPr>
        <w:t> </w:t>
      </w:r>
      <w:r>
        <w:rPr>
          <w:sz w:val="28"/>
        </w:rPr>
        <w:t>ethnicity,</w:t>
      </w:r>
      <w:r>
        <w:rPr>
          <w:spacing w:val="-7"/>
          <w:sz w:val="28"/>
        </w:rPr>
        <w:t> </w:t>
      </w:r>
      <w:r>
        <w:rPr>
          <w:sz w:val="28"/>
        </w:rPr>
        <w:t>language,</w:t>
      </w:r>
      <w:r>
        <w:rPr>
          <w:spacing w:val="-7"/>
          <w:sz w:val="28"/>
        </w:rPr>
        <w:t> </w:t>
      </w:r>
      <w:r>
        <w:rPr>
          <w:sz w:val="28"/>
        </w:rPr>
        <w:t>religious</w:t>
      </w:r>
      <w:r>
        <w:rPr>
          <w:spacing w:val="-7"/>
          <w:sz w:val="28"/>
        </w:rPr>
        <w:t> </w:t>
      </w:r>
      <w:r>
        <w:rPr>
          <w:sz w:val="28"/>
        </w:rPr>
        <w:t>or</w:t>
      </w:r>
      <w:r>
        <w:rPr>
          <w:spacing w:val="-7"/>
          <w:sz w:val="28"/>
        </w:rPr>
        <w:t> </w:t>
      </w:r>
      <w:r>
        <w:rPr>
          <w:sz w:val="28"/>
        </w:rPr>
        <w:t>spiritual</w:t>
      </w:r>
      <w:r>
        <w:rPr>
          <w:spacing w:val="-7"/>
          <w:sz w:val="28"/>
        </w:rPr>
        <w:t> </w:t>
      </w:r>
      <w:r>
        <w:rPr>
          <w:sz w:val="28"/>
        </w:rPr>
        <w:t>beliefs, and cultural practices. For example, the</w:t>
      </w:r>
      <w:r>
        <w:rPr>
          <w:spacing w:val="-1"/>
          <w:sz w:val="28"/>
        </w:rPr>
        <w:t> </w:t>
      </w:r>
      <w:r>
        <w:rPr>
          <w:sz w:val="28"/>
        </w:rPr>
        <w:t>interviewer might ask, "What cultural or ethnic group do you identify with? How important is your cultural background to you?”</w:t>
      </w:r>
    </w:p>
    <w:p>
      <w:pPr>
        <w:pStyle w:val="BodyText"/>
        <w:spacing w:before="4"/>
        <w:rPr>
          <w:sz w:val="24"/>
        </w:rPr>
      </w:pPr>
    </w:p>
    <w:p>
      <w:pPr>
        <w:pStyle w:val="ListParagraph"/>
        <w:numPr>
          <w:ilvl w:val="0"/>
          <w:numId w:val="7"/>
        </w:numPr>
        <w:tabs>
          <w:tab w:pos="1183" w:val="left" w:leader="none"/>
          <w:tab w:pos="1185" w:val="left" w:leader="none"/>
        </w:tabs>
        <w:spacing w:line="225" w:lineRule="auto" w:before="0" w:after="0"/>
        <w:ind w:left="1185" w:right="604" w:hanging="426"/>
        <w:jc w:val="left"/>
        <w:rPr>
          <w:sz w:val="28"/>
        </w:rPr>
      </w:pPr>
      <w:r>
        <w:rPr>
          <w:b/>
          <w:sz w:val="28"/>
        </w:rPr>
        <w:t>Cultural</w:t>
      </w:r>
      <w:r>
        <w:rPr>
          <w:b/>
          <w:spacing w:val="-5"/>
          <w:sz w:val="28"/>
        </w:rPr>
        <w:t> </w:t>
      </w:r>
      <w:r>
        <w:rPr>
          <w:b/>
          <w:sz w:val="28"/>
        </w:rPr>
        <w:t>Explanations</w:t>
      </w:r>
      <w:r>
        <w:rPr>
          <w:b/>
          <w:spacing w:val="-5"/>
          <w:sz w:val="28"/>
        </w:rPr>
        <w:t> </w:t>
      </w:r>
      <w:r>
        <w:rPr>
          <w:b/>
          <w:sz w:val="28"/>
        </w:rPr>
        <w:t>of</w:t>
      </w:r>
      <w:r>
        <w:rPr>
          <w:b/>
          <w:spacing w:val="-5"/>
          <w:sz w:val="28"/>
        </w:rPr>
        <w:t> </w:t>
      </w:r>
      <w:r>
        <w:rPr>
          <w:b/>
          <w:sz w:val="28"/>
        </w:rPr>
        <w:t>the</w:t>
      </w:r>
      <w:r>
        <w:rPr>
          <w:b/>
          <w:spacing w:val="-6"/>
          <w:sz w:val="28"/>
        </w:rPr>
        <w:t> </w:t>
      </w:r>
      <w:r>
        <w:rPr>
          <w:b/>
          <w:sz w:val="28"/>
        </w:rPr>
        <w:t>Problem:</w:t>
      </w:r>
      <w:r>
        <w:rPr>
          <w:b/>
          <w:spacing w:val="-10"/>
          <w:sz w:val="28"/>
        </w:rPr>
        <w:t> </w:t>
      </w:r>
      <w:r>
        <w:rPr>
          <w:sz w:val="28"/>
        </w:rPr>
        <w:t>The</w:t>
      </w:r>
      <w:r>
        <w:rPr>
          <w:spacing w:val="-6"/>
          <w:sz w:val="28"/>
        </w:rPr>
        <w:t> </w:t>
      </w:r>
      <w:r>
        <w:rPr>
          <w:sz w:val="28"/>
        </w:rPr>
        <w:t>CFI</w:t>
      </w:r>
      <w:r>
        <w:rPr>
          <w:spacing w:val="-5"/>
          <w:sz w:val="28"/>
        </w:rPr>
        <w:t> </w:t>
      </w:r>
      <w:r>
        <w:rPr>
          <w:sz w:val="28"/>
        </w:rPr>
        <w:t>seeks</w:t>
      </w:r>
      <w:r>
        <w:rPr>
          <w:spacing w:val="-5"/>
          <w:sz w:val="28"/>
        </w:rPr>
        <w:t> </w:t>
      </w:r>
      <w:r>
        <w:rPr>
          <w:sz w:val="28"/>
        </w:rPr>
        <w:t>to</w:t>
      </w:r>
      <w:r>
        <w:rPr>
          <w:spacing w:val="-5"/>
          <w:sz w:val="28"/>
        </w:rPr>
        <w:t> </w:t>
      </w:r>
      <w:r>
        <w:rPr>
          <w:sz w:val="28"/>
        </w:rPr>
        <w:t>understand how an individual's culture may influence their understanding and</w:t>
      </w:r>
    </w:p>
    <w:p>
      <w:pPr>
        <w:spacing w:after="0" w:line="225" w:lineRule="auto"/>
        <w:jc w:val="left"/>
        <w:rPr>
          <w:sz w:val="28"/>
        </w:rPr>
        <w:sectPr>
          <w:pgSz w:w="12240" w:h="15840"/>
          <w:pgMar w:header="0" w:footer="765" w:top="1260" w:bottom="980" w:left="1400" w:right="1180"/>
        </w:sectPr>
      </w:pPr>
    </w:p>
    <w:p>
      <w:pPr>
        <w:pStyle w:val="BodyText"/>
        <w:spacing w:before="66"/>
        <w:ind w:left="1185" w:right="499"/>
      </w:pPr>
      <w:r>
        <w:rPr/>
        <w:t>explanations of the sexual disorder or issue they are experiencing. It asks questions like, "How do you explain your sexual difficulties within the context of your culture?</w:t>
      </w:r>
      <w:r>
        <w:rPr>
          <w:spacing w:val="-6"/>
        </w:rPr>
        <w:t> </w:t>
      </w:r>
      <w:r>
        <w:rPr/>
        <w:t>Are there any cultural beliefs or practices</w:t>
      </w:r>
      <w:r>
        <w:rPr>
          <w:spacing w:val="-4"/>
        </w:rPr>
        <w:t> </w:t>
      </w:r>
      <w:r>
        <w:rPr/>
        <w:t>that</w:t>
      </w:r>
      <w:r>
        <w:rPr>
          <w:spacing w:val="-4"/>
        </w:rPr>
        <w:t> </w:t>
      </w:r>
      <w:r>
        <w:rPr/>
        <w:t>might</w:t>
      </w:r>
      <w:r>
        <w:rPr>
          <w:spacing w:val="-4"/>
        </w:rPr>
        <w:t> </w:t>
      </w:r>
      <w:r>
        <w:rPr/>
        <w:t>contribute</w:t>
      </w:r>
      <w:r>
        <w:rPr>
          <w:spacing w:val="-5"/>
        </w:rPr>
        <w:t> </w:t>
      </w:r>
      <w:r>
        <w:rPr/>
        <w:t>to</w:t>
      </w:r>
      <w:r>
        <w:rPr>
          <w:spacing w:val="-4"/>
        </w:rPr>
        <w:t> </w:t>
      </w:r>
      <w:r>
        <w:rPr/>
        <w:t>your</w:t>
      </w:r>
      <w:r>
        <w:rPr>
          <w:spacing w:val="-4"/>
        </w:rPr>
        <w:t> </w:t>
      </w:r>
      <w:r>
        <w:rPr/>
        <w:t>situation?"</w:t>
      </w:r>
      <w:r>
        <w:rPr>
          <w:spacing w:val="-10"/>
        </w:rPr>
        <w:t> </w:t>
      </w:r>
      <w:r>
        <w:rPr/>
        <w:t>This</w:t>
      </w:r>
      <w:r>
        <w:rPr>
          <w:spacing w:val="-4"/>
        </w:rPr>
        <w:t> </w:t>
      </w:r>
      <w:r>
        <w:rPr/>
        <w:t>helps</w:t>
      </w:r>
      <w:r>
        <w:rPr>
          <w:spacing w:val="-4"/>
        </w:rPr>
        <w:t> </w:t>
      </w:r>
      <w:r>
        <w:rPr/>
        <w:t>uncover culturally specific beliefs or interpretations related to sexuality.</w:t>
      </w:r>
    </w:p>
    <w:p>
      <w:pPr>
        <w:pStyle w:val="ListParagraph"/>
        <w:numPr>
          <w:ilvl w:val="0"/>
          <w:numId w:val="7"/>
        </w:numPr>
        <w:tabs>
          <w:tab w:pos="1183" w:val="left" w:leader="none"/>
          <w:tab w:pos="1185" w:val="left" w:leader="none"/>
        </w:tabs>
        <w:spacing w:line="235" w:lineRule="auto" w:before="257" w:after="0"/>
        <w:ind w:left="1185" w:right="536" w:hanging="426"/>
        <w:jc w:val="left"/>
        <w:rPr>
          <w:sz w:val="28"/>
        </w:rPr>
      </w:pPr>
      <w:r>
        <w:rPr>
          <w:b/>
          <w:sz w:val="28"/>
        </w:rPr>
        <w:t>Cultural</w:t>
      </w:r>
      <w:r>
        <w:rPr>
          <w:b/>
          <w:spacing w:val="-8"/>
          <w:sz w:val="28"/>
        </w:rPr>
        <w:t> </w:t>
      </w:r>
      <w:r>
        <w:rPr>
          <w:b/>
          <w:sz w:val="28"/>
        </w:rPr>
        <w:t>Factors</w:t>
      </w:r>
      <w:r>
        <w:rPr>
          <w:b/>
          <w:spacing w:val="-18"/>
          <w:sz w:val="28"/>
        </w:rPr>
        <w:t> </w:t>
      </w:r>
      <w:r>
        <w:rPr>
          <w:b/>
          <w:sz w:val="28"/>
        </w:rPr>
        <w:t>Affecting</w:t>
      </w:r>
      <w:r>
        <w:rPr>
          <w:b/>
          <w:spacing w:val="-5"/>
          <w:sz w:val="28"/>
        </w:rPr>
        <w:t> </w:t>
      </w:r>
      <w:r>
        <w:rPr>
          <w:b/>
          <w:sz w:val="28"/>
        </w:rPr>
        <w:t>Self-Coping</w:t>
      </w:r>
      <w:r>
        <w:rPr>
          <w:b/>
          <w:spacing w:val="-5"/>
          <w:sz w:val="28"/>
        </w:rPr>
        <w:t> </w:t>
      </w:r>
      <w:r>
        <w:rPr>
          <w:b/>
          <w:sz w:val="28"/>
        </w:rPr>
        <w:t>and</w:t>
      </w:r>
      <w:r>
        <w:rPr>
          <w:b/>
          <w:spacing w:val="-5"/>
          <w:sz w:val="28"/>
        </w:rPr>
        <w:t> </w:t>
      </w:r>
      <w:r>
        <w:rPr>
          <w:b/>
          <w:sz w:val="28"/>
        </w:rPr>
        <w:t>Help-Seeking:</w:t>
      </w:r>
      <w:r>
        <w:rPr>
          <w:b/>
          <w:spacing w:val="-11"/>
          <w:sz w:val="28"/>
        </w:rPr>
        <w:t> </w:t>
      </w:r>
      <w:r>
        <w:rPr>
          <w:sz w:val="28"/>
        </w:rPr>
        <w:t>The</w:t>
      </w:r>
      <w:r>
        <w:rPr>
          <w:spacing w:val="-6"/>
          <w:sz w:val="28"/>
        </w:rPr>
        <w:t> </w:t>
      </w:r>
      <w:r>
        <w:rPr>
          <w:sz w:val="28"/>
        </w:rPr>
        <w:t>CFI explores how cultural factors may impact an individual's coping strategies and help-seeking behaviors. For instance, the interviewer might ask, "What cultural resources or practices do you draw upon to cope with your sexual difficulties? How do your cultural beliefs influence your decision to seek help?”</w:t>
      </w:r>
    </w:p>
    <w:p>
      <w:pPr>
        <w:pStyle w:val="ListParagraph"/>
        <w:numPr>
          <w:ilvl w:val="0"/>
          <w:numId w:val="7"/>
        </w:numPr>
        <w:tabs>
          <w:tab w:pos="1183" w:val="left" w:leader="none"/>
          <w:tab w:pos="1185" w:val="left" w:leader="none"/>
        </w:tabs>
        <w:spacing w:line="237" w:lineRule="auto" w:before="268" w:after="0"/>
        <w:ind w:left="1185" w:right="658" w:hanging="426"/>
        <w:jc w:val="left"/>
        <w:rPr>
          <w:sz w:val="28"/>
        </w:rPr>
      </w:pPr>
      <w:r>
        <w:rPr>
          <w:b/>
          <w:sz w:val="28"/>
        </w:rPr>
        <w:t>Cultural</w:t>
      </w:r>
      <w:r>
        <w:rPr>
          <w:b/>
          <w:spacing w:val="-2"/>
          <w:sz w:val="28"/>
        </w:rPr>
        <w:t> </w:t>
      </w:r>
      <w:r>
        <w:rPr>
          <w:b/>
          <w:sz w:val="28"/>
        </w:rPr>
        <w:t>Understanding</w:t>
      </w:r>
      <w:r>
        <w:rPr>
          <w:b/>
          <w:spacing w:val="-2"/>
          <w:sz w:val="28"/>
        </w:rPr>
        <w:t> </w:t>
      </w:r>
      <w:r>
        <w:rPr>
          <w:b/>
          <w:sz w:val="28"/>
        </w:rPr>
        <w:t>of</w:t>
      </w:r>
      <w:r>
        <w:rPr>
          <w:b/>
          <w:spacing w:val="-2"/>
          <w:sz w:val="28"/>
        </w:rPr>
        <w:t> </w:t>
      </w:r>
      <w:r>
        <w:rPr>
          <w:b/>
          <w:sz w:val="28"/>
        </w:rPr>
        <w:t>the</w:t>
      </w:r>
      <w:r>
        <w:rPr>
          <w:b/>
          <w:spacing w:val="-3"/>
          <w:sz w:val="28"/>
        </w:rPr>
        <w:t> </w:t>
      </w:r>
      <w:r>
        <w:rPr>
          <w:b/>
          <w:sz w:val="28"/>
        </w:rPr>
        <w:t>Clinician-Client</w:t>
      </w:r>
      <w:r>
        <w:rPr>
          <w:b/>
          <w:spacing w:val="-2"/>
          <w:sz w:val="28"/>
        </w:rPr>
        <w:t> </w:t>
      </w:r>
      <w:r>
        <w:rPr>
          <w:b/>
          <w:sz w:val="28"/>
        </w:rPr>
        <w:t>Relationship:</w:t>
      </w:r>
      <w:r>
        <w:rPr>
          <w:b/>
          <w:spacing w:val="-7"/>
          <w:sz w:val="28"/>
        </w:rPr>
        <w:t> </w:t>
      </w:r>
      <w:r>
        <w:rPr>
          <w:sz w:val="28"/>
        </w:rPr>
        <w:t>The CFI</w:t>
      </w:r>
      <w:r>
        <w:rPr>
          <w:spacing w:val="-3"/>
          <w:sz w:val="28"/>
        </w:rPr>
        <w:t> </w:t>
      </w:r>
      <w:r>
        <w:rPr>
          <w:sz w:val="28"/>
        </w:rPr>
        <w:t>considers</w:t>
      </w:r>
      <w:r>
        <w:rPr>
          <w:spacing w:val="-3"/>
          <w:sz w:val="28"/>
        </w:rPr>
        <w:t> </w:t>
      </w:r>
      <w:r>
        <w:rPr>
          <w:sz w:val="28"/>
        </w:rPr>
        <w:t>how</w:t>
      </w:r>
      <w:r>
        <w:rPr>
          <w:spacing w:val="-3"/>
          <w:sz w:val="28"/>
        </w:rPr>
        <w:t> </w:t>
      </w:r>
      <w:r>
        <w:rPr>
          <w:sz w:val="28"/>
        </w:rPr>
        <w:t>the</w:t>
      </w:r>
      <w:r>
        <w:rPr>
          <w:spacing w:val="-4"/>
          <w:sz w:val="28"/>
        </w:rPr>
        <w:t> </w:t>
      </w:r>
      <w:r>
        <w:rPr>
          <w:sz w:val="28"/>
        </w:rPr>
        <w:t>cultural</w:t>
      </w:r>
      <w:r>
        <w:rPr>
          <w:spacing w:val="-3"/>
          <w:sz w:val="28"/>
        </w:rPr>
        <w:t> </w:t>
      </w:r>
      <w:r>
        <w:rPr>
          <w:sz w:val="28"/>
        </w:rPr>
        <w:t>background</w:t>
      </w:r>
      <w:r>
        <w:rPr>
          <w:spacing w:val="-3"/>
          <w:sz w:val="28"/>
        </w:rPr>
        <w:t> </w:t>
      </w:r>
      <w:r>
        <w:rPr>
          <w:sz w:val="28"/>
        </w:rPr>
        <w:t>of</w:t>
      </w:r>
      <w:r>
        <w:rPr>
          <w:spacing w:val="-3"/>
          <w:sz w:val="28"/>
        </w:rPr>
        <w:t> </w:t>
      </w:r>
      <w:r>
        <w:rPr>
          <w:sz w:val="28"/>
        </w:rPr>
        <w:t>both</w:t>
      </w:r>
      <w:r>
        <w:rPr>
          <w:spacing w:val="-3"/>
          <w:sz w:val="28"/>
        </w:rPr>
        <w:t> </w:t>
      </w:r>
      <w:r>
        <w:rPr>
          <w:sz w:val="28"/>
        </w:rPr>
        <w:t>the</w:t>
      </w:r>
      <w:r>
        <w:rPr>
          <w:spacing w:val="-4"/>
          <w:sz w:val="28"/>
        </w:rPr>
        <w:t> </w:t>
      </w:r>
      <w:r>
        <w:rPr>
          <w:sz w:val="28"/>
        </w:rPr>
        <w:t>individual</w:t>
      </w:r>
      <w:r>
        <w:rPr>
          <w:spacing w:val="-3"/>
          <w:sz w:val="28"/>
        </w:rPr>
        <w:t> </w:t>
      </w:r>
      <w:r>
        <w:rPr>
          <w:sz w:val="28"/>
        </w:rPr>
        <w:t>and the mental health professional can influence their interaction. It aims to</w:t>
      </w:r>
      <w:r>
        <w:rPr>
          <w:spacing w:val="-7"/>
          <w:sz w:val="28"/>
        </w:rPr>
        <w:t> </w:t>
      </w:r>
      <w:r>
        <w:rPr>
          <w:sz w:val="28"/>
        </w:rPr>
        <w:t>ensure</w:t>
      </w:r>
      <w:r>
        <w:rPr>
          <w:spacing w:val="-6"/>
          <w:sz w:val="28"/>
        </w:rPr>
        <w:t> </w:t>
      </w:r>
      <w:r>
        <w:rPr>
          <w:sz w:val="28"/>
        </w:rPr>
        <w:t>a</w:t>
      </w:r>
      <w:r>
        <w:rPr>
          <w:spacing w:val="-6"/>
          <w:sz w:val="28"/>
        </w:rPr>
        <w:t> </w:t>
      </w:r>
      <w:r>
        <w:rPr>
          <w:sz w:val="28"/>
        </w:rPr>
        <w:t>culturally</w:t>
      </w:r>
      <w:r>
        <w:rPr>
          <w:spacing w:val="-5"/>
          <w:sz w:val="28"/>
        </w:rPr>
        <w:t> </w:t>
      </w:r>
      <w:r>
        <w:rPr>
          <w:sz w:val="28"/>
        </w:rPr>
        <w:t>responsive</w:t>
      </w:r>
      <w:r>
        <w:rPr>
          <w:spacing w:val="-6"/>
          <w:sz w:val="28"/>
        </w:rPr>
        <w:t> </w:t>
      </w:r>
      <w:r>
        <w:rPr>
          <w:sz w:val="28"/>
        </w:rPr>
        <w:t>therapeutic</w:t>
      </w:r>
      <w:r>
        <w:rPr>
          <w:spacing w:val="-6"/>
          <w:sz w:val="28"/>
        </w:rPr>
        <w:t> </w:t>
      </w:r>
      <w:r>
        <w:rPr>
          <w:sz w:val="28"/>
        </w:rPr>
        <w:t>relationship.</w:t>
      </w:r>
      <w:r>
        <w:rPr>
          <w:spacing w:val="-18"/>
          <w:sz w:val="28"/>
        </w:rPr>
        <w:t> </w:t>
      </w:r>
      <w:r>
        <w:rPr>
          <w:sz w:val="28"/>
        </w:rPr>
        <w:t>An</w:t>
      </w:r>
      <w:r>
        <w:rPr>
          <w:spacing w:val="-4"/>
          <w:sz w:val="28"/>
        </w:rPr>
        <w:t> </w:t>
      </w:r>
      <w:r>
        <w:rPr>
          <w:sz w:val="28"/>
        </w:rPr>
        <w:t>example question could be, "What are your expectations for our therapeutic relationship? How do you prefer to communicate with healthcare </w:t>
      </w:r>
      <w:r>
        <w:rPr>
          <w:spacing w:val="-2"/>
          <w:sz w:val="28"/>
        </w:rPr>
        <w:t>providers?”</w:t>
      </w:r>
    </w:p>
    <w:p>
      <w:pPr>
        <w:pStyle w:val="ListParagraph"/>
        <w:numPr>
          <w:ilvl w:val="0"/>
          <w:numId w:val="7"/>
        </w:numPr>
        <w:tabs>
          <w:tab w:pos="1183" w:val="left" w:leader="none"/>
          <w:tab w:pos="1185" w:val="left" w:leader="none"/>
        </w:tabs>
        <w:spacing w:line="235" w:lineRule="auto" w:before="255" w:after="0"/>
        <w:ind w:left="1185" w:right="541" w:hanging="426"/>
        <w:jc w:val="left"/>
        <w:rPr>
          <w:sz w:val="28"/>
        </w:rPr>
      </w:pPr>
      <w:r>
        <w:rPr>
          <w:b/>
          <w:sz w:val="28"/>
        </w:rPr>
        <w:t>Cultural Impact on Diagnosis and Treatment</w:t>
      </w:r>
      <w:r>
        <w:rPr>
          <w:sz w:val="28"/>
        </w:rPr>
        <w:t>: The CFI explores how cultural factors may shape an individual's preferences and expectations regarding diagnosis and treatment. The interviewer may ask,</w:t>
      </w:r>
      <w:r>
        <w:rPr>
          <w:spacing w:val="-4"/>
          <w:sz w:val="28"/>
        </w:rPr>
        <w:t> </w:t>
      </w:r>
      <w:r>
        <w:rPr>
          <w:sz w:val="28"/>
        </w:rPr>
        <w:t>"What</w:t>
      </w:r>
      <w:r>
        <w:rPr>
          <w:spacing w:val="-4"/>
          <w:sz w:val="28"/>
        </w:rPr>
        <w:t> </w:t>
      </w:r>
      <w:r>
        <w:rPr>
          <w:sz w:val="28"/>
        </w:rPr>
        <w:t>are</w:t>
      </w:r>
      <w:r>
        <w:rPr>
          <w:spacing w:val="-5"/>
          <w:sz w:val="28"/>
        </w:rPr>
        <w:t> </w:t>
      </w:r>
      <w:r>
        <w:rPr>
          <w:sz w:val="28"/>
        </w:rPr>
        <w:t>your</w:t>
      </w:r>
      <w:r>
        <w:rPr>
          <w:spacing w:val="-4"/>
          <w:sz w:val="28"/>
        </w:rPr>
        <w:t> </w:t>
      </w:r>
      <w:r>
        <w:rPr>
          <w:sz w:val="28"/>
        </w:rPr>
        <w:t>beliefs</w:t>
      </w:r>
      <w:r>
        <w:rPr>
          <w:spacing w:val="-4"/>
          <w:sz w:val="28"/>
        </w:rPr>
        <w:t> </w:t>
      </w:r>
      <w:r>
        <w:rPr>
          <w:sz w:val="28"/>
        </w:rPr>
        <w:t>about</w:t>
      </w:r>
      <w:r>
        <w:rPr>
          <w:spacing w:val="-4"/>
          <w:sz w:val="28"/>
        </w:rPr>
        <w:t> </w:t>
      </w:r>
      <w:r>
        <w:rPr>
          <w:sz w:val="28"/>
        </w:rPr>
        <w:t>the</w:t>
      </w:r>
      <w:r>
        <w:rPr>
          <w:spacing w:val="-5"/>
          <w:sz w:val="28"/>
        </w:rPr>
        <w:t> </w:t>
      </w:r>
      <w:r>
        <w:rPr>
          <w:sz w:val="28"/>
        </w:rPr>
        <w:t>causes</w:t>
      </w:r>
      <w:r>
        <w:rPr>
          <w:spacing w:val="-4"/>
          <w:sz w:val="28"/>
        </w:rPr>
        <w:t> </w:t>
      </w:r>
      <w:r>
        <w:rPr>
          <w:sz w:val="28"/>
        </w:rPr>
        <w:t>of</w:t>
      </w:r>
      <w:r>
        <w:rPr>
          <w:spacing w:val="-4"/>
          <w:sz w:val="28"/>
        </w:rPr>
        <w:t> </w:t>
      </w:r>
      <w:r>
        <w:rPr>
          <w:sz w:val="28"/>
        </w:rPr>
        <w:t>sexual</w:t>
      </w:r>
      <w:r>
        <w:rPr>
          <w:spacing w:val="-4"/>
          <w:sz w:val="28"/>
        </w:rPr>
        <w:t> </w:t>
      </w:r>
      <w:r>
        <w:rPr>
          <w:sz w:val="28"/>
        </w:rPr>
        <w:t>disorders?</w:t>
      </w:r>
      <w:r>
        <w:rPr>
          <w:spacing w:val="-9"/>
          <w:sz w:val="28"/>
        </w:rPr>
        <w:t> </w:t>
      </w:r>
      <w:r>
        <w:rPr>
          <w:sz w:val="28"/>
        </w:rPr>
        <w:t>What type</w:t>
      </w:r>
      <w:r>
        <w:rPr>
          <w:spacing w:val="-1"/>
          <w:sz w:val="28"/>
        </w:rPr>
        <w:t> </w:t>
      </w:r>
      <w:r>
        <w:rPr>
          <w:sz w:val="28"/>
        </w:rPr>
        <w:t>of treatment approaches do you think would be</w:t>
      </w:r>
      <w:r>
        <w:rPr>
          <w:spacing w:val="-1"/>
          <w:sz w:val="28"/>
        </w:rPr>
        <w:t> </w:t>
      </w:r>
      <w:r>
        <w:rPr>
          <w:sz w:val="28"/>
        </w:rPr>
        <w:t>most effective</w:t>
      </w:r>
      <w:r>
        <w:rPr>
          <w:spacing w:val="-1"/>
          <w:sz w:val="28"/>
        </w:rPr>
        <w:t> </w:t>
      </w:r>
      <w:r>
        <w:rPr>
          <w:sz w:val="28"/>
        </w:rPr>
        <w:t>for you, considering your cultural background?"</w:t>
      </w:r>
    </w:p>
    <w:p>
      <w:pPr>
        <w:pStyle w:val="BodyText"/>
        <w:spacing w:before="3"/>
      </w:pPr>
    </w:p>
    <w:p>
      <w:pPr>
        <w:pStyle w:val="BodyText"/>
        <w:ind w:left="280" w:right="515"/>
      </w:pPr>
      <w:r>
        <w:rPr/>
        <w:t>By incorporating the Cultural Formulation Interview, clinicians can gain a more nuanced understanding of how an individual's cultural context intersects with</w:t>
      </w:r>
      <w:r>
        <w:rPr>
          <w:spacing w:val="-4"/>
        </w:rPr>
        <w:t> </w:t>
      </w:r>
      <w:r>
        <w:rPr/>
        <w:t>their</w:t>
      </w:r>
      <w:r>
        <w:rPr>
          <w:spacing w:val="-4"/>
        </w:rPr>
        <w:t> </w:t>
      </w:r>
      <w:r>
        <w:rPr/>
        <w:t>experience</w:t>
      </w:r>
      <w:r>
        <w:rPr>
          <w:spacing w:val="-5"/>
        </w:rPr>
        <w:t> </w:t>
      </w:r>
      <w:r>
        <w:rPr/>
        <w:t>of</w:t>
      </w:r>
      <w:r>
        <w:rPr>
          <w:spacing w:val="-4"/>
        </w:rPr>
        <w:t> </w:t>
      </w:r>
      <w:r>
        <w:rPr/>
        <w:t>sexual</w:t>
      </w:r>
      <w:r>
        <w:rPr>
          <w:spacing w:val="-4"/>
        </w:rPr>
        <w:t> </w:t>
      </w:r>
      <w:r>
        <w:rPr/>
        <w:t>disorders</w:t>
      </w:r>
      <w:r>
        <w:rPr>
          <w:spacing w:val="-4"/>
        </w:rPr>
        <w:t> </w:t>
      </w:r>
      <w:r>
        <w:rPr/>
        <w:t>and</w:t>
      </w:r>
      <w:r>
        <w:rPr>
          <w:spacing w:val="-4"/>
        </w:rPr>
        <w:t> </w:t>
      </w:r>
      <w:r>
        <w:rPr/>
        <w:t>issues.</w:t>
      </w:r>
      <w:r>
        <w:rPr>
          <w:spacing w:val="-9"/>
        </w:rPr>
        <w:t> </w:t>
      </w:r>
      <w:r>
        <w:rPr/>
        <w:t>This</w:t>
      </w:r>
      <w:r>
        <w:rPr>
          <w:spacing w:val="-4"/>
        </w:rPr>
        <w:t> </w:t>
      </w:r>
      <w:r>
        <w:rPr/>
        <w:t>information</w:t>
      </w:r>
      <w:r>
        <w:rPr>
          <w:spacing w:val="-4"/>
        </w:rPr>
        <w:t> </w:t>
      </w:r>
      <w:r>
        <w:rPr/>
        <w:t>can</w:t>
      </w:r>
      <w:r>
        <w:rPr>
          <w:spacing w:val="-4"/>
        </w:rPr>
        <w:t> </w:t>
      </w:r>
      <w:r>
        <w:rPr/>
        <w:t>help tailor treatment plans, interventions, and therapeutic approaches to be more culturally sensitive and effective. The CFI is not a standalone assessment but rather a complementary tool to be used alongside other clinical evaluations.</w:t>
      </w:r>
    </w:p>
    <w:p>
      <w:pPr>
        <w:pStyle w:val="BodyText"/>
        <w:spacing w:before="9"/>
        <w:rPr>
          <w:sz w:val="26"/>
        </w:rPr>
      </w:pPr>
    </w:p>
    <w:p>
      <w:pPr>
        <w:pStyle w:val="BodyText"/>
        <w:ind w:left="280"/>
      </w:pPr>
      <w:r>
        <w:rPr/>
        <w:t>Here</w:t>
      </w:r>
      <w:r>
        <w:rPr>
          <w:spacing w:val="-2"/>
        </w:rPr>
        <w:t> </w:t>
      </w:r>
      <w:r>
        <w:rPr/>
        <w:t>are</w:t>
      </w:r>
      <w:r>
        <w:rPr>
          <w:spacing w:val="-2"/>
        </w:rPr>
        <w:t> </w:t>
      </w:r>
      <w:r>
        <w:rPr/>
        <w:t>some</w:t>
      </w:r>
      <w:r>
        <w:rPr>
          <w:spacing w:val="-2"/>
        </w:rPr>
        <w:t> </w:t>
      </w:r>
      <w:r>
        <w:rPr/>
        <w:t>sample</w:t>
      </w:r>
      <w:r>
        <w:rPr>
          <w:spacing w:val="-2"/>
        </w:rPr>
        <w:t> </w:t>
      </w:r>
      <w:r>
        <w:rPr/>
        <w:t>questions</w:t>
      </w:r>
      <w:r>
        <w:rPr>
          <w:spacing w:val="-1"/>
        </w:rPr>
        <w:t> </w:t>
      </w:r>
      <w:r>
        <w:rPr/>
        <w:t>that</w:t>
      </w:r>
      <w:r>
        <w:rPr>
          <w:spacing w:val="-1"/>
        </w:rPr>
        <w:t> </w:t>
      </w:r>
      <w:r>
        <w:rPr/>
        <w:t>could</w:t>
      </w:r>
      <w:r>
        <w:rPr>
          <w:spacing w:val="-1"/>
        </w:rPr>
        <w:t> </w:t>
      </w:r>
      <w:r>
        <w:rPr/>
        <w:t>be</w:t>
      </w:r>
      <w:r>
        <w:rPr>
          <w:spacing w:val="-2"/>
        </w:rPr>
        <w:t> </w:t>
      </w:r>
      <w:r>
        <w:rPr/>
        <w:t>included</w:t>
      </w:r>
      <w:r>
        <w:rPr>
          <w:spacing w:val="-1"/>
        </w:rPr>
        <w:t> </w:t>
      </w:r>
      <w:r>
        <w:rPr/>
        <w:t>in</w:t>
      </w:r>
      <w:r>
        <w:rPr>
          <w:spacing w:val="-1"/>
        </w:rPr>
        <w:t> </w:t>
      </w:r>
      <w:r>
        <w:rPr/>
        <w:t>a</w:t>
      </w:r>
      <w:r>
        <w:rPr>
          <w:spacing w:val="-2"/>
        </w:rPr>
        <w:t> </w:t>
      </w:r>
      <w:r>
        <w:rPr/>
        <w:t>cultural</w:t>
      </w:r>
      <w:r>
        <w:rPr>
          <w:spacing w:val="-1"/>
        </w:rPr>
        <w:t> </w:t>
      </w:r>
      <w:r>
        <w:rPr>
          <w:spacing w:val="-2"/>
        </w:rPr>
        <w:t>interview:</w:t>
      </w:r>
    </w:p>
    <w:p>
      <w:pPr>
        <w:pStyle w:val="BodyText"/>
        <w:spacing w:before="8"/>
        <w:rPr>
          <w:sz w:val="27"/>
        </w:rPr>
      </w:pPr>
    </w:p>
    <w:p>
      <w:pPr>
        <w:pStyle w:val="Heading2"/>
      </w:pPr>
      <w:r>
        <w:rPr/>
        <w:t>Cultural</w:t>
      </w:r>
      <w:r>
        <w:rPr>
          <w:spacing w:val="-2"/>
        </w:rPr>
        <w:t> Identity:</w:t>
      </w:r>
    </w:p>
    <w:p>
      <w:pPr>
        <w:pStyle w:val="BodyText"/>
        <w:spacing w:before="2"/>
        <w:rPr>
          <w:b/>
          <w:sz w:val="27"/>
        </w:rPr>
      </w:pPr>
    </w:p>
    <w:p>
      <w:pPr>
        <w:pStyle w:val="ListParagraph"/>
        <w:numPr>
          <w:ilvl w:val="0"/>
          <w:numId w:val="8"/>
        </w:numPr>
        <w:tabs>
          <w:tab w:pos="492" w:val="left" w:leader="none"/>
        </w:tabs>
        <w:spacing w:line="332" w:lineRule="exact" w:before="1" w:after="0"/>
        <w:ind w:left="492" w:right="0" w:hanging="212"/>
        <w:jc w:val="left"/>
        <w:rPr>
          <w:sz w:val="28"/>
        </w:rPr>
      </w:pPr>
      <w:r>
        <w:rPr>
          <w:position w:val="1"/>
          <w:sz w:val="28"/>
        </w:rPr>
        <w:t>Can</w:t>
      </w:r>
      <w:r>
        <w:rPr>
          <w:spacing w:val="-3"/>
          <w:position w:val="1"/>
          <w:sz w:val="28"/>
        </w:rPr>
        <w:t> </w:t>
      </w:r>
      <w:r>
        <w:rPr>
          <w:position w:val="1"/>
          <w:sz w:val="28"/>
        </w:rPr>
        <w:t>you</w:t>
      </w:r>
      <w:r>
        <w:rPr>
          <w:spacing w:val="-1"/>
          <w:position w:val="1"/>
          <w:sz w:val="28"/>
        </w:rPr>
        <w:t> </w:t>
      </w:r>
      <w:r>
        <w:rPr>
          <w:position w:val="1"/>
          <w:sz w:val="28"/>
        </w:rPr>
        <w:t>tell me</w:t>
      </w:r>
      <w:r>
        <w:rPr>
          <w:spacing w:val="-2"/>
          <w:position w:val="1"/>
          <w:sz w:val="28"/>
        </w:rPr>
        <w:t> </w:t>
      </w:r>
      <w:r>
        <w:rPr>
          <w:position w:val="1"/>
          <w:sz w:val="28"/>
        </w:rPr>
        <w:t>about</w:t>
      </w:r>
      <w:r>
        <w:rPr>
          <w:spacing w:val="-1"/>
          <w:position w:val="1"/>
          <w:sz w:val="28"/>
        </w:rPr>
        <w:t> </w:t>
      </w:r>
      <w:r>
        <w:rPr>
          <w:position w:val="1"/>
          <w:sz w:val="28"/>
        </w:rPr>
        <w:t>your cultural</w:t>
      </w:r>
      <w:r>
        <w:rPr>
          <w:spacing w:val="-1"/>
          <w:position w:val="1"/>
          <w:sz w:val="28"/>
        </w:rPr>
        <w:t> </w:t>
      </w:r>
      <w:r>
        <w:rPr>
          <w:position w:val="1"/>
          <w:sz w:val="28"/>
        </w:rPr>
        <w:t>or</w:t>
      </w:r>
      <w:r>
        <w:rPr>
          <w:spacing w:val="-1"/>
          <w:position w:val="1"/>
          <w:sz w:val="28"/>
        </w:rPr>
        <w:t> </w:t>
      </w:r>
      <w:r>
        <w:rPr>
          <w:position w:val="1"/>
          <w:sz w:val="28"/>
        </w:rPr>
        <w:t>ethnic</w:t>
      </w:r>
      <w:r>
        <w:rPr>
          <w:spacing w:val="-1"/>
          <w:position w:val="1"/>
          <w:sz w:val="28"/>
        </w:rPr>
        <w:t> </w:t>
      </w:r>
      <w:r>
        <w:rPr>
          <w:spacing w:val="-2"/>
          <w:position w:val="1"/>
          <w:sz w:val="28"/>
        </w:rPr>
        <w:t>background?</w:t>
      </w:r>
    </w:p>
    <w:p>
      <w:pPr>
        <w:pStyle w:val="ListParagraph"/>
        <w:numPr>
          <w:ilvl w:val="0"/>
          <w:numId w:val="8"/>
        </w:numPr>
        <w:tabs>
          <w:tab w:pos="492" w:val="left" w:leader="none"/>
        </w:tabs>
        <w:spacing w:line="320" w:lineRule="exact" w:before="0" w:after="0"/>
        <w:ind w:left="492" w:right="0" w:hanging="212"/>
        <w:jc w:val="left"/>
        <w:rPr>
          <w:sz w:val="28"/>
        </w:rPr>
      </w:pPr>
      <w:r>
        <w:rPr>
          <w:position w:val="1"/>
          <w:sz w:val="28"/>
        </w:rPr>
        <w:t>How</w:t>
      </w:r>
      <w:r>
        <w:rPr>
          <w:spacing w:val="-3"/>
          <w:position w:val="1"/>
          <w:sz w:val="28"/>
        </w:rPr>
        <w:t> </w:t>
      </w:r>
      <w:r>
        <w:rPr>
          <w:position w:val="1"/>
          <w:sz w:val="28"/>
        </w:rPr>
        <w:t>important</w:t>
      </w:r>
      <w:r>
        <w:rPr>
          <w:spacing w:val="-1"/>
          <w:position w:val="1"/>
          <w:sz w:val="28"/>
        </w:rPr>
        <w:t> </w:t>
      </w:r>
      <w:r>
        <w:rPr>
          <w:position w:val="1"/>
          <w:sz w:val="28"/>
        </w:rPr>
        <w:t>is</w:t>
      </w:r>
      <w:r>
        <w:rPr>
          <w:spacing w:val="-1"/>
          <w:position w:val="1"/>
          <w:sz w:val="28"/>
        </w:rPr>
        <w:t> </w:t>
      </w:r>
      <w:r>
        <w:rPr>
          <w:position w:val="1"/>
          <w:sz w:val="28"/>
        </w:rPr>
        <w:t>your cultural</w:t>
      </w:r>
      <w:r>
        <w:rPr>
          <w:spacing w:val="-1"/>
          <w:position w:val="1"/>
          <w:sz w:val="28"/>
        </w:rPr>
        <w:t> </w:t>
      </w:r>
      <w:r>
        <w:rPr>
          <w:position w:val="1"/>
          <w:sz w:val="28"/>
        </w:rPr>
        <w:t>identity</w:t>
      </w:r>
      <w:r>
        <w:rPr>
          <w:spacing w:val="-1"/>
          <w:position w:val="1"/>
          <w:sz w:val="28"/>
        </w:rPr>
        <w:t> </w:t>
      </w:r>
      <w:r>
        <w:rPr>
          <w:position w:val="1"/>
          <w:sz w:val="28"/>
        </w:rPr>
        <w:t>to </w:t>
      </w:r>
      <w:r>
        <w:rPr>
          <w:spacing w:val="-4"/>
          <w:position w:val="1"/>
          <w:sz w:val="28"/>
        </w:rPr>
        <w:t>you?</w:t>
      </w:r>
    </w:p>
    <w:p>
      <w:pPr>
        <w:pStyle w:val="ListParagraph"/>
        <w:numPr>
          <w:ilvl w:val="0"/>
          <w:numId w:val="8"/>
        </w:numPr>
        <w:tabs>
          <w:tab w:pos="492" w:val="left" w:leader="none"/>
        </w:tabs>
        <w:spacing w:line="332" w:lineRule="exact" w:before="0" w:after="0"/>
        <w:ind w:left="492" w:right="0" w:hanging="212"/>
        <w:jc w:val="left"/>
        <w:rPr>
          <w:sz w:val="28"/>
        </w:rPr>
      </w:pPr>
      <w:r>
        <w:rPr>
          <w:position w:val="1"/>
          <w:sz w:val="28"/>
        </w:rPr>
        <w:t>Are</w:t>
      </w:r>
      <w:r>
        <w:rPr>
          <w:spacing w:val="-3"/>
          <w:position w:val="1"/>
          <w:sz w:val="28"/>
        </w:rPr>
        <w:t> </w:t>
      </w:r>
      <w:r>
        <w:rPr>
          <w:position w:val="1"/>
          <w:sz w:val="28"/>
        </w:rPr>
        <w:t>there</w:t>
      </w:r>
      <w:r>
        <w:rPr>
          <w:spacing w:val="-2"/>
          <w:position w:val="1"/>
          <w:sz w:val="28"/>
        </w:rPr>
        <w:t> </w:t>
      </w:r>
      <w:r>
        <w:rPr>
          <w:position w:val="1"/>
          <w:sz w:val="28"/>
        </w:rPr>
        <w:t>any</w:t>
      </w:r>
      <w:r>
        <w:rPr>
          <w:spacing w:val="-2"/>
          <w:position w:val="1"/>
          <w:sz w:val="28"/>
        </w:rPr>
        <w:t> </w:t>
      </w:r>
      <w:r>
        <w:rPr>
          <w:position w:val="1"/>
          <w:sz w:val="28"/>
        </w:rPr>
        <w:t>cultural</w:t>
      </w:r>
      <w:r>
        <w:rPr>
          <w:spacing w:val="-1"/>
          <w:position w:val="1"/>
          <w:sz w:val="28"/>
        </w:rPr>
        <w:t> </w:t>
      </w:r>
      <w:r>
        <w:rPr>
          <w:position w:val="1"/>
          <w:sz w:val="28"/>
        </w:rPr>
        <w:t>practices</w:t>
      </w:r>
      <w:r>
        <w:rPr>
          <w:spacing w:val="-1"/>
          <w:position w:val="1"/>
          <w:sz w:val="28"/>
        </w:rPr>
        <w:t> </w:t>
      </w:r>
      <w:r>
        <w:rPr>
          <w:position w:val="1"/>
          <w:sz w:val="28"/>
        </w:rPr>
        <w:t>or</w:t>
      </w:r>
      <w:r>
        <w:rPr>
          <w:spacing w:val="-2"/>
          <w:position w:val="1"/>
          <w:sz w:val="28"/>
        </w:rPr>
        <w:t> </w:t>
      </w:r>
      <w:r>
        <w:rPr>
          <w:position w:val="1"/>
          <w:sz w:val="28"/>
        </w:rPr>
        <w:t>traditions</w:t>
      </w:r>
      <w:r>
        <w:rPr>
          <w:spacing w:val="-1"/>
          <w:position w:val="1"/>
          <w:sz w:val="28"/>
        </w:rPr>
        <w:t> </w:t>
      </w:r>
      <w:r>
        <w:rPr>
          <w:position w:val="1"/>
          <w:sz w:val="28"/>
        </w:rPr>
        <w:t>that</w:t>
      </w:r>
      <w:r>
        <w:rPr>
          <w:spacing w:val="-1"/>
          <w:position w:val="1"/>
          <w:sz w:val="28"/>
        </w:rPr>
        <w:t> </w:t>
      </w:r>
      <w:r>
        <w:rPr>
          <w:position w:val="1"/>
          <w:sz w:val="28"/>
        </w:rPr>
        <w:t>are</w:t>
      </w:r>
      <w:r>
        <w:rPr>
          <w:spacing w:val="-3"/>
          <w:position w:val="1"/>
          <w:sz w:val="28"/>
        </w:rPr>
        <w:t> </w:t>
      </w:r>
      <w:r>
        <w:rPr>
          <w:position w:val="1"/>
          <w:sz w:val="28"/>
        </w:rPr>
        <w:t>meaningful</w:t>
      </w:r>
      <w:r>
        <w:rPr>
          <w:spacing w:val="-1"/>
          <w:position w:val="1"/>
          <w:sz w:val="28"/>
        </w:rPr>
        <w:t> </w:t>
      </w:r>
      <w:r>
        <w:rPr>
          <w:position w:val="1"/>
          <w:sz w:val="28"/>
        </w:rPr>
        <w:t>to</w:t>
      </w:r>
      <w:r>
        <w:rPr>
          <w:spacing w:val="-1"/>
          <w:position w:val="1"/>
          <w:sz w:val="28"/>
        </w:rPr>
        <w:t> </w:t>
      </w:r>
      <w:r>
        <w:rPr>
          <w:spacing w:val="-4"/>
          <w:position w:val="1"/>
          <w:sz w:val="28"/>
        </w:rPr>
        <w:t>you?</w:t>
      </w:r>
    </w:p>
    <w:p>
      <w:pPr>
        <w:spacing w:after="0" w:line="332" w:lineRule="exact"/>
        <w:jc w:val="left"/>
        <w:rPr>
          <w:sz w:val="28"/>
        </w:rPr>
        <w:sectPr>
          <w:pgSz w:w="12240" w:h="15840"/>
          <w:pgMar w:header="0" w:footer="765" w:top="1260" w:bottom="960" w:left="1400" w:right="1180"/>
        </w:sectPr>
      </w:pPr>
    </w:p>
    <w:p>
      <w:pPr>
        <w:pStyle w:val="Heading2"/>
        <w:spacing w:before="66"/>
      </w:pPr>
      <w:r>
        <w:rPr/>
        <w:t>Cultural</w:t>
      </w:r>
      <w:r>
        <w:rPr>
          <w:spacing w:val="-2"/>
        </w:rPr>
        <w:t> </w:t>
      </w:r>
      <w:r>
        <w:rPr/>
        <w:t>Explanations</w:t>
      </w:r>
      <w:r>
        <w:rPr>
          <w:spacing w:val="-2"/>
        </w:rPr>
        <w:t> </w:t>
      </w:r>
      <w:r>
        <w:rPr/>
        <w:t>of</w:t>
      </w:r>
      <w:r>
        <w:rPr>
          <w:spacing w:val="-2"/>
        </w:rPr>
        <w:t> </w:t>
      </w:r>
      <w:r>
        <w:rPr/>
        <w:t>the</w:t>
      </w:r>
      <w:r>
        <w:rPr>
          <w:spacing w:val="-2"/>
        </w:rPr>
        <w:t> Problem:</w:t>
      </w:r>
    </w:p>
    <w:p>
      <w:pPr>
        <w:pStyle w:val="BodyText"/>
        <w:spacing w:before="8"/>
        <w:rPr>
          <w:b/>
        </w:rPr>
      </w:pPr>
    </w:p>
    <w:p>
      <w:pPr>
        <w:pStyle w:val="ListParagraph"/>
        <w:numPr>
          <w:ilvl w:val="0"/>
          <w:numId w:val="8"/>
        </w:numPr>
        <w:tabs>
          <w:tab w:pos="492" w:val="left" w:leader="none"/>
        </w:tabs>
        <w:spacing w:line="225" w:lineRule="auto" w:before="0" w:after="0"/>
        <w:ind w:left="492" w:right="1907" w:hanging="213"/>
        <w:jc w:val="left"/>
        <w:rPr>
          <w:sz w:val="28"/>
        </w:rPr>
      </w:pPr>
      <w:r>
        <w:rPr>
          <w:position w:val="1"/>
          <w:sz w:val="28"/>
        </w:rPr>
        <w:t>How</w:t>
      </w:r>
      <w:r>
        <w:rPr>
          <w:spacing w:val="-5"/>
          <w:position w:val="1"/>
          <w:sz w:val="28"/>
        </w:rPr>
        <w:t> </w:t>
      </w:r>
      <w:r>
        <w:rPr>
          <w:position w:val="1"/>
          <w:sz w:val="28"/>
        </w:rPr>
        <w:t>do</w:t>
      </w:r>
      <w:r>
        <w:rPr>
          <w:spacing w:val="-5"/>
          <w:position w:val="1"/>
          <w:sz w:val="28"/>
        </w:rPr>
        <w:t> </w:t>
      </w:r>
      <w:r>
        <w:rPr>
          <w:position w:val="1"/>
          <w:sz w:val="28"/>
        </w:rPr>
        <w:t>you</w:t>
      </w:r>
      <w:r>
        <w:rPr>
          <w:spacing w:val="-5"/>
          <w:position w:val="1"/>
          <w:sz w:val="28"/>
        </w:rPr>
        <w:t> </w:t>
      </w:r>
      <w:r>
        <w:rPr>
          <w:position w:val="1"/>
          <w:sz w:val="28"/>
        </w:rPr>
        <w:t>understand</w:t>
      </w:r>
      <w:r>
        <w:rPr>
          <w:spacing w:val="-5"/>
          <w:position w:val="1"/>
          <w:sz w:val="28"/>
        </w:rPr>
        <w:t> </w:t>
      </w:r>
      <w:r>
        <w:rPr>
          <w:position w:val="1"/>
          <w:sz w:val="28"/>
        </w:rPr>
        <w:t>or</w:t>
      </w:r>
      <w:r>
        <w:rPr>
          <w:spacing w:val="-5"/>
          <w:position w:val="1"/>
          <w:sz w:val="28"/>
        </w:rPr>
        <w:t> </w:t>
      </w:r>
      <w:r>
        <w:rPr>
          <w:position w:val="1"/>
          <w:sz w:val="28"/>
        </w:rPr>
        <w:t>explain</w:t>
      </w:r>
      <w:r>
        <w:rPr>
          <w:spacing w:val="-5"/>
          <w:position w:val="1"/>
          <w:sz w:val="28"/>
        </w:rPr>
        <w:t> </w:t>
      </w:r>
      <w:r>
        <w:rPr>
          <w:position w:val="1"/>
          <w:sz w:val="28"/>
        </w:rPr>
        <w:t>the</w:t>
      </w:r>
      <w:r>
        <w:rPr>
          <w:spacing w:val="-6"/>
          <w:position w:val="1"/>
          <w:sz w:val="28"/>
        </w:rPr>
        <w:t> </w:t>
      </w:r>
      <w:r>
        <w:rPr>
          <w:position w:val="1"/>
          <w:sz w:val="28"/>
        </w:rPr>
        <w:t>sexual</w:t>
      </w:r>
      <w:r>
        <w:rPr>
          <w:spacing w:val="-5"/>
          <w:position w:val="1"/>
          <w:sz w:val="28"/>
        </w:rPr>
        <w:t> </w:t>
      </w:r>
      <w:r>
        <w:rPr>
          <w:position w:val="1"/>
          <w:sz w:val="28"/>
        </w:rPr>
        <w:t>difficulties</w:t>
      </w:r>
      <w:r>
        <w:rPr>
          <w:spacing w:val="-5"/>
          <w:position w:val="1"/>
          <w:sz w:val="28"/>
        </w:rPr>
        <w:t> </w:t>
      </w:r>
      <w:r>
        <w:rPr>
          <w:position w:val="1"/>
          <w:sz w:val="28"/>
        </w:rPr>
        <w:t>you</w:t>
      </w:r>
      <w:r>
        <w:rPr>
          <w:spacing w:val="-5"/>
          <w:position w:val="1"/>
          <w:sz w:val="28"/>
        </w:rPr>
        <w:t> </w:t>
      </w:r>
      <w:r>
        <w:rPr>
          <w:position w:val="1"/>
          <w:sz w:val="28"/>
        </w:rPr>
        <w:t>are </w:t>
      </w:r>
      <w:r>
        <w:rPr>
          <w:sz w:val="28"/>
        </w:rPr>
        <w:t>experiencing within the context of your cultural beliefs?</w:t>
      </w:r>
    </w:p>
    <w:p>
      <w:pPr>
        <w:pStyle w:val="ListParagraph"/>
        <w:numPr>
          <w:ilvl w:val="0"/>
          <w:numId w:val="8"/>
        </w:numPr>
        <w:tabs>
          <w:tab w:pos="492" w:val="left" w:leader="none"/>
        </w:tabs>
        <w:spacing w:line="225" w:lineRule="auto" w:before="13" w:after="0"/>
        <w:ind w:left="492" w:right="511" w:hanging="213"/>
        <w:jc w:val="left"/>
        <w:rPr>
          <w:sz w:val="28"/>
        </w:rPr>
      </w:pPr>
      <w:r>
        <w:rPr>
          <w:position w:val="1"/>
          <w:sz w:val="28"/>
        </w:rPr>
        <w:t>Are</w:t>
      </w:r>
      <w:r>
        <w:rPr>
          <w:spacing w:val="-4"/>
          <w:position w:val="1"/>
          <w:sz w:val="28"/>
        </w:rPr>
        <w:t> </w:t>
      </w:r>
      <w:r>
        <w:rPr>
          <w:position w:val="1"/>
          <w:sz w:val="28"/>
        </w:rPr>
        <w:t>there</w:t>
      </w:r>
      <w:r>
        <w:rPr>
          <w:spacing w:val="-4"/>
          <w:position w:val="1"/>
          <w:sz w:val="28"/>
        </w:rPr>
        <w:t> </w:t>
      </w:r>
      <w:r>
        <w:rPr>
          <w:position w:val="1"/>
          <w:sz w:val="28"/>
        </w:rPr>
        <w:t>any</w:t>
      </w:r>
      <w:r>
        <w:rPr>
          <w:spacing w:val="-3"/>
          <w:position w:val="1"/>
          <w:sz w:val="28"/>
        </w:rPr>
        <w:t> </w:t>
      </w:r>
      <w:r>
        <w:rPr>
          <w:position w:val="1"/>
          <w:sz w:val="28"/>
        </w:rPr>
        <w:t>cultural</w:t>
      </w:r>
      <w:r>
        <w:rPr>
          <w:spacing w:val="-3"/>
          <w:position w:val="1"/>
          <w:sz w:val="28"/>
        </w:rPr>
        <w:t> </w:t>
      </w:r>
      <w:r>
        <w:rPr>
          <w:position w:val="1"/>
          <w:sz w:val="28"/>
        </w:rPr>
        <w:t>factors</w:t>
      </w:r>
      <w:r>
        <w:rPr>
          <w:spacing w:val="-3"/>
          <w:position w:val="1"/>
          <w:sz w:val="28"/>
        </w:rPr>
        <w:t> </w:t>
      </w:r>
      <w:r>
        <w:rPr>
          <w:position w:val="1"/>
          <w:sz w:val="28"/>
        </w:rPr>
        <w:t>or</w:t>
      </w:r>
      <w:r>
        <w:rPr>
          <w:spacing w:val="-3"/>
          <w:position w:val="1"/>
          <w:sz w:val="28"/>
        </w:rPr>
        <w:t> </w:t>
      </w:r>
      <w:r>
        <w:rPr>
          <w:position w:val="1"/>
          <w:sz w:val="28"/>
        </w:rPr>
        <w:t>beliefs</w:t>
      </w:r>
      <w:r>
        <w:rPr>
          <w:spacing w:val="-3"/>
          <w:position w:val="1"/>
          <w:sz w:val="28"/>
        </w:rPr>
        <w:t> </w:t>
      </w:r>
      <w:r>
        <w:rPr>
          <w:position w:val="1"/>
          <w:sz w:val="28"/>
        </w:rPr>
        <w:t>that</w:t>
      </w:r>
      <w:r>
        <w:rPr>
          <w:spacing w:val="-3"/>
          <w:position w:val="1"/>
          <w:sz w:val="28"/>
        </w:rPr>
        <w:t> </w:t>
      </w:r>
      <w:r>
        <w:rPr>
          <w:position w:val="1"/>
          <w:sz w:val="28"/>
        </w:rPr>
        <w:t>you</w:t>
      </w:r>
      <w:r>
        <w:rPr>
          <w:spacing w:val="-3"/>
          <w:position w:val="1"/>
          <w:sz w:val="28"/>
        </w:rPr>
        <w:t> </w:t>
      </w:r>
      <w:r>
        <w:rPr>
          <w:position w:val="1"/>
          <w:sz w:val="28"/>
        </w:rPr>
        <w:t>think</w:t>
      </w:r>
      <w:r>
        <w:rPr>
          <w:spacing w:val="-3"/>
          <w:position w:val="1"/>
          <w:sz w:val="28"/>
        </w:rPr>
        <w:t> </w:t>
      </w:r>
      <w:r>
        <w:rPr>
          <w:position w:val="1"/>
          <w:sz w:val="28"/>
        </w:rPr>
        <w:t>may</w:t>
      </w:r>
      <w:r>
        <w:rPr>
          <w:spacing w:val="-3"/>
          <w:position w:val="1"/>
          <w:sz w:val="28"/>
        </w:rPr>
        <w:t> </w:t>
      </w:r>
      <w:r>
        <w:rPr>
          <w:position w:val="1"/>
          <w:sz w:val="28"/>
        </w:rPr>
        <w:t>contribute</w:t>
      </w:r>
      <w:r>
        <w:rPr>
          <w:spacing w:val="-4"/>
          <w:position w:val="1"/>
          <w:sz w:val="28"/>
        </w:rPr>
        <w:t> </w:t>
      </w:r>
      <w:r>
        <w:rPr>
          <w:position w:val="1"/>
          <w:sz w:val="28"/>
        </w:rPr>
        <w:t>to</w:t>
      </w:r>
      <w:r>
        <w:rPr>
          <w:spacing w:val="-3"/>
          <w:position w:val="1"/>
          <w:sz w:val="28"/>
        </w:rPr>
        <w:t> </w:t>
      </w:r>
      <w:r>
        <w:rPr>
          <w:position w:val="1"/>
          <w:sz w:val="28"/>
        </w:rPr>
        <w:t>your </w:t>
      </w:r>
      <w:r>
        <w:rPr>
          <w:sz w:val="28"/>
        </w:rPr>
        <w:t>current situation?</w:t>
      </w:r>
    </w:p>
    <w:p>
      <w:pPr>
        <w:pStyle w:val="ListParagraph"/>
        <w:numPr>
          <w:ilvl w:val="0"/>
          <w:numId w:val="8"/>
        </w:numPr>
        <w:tabs>
          <w:tab w:pos="492" w:val="left" w:leader="none"/>
        </w:tabs>
        <w:spacing w:line="225" w:lineRule="auto" w:before="13" w:after="0"/>
        <w:ind w:left="492" w:right="790" w:hanging="213"/>
        <w:jc w:val="left"/>
        <w:rPr>
          <w:sz w:val="28"/>
        </w:rPr>
      </w:pPr>
      <w:r>
        <w:rPr>
          <w:position w:val="1"/>
          <w:sz w:val="28"/>
        </w:rPr>
        <w:t>Have</w:t>
      </w:r>
      <w:r>
        <w:rPr>
          <w:spacing w:val="-5"/>
          <w:position w:val="1"/>
          <w:sz w:val="28"/>
        </w:rPr>
        <w:t> </w:t>
      </w:r>
      <w:r>
        <w:rPr>
          <w:position w:val="1"/>
          <w:sz w:val="28"/>
        </w:rPr>
        <w:t>you</w:t>
      </w:r>
      <w:r>
        <w:rPr>
          <w:spacing w:val="-4"/>
          <w:position w:val="1"/>
          <w:sz w:val="28"/>
        </w:rPr>
        <w:t> </w:t>
      </w:r>
      <w:r>
        <w:rPr>
          <w:position w:val="1"/>
          <w:sz w:val="28"/>
        </w:rPr>
        <w:t>sought</w:t>
      </w:r>
      <w:r>
        <w:rPr>
          <w:spacing w:val="-4"/>
          <w:position w:val="1"/>
          <w:sz w:val="28"/>
        </w:rPr>
        <w:t> </w:t>
      </w:r>
      <w:r>
        <w:rPr>
          <w:position w:val="1"/>
          <w:sz w:val="28"/>
        </w:rPr>
        <w:t>help</w:t>
      </w:r>
      <w:r>
        <w:rPr>
          <w:spacing w:val="-4"/>
          <w:position w:val="1"/>
          <w:sz w:val="28"/>
        </w:rPr>
        <w:t> </w:t>
      </w:r>
      <w:r>
        <w:rPr>
          <w:position w:val="1"/>
          <w:sz w:val="28"/>
        </w:rPr>
        <w:t>or</w:t>
      </w:r>
      <w:r>
        <w:rPr>
          <w:spacing w:val="-4"/>
          <w:position w:val="1"/>
          <w:sz w:val="28"/>
        </w:rPr>
        <w:t> </w:t>
      </w:r>
      <w:r>
        <w:rPr>
          <w:position w:val="1"/>
          <w:sz w:val="28"/>
        </w:rPr>
        <w:t>advice</w:t>
      </w:r>
      <w:r>
        <w:rPr>
          <w:spacing w:val="-5"/>
          <w:position w:val="1"/>
          <w:sz w:val="28"/>
        </w:rPr>
        <w:t> </w:t>
      </w:r>
      <w:r>
        <w:rPr>
          <w:position w:val="1"/>
          <w:sz w:val="28"/>
        </w:rPr>
        <w:t>from</w:t>
      </w:r>
      <w:r>
        <w:rPr>
          <w:spacing w:val="-4"/>
          <w:position w:val="1"/>
          <w:sz w:val="28"/>
        </w:rPr>
        <w:t> </w:t>
      </w:r>
      <w:r>
        <w:rPr>
          <w:position w:val="1"/>
          <w:sz w:val="28"/>
        </w:rPr>
        <w:t>your</w:t>
      </w:r>
      <w:r>
        <w:rPr>
          <w:spacing w:val="-4"/>
          <w:position w:val="1"/>
          <w:sz w:val="28"/>
        </w:rPr>
        <w:t> </w:t>
      </w:r>
      <w:r>
        <w:rPr>
          <w:position w:val="1"/>
          <w:sz w:val="28"/>
        </w:rPr>
        <w:t>cultural</w:t>
      </w:r>
      <w:r>
        <w:rPr>
          <w:spacing w:val="-4"/>
          <w:position w:val="1"/>
          <w:sz w:val="28"/>
        </w:rPr>
        <w:t> </w:t>
      </w:r>
      <w:r>
        <w:rPr>
          <w:position w:val="1"/>
          <w:sz w:val="28"/>
        </w:rPr>
        <w:t>community</w:t>
      </w:r>
      <w:r>
        <w:rPr>
          <w:spacing w:val="-4"/>
          <w:position w:val="1"/>
          <w:sz w:val="28"/>
        </w:rPr>
        <w:t> </w:t>
      </w:r>
      <w:r>
        <w:rPr>
          <w:position w:val="1"/>
          <w:sz w:val="28"/>
        </w:rPr>
        <w:t>or</w:t>
      </w:r>
      <w:r>
        <w:rPr>
          <w:spacing w:val="-4"/>
          <w:position w:val="1"/>
          <w:sz w:val="28"/>
        </w:rPr>
        <w:t> </w:t>
      </w:r>
      <w:r>
        <w:rPr>
          <w:position w:val="1"/>
          <w:sz w:val="28"/>
        </w:rPr>
        <w:t>religious </w:t>
      </w:r>
      <w:r>
        <w:rPr>
          <w:sz w:val="28"/>
        </w:rPr>
        <w:t>leaders regarding your sexual difficulties?</w:t>
      </w:r>
    </w:p>
    <w:p>
      <w:pPr>
        <w:pStyle w:val="BodyText"/>
        <w:spacing w:before="10"/>
        <w:rPr>
          <w:sz w:val="27"/>
        </w:rPr>
      </w:pPr>
    </w:p>
    <w:p>
      <w:pPr>
        <w:pStyle w:val="Heading2"/>
        <w:spacing w:before="1"/>
      </w:pPr>
      <w:r>
        <w:rPr/>
        <w:t>Cultural</w:t>
      </w:r>
      <w:r>
        <w:rPr>
          <w:spacing w:val="-3"/>
        </w:rPr>
        <w:t> </w:t>
      </w:r>
      <w:r>
        <w:rPr/>
        <w:t>Factors</w:t>
      </w:r>
      <w:r>
        <w:rPr>
          <w:spacing w:val="-18"/>
        </w:rPr>
        <w:t> </w:t>
      </w:r>
      <w:r>
        <w:rPr/>
        <w:t>Affecting</w:t>
      </w:r>
      <w:r>
        <w:rPr>
          <w:spacing w:val="-2"/>
        </w:rPr>
        <w:t> </w:t>
      </w:r>
      <w:r>
        <w:rPr/>
        <w:t>Coping</w:t>
      </w:r>
      <w:r>
        <w:rPr>
          <w:spacing w:val="-2"/>
        </w:rPr>
        <w:t> </w:t>
      </w:r>
      <w:r>
        <w:rPr/>
        <w:t>and</w:t>
      </w:r>
      <w:r>
        <w:rPr>
          <w:spacing w:val="-2"/>
        </w:rPr>
        <w:t> </w:t>
      </w:r>
      <w:r>
        <w:rPr/>
        <w:t>Help-</w:t>
      </w:r>
      <w:r>
        <w:rPr>
          <w:spacing w:val="-2"/>
        </w:rPr>
        <w:t>Seeking:</w:t>
      </w:r>
    </w:p>
    <w:p>
      <w:pPr>
        <w:pStyle w:val="BodyText"/>
        <w:spacing w:before="8"/>
        <w:rPr>
          <w:b/>
        </w:rPr>
      </w:pPr>
    </w:p>
    <w:p>
      <w:pPr>
        <w:pStyle w:val="ListParagraph"/>
        <w:numPr>
          <w:ilvl w:val="0"/>
          <w:numId w:val="8"/>
        </w:numPr>
        <w:tabs>
          <w:tab w:pos="492" w:val="left" w:leader="none"/>
        </w:tabs>
        <w:spacing w:line="225" w:lineRule="auto" w:before="0" w:after="0"/>
        <w:ind w:left="492" w:right="813" w:hanging="213"/>
        <w:jc w:val="left"/>
        <w:rPr>
          <w:sz w:val="28"/>
        </w:rPr>
      </w:pPr>
      <w:r>
        <w:rPr>
          <w:position w:val="1"/>
          <w:sz w:val="28"/>
        </w:rPr>
        <w:t>How</w:t>
      </w:r>
      <w:r>
        <w:rPr>
          <w:spacing w:val="-3"/>
          <w:position w:val="1"/>
          <w:sz w:val="28"/>
        </w:rPr>
        <w:t> </w:t>
      </w:r>
      <w:r>
        <w:rPr>
          <w:position w:val="1"/>
          <w:sz w:val="28"/>
        </w:rPr>
        <w:t>do</w:t>
      </w:r>
      <w:r>
        <w:rPr>
          <w:spacing w:val="-3"/>
          <w:position w:val="1"/>
          <w:sz w:val="28"/>
        </w:rPr>
        <w:t> </w:t>
      </w:r>
      <w:r>
        <w:rPr>
          <w:position w:val="1"/>
          <w:sz w:val="28"/>
        </w:rPr>
        <w:t>cultural</w:t>
      </w:r>
      <w:r>
        <w:rPr>
          <w:spacing w:val="-3"/>
          <w:position w:val="1"/>
          <w:sz w:val="28"/>
        </w:rPr>
        <w:t> </w:t>
      </w:r>
      <w:r>
        <w:rPr>
          <w:position w:val="1"/>
          <w:sz w:val="28"/>
        </w:rPr>
        <w:t>beliefs</w:t>
      </w:r>
      <w:r>
        <w:rPr>
          <w:spacing w:val="-3"/>
          <w:position w:val="1"/>
          <w:sz w:val="28"/>
        </w:rPr>
        <w:t> </w:t>
      </w:r>
      <w:r>
        <w:rPr>
          <w:position w:val="1"/>
          <w:sz w:val="28"/>
        </w:rPr>
        <w:t>and</w:t>
      </w:r>
      <w:r>
        <w:rPr>
          <w:spacing w:val="-3"/>
          <w:position w:val="1"/>
          <w:sz w:val="28"/>
        </w:rPr>
        <w:t> </w:t>
      </w:r>
      <w:r>
        <w:rPr>
          <w:position w:val="1"/>
          <w:sz w:val="28"/>
        </w:rPr>
        <w:t>values</w:t>
      </w:r>
      <w:r>
        <w:rPr>
          <w:spacing w:val="-3"/>
          <w:position w:val="1"/>
          <w:sz w:val="28"/>
        </w:rPr>
        <w:t> </w:t>
      </w:r>
      <w:r>
        <w:rPr>
          <w:position w:val="1"/>
          <w:sz w:val="28"/>
        </w:rPr>
        <w:t>influence</w:t>
      </w:r>
      <w:r>
        <w:rPr>
          <w:spacing w:val="-4"/>
          <w:position w:val="1"/>
          <w:sz w:val="28"/>
        </w:rPr>
        <w:t> </w:t>
      </w:r>
      <w:r>
        <w:rPr>
          <w:position w:val="1"/>
          <w:sz w:val="28"/>
        </w:rPr>
        <w:t>your</w:t>
      </w:r>
      <w:r>
        <w:rPr>
          <w:spacing w:val="-3"/>
          <w:position w:val="1"/>
          <w:sz w:val="28"/>
        </w:rPr>
        <w:t> </w:t>
      </w:r>
      <w:r>
        <w:rPr>
          <w:position w:val="1"/>
          <w:sz w:val="28"/>
        </w:rPr>
        <w:t>ways</w:t>
      </w:r>
      <w:r>
        <w:rPr>
          <w:spacing w:val="-3"/>
          <w:position w:val="1"/>
          <w:sz w:val="28"/>
        </w:rPr>
        <w:t> </w:t>
      </w:r>
      <w:r>
        <w:rPr>
          <w:position w:val="1"/>
          <w:sz w:val="28"/>
        </w:rPr>
        <w:t>of</w:t>
      </w:r>
      <w:r>
        <w:rPr>
          <w:spacing w:val="-3"/>
          <w:position w:val="1"/>
          <w:sz w:val="28"/>
        </w:rPr>
        <w:t> </w:t>
      </w:r>
      <w:r>
        <w:rPr>
          <w:position w:val="1"/>
          <w:sz w:val="28"/>
        </w:rPr>
        <w:t>coping</w:t>
      </w:r>
      <w:r>
        <w:rPr>
          <w:spacing w:val="-3"/>
          <w:position w:val="1"/>
          <w:sz w:val="28"/>
        </w:rPr>
        <w:t> </w:t>
      </w:r>
      <w:r>
        <w:rPr>
          <w:position w:val="1"/>
          <w:sz w:val="28"/>
        </w:rPr>
        <w:t>with</w:t>
      </w:r>
      <w:r>
        <w:rPr>
          <w:spacing w:val="-3"/>
          <w:position w:val="1"/>
          <w:sz w:val="28"/>
        </w:rPr>
        <w:t> </w:t>
      </w:r>
      <w:r>
        <w:rPr>
          <w:position w:val="1"/>
          <w:sz w:val="28"/>
        </w:rPr>
        <w:t>the </w:t>
      </w:r>
      <w:r>
        <w:rPr>
          <w:sz w:val="28"/>
        </w:rPr>
        <w:t>sexual difficulties you are facing?</w:t>
      </w:r>
    </w:p>
    <w:p>
      <w:pPr>
        <w:pStyle w:val="ListParagraph"/>
        <w:numPr>
          <w:ilvl w:val="0"/>
          <w:numId w:val="8"/>
        </w:numPr>
        <w:tabs>
          <w:tab w:pos="492" w:val="left" w:leader="none"/>
        </w:tabs>
        <w:spacing w:line="225" w:lineRule="auto" w:before="13" w:after="0"/>
        <w:ind w:left="492" w:right="752" w:hanging="213"/>
        <w:jc w:val="left"/>
        <w:rPr>
          <w:sz w:val="28"/>
        </w:rPr>
      </w:pPr>
      <w:r>
        <w:rPr>
          <w:position w:val="1"/>
          <w:sz w:val="28"/>
        </w:rPr>
        <w:t>Are</w:t>
      </w:r>
      <w:r>
        <w:rPr>
          <w:spacing w:val="-4"/>
          <w:position w:val="1"/>
          <w:sz w:val="28"/>
        </w:rPr>
        <w:t> </w:t>
      </w:r>
      <w:r>
        <w:rPr>
          <w:position w:val="1"/>
          <w:sz w:val="28"/>
        </w:rPr>
        <w:t>there</w:t>
      </w:r>
      <w:r>
        <w:rPr>
          <w:spacing w:val="-4"/>
          <w:position w:val="1"/>
          <w:sz w:val="28"/>
        </w:rPr>
        <w:t> </w:t>
      </w:r>
      <w:r>
        <w:rPr>
          <w:position w:val="1"/>
          <w:sz w:val="28"/>
        </w:rPr>
        <w:t>any</w:t>
      </w:r>
      <w:r>
        <w:rPr>
          <w:spacing w:val="-3"/>
          <w:position w:val="1"/>
          <w:sz w:val="28"/>
        </w:rPr>
        <w:t> </w:t>
      </w:r>
      <w:r>
        <w:rPr>
          <w:position w:val="1"/>
          <w:sz w:val="28"/>
        </w:rPr>
        <w:t>cultural</w:t>
      </w:r>
      <w:r>
        <w:rPr>
          <w:spacing w:val="-3"/>
          <w:position w:val="1"/>
          <w:sz w:val="28"/>
        </w:rPr>
        <w:t> </w:t>
      </w:r>
      <w:r>
        <w:rPr>
          <w:position w:val="1"/>
          <w:sz w:val="28"/>
        </w:rPr>
        <w:t>practices</w:t>
      </w:r>
      <w:r>
        <w:rPr>
          <w:spacing w:val="-3"/>
          <w:position w:val="1"/>
          <w:sz w:val="28"/>
        </w:rPr>
        <w:t> </w:t>
      </w:r>
      <w:r>
        <w:rPr>
          <w:position w:val="1"/>
          <w:sz w:val="28"/>
        </w:rPr>
        <w:t>or</w:t>
      </w:r>
      <w:r>
        <w:rPr>
          <w:spacing w:val="-3"/>
          <w:position w:val="1"/>
          <w:sz w:val="28"/>
        </w:rPr>
        <w:t> </w:t>
      </w:r>
      <w:r>
        <w:rPr>
          <w:position w:val="1"/>
          <w:sz w:val="28"/>
        </w:rPr>
        <w:t>resources</w:t>
      </w:r>
      <w:r>
        <w:rPr>
          <w:spacing w:val="-3"/>
          <w:position w:val="1"/>
          <w:sz w:val="28"/>
        </w:rPr>
        <w:t> </w:t>
      </w:r>
      <w:r>
        <w:rPr>
          <w:position w:val="1"/>
          <w:sz w:val="28"/>
        </w:rPr>
        <w:t>that</w:t>
      </w:r>
      <w:r>
        <w:rPr>
          <w:spacing w:val="-3"/>
          <w:position w:val="1"/>
          <w:sz w:val="28"/>
        </w:rPr>
        <w:t> </w:t>
      </w:r>
      <w:r>
        <w:rPr>
          <w:position w:val="1"/>
          <w:sz w:val="28"/>
        </w:rPr>
        <w:t>you</w:t>
      </w:r>
      <w:r>
        <w:rPr>
          <w:spacing w:val="-3"/>
          <w:position w:val="1"/>
          <w:sz w:val="28"/>
        </w:rPr>
        <w:t> </w:t>
      </w:r>
      <w:r>
        <w:rPr>
          <w:position w:val="1"/>
          <w:sz w:val="28"/>
        </w:rPr>
        <w:t>draw</w:t>
      </w:r>
      <w:r>
        <w:rPr>
          <w:spacing w:val="-3"/>
          <w:position w:val="1"/>
          <w:sz w:val="28"/>
        </w:rPr>
        <w:t> </w:t>
      </w:r>
      <w:r>
        <w:rPr>
          <w:position w:val="1"/>
          <w:sz w:val="28"/>
        </w:rPr>
        <w:t>upon</w:t>
      </w:r>
      <w:r>
        <w:rPr>
          <w:spacing w:val="-3"/>
          <w:position w:val="1"/>
          <w:sz w:val="28"/>
        </w:rPr>
        <w:t> </w:t>
      </w:r>
      <w:r>
        <w:rPr>
          <w:position w:val="1"/>
          <w:sz w:val="28"/>
        </w:rPr>
        <w:t>to</w:t>
      </w:r>
      <w:r>
        <w:rPr>
          <w:spacing w:val="-3"/>
          <w:position w:val="1"/>
          <w:sz w:val="28"/>
        </w:rPr>
        <w:t> </w:t>
      </w:r>
      <w:r>
        <w:rPr>
          <w:position w:val="1"/>
          <w:sz w:val="28"/>
        </w:rPr>
        <w:t>manage </w:t>
      </w:r>
      <w:r>
        <w:rPr>
          <w:sz w:val="28"/>
        </w:rPr>
        <w:t>these challenges?</w:t>
      </w:r>
    </w:p>
    <w:p>
      <w:pPr>
        <w:pStyle w:val="ListParagraph"/>
        <w:numPr>
          <w:ilvl w:val="0"/>
          <w:numId w:val="8"/>
        </w:numPr>
        <w:tabs>
          <w:tab w:pos="492" w:val="left" w:leader="none"/>
        </w:tabs>
        <w:spacing w:line="232" w:lineRule="auto" w:before="5" w:after="0"/>
        <w:ind w:left="492" w:right="635" w:hanging="213"/>
        <w:jc w:val="left"/>
        <w:rPr>
          <w:sz w:val="28"/>
        </w:rPr>
      </w:pPr>
      <w:r>
        <w:rPr>
          <w:position w:val="1"/>
          <w:sz w:val="28"/>
        </w:rPr>
        <w:t>How</w:t>
      </w:r>
      <w:r>
        <w:rPr>
          <w:spacing w:val="-4"/>
          <w:position w:val="1"/>
          <w:sz w:val="28"/>
        </w:rPr>
        <w:t> </w:t>
      </w:r>
      <w:r>
        <w:rPr>
          <w:position w:val="1"/>
          <w:sz w:val="28"/>
        </w:rPr>
        <w:t>does</w:t>
      </w:r>
      <w:r>
        <w:rPr>
          <w:spacing w:val="-4"/>
          <w:position w:val="1"/>
          <w:sz w:val="28"/>
        </w:rPr>
        <w:t> </w:t>
      </w:r>
      <w:r>
        <w:rPr>
          <w:position w:val="1"/>
          <w:sz w:val="28"/>
        </w:rPr>
        <w:t>your</w:t>
      </w:r>
      <w:r>
        <w:rPr>
          <w:spacing w:val="-4"/>
          <w:position w:val="1"/>
          <w:sz w:val="28"/>
        </w:rPr>
        <w:t> </w:t>
      </w:r>
      <w:r>
        <w:rPr>
          <w:position w:val="1"/>
          <w:sz w:val="28"/>
        </w:rPr>
        <w:t>cultural</w:t>
      </w:r>
      <w:r>
        <w:rPr>
          <w:spacing w:val="-4"/>
          <w:position w:val="1"/>
          <w:sz w:val="28"/>
        </w:rPr>
        <w:t> </w:t>
      </w:r>
      <w:r>
        <w:rPr>
          <w:position w:val="1"/>
          <w:sz w:val="28"/>
        </w:rPr>
        <w:t>background</w:t>
      </w:r>
      <w:r>
        <w:rPr>
          <w:spacing w:val="-4"/>
          <w:position w:val="1"/>
          <w:sz w:val="28"/>
        </w:rPr>
        <w:t> </w:t>
      </w:r>
      <w:r>
        <w:rPr>
          <w:position w:val="1"/>
          <w:sz w:val="28"/>
        </w:rPr>
        <w:t>influence</w:t>
      </w:r>
      <w:r>
        <w:rPr>
          <w:spacing w:val="-5"/>
          <w:position w:val="1"/>
          <w:sz w:val="28"/>
        </w:rPr>
        <w:t> </w:t>
      </w:r>
      <w:r>
        <w:rPr>
          <w:position w:val="1"/>
          <w:sz w:val="28"/>
        </w:rPr>
        <w:t>your</w:t>
      </w:r>
      <w:r>
        <w:rPr>
          <w:spacing w:val="-4"/>
          <w:position w:val="1"/>
          <w:sz w:val="28"/>
        </w:rPr>
        <w:t> </w:t>
      </w:r>
      <w:r>
        <w:rPr>
          <w:position w:val="1"/>
          <w:sz w:val="28"/>
        </w:rPr>
        <w:t>decision</w:t>
      </w:r>
      <w:r>
        <w:rPr>
          <w:spacing w:val="-4"/>
          <w:position w:val="1"/>
          <w:sz w:val="28"/>
        </w:rPr>
        <w:t> </w:t>
      </w:r>
      <w:r>
        <w:rPr>
          <w:position w:val="1"/>
          <w:sz w:val="28"/>
        </w:rPr>
        <w:t>to</w:t>
      </w:r>
      <w:r>
        <w:rPr>
          <w:spacing w:val="-4"/>
          <w:position w:val="1"/>
          <w:sz w:val="28"/>
        </w:rPr>
        <w:t> </w:t>
      </w:r>
      <w:r>
        <w:rPr>
          <w:position w:val="1"/>
          <w:sz w:val="28"/>
        </w:rPr>
        <w:t>seek</w:t>
      </w:r>
      <w:r>
        <w:rPr>
          <w:spacing w:val="-4"/>
          <w:position w:val="1"/>
          <w:sz w:val="28"/>
        </w:rPr>
        <w:t> </w:t>
      </w:r>
      <w:r>
        <w:rPr>
          <w:position w:val="1"/>
          <w:sz w:val="28"/>
        </w:rPr>
        <w:t>help</w:t>
      </w:r>
      <w:r>
        <w:rPr>
          <w:spacing w:val="-4"/>
          <w:position w:val="1"/>
          <w:sz w:val="28"/>
        </w:rPr>
        <w:t> </w:t>
      </w:r>
      <w:r>
        <w:rPr>
          <w:position w:val="1"/>
          <w:sz w:val="28"/>
        </w:rPr>
        <w:t>for </w:t>
      </w:r>
      <w:r>
        <w:rPr>
          <w:sz w:val="28"/>
        </w:rPr>
        <w:t>your sexual difficulties?</w:t>
      </w:r>
      <w:r>
        <w:rPr>
          <w:spacing w:val="-5"/>
          <w:sz w:val="28"/>
        </w:rPr>
        <w:t> </w:t>
      </w:r>
      <w:r>
        <w:rPr>
          <w:sz w:val="28"/>
        </w:rPr>
        <w:t>Are there any barriers or concerns you have regarding seeking help?</w:t>
      </w:r>
    </w:p>
    <w:p>
      <w:pPr>
        <w:pStyle w:val="BodyText"/>
        <w:spacing w:before="6"/>
        <w:rPr>
          <w:sz w:val="27"/>
        </w:rPr>
      </w:pPr>
    </w:p>
    <w:p>
      <w:pPr>
        <w:pStyle w:val="Heading2"/>
      </w:pPr>
      <w:r>
        <w:rPr/>
        <w:t>Cultural</w:t>
      </w:r>
      <w:r>
        <w:rPr>
          <w:spacing w:val="-5"/>
        </w:rPr>
        <w:t> </w:t>
      </w:r>
      <w:r>
        <w:rPr/>
        <w:t>Understanding</w:t>
      </w:r>
      <w:r>
        <w:rPr>
          <w:spacing w:val="-2"/>
        </w:rPr>
        <w:t> </w:t>
      </w:r>
      <w:r>
        <w:rPr/>
        <w:t>of</w:t>
      </w:r>
      <w:r>
        <w:rPr>
          <w:spacing w:val="-3"/>
        </w:rPr>
        <w:t> </w:t>
      </w:r>
      <w:r>
        <w:rPr/>
        <w:t>the</w:t>
      </w:r>
      <w:r>
        <w:rPr>
          <w:spacing w:val="-8"/>
        </w:rPr>
        <w:t> </w:t>
      </w:r>
      <w:r>
        <w:rPr/>
        <w:t>Therapeutic</w:t>
      </w:r>
      <w:r>
        <w:rPr>
          <w:spacing w:val="-3"/>
        </w:rPr>
        <w:t> </w:t>
      </w:r>
      <w:r>
        <w:rPr>
          <w:spacing w:val="-2"/>
        </w:rPr>
        <w:t>Relationship:</w:t>
      </w:r>
    </w:p>
    <w:p>
      <w:pPr>
        <w:pStyle w:val="BodyText"/>
        <w:spacing w:before="3"/>
        <w:rPr>
          <w:b/>
          <w:sz w:val="27"/>
        </w:rPr>
      </w:pPr>
    </w:p>
    <w:p>
      <w:pPr>
        <w:pStyle w:val="ListParagraph"/>
        <w:numPr>
          <w:ilvl w:val="0"/>
          <w:numId w:val="8"/>
        </w:numPr>
        <w:tabs>
          <w:tab w:pos="492" w:val="left" w:leader="none"/>
        </w:tabs>
        <w:spacing w:line="335" w:lineRule="exact" w:before="0" w:after="0"/>
        <w:ind w:left="492" w:right="0" w:hanging="212"/>
        <w:jc w:val="left"/>
        <w:rPr>
          <w:sz w:val="28"/>
        </w:rPr>
      </w:pPr>
      <w:r>
        <w:rPr>
          <w:position w:val="1"/>
          <w:sz w:val="28"/>
        </w:rPr>
        <w:t>What</w:t>
      </w:r>
      <w:r>
        <w:rPr>
          <w:spacing w:val="-4"/>
          <w:position w:val="1"/>
          <w:sz w:val="28"/>
        </w:rPr>
        <w:t> </w:t>
      </w:r>
      <w:r>
        <w:rPr>
          <w:position w:val="1"/>
          <w:sz w:val="28"/>
        </w:rPr>
        <w:t>are</w:t>
      </w:r>
      <w:r>
        <w:rPr>
          <w:spacing w:val="-3"/>
          <w:position w:val="1"/>
          <w:sz w:val="28"/>
        </w:rPr>
        <w:t> </w:t>
      </w:r>
      <w:r>
        <w:rPr>
          <w:position w:val="1"/>
          <w:sz w:val="28"/>
        </w:rPr>
        <w:t>your</w:t>
      </w:r>
      <w:r>
        <w:rPr>
          <w:spacing w:val="-2"/>
          <w:position w:val="1"/>
          <w:sz w:val="28"/>
        </w:rPr>
        <w:t> </w:t>
      </w:r>
      <w:r>
        <w:rPr>
          <w:position w:val="1"/>
          <w:sz w:val="28"/>
        </w:rPr>
        <w:t>expectations</w:t>
      </w:r>
      <w:r>
        <w:rPr>
          <w:spacing w:val="-2"/>
          <w:position w:val="1"/>
          <w:sz w:val="28"/>
        </w:rPr>
        <w:t> </w:t>
      </w:r>
      <w:r>
        <w:rPr>
          <w:position w:val="1"/>
          <w:sz w:val="28"/>
        </w:rPr>
        <w:t>or</w:t>
      </w:r>
      <w:r>
        <w:rPr>
          <w:spacing w:val="-2"/>
          <w:position w:val="1"/>
          <w:sz w:val="28"/>
        </w:rPr>
        <w:t> </w:t>
      </w:r>
      <w:r>
        <w:rPr>
          <w:position w:val="1"/>
          <w:sz w:val="28"/>
        </w:rPr>
        <w:t>preferences</w:t>
      </w:r>
      <w:r>
        <w:rPr>
          <w:spacing w:val="-2"/>
          <w:position w:val="1"/>
          <w:sz w:val="28"/>
        </w:rPr>
        <w:t> </w:t>
      </w:r>
      <w:r>
        <w:rPr>
          <w:position w:val="1"/>
          <w:sz w:val="28"/>
        </w:rPr>
        <w:t>for</w:t>
      </w:r>
      <w:r>
        <w:rPr>
          <w:spacing w:val="-2"/>
          <w:position w:val="1"/>
          <w:sz w:val="28"/>
        </w:rPr>
        <w:t> </w:t>
      </w:r>
      <w:r>
        <w:rPr>
          <w:position w:val="1"/>
          <w:sz w:val="28"/>
        </w:rPr>
        <w:t>the</w:t>
      </w:r>
      <w:r>
        <w:rPr>
          <w:spacing w:val="-3"/>
          <w:position w:val="1"/>
          <w:sz w:val="28"/>
        </w:rPr>
        <w:t> </w:t>
      </w:r>
      <w:r>
        <w:rPr>
          <w:position w:val="1"/>
          <w:sz w:val="28"/>
        </w:rPr>
        <w:t>therapeutic</w:t>
      </w:r>
      <w:r>
        <w:rPr>
          <w:spacing w:val="-2"/>
          <w:position w:val="1"/>
          <w:sz w:val="28"/>
        </w:rPr>
        <w:t> relationship?</w:t>
      </w:r>
    </w:p>
    <w:p>
      <w:pPr>
        <w:pStyle w:val="BodyText"/>
        <w:spacing w:line="309" w:lineRule="exact"/>
        <w:ind w:left="492"/>
      </w:pPr>
      <w:r>
        <w:rPr/>
        <w:t>Are</w:t>
      </w:r>
      <w:r>
        <w:rPr>
          <w:spacing w:val="-3"/>
        </w:rPr>
        <w:t> </w:t>
      </w:r>
      <w:r>
        <w:rPr/>
        <w:t>there</w:t>
      </w:r>
      <w:r>
        <w:rPr>
          <w:spacing w:val="-2"/>
        </w:rPr>
        <w:t> </w:t>
      </w:r>
      <w:r>
        <w:rPr/>
        <w:t>any</w:t>
      </w:r>
      <w:r>
        <w:rPr>
          <w:spacing w:val="-2"/>
        </w:rPr>
        <w:t> </w:t>
      </w:r>
      <w:r>
        <w:rPr/>
        <w:t>cultural</w:t>
      </w:r>
      <w:r>
        <w:rPr>
          <w:spacing w:val="-1"/>
        </w:rPr>
        <w:t> </w:t>
      </w:r>
      <w:r>
        <w:rPr/>
        <w:t>considerations</w:t>
      </w:r>
      <w:r>
        <w:rPr>
          <w:spacing w:val="-2"/>
        </w:rPr>
        <w:t> </w:t>
      </w:r>
      <w:r>
        <w:rPr/>
        <w:t>I</w:t>
      </w:r>
      <w:r>
        <w:rPr>
          <w:spacing w:val="-1"/>
        </w:rPr>
        <w:t> </w:t>
      </w:r>
      <w:r>
        <w:rPr/>
        <w:t>should</w:t>
      </w:r>
      <w:r>
        <w:rPr>
          <w:spacing w:val="-2"/>
        </w:rPr>
        <w:t> </w:t>
      </w:r>
      <w:r>
        <w:rPr/>
        <w:t>be</w:t>
      </w:r>
      <w:r>
        <w:rPr>
          <w:spacing w:val="-2"/>
        </w:rPr>
        <w:t> </w:t>
      </w:r>
      <w:r>
        <w:rPr/>
        <w:t>aware</w:t>
      </w:r>
      <w:r>
        <w:rPr>
          <w:spacing w:val="-2"/>
        </w:rPr>
        <w:t> </w:t>
      </w:r>
      <w:r>
        <w:rPr>
          <w:spacing w:val="-5"/>
        </w:rPr>
        <w:t>of?</w:t>
      </w:r>
    </w:p>
    <w:p>
      <w:pPr>
        <w:pStyle w:val="ListParagraph"/>
        <w:numPr>
          <w:ilvl w:val="0"/>
          <w:numId w:val="8"/>
        </w:numPr>
        <w:tabs>
          <w:tab w:pos="492" w:val="left" w:leader="none"/>
        </w:tabs>
        <w:spacing w:line="329" w:lineRule="exact" w:before="0" w:after="0"/>
        <w:ind w:left="492" w:right="0" w:hanging="212"/>
        <w:jc w:val="left"/>
        <w:rPr>
          <w:sz w:val="28"/>
        </w:rPr>
      </w:pPr>
      <w:r>
        <w:rPr>
          <w:position w:val="1"/>
          <w:sz w:val="28"/>
        </w:rPr>
        <w:t>How</w:t>
      </w:r>
      <w:r>
        <w:rPr>
          <w:spacing w:val="-2"/>
          <w:position w:val="1"/>
          <w:sz w:val="28"/>
        </w:rPr>
        <w:t> </w:t>
      </w:r>
      <w:r>
        <w:rPr>
          <w:position w:val="1"/>
          <w:sz w:val="28"/>
        </w:rPr>
        <w:t>do</w:t>
      </w:r>
      <w:r>
        <w:rPr>
          <w:spacing w:val="-1"/>
          <w:position w:val="1"/>
          <w:sz w:val="28"/>
        </w:rPr>
        <w:t> </w:t>
      </w:r>
      <w:r>
        <w:rPr>
          <w:position w:val="1"/>
          <w:sz w:val="28"/>
        </w:rPr>
        <w:t>you</w:t>
      </w:r>
      <w:r>
        <w:rPr>
          <w:spacing w:val="-1"/>
          <w:position w:val="1"/>
          <w:sz w:val="28"/>
        </w:rPr>
        <w:t> </w:t>
      </w:r>
      <w:r>
        <w:rPr>
          <w:position w:val="1"/>
          <w:sz w:val="28"/>
        </w:rPr>
        <w:t>prefer</w:t>
      </w:r>
      <w:r>
        <w:rPr>
          <w:spacing w:val="-2"/>
          <w:position w:val="1"/>
          <w:sz w:val="28"/>
        </w:rPr>
        <w:t> </w:t>
      </w:r>
      <w:r>
        <w:rPr>
          <w:position w:val="1"/>
          <w:sz w:val="28"/>
        </w:rPr>
        <w:t>to</w:t>
      </w:r>
      <w:r>
        <w:rPr>
          <w:spacing w:val="-1"/>
          <w:position w:val="1"/>
          <w:sz w:val="28"/>
        </w:rPr>
        <w:t> </w:t>
      </w:r>
      <w:r>
        <w:rPr>
          <w:position w:val="1"/>
          <w:sz w:val="28"/>
        </w:rPr>
        <w:t>communicate</w:t>
      </w:r>
      <w:r>
        <w:rPr>
          <w:spacing w:val="-2"/>
          <w:position w:val="1"/>
          <w:sz w:val="28"/>
        </w:rPr>
        <w:t> </w:t>
      </w:r>
      <w:r>
        <w:rPr>
          <w:position w:val="1"/>
          <w:sz w:val="28"/>
        </w:rPr>
        <w:t>with</w:t>
      </w:r>
      <w:r>
        <w:rPr>
          <w:spacing w:val="-1"/>
          <w:position w:val="1"/>
          <w:sz w:val="28"/>
        </w:rPr>
        <w:t> </w:t>
      </w:r>
      <w:r>
        <w:rPr>
          <w:position w:val="1"/>
          <w:sz w:val="28"/>
        </w:rPr>
        <w:t>healthcare</w:t>
      </w:r>
      <w:r>
        <w:rPr>
          <w:spacing w:val="-2"/>
          <w:position w:val="1"/>
          <w:sz w:val="28"/>
        </w:rPr>
        <w:t> providers?</w:t>
      </w:r>
    </w:p>
    <w:p>
      <w:pPr>
        <w:pStyle w:val="ListParagraph"/>
        <w:numPr>
          <w:ilvl w:val="0"/>
          <w:numId w:val="8"/>
        </w:numPr>
        <w:tabs>
          <w:tab w:pos="492" w:val="left" w:leader="none"/>
        </w:tabs>
        <w:spacing w:line="225" w:lineRule="auto" w:before="4" w:after="0"/>
        <w:ind w:left="492" w:right="1178" w:hanging="213"/>
        <w:jc w:val="left"/>
        <w:rPr>
          <w:sz w:val="28"/>
        </w:rPr>
      </w:pPr>
      <w:r>
        <w:rPr>
          <w:position w:val="1"/>
          <w:sz w:val="28"/>
        </w:rPr>
        <w:t>Are there any cultural factors that may influence your comfort level or </w:t>
      </w:r>
      <w:r>
        <w:rPr>
          <w:sz w:val="28"/>
        </w:rPr>
        <w:t>openness</w:t>
      </w:r>
      <w:r>
        <w:rPr>
          <w:spacing w:val="-4"/>
          <w:sz w:val="28"/>
        </w:rPr>
        <w:t> </w:t>
      </w:r>
      <w:r>
        <w:rPr>
          <w:sz w:val="28"/>
        </w:rPr>
        <w:t>in</w:t>
      </w:r>
      <w:r>
        <w:rPr>
          <w:spacing w:val="-4"/>
          <w:sz w:val="28"/>
        </w:rPr>
        <w:t> </w:t>
      </w:r>
      <w:r>
        <w:rPr>
          <w:sz w:val="28"/>
        </w:rPr>
        <w:t>discussing</w:t>
      </w:r>
      <w:r>
        <w:rPr>
          <w:spacing w:val="-4"/>
          <w:sz w:val="28"/>
        </w:rPr>
        <w:t> </w:t>
      </w:r>
      <w:r>
        <w:rPr>
          <w:sz w:val="28"/>
        </w:rPr>
        <w:t>sexual</w:t>
      </w:r>
      <w:r>
        <w:rPr>
          <w:spacing w:val="-4"/>
          <w:sz w:val="28"/>
        </w:rPr>
        <w:t> </w:t>
      </w:r>
      <w:r>
        <w:rPr>
          <w:sz w:val="28"/>
        </w:rPr>
        <w:t>issues</w:t>
      </w:r>
      <w:r>
        <w:rPr>
          <w:spacing w:val="-4"/>
          <w:sz w:val="28"/>
        </w:rPr>
        <w:t> </w:t>
      </w:r>
      <w:r>
        <w:rPr>
          <w:sz w:val="28"/>
        </w:rPr>
        <w:t>with</w:t>
      </w:r>
      <w:r>
        <w:rPr>
          <w:spacing w:val="-4"/>
          <w:sz w:val="28"/>
        </w:rPr>
        <w:t> </w:t>
      </w:r>
      <w:r>
        <w:rPr>
          <w:sz w:val="28"/>
        </w:rPr>
        <w:t>a</w:t>
      </w:r>
      <w:r>
        <w:rPr>
          <w:spacing w:val="-5"/>
          <w:sz w:val="28"/>
        </w:rPr>
        <w:t> </w:t>
      </w:r>
      <w:r>
        <w:rPr>
          <w:sz w:val="28"/>
        </w:rPr>
        <w:t>mental</w:t>
      </w:r>
      <w:r>
        <w:rPr>
          <w:spacing w:val="-4"/>
          <w:sz w:val="28"/>
        </w:rPr>
        <w:t> </w:t>
      </w:r>
      <w:r>
        <w:rPr>
          <w:sz w:val="28"/>
        </w:rPr>
        <w:t>health</w:t>
      </w:r>
      <w:r>
        <w:rPr>
          <w:spacing w:val="-4"/>
          <w:sz w:val="28"/>
        </w:rPr>
        <w:t> </w:t>
      </w:r>
      <w:r>
        <w:rPr>
          <w:sz w:val="28"/>
        </w:rPr>
        <w:t>professional?</w:t>
      </w:r>
    </w:p>
    <w:p>
      <w:pPr>
        <w:pStyle w:val="BodyText"/>
        <w:spacing w:before="11"/>
        <w:rPr>
          <w:sz w:val="27"/>
        </w:rPr>
      </w:pPr>
    </w:p>
    <w:p>
      <w:pPr>
        <w:pStyle w:val="Heading2"/>
      </w:pPr>
      <w:r>
        <w:rPr/>
        <w:t>Cultural</w:t>
      </w:r>
      <w:r>
        <w:rPr>
          <w:spacing w:val="-2"/>
        </w:rPr>
        <w:t> </w:t>
      </w:r>
      <w:r>
        <w:rPr/>
        <w:t>Impact</w:t>
      </w:r>
      <w:r>
        <w:rPr>
          <w:spacing w:val="-2"/>
        </w:rPr>
        <w:t> </w:t>
      </w:r>
      <w:r>
        <w:rPr/>
        <w:t>on</w:t>
      </w:r>
      <w:r>
        <w:rPr>
          <w:spacing w:val="-2"/>
        </w:rPr>
        <w:t> </w:t>
      </w:r>
      <w:r>
        <w:rPr/>
        <w:t>Diagnosis</w:t>
      </w:r>
      <w:r>
        <w:rPr>
          <w:spacing w:val="-2"/>
        </w:rPr>
        <w:t> </w:t>
      </w:r>
      <w:r>
        <w:rPr/>
        <w:t>and</w:t>
      </w:r>
      <w:r>
        <w:rPr>
          <w:spacing w:val="-7"/>
        </w:rPr>
        <w:t> </w:t>
      </w:r>
      <w:r>
        <w:rPr>
          <w:spacing w:val="-2"/>
        </w:rPr>
        <w:t>Treatment:</w:t>
      </w:r>
    </w:p>
    <w:p>
      <w:pPr>
        <w:pStyle w:val="BodyText"/>
        <w:spacing w:before="8"/>
        <w:rPr>
          <w:b/>
        </w:rPr>
      </w:pPr>
    </w:p>
    <w:p>
      <w:pPr>
        <w:pStyle w:val="ListParagraph"/>
        <w:numPr>
          <w:ilvl w:val="0"/>
          <w:numId w:val="8"/>
        </w:numPr>
        <w:tabs>
          <w:tab w:pos="492" w:val="left" w:leader="none"/>
        </w:tabs>
        <w:spacing w:line="225" w:lineRule="auto" w:before="0" w:after="0"/>
        <w:ind w:left="492" w:right="760" w:hanging="213"/>
        <w:jc w:val="left"/>
        <w:rPr>
          <w:sz w:val="28"/>
        </w:rPr>
      </w:pPr>
      <w:r>
        <w:rPr>
          <w:position w:val="1"/>
          <w:sz w:val="28"/>
        </w:rPr>
        <w:t>What</w:t>
      </w:r>
      <w:r>
        <w:rPr>
          <w:spacing w:val="-4"/>
          <w:position w:val="1"/>
          <w:sz w:val="28"/>
        </w:rPr>
        <w:t> </w:t>
      </w:r>
      <w:r>
        <w:rPr>
          <w:position w:val="1"/>
          <w:sz w:val="28"/>
        </w:rPr>
        <w:t>are</w:t>
      </w:r>
      <w:r>
        <w:rPr>
          <w:spacing w:val="-5"/>
          <w:position w:val="1"/>
          <w:sz w:val="28"/>
        </w:rPr>
        <w:t> </w:t>
      </w:r>
      <w:r>
        <w:rPr>
          <w:position w:val="1"/>
          <w:sz w:val="28"/>
        </w:rPr>
        <w:t>your</w:t>
      </w:r>
      <w:r>
        <w:rPr>
          <w:spacing w:val="-4"/>
          <w:position w:val="1"/>
          <w:sz w:val="28"/>
        </w:rPr>
        <w:t> </w:t>
      </w:r>
      <w:r>
        <w:rPr>
          <w:position w:val="1"/>
          <w:sz w:val="28"/>
        </w:rPr>
        <w:t>beliefs</w:t>
      </w:r>
      <w:r>
        <w:rPr>
          <w:spacing w:val="-4"/>
          <w:position w:val="1"/>
          <w:sz w:val="28"/>
        </w:rPr>
        <w:t> </w:t>
      </w:r>
      <w:r>
        <w:rPr>
          <w:position w:val="1"/>
          <w:sz w:val="28"/>
        </w:rPr>
        <w:t>or</w:t>
      </w:r>
      <w:r>
        <w:rPr>
          <w:spacing w:val="-4"/>
          <w:position w:val="1"/>
          <w:sz w:val="28"/>
        </w:rPr>
        <w:t> </w:t>
      </w:r>
      <w:r>
        <w:rPr>
          <w:position w:val="1"/>
          <w:sz w:val="28"/>
        </w:rPr>
        <w:t>cultural</w:t>
      </w:r>
      <w:r>
        <w:rPr>
          <w:spacing w:val="-4"/>
          <w:position w:val="1"/>
          <w:sz w:val="28"/>
        </w:rPr>
        <w:t> </w:t>
      </w:r>
      <w:r>
        <w:rPr>
          <w:position w:val="1"/>
          <w:sz w:val="28"/>
        </w:rPr>
        <w:t>understandings</w:t>
      </w:r>
      <w:r>
        <w:rPr>
          <w:spacing w:val="-4"/>
          <w:position w:val="1"/>
          <w:sz w:val="28"/>
        </w:rPr>
        <w:t> </w:t>
      </w:r>
      <w:r>
        <w:rPr>
          <w:position w:val="1"/>
          <w:sz w:val="28"/>
        </w:rPr>
        <w:t>about</w:t>
      </w:r>
      <w:r>
        <w:rPr>
          <w:spacing w:val="-4"/>
          <w:position w:val="1"/>
          <w:sz w:val="28"/>
        </w:rPr>
        <w:t> </w:t>
      </w:r>
      <w:r>
        <w:rPr>
          <w:position w:val="1"/>
          <w:sz w:val="28"/>
        </w:rPr>
        <w:t>the</w:t>
      </w:r>
      <w:r>
        <w:rPr>
          <w:spacing w:val="-5"/>
          <w:position w:val="1"/>
          <w:sz w:val="28"/>
        </w:rPr>
        <w:t> </w:t>
      </w:r>
      <w:r>
        <w:rPr>
          <w:position w:val="1"/>
          <w:sz w:val="28"/>
        </w:rPr>
        <w:t>causes</w:t>
      </w:r>
      <w:r>
        <w:rPr>
          <w:spacing w:val="-4"/>
          <w:position w:val="1"/>
          <w:sz w:val="28"/>
        </w:rPr>
        <w:t> </w:t>
      </w:r>
      <w:r>
        <w:rPr>
          <w:position w:val="1"/>
          <w:sz w:val="28"/>
        </w:rPr>
        <w:t>of</w:t>
      </w:r>
      <w:r>
        <w:rPr>
          <w:spacing w:val="-4"/>
          <w:position w:val="1"/>
          <w:sz w:val="28"/>
        </w:rPr>
        <w:t> </w:t>
      </w:r>
      <w:r>
        <w:rPr>
          <w:position w:val="1"/>
          <w:sz w:val="28"/>
        </w:rPr>
        <w:t>sexual </w:t>
      </w:r>
      <w:r>
        <w:rPr>
          <w:spacing w:val="-2"/>
          <w:sz w:val="28"/>
        </w:rPr>
        <w:t>disorders?</w:t>
      </w:r>
    </w:p>
    <w:p>
      <w:pPr>
        <w:pStyle w:val="ListParagraph"/>
        <w:numPr>
          <w:ilvl w:val="0"/>
          <w:numId w:val="8"/>
        </w:numPr>
        <w:tabs>
          <w:tab w:pos="492" w:val="left" w:leader="none"/>
        </w:tabs>
        <w:spacing w:line="329" w:lineRule="exact" w:before="0" w:after="0"/>
        <w:ind w:left="492" w:right="0" w:hanging="212"/>
        <w:jc w:val="left"/>
        <w:rPr>
          <w:sz w:val="28"/>
        </w:rPr>
      </w:pPr>
      <w:r>
        <w:rPr>
          <w:position w:val="1"/>
          <w:sz w:val="28"/>
        </w:rPr>
        <w:t>How</w:t>
      </w:r>
      <w:r>
        <w:rPr>
          <w:spacing w:val="-3"/>
          <w:position w:val="1"/>
          <w:sz w:val="28"/>
        </w:rPr>
        <w:t> </w:t>
      </w:r>
      <w:r>
        <w:rPr>
          <w:position w:val="1"/>
          <w:sz w:val="28"/>
        </w:rPr>
        <w:t>do</w:t>
      </w:r>
      <w:r>
        <w:rPr>
          <w:spacing w:val="-1"/>
          <w:position w:val="1"/>
          <w:sz w:val="28"/>
        </w:rPr>
        <w:t> </w:t>
      </w:r>
      <w:r>
        <w:rPr>
          <w:position w:val="1"/>
          <w:sz w:val="28"/>
        </w:rPr>
        <w:t>you envision</w:t>
      </w:r>
      <w:r>
        <w:rPr>
          <w:spacing w:val="-1"/>
          <w:position w:val="1"/>
          <w:sz w:val="28"/>
        </w:rPr>
        <w:t> </w:t>
      </w:r>
      <w:r>
        <w:rPr>
          <w:position w:val="1"/>
          <w:sz w:val="28"/>
        </w:rPr>
        <w:t>the</w:t>
      </w:r>
      <w:r>
        <w:rPr>
          <w:spacing w:val="-1"/>
          <w:position w:val="1"/>
          <w:sz w:val="28"/>
        </w:rPr>
        <w:t> </w:t>
      </w:r>
      <w:r>
        <w:rPr>
          <w:position w:val="1"/>
          <w:sz w:val="28"/>
        </w:rPr>
        <w:t>role</w:t>
      </w:r>
      <w:r>
        <w:rPr>
          <w:spacing w:val="-2"/>
          <w:position w:val="1"/>
          <w:sz w:val="28"/>
        </w:rPr>
        <w:t> </w:t>
      </w:r>
      <w:r>
        <w:rPr>
          <w:position w:val="1"/>
          <w:sz w:val="28"/>
        </w:rPr>
        <w:t>of culture</w:t>
      </w:r>
      <w:r>
        <w:rPr>
          <w:spacing w:val="-2"/>
          <w:position w:val="1"/>
          <w:sz w:val="28"/>
        </w:rPr>
        <w:t> </w:t>
      </w:r>
      <w:r>
        <w:rPr>
          <w:position w:val="1"/>
          <w:sz w:val="28"/>
        </w:rPr>
        <w:t>in your</w:t>
      </w:r>
      <w:r>
        <w:rPr>
          <w:spacing w:val="-1"/>
          <w:position w:val="1"/>
          <w:sz w:val="28"/>
        </w:rPr>
        <w:t> </w:t>
      </w:r>
      <w:r>
        <w:rPr>
          <w:position w:val="1"/>
          <w:sz w:val="28"/>
        </w:rPr>
        <w:t>treatment </w:t>
      </w:r>
      <w:r>
        <w:rPr>
          <w:spacing w:val="-2"/>
          <w:position w:val="1"/>
          <w:sz w:val="28"/>
        </w:rPr>
        <w:t>process?</w:t>
      </w:r>
    </w:p>
    <w:p>
      <w:pPr>
        <w:pStyle w:val="ListParagraph"/>
        <w:numPr>
          <w:ilvl w:val="0"/>
          <w:numId w:val="8"/>
        </w:numPr>
        <w:tabs>
          <w:tab w:pos="492" w:val="left" w:leader="none"/>
        </w:tabs>
        <w:spacing w:line="225" w:lineRule="auto" w:before="4" w:after="0"/>
        <w:ind w:left="492" w:right="1195" w:hanging="213"/>
        <w:jc w:val="left"/>
        <w:rPr>
          <w:sz w:val="28"/>
        </w:rPr>
      </w:pPr>
      <w:r>
        <w:rPr>
          <w:position w:val="1"/>
          <w:sz w:val="28"/>
        </w:rPr>
        <w:t>Are</w:t>
      </w:r>
      <w:r>
        <w:rPr>
          <w:spacing w:val="-4"/>
          <w:position w:val="1"/>
          <w:sz w:val="28"/>
        </w:rPr>
        <w:t> </w:t>
      </w:r>
      <w:r>
        <w:rPr>
          <w:position w:val="1"/>
          <w:sz w:val="28"/>
        </w:rPr>
        <w:t>there</w:t>
      </w:r>
      <w:r>
        <w:rPr>
          <w:spacing w:val="-4"/>
          <w:position w:val="1"/>
          <w:sz w:val="28"/>
        </w:rPr>
        <w:t> </w:t>
      </w:r>
      <w:r>
        <w:rPr>
          <w:position w:val="1"/>
          <w:sz w:val="28"/>
        </w:rPr>
        <w:t>any</w:t>
      </w:r>
      <w:r>
        <w:rPr>
          <w:spacing w:val="-3"/>
          <w:position w:val="1"/>
          <w:sz w:val="28"/>
        </w:rPr>
        <w:t> </w:t>
      </w:r>
      <w:r>
        <w:rPr>
          <w:position w:val="1"/>
          <w:sz w:val="28"/>
        </w:rPr>
        <w:t>specific</w:t>
      </w:r>
      <w:r>
        <w:rPr>
          <w:spacing w:val="-4"/>
          <w:position w:val="1"/>
          <w:sz w:val="28"/>
        </w:rPr>
        <w:t> </w:t>
      </w:r>
      <w:r>
        <w:rPr>
          <w:position w:val="1"/>
          <w:sz w:val="28"/>
        </w:rPr>
        <w:t>cultural</w:t>
      </w:r>
      <w:r>
        <w:rPr>
          <w:spacing w:val="-3"/>
          <w:position w:val="1"/>
          <w:sz w:val="28"/>
        </w:rPr>
        <w:t> </w:t>
      </w:r>
      <w:r>
        <w:rPr>
          <w:position w:val="1"/>
          <w:sz w:val="28"/>
        </w:rPr>
        <w:t>considerations</w:t>
      </w:r>
      <w:r>
        <w:rPr>
          <w:spacing w:val="-3"/>
          <w:position w:val="1"/>
          <w:sz w:val="28"/>
        </w:rPr>
        <w:t> </w:t>
      </w:r>
      <w:r>
        <w:rPr>
          <w:position w:val="1"/>
          <w:sz w:val="28"/>
        </w:rPr>
        <w:t>that</w:t>
      </w:r>
      <w:r>
        <w:rPr>
          <w:spacing w:val="-3"/>
          <w:position w:val="1"/>
          <w:sz w:val="28"/>
        </w:rPr>
        <w:t> </w:t>
      </w:r>
      <w:r>
        <w:rPr>
          <w:position w:val="1"/>
          <w:sz w:val="28"/>
        </w:rPr>
        <w:t>need</w:t>
      </w:r>
      <w:r>
        <w:rPr>
          <w:spacing w:val="-3"/>
          <w:position w:val="1"/>
          <w:sz w:val="28"/>
        </w:rPr>
        <w:t> </w:t>
      </w:r>
      <w:r>
        <w:rPr>
          <w:position w:val="1"/>
          <w:sz w:val="28"/>
        </w:rPr>
        <w:t>to</w:t>
      </w:r>
      <w:r>
        <w:rPr>
          <w:spacing w:val="-3"/>
          <w:position w:val="1"/>
          <w:sz w:val="28"/>
        </w:rPr>
        <w:t> </w:t>
      </w:r>
      <w:r>
        <w:rPr>
          <w:position w:val="1"/>
          <w:sz w:val="28"/>
        </w:rPr>
        <w:t>be</w:t>
      </w:r>
      <w:r>
        <w:rPr>
          <w:spacing w:val="-4"/>
          <w:position w:val="1"/>
          <w:sz w:val="28"/>
        </w:rPr>
        <w:t> </w:t>
      </w:r>
      <w:r>
        <w:rPr>
          <w:position w:val="1"/>
          <w:sz w:val="28"/>
        </w:rPr>
        <w:t>taken</w:t>
      </w:r>
      <w:r>
        <w:rPr>
          <w:spacing w:val="-3"/>
          <w:position w:val="1"/>
          <w:sz w:val="28"/>
        </w:rPr>
        <w:t> </w:t>
      </w:r>
      <w:r>
        <w:rPr>
          <w:position w:val="1"/>
          <w:sz w:val="28"/>
        </w:rPr>
        <w:t>into </w:t>
      </w:r>
      <w:r>
        <w:rPr>
          <w:sz w:val="28"/>
        </w:rPr>
        <w:t>account when developing a treatment plan?</w:t>
      </w:r>
    </w:p>
    <w:p>
      <w:pPr>
        <w:pStyle w:val="BodyText"/>
        <w:spacing w:before="11"/>
        <w:rPr>
          <w:sz w:val="27"/>
        </w:rPr>
      </w:pPr>
    </w:p>
    <w:p>
      <w:pPr>
        <w:pStyle w:val="BodyText"/>
        <w:ind w:left="280" w:right="515"/>
      </w:pPr>
      <w:r>
        <w:rPr/>
        <w:t>Remember that these questions serve as examples, and the actual interview may</w:t>
      </w:r>
      <w:r>
        <w:rPr>
          <w:spacing w:val="-4"/>
        </w:rPr>
        <w:t> </w:t>
      </w:r>
      <w:r>
        <w:rPr/>
        <w:t>vary</w:t>
      </w:r>
      <w:r>
        <w:rPr>
          <w:spacing w:val="-4"/>
        </w:rPr>
        <w:t> </w:t>
      </w:r>
      <w:r>
        <w:rPr/>
        <w:t>depending</w:t>
      </w:r>
      <w:r>
        <w:rPr>
          <w:spacing w:val="-4"/>
        </w:rPr>
        <w:t> </w:t>
      </w:r>
      <w:r>
        <w:rPr/>
        <w:t>on</w:t>
      </w:r>
      <w:r>
        <w:rPr>
          <w:spacing w:val="-4"/>
        </w:rPr>
        <w:t> </w:t>
      </w:r>
      <w:r>
        <w:rPr/>
        <w:t>the</w:t>
      </w:r>
      <w:r>
        <w:rPr>
          <w:spacing w:val="-5"/>
        </w:rPr>
        <w:t> </w:t>
      </w:r>
      <w:r>
        <w:rPr/>
        <w:t>clinician's</w:t>
      </w:r>
      <w:r>
        <w:rPr>
          <w:spacing w:val="-4"/>
        </w:rPr>
        <w:t> </w:t>
      </w:r>
      <w:r>
        <w:rPr/>
        <w:t>expertise</w:t>
      </w:r>
      <w:r>
        <w:rPr>
          <w:spacing w:val="-5"/>
        </w:rPr>
        <w:t> </w:t>
      </w:r>
      <w:r>
        <w:rPr/>
        <w:t>and</w:t>
      </w:r>
      <w:r>
        <w:rPr>
          <w:spacing w:val="-4"/>
        </w:rPr>
        <w:t> </w:t>
      </w:r>
      <w:r>
        <w:rPr/>
        <w:t>the</w:t>
      </w:r>
      <w:r>
        <w:rPr>
          <w:spacing w:val="-5"/>
        </w:rPr>
        <w:t> </w:t>
      </w:r>
      <w:r>
        <w:rPr/>
        <w:t>individual's</w:t>
      </w:r>
      <w:r>
        <w:rPr>
          <w:spacing w:val="-4"/>
        </w:rPr>
        <w:t> </w:t>
      </w:r>
      <w:r>
        <w:rPr/>
        <w:t>cultural background. The purpose of the CFI or any cultural interview is to foster a culturally sensitive and individualized understanding of the person's experiences and to inform the diagnostic process and treatment planning.</w:t>
      </w:r>
    </w:p>
    <w:p>
      <w:pPr>
        <w:spacing w:after="0"/>
        <w:sectPr>
          <w:pgSz w:w="12240" w:h="15840"/>
          <w:pgMar w:header="0" w:footer="765" w:top="1580" w:bottom="980" w:left="140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88"/>
        <w:ind w:left="3985"/>
      </w:pPr>
      <w:r>
        <w:rPr/>
        <mc:AlternateContent>
          <mc:Choice Requires="wps">
            <w:drawing>
              <wp:anchor distT="0" distB="0" distL="0" distR="0" allowOverlap="1" layoutInCell="1" locked="0" behindDoc="0" simplePos="0" relativeHeight="15742976">
                <wp:simplePos x="0" y="0"/>
                <wp:positionH relativeFrom="page">
                  <wp:posOffset>1028700</wp:posOffset>
                </wp:positionH>
                <wp:positionV relativeFrom="paragraph">
                  <wp:posOffset>8484</wp:posOffset>
                </wp:positionV>
                <wp:extent cx="2277110" cy="168021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2277110" cy="1680210"/>
                          <a:chExt cx="2277110" cy="1680210"/>
                        </a:xfrm>
                      </wpg:grpSpPr>
                      <pic:pic>
                        <pic:nvPicPr>
                          <pic:cNvPr id="62" name="Image 62"/>
                          <pic:cNvPicPr/>
                        </pic:nvPicPr>
                        <pic:blipFill>
                          <a:blip r:embed="rId14" cstate="print"/>
                          <a:stretch>
                            <a:fillRect/>
                          </a:stretch>
                        </pic:blipFill>
                        <pic:spPr>
                          <a:xfrm>
                            <a:off x="0" y="0"/>
                            <a:ext cx="2276910" cy="1680126"/>
                          </a:xfrm>
                          <a:prstGeom prst="rect">
                            <a:avLst/>
                          </a:prstGeom>
                        </pic:spPr>
                      </pic:pic>
                      <pic:pic>
                        <pic:nvPicPr>
                          <pic:cNvPr id="63" name="Image 63"/>
                          <pic:cNvPicPr/>
                        </pic:nvPicPr>
                        <pic:blipFill>
                          <a:blip r:embed="rId15" cstate="print"/>
                          <a:stretch>
                            <a:fillRect/>
                          </a:stretch>
                        </pic:blipFill>
                        <pic:spPr>
                          <a:xfrm>
                            <a:off x="76200" y="56200"/>
                            <a:ext cx="2124510" cy="1527726"/>
                          </a:xfrm>
                          <a:prstGeom prst="rect">
                            <a:avLst/>
                          </a:prstGeom>
                        </pic:spPr>
                      </pic:pic>
                      <pic:pic>
                        <pic:nvPicPr>
                          <pic:cNvPr id="64" name="Image 64"/>
                          <pic:cNvPicPr/>
                        </pic:nvPicPr>
                        <pic:blipFill>
                          <a:blip r:embed="rId16" cstate="print"/>
                          <a:stretch>
                            <a:fillRect/>
                          </a:stretch>
                        </pic:blipFill>
                        <pic:spPr>
                          <a:xfrm>
                            <a:off x="39499" y="21285"/>
                            <a:ext cx="2197997" cy="1600200"/>
                          </a:xfrm>
                          <a:prstGeom prst="rect">
                            <a:avLst/>
                          </a:prstGeom>
                        </pic:spPr>
                      </pic:pic>
                      <wps:wsp>
                        <wps:cNvPr id="65" name="Textbox 65"/>
                        <wps:cNvSpPr txBox="1"/>
                        <wps:spPr>
                          <a:xfrm>
                            <a:off x="0" y="0"/>
                            <a:ext cx="2277110" cy="1680210"/>
                          </a:xfrm>
                          <a:prstGeom prst="rect">
                            <a:avLst/>
                          </a:prstGeom>
                        </wps:spPr>
                        <wps:txbx>
                          <w:txbxContent>
                            <w:p>
                              <w:pPr>
                                <w:spacing w:line="240" w:lineRule="auto" w:before="1"/>
                                <w:rPr>
                                  <w:sz w:val="70"/>
                                </w:rPr>
                              </w:pPr>
                            </w:p>
                            <w:p>
                              <w:pPr>
                                <w:spacing w:before="0"/>
                                <w:ind w:left="251" w:right="0" w:firstLine="0"/>
                                <w:jc w:val="left"/>
                                <w:rPr>
                                  <w:rFonts w:ascii="Book Antiqua"/>
                                  <w:i/>
                                  <w:sz w:val="58"/>
                                </w:rPr>
                              </w:pPr>
                              <w:r>
                                <w:rPr>
                                  <w:rFonts w:ascii="Book Antiqua"/>
                                  <w:i/>
                                  <w:sz w:val="60"/>
                                </w:rPr>
                                <w:t>Vignette</w:t>
                              </w:r>
                              <w:r>
                                <w:rPr>
                                  <w:rFonts w:ascii="Book Antiqua"/>
                                  <w:i/>
                                  <w:spacing w:val="-24"/>
                                  <w:sz w:val="60"/>
                                </w:rPr>
                                <w:t> </w:t>
                              </w:r>
                              <w:r>
                                <w:rPr>
                                  <w:rFonts w:ascii="Book Antiqua"/>
                                  <w:i/>
                                  <w:spacing w:val="-5"/>
                                  <w:sz w:val="58"/>
                                </w:rPr>
                                <w:t>#1</w:t>
                              </w:r>
                            </w:p>
                          </w:txbxContent>
                        </wps:txbx>
                        <wps:bodyPr wrap="square" lIns="0" tIns="0" rIns="0" bIns="0" rtlCol="0">
                          <a:noAutofit/>
                        </wps:bodyPr>
                      </wps:wsp>
                    </wpg:wgp>
                  </a:graphicData>
                </a:graphic>
              </wp:anchor>
            </w:drawing>
          </mc:Choice>
          <mc:Fallback>
            <w:pict>
              <v:group style="position:absolute;margin-left:81pt;margin-top:.668098pt;width:179.3pt;height:132.3pt;mso-position-horizontal-relative:page;mso-position-vertical-relative:paragraph;z-index:15742976" id="docshapegroup60" coordorigin="1620,13" coordsize="3586,2646">
                <v:shape style="position:absolute;left:1620;top:13;width:3586;height:2646" type="#_x0000_t75" id="docshape61" stroked="false">
                  <v:imagedata r:id="rId14" o:title=""/>
                </v:shape>
                <v:shape style="position:absolute;left:1740;top:101;width:3346;height:2406" type="#_x0000_t75" id="docshape62" stroked="false">
                  <v:imagedata r:id="rId15" o:title=""/>
                </v:shape>
                <v:shape style="position:absolute;left:1682;top:46;width:3462;height:2520" type="#_x0000_t75" id="docshape63" stroked="false">
                  <v:imagedata r:id="rId16" o:title=""/>
                </v:shape>
                <v:shape style="position:absolute;left:1620;top:13;width:3586;height:2646" type="#_x0000_t202" id="docshape64" filled="false" stroked="false">
                  <v:textbox inset="0,0,0,0">
                    <w:txbxContent>
                      <w:p>
                        <w:pPr>
                          <w:spacing w:line="240" w:lineRule="auto" w:before="1"/>
                          <w:rPr>
                            <w:sz w:val="70"/>
                          </w:rPr>
                        </w:pPr>
                      </w:p>
                      <w:p>
                        <w:pPr>
                          <w:spacing w:before="0"/>
                          <w:ind w:left="251" w:right="0" w:firstLine="0"/>
                          <w:jc w:val="left"/>
                          <w:rPr>
                            <w:rFonts w:ascii="Book Antiqua"/>
                            <w:i/>
                            <w:sz w:val="58"/>
                          </w:rPr>
                        </w:pPr>
                        <w:r>
                          <w:rPr>
                            <w:rFonts w:ascii="Book Antiqua"/>
                            <w:i/>
                            <w:sz w:val="60"/>
                          </w:rPr>
                          <w:t>Vignette</w:t>
                        </w:r>
                        <w:r>
                          <w:rPr>
                            <w:rFonts w:ascii="Book Antiqua"/>
                            <w:i/>
                            <w:spacing w:val="-24"/>
                            <w:sz w:val="60"/>
                          </w:rPr>
                          <w:t> </w:t>
                        </w:r>
                        <w:r>
                          <w:rPr>
                            <w:rFonts w:ascii="Book Antiqua"/>
                            <w:i/>
                            <w:spacing w:val="-5"/>
                            <w:sz w:val="58"/>
                          </w:rPr>
                          <w:t>#1</w:t>
                        </w:r>
                      </w:p>
                    </w:txbxContent>
                  </v:textbox>
                  <w10:wrap type="none"/>
                </v:shape>
                <w10:wrap type="none"/>
              </v:group>
            </w:pict>
          </mc:Fallback>
        </mc:AlternateContent>
      </w:r>
      <w:r>
        <w:rPr/>
        <w:t>The</w:t>
      </w:r>
      <w:r>
        <w:rPr>
          <w:spacing w:val="-8"/>
        </w:rPr>
        <w:t> </w:t>
      </w:r>
      <w:r>
        <w:rPr/>
        <w:t>following</w:t>
      </w:r>
      <w:r>
        <w:rPr>
          <w:spacing w:val="-7"/>
        </w:rPr>
        <w:t> </w:t>
      </w:r>
      <w:r>
        <w:rPr/>
        <w:t>vignette</w:t>
      </w:r>
      <w:r>
        <w:rPr>
          <w:spacing w:val="-8"/>
        </w:rPr>
        <w:t> </w:t>
      </w:r>
      <w:r>
        <w:rPr/>
        <w:t>illustrates</w:t>
      </w:r>
      <w:r>
        <w:rPr>
          <w:spacing w:val="-7"/>
        </w:rPr>
        <w:t> </w:t>
      </w:r>
      <w:r>
        <w:rPr/>
        <w:t>a</w:t>
      </w:r>
      <w:r>
        <w:rPr>
          <w:spacing w:val="-8"/>
        </w:rPr>
        <w:t> </w:t>
      </w:r>
      <w:r>
        <w:rPr/>
        <w:t>cultural </w:t>
      </w:r>
      <w:r>
        <w:rPr>
          <w:spacing w:val="-2"/>
        </w:rPr>
        <w:t>interview:</w:t>
      </w:r>
    </w:p>
    <w:p>
      <w:pPr>
        <w:pStyle w:val="BodyText"/>
        <w:spacing w:before="5"/>
        <w:rPr>
          <w:sz w:val="27"/>
        </w:rPr>
      </w:pPr>
    </w:p>
    <w:p>
      <w:pPr>
        <w:pStyle w:val="BodyText"/>
        <w:spacing w:before="1"/>
        <w:ind w:left="3966" w:right="554" w:firstLine="19"/>
      </w:pPr>
      <w:r>
        <w:rPr>
          <w:b/>
          <w:color w:val="665082"/>
        </w:rPr>
        <w:t>Therapist:</w:t>
      </w:r>
      <w:r>
        <w:rPr>
          <w:b/>
          <w:color w:val="665082"/>
          <w:spacing w:val="-8"/>
        </w:rPr>
        <w:t> </w:t>
      </w:r>
      <w:r>
        <w:rPr/>
        <w:t>Good</w:t>
      </w:r>
      <w:r>
        <w:rPr>
          <w:spacing w:val="-8"/>
        </w:rPr>
        <w:t> </w:t>
      </w:r>
      <w:r>
        <w:rPr/>
        <w:t>morning,</w:t>
      </w:r>
      <w:r>
        <w:rPr>
          <w:spacing w:val="-8"/>
        </w:rPr>
        <w:t> </w:t>
      </w:r>
      <w:r>
        <w:rPr/>
        <w:t>Maria.</w:t>
      </w:r>
      <w:r>
        <w:rPr>
          <w:spacing w:val="-13"/>
        </w:rPr>
        <w:t> </w:t>
      </w:r>
      <w:r>
        <w:rPr/>
        <w:t>Thank</w:t>
      </w:r>
      <w:r>
        <w:rPr>
          <w:spacing w:val="-8"/>
        </w:rPr>
        <w:t> </w:t>
      </w:r>
      <w:r>
        <w:rPr/>
        <w:t>you for coming in today. Before we begin, I would like to conduct a Cultural Formulation Interview to gain a better understanding of your cultural background and how it may influence your experience of the sexual</w:t>
      </w:r>
    </w:p>
    <w:p>
      <w:pPr>
        <w:pStyle w:val="BodyText"/>
        <w:spacing w:line="310" w:lineRule="exact"/>
        <w:ind w:left="280"/>
      </w:pPr>
      <w:r>
        <w:rPr/>
        <w:t>difficulties</w:t>
      </w:r>
      <w:r>
        <w:rPr>
          <w:spacing w:val="-3"/>
        </w:rPr>
        <w:t> </w:t>
      </w:r>
      <w:r>
        <w:rPr/>
        <w:t>you've</w:t>
      </w:r>
      <w:r>
        <w:rPr>
          <w:spacing w:val="-3"/>
        </w:rPr>
        <w:t> </w:t>
      </w:r>
      <w:r>
        <w:rPr/>
        <w:t>been</w:t>
      </w:r>
      <w:r>
        <w:rPr>
          <w:spacing w:val="-2"/>
        </w:rPr>
        <w:t> </w:t>
      </w:r>
      <w:r>
        <w:rPr/>
        <w:t>facing.</w:t>
      </w:r>
      <w:r>
        <w:rPr>
          <w:spacing w:val="-2"/>
        </w:rPr>
        <w:t> </w:t>
      </w:r>
      <w:r>
        <w:rPr/>
        <w:t>Is</w:t>
      </w:r>
      <w:r>
        <w:rPr>
          <w:spacing w:val="-3"/>
        </w:rPr>
        <w:t> </w:t>
      </w:r>
      <w:r>
        <w:rPr/>
        <w:t>that</w:t>
      </w:r>
      <w:r>
        <w:rPr>
          <w:spacing w:val="-2"/>
        </w:rPr>
        <w:t> </w:t>
      </w:r>
      <w:r>
        <w:rPr/>
        <w:t>okay</w:t>
      </w:r>
      <w:r>
        <w:rPr>
          <w:spacing w:val="-2"/>
        </w:rPr>
        <w:t> </w:t>
      </w:r>
      <w:r>
        <w:rPr/>
        <w:t>with</w:t>
      </w:r>
      <w:r>
        <w:rPr>
          <w:spacing w:val="-2"/>
        </w:rPr>
        <w:t> </w:t>
      </w:r>
      <w:r>
        <w:rPr>
          <w:spacing w:val="-4"/>
        </w:rPr>
        <w:t>you?</w:t>
      </w:r>
    </w:p>
    <w:p>
      <w:pPr>
        <w:pStyle w:val="BodyText"/>
        <w:spacing w:before="7"/>
        <w:rPr>
          <w:sz w:val="27"/>
        </w:rPr>
      </w:pPr>
    </w:p>
    <w:p>
      <w:pPr>
        <w:spacing w:before="0"/>
        <w:ind w:left="280" w:right="0" w:firstLine="0"/>
        <w:jc w:val="left"/>
        <w:rPr>
          <w:sz w:val="28"/>
        </w:rPr>
      </w:pPr>
      <w:r>
        <w:rPr>
          <w:b/>
          <w:color w:val="665082"/>
          <w:sz w:val="28"/>
        </w:rPr>
        <w:t>Maria:</w:t>
      </w:r>
      <w:r>
        <w:rPr>
          <w:b/>
          <w:color w:val="665082"/>
          <w:spacing w:val="-18"/>
          <w:sz w:val="28"/>
        </w:rPr>
        <w:t> </w:t>
      </w:r>
      <w:r>
        <w:rPr>
          <w:sz w:val="28"/>
        </w:rPr>
        <w:t>Yes,</w:t>
      </w:r>
      <w:r>
        <w:rPr>
          <w:spacing w:val="-11"/>
          <w:sz w:val="28"/>
        </w:rPr>
        <w:t> </w:t>
      </w:r>
      <w:r>
        <w:rPr>
          <w:sz w:val="28"/>
        </w:rPr>
        <w:t>that</w:t>
      </w:r>
      <w:r>
        <w:rPr>
          <w:spacing w:val="-10"/>
          <w:sz w:val="28"/>
        </w:rPr>
        <w:t> </w:t>
      </w:r>
      <w:r>
        <w:rPr>
          <w:sz w:val="28"/>
        </w:rPr>
        <w:t>sounds</w:t>
      </w:r>
      <w:r>
        <w:rPr>
          <w:spacing w:val="-9"/>
          <w:sz w:val="28"/>
        </w:rPr>
        <w:t> </w:t>
      </w:r>
      <w:r>
        <w:rPr>
          <w:spacing w:val="-2"/>
          <w:sz w:val="28"/>
        </w:rPr>
        <w:t>fine.</w:t>
      </w:r>
    </w:p>
    <w:p>
      <w:pPr>
        <w:pStyle w:val="BodyText"/>
        <w:spacing w:before="7"/>
        <w:rPr>
          <w:sz w:val="27"/>
        </w:rPr>
      </w:pPr>
    </w:p>
    <w:p>
      <w:pPr>
        <w:pStyle w:val="BodyText"/>
        <w:spacing w:before="1"/>
        <w:ind w:left="280" w:right="502"/>
      </w:pPr>
      <w:r>
        <w:rPr>
          <w:b/>
          <w:color w:val="665082"/>
        </w:rPr>
        <w:t>Therapist</w:t>
      </w:r>
      <w:r>
        <w:rPr/>
        <w:t>:</w:t>
      </w:r>
      <w:r>
        <w:rPr>
          <w:spacing w:val="-5"/>
        </w:rPr>
        <w:t> </w:t>
      </w:r>
      <w:r>
        <w:rPr/>
        <w:t>Great.</w:t>
      </w:r>
      <w:r>
        <w:rPr>
          <w:spacing w:val="-10"/>
        </w:rPr>
        <w:t> </w:t>
      </w:r>
      <w:r>
        <w:rPr/>
        <w:t>To</w:t>
      </w:r>
      <w:r>
        <w:rPr>
          <w:spacing w:val="-5"/>
        </w:rPr>
        <w:t> </w:t>
      </w:r>
      <w:r>
        <w:rPr/>
        <w:t>start,</w:t>
      </w:r>
      <w:r>
        <w:rPr>
          <w:spacing w:val="-5"/>
        </w:rPr>
        <w:t> </w:t>
      </w:r>
      <w:r>
        <w:rPr/>
        <w:t>could</w:t>
      </w:r>
      <w:r>
        <w:rPr>
          <w:spacing w:val="-5"/>
        </w:rPr>
        <w:t> </w:t>
      </w:r>
      <w:r>
        <w:rPr/>
        <w:t>you</w:t>
      </w:r>
      <w:r>
        <w:rPr>
          <w:spacing w:val="-5"/>
        </w:rPr>
        <w:t> </w:t>
      </w:r>
      <w:r>
        <w:rPr/>
        <w:t>please</w:t>
      </w:r>
      <w:r>
        <w:rPr>
          <w:spacing w:val="-6"/>
        </w:rPr>
        <w:t> </w:t>
      </w:r>
      <w:r>
        <w:rPr/>
        <w:t>share</w:t>
      </w:r>
      <w:r>
        <w:rPr>
          <w:spacing w:val="-6"/>
        </w:rPr>
        <w:t> </w:t>
      </w:r>
      <w:r>
        <w:rPr/>
        <w:t>a</w:t>
      </w:r>
      <w:r>
        <w:rPr>
          <w:spacing w:val="-6"/>
        </w:rPr>
        <w:t> </w:t>
      </w:r>
      <w:r>
        <w:rPr/>
        <w:t>bit</w:t>
      </w:r>
      <w:r>
        <w:rPr>
          <w:spacing w:val="-5"/>
        </w:rPr>
        <w:t> </w:t>
      </w:r>
      <w:r>
        <w:rPr/>
        <w:t>about</w:t>
      </w:r>
      <w:r>
        <w:rPr>
          <w:spacing w:val="-5"/>
        </w:rPr>
        <w:t> </w:t>
      </w:r>
      <w:r>
        <w:rPr/>
        <w:t>your</w:t>
      </w:r>
      <w:r>
        <w:rPr>
          <w:spacing w:val="-5"/>
        </w:rPr>
        <w:t> </w:t>
      </w:r>
      <w:r>
        <w:rPr/>
        <w:t>cultural</w:t>
      </w:r>
      <w:r>
        <w:rPr>
          <w:spacing w:val="-5"/>
        </w:rPr>
        <w:t> </w:t>
      </w:r>
      <w:r>
        <w:rPr/>
        <w:t>or ethnic background?</w:t>
      </w:r>
    </w:p>
    <w:p>
      <w:pPr>
        <w:pStyle w:val="BodyText"/>
        <w:spacing w:before="5"/>
        <w:rPr>
          <w:sz w:val="27"/>
        </w:rPr>
      </w:pPr>
    </w:p>
    <w:p>
      <w:pPr>
        <w:pStyle w:val="BodyText"/>
        <w:ind w:left="280" w:right="502"/>
      </w:pPr>
      <w:r>
        <w:rPr>
          <w:b/>
          <w:color w:val="665082"/>
        </w:rPr>
        <w:t>Maria:</w:t>
      </w:r>
      <w:r>
        <w:rPr>
          <w:b/>
          <w:color w:val="665082"/>
          <w:spacing w:val="-3"/>
        </w:rPr>
        <w:t> </w:t>
      </w:r>
      <w:r>
        <w:rPr/>
        <w:t>I</w:t>
      </w:r>
      <w:r>
        <w:rPr>
          <w:spacing w:val="-3"/>
        </w:rPr>
        <w:t> </w:t>
      </w:r>
      <w:r>
        <w:rPr/>
        <w:t>identify</w:t>
      </w:r>
      <w:r>
        <w:rPr>
          <w:spacing w:val="-3"/>
        </w:rPr>
        <w:t> </w:t>
      </w:r>
      <w:r>
        <w:rPr/>
        <w:t>as</w:t>
      </w:r>
      <w:r>
        <w:rPr>
          <w:spacing w:val="-3"/>
        </w:rPr>
        <w:t> </w:t>
      </w:r>
      <w:r>
        <w:rPr/>
        <w:t>Latina.</w:t>
      </w:r>
      <w:r>
        <w:rPr>
          <w:spacing w:val="-3"/>
        </w:rPr>
        <w:t> </w:t>
      </w:r>
      <w:r>
        <w:rPr/>
        <w:t>Both</w:t>
      </w:r>
      <w:r>
        <w:rPr>
          <w:spacing w:val="-3"/>
        </w:rPr>
        <w:t> </w:t>
      </w:r>
      <w:r>
        <w:rPr/>
        <w:t>of</w:t>
      </w:r>
      <w:r>
        <w:rPr>
          <w:spacing w:val="-3"/>
        </w:rPr>
        <w:t> </w:t>
      </w:r>
      <w:r>
        <w:rPr/>
        <w:t>my</w:t>
      </w:r>
      <w:r>
        <w:rPr>
          <w:spacing w:val="-3"/>
        </w:rPr>
        <w:t> </w:t>
      </w:r>
      <w:r>
        <w:rPr/>
        <w:t>parents</w:t>
      </w:r>
      <w:r>
        <w:rPr>
          <w:spacing w:val="-3"/>
        </w:rPr>
        <w:t> </w:t>
      </w:r>
      <w:r>
        <w:rPr/>
        <w:t>are</w:t>
      </w:r>
      <w:r>
        <w:rPr>
          <w:spacing w:val="-4"/>
        </w:rPr>
        <w:t> </w:t>
      </w:r>
      <w:r>
        <w:rPr/>
        <w:t>from</w:t>
      </w:r>
      <w:r>
        <w:rPr>
          <w:spacing w:val="-3"/>
        </w:rPr>
        <w:t> </w:t>
      </w:r>
      <w:r>
        <w:rPr/>
        <w:t>Mexico,</w:t>
      </w:r>
      <w:r>
        <w:rPr>
          <w:spacing w:val="-3"/>
        </w:rPr>
        <w:t> </w:t>
      </w:r>
      <w:r>
        <w:rPr/>
        <w:t>and</w:t>
      </w:r>
      <w:r>
        <w:rPr>
          <w:spacing w:val="-3"/>
        </w:rPr>
        <w:t> </w:t>
      </w:r>
      <w:r>
        <w:rPr/>
        <w:t>I</w:t>
      </w:r>
      <w:r>
        <w:rPr>
          <w:spacing w:val="-3"/>
        </w:rPr>
        <w:t> </w:t>
      </w:r>
      <w:r>
        <w:rPr/>
        <w:t>was born and raised here in the United States.</w:t>
      </w:r>
    </w:p>
    <w:p>
      <w:pPr>
        <w:pStyle w:val="BodyText"/>
        <w:spacing w:before="6"/>
        <w:rPr>
          <w:sz w:val="27"/>
        </w:rPr>
      </w:pPr>
    </w:p>
    <w:p>
      <w:pPr>
        <w:pStyle w:val="BodyText"/>
        <w:ind w:left="280" w:right="502"/>
      </w:pPr>
      <w:r>
        <w:rPr>
          <w:b/>
          <w:color w:val="665082"/>
        </w:rPr>
        <w:t>Therapist:</w:t>
      </w:r>
      <w:r>
        <w:rPr>
          <w:b/>
          <w:color w:val="665082"/>
          <w:spacing w:val="-9"/>
        </w:rPr>
        <w:t> </w:t>
      </w:r>
      <w:r>
        <w:rPr/>
        <w:t>Thank</w:t>
      </w:r>
      <w:r>
        <w:rPr>
          <w:spacing w:val="-4"/>
        </w:rPr>
        <w:t> </w:t>
      </w:r>
      <w:r>
        <w:rPr/>
        <w:t>you</w:t>
      </w:r>
      <w:r>
        <w:rPr>
          <w:spacing w:val="-4"/>
        </w:rPr>
        <w:t> </w:t>
      </w:r>
      <w:r>
        <w:rPr/>
        <w:t>for</w:t>
      </w:r>
      <w:r>
        <w:rPr>
          <w:spacing w:val="-4"/>
        </w:rPr>
        <w:t> </w:t>
      </w:r>
      <w:r>
        <w:rPr/>
        <w:t>sharing.</w:t>
      </w:r>
      <w:r>
        <w:rPr>
          <w:spacing w:val="-4"/>
        </w:rPr>
        <w:t> </w:t>
      </w:r>
      <w:r>
        <w:rPr/>
        <w:t>How</w:t>
      </w:r>
      <w:r>
        <w:rPr>
          <w:spacing w:val="-4"/>
        </w:rPr>
        <w:t> </w:t>
      </w:r>
      <w:r>
        <w:rPr/>
        <w:t>important</w:t>
      </w:r>
      <w:r>
        <w:rPr>
          <w:spacing w:val="-4"/>
        </w:rPr>
        <w:t> </w:t>
      </w:r>
      <w:r>
        <w:rPr/>
        <w:t>is</w:t>
      </w:r>
      <w:r>
        <w:rPr>
          <w:spacing w:val="-4"/>
        </w:rPr>
        <w:t> </w:t>
      </w:r>
      <w:r>
        <w:rPr/>
        <w:t>your</w:t>
      </w:r>
      <w:r>
        <w:rPr>
          <w:spacing w:val="-4"/>
        </w:rPr>
        <w:t> </w:t>
      </w:r>
      <w:r>
        <w:rPr/>
        <w:t>cultural</w:t>
      </w:r>
      <w:r>
        <w:rPr>
          <w:spacing w:val="-4"/>
        </w:rPr>
        <w:t> </w:t>
      </w:r>
      <w:r>
        <w:rPr/>
        <w:t>identity</w:t>
      </w:r>
      <w:r>
        <w:rPr>
          <w:spacing w:val="-4"/>
        </w:rPr>
        <w:t> </w:t>
      </w:r>
      <w:r>
        <w:rPr/>
        <w:t>to </w:t>
      </w:r>
      <w:r>
        <w:rPr>
          <w:spacing w:val="-4"/>
        </w:rPr>
        <w:t>you?</w:t>
      </w:r>
    </w:p>
    <w:p>
      <w:pPr>
        <w:pStyle w:val="BodyText"/>
        <w:spacing w:before="5"/>
        <w:rPr>
          <w:sz w:val="27"/>
        </w:rPr>
      </w:pPr>
    </w:p>
    <w:p>
      <w:pPr>
        <w:pStyle w:val="BodyText"/>
        <w:ind w:left="280" w:right="499"/>
      </w:pPr>
      <w:r>
        <w:rPr>
          <w:b/>
          <w:color w:val="665082"/>
        </w:rPr>
        <w:t>Maria:</w:t>
      </w:r>
      <w:r>
        <w:rPr>
          <w:b/>
          <w:color w:val="665082"/>
          <w:spacing w:val="-3"/>
        </w:rPr>
        <w:t> </w:t>
      </w:r>
      <w:r>
        <w:rPr/>
        <w:t>My</w:t>
      </w:r>
      <w:r>
        <w:rPr>
          <w:spacing w:val="-3"/>
        </w:rPr>
        <w:t> </w:t>
      </w:r>
      <w:r>
        <w:rPr/>
        <w:t>cultural</w:t>
      </w:r>
      <w:r>
        <w:rPr>
          <w:spacing w:val="-3"/>
        </w:rPr>
        <w:t> </w:t>
      </w:r>
      <w:r>
        <w:rPr/>
        <w:t>identity</w:t>
      </w:r>
      <w:r>
        <w:rPr>
          <w:spacing w:val="-3"/>
        </w:rPr>
        <w:t> </w:t>
      </w:r>
      <w:r>
        <w:rPr/>
        <w:t>is</w:t>
      </w:r>
      <w:r>
        <w:rPr>
          <w:spacing w:val="-3"/>
        </w:rPr>
        <w:t> </w:t>
      </w:r>
      <w:r>
        <w:rPr/>
        <w:t>very</w:t>
      </w:r>
      <w:r>
        <w:rPr>
          <w:spacing w:val="-3"/>
        </w:rPr>
        <w:t> </w:t>
      </w:r>
      <w:r>
        <w:rPr/>
        <w:t>important.</w:t>
      </w:r>
      <w:r>
        <w:rPr>
          <w:spacing w:val="-3"/>
        </w:rPr>
        <w:t> </w:t>
      </w:r>
      <w:r>
        <w:rPr/>
        <w:t>It's</w:t>
      </w:r>
      <w:r>
        <w:rPr>
          <w:spacing w:val="-3"/>
        </w:rPr>
        <w:t> </w:t>
      </w:r>
      <w:r>
        <w:rPr/>
        <w:t>a</w:t>
      </w:r>
      <w:r>
        <w:rPr>
          <w:spacing w:val="-4"/>
        </w:rPr>
        <w:t> </w:t>
      </w:r>
      <w:r>
        <w:rPr/>
        <w:t>significant</w:t>
      </w:r>
      <w:r>
        <w:rPr>
          <w:spacing w:val="-3"/>
        </w:rPr>
        <w:t> </w:t>
      </w:r>
      <w:r>
        <w:rPr/>
        <w:t>part</w:t>
      </w:r>
      <w:r>
        <w:rPr>
          <w:spacing w:val="-3"/>
        </w:rPr>
        <w:t> </w:t>
      </w:r>
      <w:r>
        <w:rPr/>
        <w:t>of</w:t>
      </w:r>
      <w:r>
        <w:rPr>
          <w:spacing w:val="-3"/>
        </w:rPr>
        <w:t> </w:t>
      </w:r>
      <w:r>
        <w:rPr/>
        <w:t>who</w:t>
      </w:r>
      <w:r>
        <w:rPr>
          <w:spacing w:val="-3"/>
        </w:rPr>
        <w:t> </w:t>
      </w:r>
      <w:r>
        <w:rPr/>
        <w:t>I am, and it shapes my values and the way I see the world.</w:t>
      </w:r>
    </w:p>
    <w:p>
      <w:pPr>
        <w:pStyle w:val="BodyText"/>
        <w:spacing w:before="6"/>
        <w:rPr>
          <w:sz w:val="27"/>
        </w:rPr>
      </w:pPr>
    </w:p>
    <w:p>
      <w:pPr>
        <w:pStyle w:val="BodyText"/>
        <w:ind w:left="280" w:right="499"/>
      </w:pPr>
      <w:r>
        <w:rPr>
          <w:b/>
          <w:color w:val="665082"/>
        </w:rPr>
        <w:t>Therapist: </w:t>
      </w:r>
      <w:r>
        <w:rPr/>
        <w:t>I appreciate that. Now, let's talk about how your cultural background</w:t>
      </w:r>
      <w:r>
        <w:rPr>
          <w:spacing w:val="-5"/>
        </w:rPr>
        <w:t> </w:t>
      </w:r>
      <w:r>
        <w:rPr/>
        <w:t>may</w:t>
      </w:r>
      <w:r>
        <w:rPr>
          <w:spacing w:val="-5"/>
        </w:rPr>
        <w:t> </w:t>
      </w:r>
      <w:r>
        <w:rPr/>
        <w:t>influence</w:t>
      </w:r>
      <w:r>
        <w:rPr>
          <w:spacing w:val="-6"/>
        </w:rPr>
        <w:t> </w:t>
      </w:r>
      <w:r>
        <w:rPr/>
        <w:t>your</w:t>
      </w:r>
      <w:r>
        <w:rPr>
          <w:spacing w:val="-5"/>
        </w:rPr>
        <w:t> </w:t>
      </w:r>
      <w:r>
        <w:rPr/>
        <w:t>understanding</w:t>
      </w:r>
      <w:r>
        <w:rPr>
          <w:spacing w:val="-5"/>
        </w:rPr>
        <w:t> </w:t>
      </w:r>
      <w:r>
        <w:rPr/>
        <w:t>of</w:t>
      </w:r>
      <w:r>
        <w:rPr>
          <w:spacing w:val="-5"/>
        </w:rPr>
        <w:t> </w:t>
      </w:r>
      <w:r>
        <w:rPr/>
        <w:t>the</w:t>
      </w:r>
      <w:r>
        <w:rPr>
          <w:spacing w:val="-6"/>
        </w:rPr>
        <w:t> </w:t>
      </w:r>
      <w:r>
        <w:rPr/>
        <w:t>sexual</w:t>
      </w:r>
      <w:r>
        <w:rPr>
          <w:spacing w:val="-5"/>
        </w:rPr>
        <w:t> </w:t>
      </w:r>
      <w:r>
        <w:rPr/>
        <w:t>difficulties</w:t>
      </w:r>
      <w:r>
        <w:rPr>
          <w:spacing w:val="-5"/>
        </w:rPr>
        <w:t> </w:t>
      </w:r>
      <w:r>
        <w:rPr/>
        <w:t>you've been experiencing.</w:t>
      </w:r>
      <w:r>
        <w:rPr>
          <w:spacing w:val="-15"/>
        </w:rPr>
        <w:t> </w:t>
      </w:r>
      <w:r>
        <w:rPr/>
        <w:t>Are there any cultural factors or beliefs that you think may contribute to your current situation?</w:t>
      </w:r>
    </w:p>
    <w:p>
      <w:pPr>
        <w:pStyle w:val="BodyText"/>
        <w:spacing w:before="1"/>
        <w:rPr>
          <w:sz w:val="27"/>
        </w:rPr>
      </w:pPr>
    </w:p>
    <w:p>
      <w:pPr>
        <w:pStyle w:val="BodyText"/>
        <w:spacing w:before="1"/>
        <w:ind w:left="280" w:right="502"/>
      </w:pPr>
      <w:r>
        <w:rPr>
          <w:b/>
          <w:color w:val="665082"/>
        </w:rPr>
        <w:t>Maria: </w:t>
      </w:r>
      <w:r>
        <w:rPr/>
        <w:t>Well, in my culture, there is a strong emphasis on modesty and traditional gender roles. It can sometimes be challenging to openly discuss sexual</w:t>
      </w:r>
      <w:r>
        <w:rPr>
          <w:spacing w:val="-3"/>
        </w:rPr>
        <w:t> </w:t>
      </w:r>
      <w:r>
        <w:rPr/>
        <w:t>matters.</w:t>
      </w:r>
      <w:r>
        <w:rPr>
          <w:spacing w:val="-3"/>
        </w:rPr>
        <w:t> </w:t>
      </w:r>
      <w:r>
        <w:rPr/>
        <w:t>I</w:t>
      </w:r>
      <w:r>
        <w:rPr>
          <w:spacing w:val="-3"/>
        </w:rPr>
        <w:t> </w:t>
      </w:r>
      <w:r>
        <w:rPr/>
        <w:t>feel</w:t>
      </w:r>
      <w:r>
        <w:rPr>
          <w:spacing w:val="-3"/>
        </w:rPr>
        <w:t> </w:t>
      </w:r>
      <w:r>
        <w:rPr/>
        <w:t>like</w:t>
      </w:r>
      <w:r>
        <w:rPr>
          <w:spacing w:val="-4"/>
        </w:rPr>
        <w:t> </w:t>
      </w:r>
      <w:r>
        <w:rPr/>
        <w:t>I've</w:t>
      </w:r>
      <w:r>
        <w:rPr>
          <w:spacing w:val="-4"/>
        </w:rPr>
        <w:t> </w:t>
      </w:r>
      <w:r>
        <w:rPr/>
        <w:t>internalized</w:t>
      </w:r>
      <w:r>
        <w:rPr>
          <w:spacing w:val="-3"/>
        </w:rPr>
        <w:t> </w:t>
      </w:r>
      <w:r>
        <w:rPr/>
        <w:t>some</w:t>
      </w:r>
      <w:r>
        <w:rPr>
          <w:spacing w:val="-4"/>
        </w:rPr>
        <w:t> </w:t>
      </w:r>
      <w:r>
        <w:rPr/>
        <w:t>of</w:t>
      </w:r>
      <w:r>
        <w:rPr>
          <w:spacing w:val="-3"/>
        </w:rPr>
        <w:t> </w:t>
      </w:r>
      <w:r>
        <w:rPr/>
        <w:t>those</w:t>
      </w:r>
      <w:r>
        <w:rPr>
          <w:spacing w:val="-4"/>
        </w:rPr>
        <w:t> </w:t>
      </w:r>
      <w:r>
        <w:rPr/>
        <w:t>beliefs,</w:t>
      </w:r>
      <w:r>
        <w:rPr>
          <w:spacing w:val="-3"/>
        </w:rPr>
        <w:t> </w:t>
      </w:r>
      <w:r>
        <w:rPr/>
        <w:t>which</w:t>
      </w:r>
      <w:r>
        <w:rPr>
          <w:spacing w:val="-3"/>
        </w:rPr>
        <w:t> </w:t>
      </w:r>
      <w:r>
        <w:rPr/>
        <w:t>might make it harder for me to express myself sexually.</w:t>
      </w:r>
    </w:p>
    <w:p>
      <w:pPr>
        <w:spacing w:after="0"/>
        <w:sectPr>
          <w:pgSz w:w="12240" w:h="15840"/>
          <w:pgMar w:header="0" w:footer="765" w:top="1820" w:bottom="980" w:left="1400" w:right="1180"/>
        </w:sectPr>
      </w:pPr>
    </w:p>
    <w:p>
      <w:pPr>
        <w:pStyle w:val="BodyText"/>
        <w:spacing w:before="66"/>
        <w:ind w:left="280" w:right="502"/>
      </w:pPr>
      <w:r>
        <w:rPr>
          <w:b/>
          <w:color w:val="665082"/>
        </w:rPr>
        <w:t>Therapist: </w:t>
      </w:r>
      <w:r>
        <w:rPr/>
        <w:t>Thank you for sharing that insight, Maria. It's essential to acknowledge</w:t>
      </w:r>
      <w:r>
        <w:rPr>
          <w:spacing w:val="-5"/>
        </w:rPr>
        <w:t> </w:t>
      </w:r>
      <w:r>
        <w:rPr/>
        <w:t>how</w:t>
      </w:r>
      <w:r>
        <w:rPr>
          <w:spacing w:val="-4"/>
        </w:rPr>
        <w:t> </w:t>
      </w:r>
      <w:r>
        <w:rPr/>
        <w:t>cultural</w:t>
      </w:r>
      <w:r>
        <w:rPr>
          <w:spacing w:val="-4"/>
        </w:rPr>
        <w:t> </w:t>
      </w:r>
      <w:r>
        <w:rPr/>
        <w:t>beliefs</w:t>
      </w:r>
      <w:r>
        <w:rPr>
          <w:spacing w:val="-4"/>
        </w:rPr>
        <w:t> </w:t>
      </w:r>
      <w:r>
        <w:rPr/>
        <w:t>and</w:t>
      </w:r>
      <w:r>
        <w:rPr>
          <w:spacing w:val="-4"/>
        </w:rPr>
        <w:t> </w:t>
      </w:r>
      <w:r>
        <w:rPr/>
        <w:t>values</w:t>
      </w:r>
      <w:r>
        <w:rPr>
          <w:spacing w:val="-4"/>
        </w:rPr>
        <w:t> </w:t>
      </w:r>
      <w:r>
        <w:rPr/>
        <w:t>can</w:t>
      </w:r>
      <w:r>
        <w:rPr>
          <w:spacing w:val="-4"/>
        </w:rPr>
        <w:t> </w:t>
      </w:r>
      <w:r>
        <w:rPr/>
        <w:t>impact</w:t>
      </w:r>
      <w:r>
        <w:rPr>
          <w:spacing w:val="-4"/>
        </w:rPr>
        <w:t> </w:t>
      </w:r>
      <w:r>
        <w:rPr/>
        <w:t>our</w:t>
      </w:r>
      <w:r>
        <w:rPr>
          <w:spacing w:val="-4"/>
        </w:rPr>
        <w:t> </w:t>
      </w:r>
      <w:r>
        <w:rPr/>
        <w:t>experiences.</w:t>
      </w:r>
      <w:r>
        <w:rPr>
          <w:spacing w:val="-4"/>
        </w:rPr>
        <w:t> </w:t>
      </w:r>
      <w:r>
        <w:rPr/>
        <w:t>How do you think your cultural background affects the way you cope with these sexual difficulties?</w:t>
      </w:r>
    </w:p>
    <w:p>
      <w:pPr>
        <w:pStyle w:val="BodyText"/>
        <w:spacing w:before="1"/>
        <w:rPr>
          <w:sz w:val="27"/>
        </w:rPr>
      </w:pPr>
    </w:p>
    <w:p>
      <w:pPr>
        <w:pStyle w:val="BodyText"/>
        <w:ind w:left="280" w:right="517"/>
      </w:pPr>
      <w:r>
        <w:rPr>
          <w:b/>
          <w:color w:val="665082"/>
        </w:rPr>
        <w:t>Maria:</w:t>
      </w:r>
      <w:r>
        <w:rPr>
          <w:b/>
          <w:color w:val="665082"/>
          <w:spacing w:val="-4"/>
        </w:rPr>
        <w:t> </w:t>
      </w:r>
      <w:r>
        <w:rPr/>
        <w:t>I</w:t>
      </w:r>
      <w:r>
        <w:rPr>
          <w:spacing w:val="-4"/>
        </w:rPr>
        <w:t> </w:t>
      </w:r>
      <w:r>
        <w:rPr/>
        <w:t>think</w:t>
      </w:r>
      <w:r>
        <w:rPr>
          <w:spacing w:val="-4"/>
        </w:rPr>
        <w:t> </w:t>
      </w:r>
      <w:r>
        <w:rPr/>
        <w:t>my</w:t>
      </w:r>
      <w:r>
        <w:rPr>
          <w:spacing w:val="-4"/>
        </w:rPr>
        <w:t> </w:t>
      </w:r>
      <w:r>
        <w:rPr/>
        <w:t>cultural</w:t>
      </w:r>
      <w:r>
        <w:rPr>
          <w:spacing w:val="-4"/>
        </w:rPr>
        <w:t> </w:t>
      </w:r>
      <w:r>
        <w:rPr/>
        <w:t>background</w:t>
      </w:r>
      <w:r>
        <w:rPr>
          <w:spacing w:val="-4"/>
        </w:rPr>
        <w:t> </w:t>
      </w:r>
      <w:r>
        <w:rPr/>
        <w:t>has</w:t>
      </w:r>
      <w:r>
        <w:rPr>
          <w:spacing w:val="-4"/>
        </w:rPr>
        <w:t> </w:t>
      </w:r>
      <w:r>
        <w:rPr/>
        <w:t>influenced</w:t>
      </w:r>
      <w:r>
        <w:rPr>
          <w:spacing w:val="-4"/>
        </w:rPr>
        <w:t> </w:t>
      </w:r>
      <w:r>
        <w:rPr/>
        <w:t>my</w:t>
      </w:r>
      <w:r>
        <w:rPr>
          <w:spacing w:val="-4"/>
        </w:rPr>
        <w:t> </w:t>
      </w:r>
      <w:r>
        <w:rPr/>
        <w:t>coping</w:t>
      </w:r>
      <w:r>
        <w:rPr>
          <w:spacing w:val="-4"/>
        </w:rPr>
        <w:t> </w:t>
      </w:r>
      <w:r>
        <w:rPr/>
        <w:t>strategies.</w:t>
      </w:r>
      <w:r>
        <w:rPr>
          <w:spacing w:val="-4"/>
        </w:rPr>
        <w:t> </w:t>
      </w:r>
      <w:r>
        <w:rPr/>
        <w:t>I tend to be more reserved and may avoid discussing these issues openly, even with my partner. It can be challenging for me to initiate conversations about sex due to cultural expectations around modesty.</w:t>
      </w:r>
    </w:p>
    <w:p>
      <w:pPr>
        <w:pStyle w:val="BodyText"/>
        <w:spacing w:before="2"/>
        <w:rPr>
          <w:sz w:val="27"/>
        </w:rPr>
      </w:pPr>
    </w:p>
    <w:p>
      <w:pPr>
        <w:pStyle w:val="BodyText"/>
        <w:ind w:left="280" w:right="604"/>
      </w:pPr>
      <w:r>
        <w:rPr>
          <w:b/>
          <w:color w:val="665082"/>
        </w:rPr>
        <w:t>Therapist</w:t>
      </w:r>
      <w:r>
        <w:rPr/>
        <w:t>:</w:t>
      </w:r>
      <w:r>
        <w:rPr>
          <w:spacing w:val="-2"/>
        </w:rPr>
        <w:t> </w:t>
      </w:r>
      <w:r>
        <w:rPr/>
        <w:t>I</w:t>
      </w:r>
      <w:r>
        <w:rPr>
          <w:spacing w:val="-2"/>
        </w:rPr>
        <w:t> </w:t>
      </w:r>
      <w:r>
        <w:rPr/>
        <w:t>understand.</w:t>
      </w:r>
      <w:r>
        <w:rPr>
          <w:spacing w:val="-2"/>
        </w:rPr>
        <w:t> </w:t>
      </w:r>
      <w:r>
        <w:rPr/>
        <w:t>Cultural</w:t>
      </w:r>
      <w:r>
        <w:rPr>
          <w:spacing w:val="-2"/>
        </w:rPr>
        <w:t> </w:t>
      </w:r>
      <w:r>
        <w:rPr/>
        <w:t>influences</w:t>
      </w:r>
      <w:r>
        <w:rPr>
          <w:spacing w:val="-2"/>
        </w:rPr>
        <w:t> </w:t>
      </w:r>
      <w:r>
        <w:rPr/>
        <w:t>can</w:t>
      </w:r>
      <w:r>
        <w:rPr>
          <w:spacing w:val="-2"/>
        </w:rPr>
        <w:t> </w:t>
      </w:r>
      <w:r>
        <w:rPr/>
        <w:t>shape</w:t>
      </w:r>
      <w:r>
        <w:rPr>
          <w:spacing w:val="-3"/>
        </w:rPr>
        <w:t> </w:t>
      </w:r>
      <w:r>
        <w:rPr/>
        <w:t>our</w:t>
      </w:r>
      <w:r>
        <w:rPr>
          <w:spacing w:val="-2"/>
        </w:rPr>
        <w:t> </w:t>
      </w:r>
      <w:r>
        <w:rPr/>
        <w:t>comfort</w:t>
      </w:r>
      <w:r>
        <w:rPr>
          <w:spacing w:val="-2"/>
        </w:rPr>
        <w:t> </w:t>
      </w:r>
      <w:r>
        <w:rPr/>
        <w:t>levels</w:t>
      </w:r>
      <w:r>
        <w:rPr>
          <w:spacing w:val="-2"/>
        </w:rPr>
        <w:t> </w:t>
      </w:r>
      <w:r>
        <w:rPr/>
        <w:t>and communication</w:t>
      </w:r>
      <w:r>
        <w:rPr>
          <w:spacing w:val="-6"/>
        </w:rPr>
        <w:t> </w:t>
      </w:r>
      <w:r>
        <w:rPr/>
        <w:t>styles</w:t>
      </w:r>
      <w:r>
        <w:rPr>
          <w:spacing w:val="-6"/>
        </w:rPr>
        <w:t> </w:t>
      </w:r>
      <w:r>
        <w:rPr/>
        <w:t>around</w:t>
      </w:r>
      <w:r>
        <w:rPr>
          <w:spacing w:val="-6"/>
        </w:rPr>
        <w:t> </w:t>
      </w:r>
      <w:r>
        <w:rPr/>
        <w:t>sensitive</w:t>
      </w:r>
      <w:r>
        <w:rPr>
          <w:spacing w:val="-7"/>
        </w:rPr>
        <w:t> </w:t>
      </w:r>
      <w:r>
        <w:rPr/>
        <w:t>topics</w:t>
      </w:r>
      <w:r>
        <w:rPr>
          <w:spacing w:val="-6"/>
        </w:rPr>
        <w:t> </w:t>
      </w:r>
      <w:r>
        <w:rPr/>
        <w:t>like</w:t>
      </w:r>
      <w:r>
        <w:rPr>
          <w:spacing w:val="-7"/>
        </w:rPr>
        <w:t> </w:t>
      </w:r>
      <w:r>
        <w:rPr/>
        <w:t>sexuality.</w:t>
      </w:r>
      <w:r>
        <w:rPr>
          <w:spacing w:val="-6"/>
        </w:rPr>
        <w:t> </w:t>
      </w:r>
      <w:r>
        <w:rPr/>
        <w:t>Let's</w:t>
      </w:r>
      <w:r>
        <w:rPr>
          <w:spacing w:val="-6"/>
        </w:rPr>
        <w:t> </w:t>
      </w:r>
      <w:r>
        <w:rPr/>
        <w:t>discuss</w:t>
      </w:r>
      <w:r>
        <w:rPr>
          <w:spacing w:val="-6"/>
        </w:rPr>
        <w:t> </w:t>
      </w:r>
      <w:r>
        <w:rPr/>
        <w:t>your help-seeking behaviors.</w:t>
      </w:r>
      <w:r>
        <w:rPr>
          <w:spacing w:val="-4"/>
        </w:rPr>
        <w:t> </w:t>
      </w:r>
      <w:r>
        <w:rPr/>
        <w:t>Are there any cultural factors that influence your decision to seek help for your sexual difficulties?</w:t>
      </w:r>
    </w:p>
    <w:p>
      <w:pPr>
        <w:pStyle w:val="BodyText"/>
        <w:spacing w:before="2"/>
        <w:rPr>
          <w:sz w:val="27"/>
        </w:rPr>
      </w:pPr>
    </w:p>
    <w:p>
      <w:pPr>
        <w:pStyle w:val="BodyText"/>
        <w:ind w:left="280" w:right="502"/>
      </w:pPr>
      <w:r>
        <w:rPr>
          <w:b/>
          <w:color w:val="665082"/>
        </w:rPr>
        <w:t>Maria:</w:t>
      </w:r>
      <w:r>
        <w:rPr>
          <w:b/>
          <w:color w:val="665082"/>
          <w:spacing w:val="-17"/>
        </w:rPr>
        <w:t> </w:t>
      </w:r>
      <w:r>
        <w:rPr/>
        <w:t>Yes,</w:t>
      </w:r>
      <w:r>
        <w:rPr>
          <w:spacing w:val="-7"/>
        </w:rPr>
        <w:t> </w:t>
      </w:r>
      <w:r>
        <w:rPr/>
        <w:t>definitely.</w:t>
      </w:r>
      <w:r>
        <w:rPr>
          <w:spacing w:val="-7"/>
        </w:rPr>
        <w:t> </w:t>
      </w:r>
      <w:r>
        <w:rPr/>
        <w:t>Seeking</w:t>
      </w:r>
      <w:r>
        <w:rPr>
          <w:spacing w:val="-7"/>
        </w:rPr>
        <w:t> </w:t>
      </w:r>
      <w:r>
        <w:rPr/>
        <w:t>help</w:t>
      </w:r>
      <w:r>
        <w:rPr>
          <w:spacing w:val="-7"/>
        </w:rPr>
        <w:t> </w:t>
      </w:r>
      <w:r>
        <w:rPr/>
        <w:t>for</w:t>
      </w:r>
      <w:r>
        <w:rPr>
          <w:spacing w:val="-7"/>
        </w:rPr>
        <w:t> </w:t>
      </w:r>
      <w:r>
        <w:rPr/>
        <w:t>sexual</w:t>
      </w:r>
      <w:r>
        <w:rPr>
          <w:spacing w:val="-7"/>
        </w:rPr>
        <w:t> </w:t>
      </w:r>
      <w:r>
        <w:rPr/>
        <w:t>issues</w:t>
      </w:r>
      <w:r>
        <w:rPr>
          <w:spacing w:val="-7"/>
        </w:rPr>
        <w:t> </w:t>
      </w:r>
      <w:r>
        <w:rPr/>
        <w:t>is</w:t>
      </w:r>
      <w:r>
        <w:rPr>
          <w:spacing w:val="-7"/>
        </w:rPr>
        <w:t> </w:t>
      </w:r>
      <w:r>
        <w:rPr/>
        <w:t>not</w:t>
      </w:r>
      <w:r>
        <w:rPr>
          <w:spacing w:val="-7"/>
        </w:rPr>
        <w:t> </w:t>
      </w:r>
      <w:r>
        <w:rPr/>
        <w:t>something</w:t>
      </w:r>
      <w:r>
        <w:rPr>
          <w:spacing w:val="-7"/>
        </w:rPr>
        <w:t> </w:t>
      </w:r>
      <w:r>
        <w:rPr/>
        <w:t>that</w:t>
      </w:r>
      <w:r>
        <w:rPr>
          <w:spacing w:val="-7"/>
        </w:rPr>
        <w:t> </w:t>
      </w:r>
      <w:r>
        <w:rPr/>
        <w:t>is openly discussed in my community. There is a fear of judgment and stigma around seeking therapy, especially for matters related to intimacy and sex.</w:t>
      </w:r>
    </w:p>
    <w:p>
      <w:pPr>
        <w:pStyle w:val="BodyText"/>
        <w:spacing w:before="3"/>
        <w:rPr>
          <w:sz w:val="27"/>
        </w:rPr>
      </w:pPr>
    </w:p>
    <w:p>
      <w:pPr>
        <w:pStyle w:val="BodyText"/>
        <w:ind w:left="280" w:right="502"/>
      </w:pPr>
      <w:r>
        <w:rPr>
          <w:b/>
          <w:color w:val="665082"/>
        </w:rPr>
        <w:t>Therapist</w:t>
      </w:r>
      <w:r>
        <w:rPr/>
        <w:t>: I appreciate you sharing that. It's important to honor and respect your cultural context. Now, let's talk about your expectations and preferences for</w:t>
      </w:r>
      <w:r>
        <w:rPr>
          <w:spacing w:val="-5"/>
        </w:rPr>
        <w:t> </w:t>
      </w:r>
      <w:r>
        <w:rPr/>
        <w:t>our</w:t>
      </w:r>
      <w:r>
        <w:rPr>
          <w:spacing w:val="-4"/>
        </w:rPr>
        <w:t> </w:t>
      </w:r>
      <w:r>
        <w:rPr/>
        <w:t>therapeutic</w:t>
      </w:r>
      <w:r>
        <w:rPr>
          <w:spacing w:val="-5"/>
        </w:rPr>
        <w:t> </w:t>
      </w:r>
      <w:r>
        <w:rPr/>
        <w:t>relationship.</w:t>
      </w:r>
      <w:r>
        <w:rPr>
          <w:spacing w:val="-18"/>
        </w:rPr>
        <w:t> </w:t>
      </w:r>
      <w:r>
        <w:rPr/>
        <w:t>Are</w:t>
      </w:r>
      <w:r>
        <w:rPr>
          <w:spacing w:val="-4"/>
        </w:rPr>
        <w:t> </w:t>
      </w:r>
      <w:r>
        <w:rPr/>
        <w:t>there</w:t>
      </w:r>
      <w:r>
        <w:rPr>
          <w:spacing w:val="-5"/>
        </w:rPr>
        <w:t> </w:t>
      </w:r>
      <w:r>
        <w:rPr/>
        <w:t>any</w:t>
      </w:r>
      <w:r>
        <w:rPr>
          <w:spacing w:val="-4"/>
        </w:rPr>
        <w:t> </w:t>
      </w:r>
      <w:r>
        <w:rPr/>
        <w:t>cultural</w:t>
      </w:r>
      <w:r>
        <w:rPr>
          <w:spacing w:val="-4"/>
        </w:rPr>
        <w:t> </w:t>
      </w:r>
      <w:r>
        <w:rPr/>
        <w:t>considerations</w:t>
      </w:r>
      <w:r>
        <w:rPr>
          <w:spacing w:val="-4"/>
        </w:rPr>
        <w:t> </w:t>
      </w:r>
      <w:r>
        <w:rPr/>
        <w:t>I</w:t>
      </w:r>
      <w:r>
        <w:rPr>
          <w:spacing w:val="-4"/>
        </w:rPr>
        <w:t> </w:t>
      </w:r>
      <w:r>
        <w:rPr/>
        <w:t>should be aware of?</w:t>
      </w:r>
    </w:p>
    <w:p>
      <w:pPr>
        <w:pStyle w:val="BodyText"/>
        <w:spacing w:before="2"/>
        <w:rPr>
          <w:sz w:val="27"/>
        </w:rPr>
      </w:pPr>
    </w:p>
    <w:p>
      <w:pPr>
        <w:pStyle w:val="BodyText"/>
        <w:ind w:left="280" w:right="515"/>
      </w:pPr>
      <w:r>
        <w:rPr>
          <w:b/>
          <w:color w:val="665082"/>
        </w:rPr>
        <w:t>Maria</w:t>
      </w:r>
      <w:r>
        <w:rPr/>
        <w:t>: I would appreciate a therapist who understands and respects my cultural</w:t>
      </w:r>
      <w:r>
        <w:rPr>
          <w:spacing w:val="-3"/>
        </w:rPr>
        <w:t> </w:t>
      </w:r>
      <w:r>
        <w:rPr/>
        <w:t>background.</w:t>
      </w:r>
      <w:r>
        <w:rPr>
          <w:spacing w:val="-3"/>
        </w:rPr>
        <w:t> </w:t>
      </w:r>
      <w:r>
        <w:rPr/>
        <w:t>It</w:t>
      </w:r>
      <w:r>
        <w:rPr>
          <w:spacing w:val="-3"/>
        </w:rPr>
        <w:t> </w:t>
      </w:r>
      <w:r>
        <w:rPr/>
        <w:t>would</w:t>
      </w:r>
      <w:r>
        <w:rPr>
          <w:spacing w:val="-3"/>
        </w:rPr>
        <w:t> </w:t>
      </w:r>
      <w:r>
        <w:rPr/>
        <w:t>be</w:t>
      </w:r>
      <w:r>
        <w:rPr>
          <w:spacing w:val="-4"/>
        </w:rPr>
        <w:t> </w:t>
      </w:r>
      <w:r>
        <w:rPr/>
        <w:t>helpful</w:t>
      </w:r>
      <w:r>
        <w:rPr>
          <w:spacing w:val="-3"/>
        </w:rPr>
        <w:t> </w:t>
      </w:r>
      <w:r>
        <w:rPr/>
        <w:t>to</w:t>
      </w:r>
      <w:r>
        <w:rPr>
          <w:spacing w:val="-3"/>
        </w:rPr>
        <w:t> </w:t>
      </w:r>
      <w:r>
        <w:rPr/>
        <w:t>have</w:t>
      </w:r>
      <w:r>
        <w:rPr>
          <w:spacing w:val="-4"/>
        </w:rPr>
        <w:t> </w:t>
      </w:r>
      <w:r>
        <w:rPr/>
        <w:t>a</w:t>
      </w:r>
      <w:r>
        <w:rPr>
          <w:spacing w:val="-4"/>
        </w:rPr>
        <w:t> </w:t>
      </w:r>
      <w:r>
        <w:rPr/>
        <w:t>therapist</w:t>
      </w:r>
      <w:r>
        <w:rPr>
          <w:spacing w:val="-3"/>
        </w:rPr>
        <w:t> </w:t>
      </w:r>
      <w:r>
        <w:rPr/>
        <w:t>who</w:t>
      </w:r>
      <w:r>
        <w:rPr>
          <w:spacing w:val="-3"/>
        </w:rPr>
        <w:t> </w:t>
      </w:r>
      <w:r>
        <w:rPr/>
        <w:t>can</w:t>
      </w:r>
      <w:r>
        <w:rPr>
          <w:spacing w:val="-3"/>
        </w:rPr>
        <w:t> </w:t>
      </w:r>
      <w:r>
        <w:rPr/>
        <w:t>provide</w:t>
      </w:r>
      <w:r>
        <w:rPr>
          <w:spacing w:val="-4"/>
        </w:rPr>
        <w:t> </w:t>
      </w:r>
      <w:r>
        <w:rPr/>
        <w:t>a safe and non-judgmental space for discussing sensitive topics related to </w:t>
      </w:r>
      <w:r>
        <w:rPr>
          <w:spacing w:val="-2"/>
        </w:rPr>
        <w:t>sexuality.</w:t>
      </w:r>
    </w:p>
    <w:p>
      <w:pPr>
        <w:pStyle w:val="BodyText"/>
        <w:spacing w:before="1"/>
        <w:rPr>
          <w:sz w:val="27"/>
        </w:rPr>
      </w:pPr>
    </w:p>
    <w:p>
      <w:pPr>
        <w:pStyle w:val="BodyText"/>
        <w:spacing w:before="1"/>
        <w:ind w:left="280" w:right="502"/>
      </w:pPr>
      <w:r>
        <w:rPr>
          <w:b/>
          <w:color w:val="665082"/>
        </w:rPr>
        <w:t>Therapist: </w:t>
      </w:r>
      <w:r>
        <w:rPr/>
        <w:t>Thank you for expressing that, Maria. I will strive to create a therapeutic</w:t>
      </w:r>
      <w:r>
        <w:rPr>
          <w:spacing w:val="-6"/>
        </w:rPr>
        <w:t> </w:t>
      </w:r>
      <w:r>
        <w:rPr/>
        <w:t>environment</w:t>
      </w:r>
      <w:r>
        <w:rPr>
          <w:spacing w:val="-5"/>
        </w:rPr>
        <w:t> </w:t>
      </w:r>
      <w:r>
        <w:rPr/>
        <w:t>that</w:t>
      </w:r>
      <w:r>
        <w:rPr>
          <w:spacing w:val="-5"/>
        </w:rPr>
        <w:t> </w:t>
      </w:r>
      <w:r>
        <w:rPr/>
        <w:t>acknowledges</w:t>
      </w:r>
      <w:r>
        <w:rPr>
          <w:spacing w:val="-5"/>
        </w:rPr>
        <w:t> </w:t>
      </w:r>
      <w:r>
        <w:rPr/>
        <w:t>and</w:t>
      </w:r>
      <w:r>
        <w:rPr>
          <w:spacing w:val="-5"/>
        </w:rPr>
        <w:t> </w:t>
      </w:r>
      <w:r>
        <w:rPr/>
        <w:t>respects</w:t>
      </w:r>
      <w:r>
        <w:rPr>
          <w:spacing w:val="-5"/>
        </w:rPr>
        <w:t> </w:t>
      </w:r>
      <w:r>
        <w:rPr/>
        <w:t>your</w:t>
      </w:r>
      <w:r>
        <w:rPr>
          <w:spacing w:val="-5"/>
        </w:rPr>
        <w:t> </w:t>
      </w:r>
      <w:r>
        <w:rPr/>
        <w:t>cultural</w:t>
      </w:r>
      <w:r>
        <w:rPr>
          <w:spacing w:val="-5"/>
        </w:rPr>
        <w:t> </w:t>
      </w:r>
      <w:r>
        <w:rPr/>
        <w:t>values and</w:t>
      </w:r>
      <w:r>
        <w:rPr>
          <w:spacing w:val="-3"/>
        </w:rPr>
        <w:t> </w:t>
      </w:r>
      <w:r>
        <w:rPr/>
        <w:t>beliefs.</w:t>
      </w:r>
      <w:r>
        <w:rPr>
          <w:spacing w:val="-3"/>
        </w:rPr>
        <w:t> </w:t>
      </w:r>
      <w:r>
        <w:rPr/>
        <w:t>Lastly,</w:t>
      </w:r>
      <w:r>
        <w:rPr>
          <w:spacing w:val="-3"/>
        </w:rPr>
        <w:t> </w:t>
      </w:r>
      <w:r>
        <w:rPr/>
        <w:t>how</w:t>
      </w:r>
      <w:r>
        <w:rPr>
          <w:spacing w:val="-3"/>
        </w:rPr>
        <w:t> </w:t>
      </w:r>
      <w:r>
        <w:rPr/>
        <w:t>do</w:t>
      </w:r>
      <w:r>
        <w:rPr>
          <w:spacing w:val="-3"/>
        </w:rPr>
        <w:t> </w:t>
      </w:r>
      <w:r>
        <w:rPr/>
        <w:t>you</w:t>
      </w:r>
      <w:r>
        <w:rPr>
          <w:spacing w:val="-3"/>
        </w:rPr>
        <w:t> </w:t>
      </w:r>
      <w:r>
        <w:rPr/>
        <w:t>envision</w:t>
      </w:r>
      <w:r>
        <w:rPr>
          <w:spacing w:val="-3"/>
        </w:rPr>
        <w:t> </w:t>
      </w:r>
      <w:r>
        <w:rPr/>
        <w:t>the</w:t>
      </w:r>
      <w:r>
        <w:rPr>
          <w:spacing w:val="-4"/>
        </w:rPr>
        <w:t> </w:t>
      </w:r>
      <w:r>
        <w:rPr/>
        <w:t>role</w:t>
      </w:r>
      <w:r>
        <w:rPr>
          <w:spacing w:val="-4"/>
        </w:rPr>
        <w:t> </w:t>
      </w:r>
      <w:r>
        <w:rPr/>
        <w:t>of</w:t>
      </w:r>
      <w:r>
        <w:rPr>
          <w:spacing w:val="-3"/>
        </w:rPr>
        <w:t> </w:t>
      </w:r>
      <w:r>
        <w:rPr/>
        <w:t>culture</w:t>
      </w:r>
      <w:r>
        <w:rPr>
          <w:spacing w:val="-4"/>
        </w:rPr>
        <w:t> </w:t>
      </w:r>
      <w:r>
        <w:rPr/>
        <w:t>in</w:t>
      </w:r>
      <w:r>
        <w:rPr>
          <w:spacing w:val="-3"/>
        </w:rPr>
        <w:t> </w:t>
      </w:r>
      <w:r>
        <w:rPr/>
        <w:t>your</w:t>
      </w:r>
      <w:r>
        <w:rPr>
          <w:spacing w:val="-3"/>
        </w:rPr>
        <w:t> </w:t>
      </w:r>
      <w:r>
        <w:rPr/>
        <w:t>treatment </w:t>
      </w:r>
      <w:r>
        <w:rPr>
          <w:spacing w:val="-2"/>
        </w:rPr>
        <w:t>process?</w:t>
      </w:r>
    </w:p>
    <w:p>
      <w:pPr>
        <w:pStyle w:val="BodyText"/>
        <w:spacing w:before="1"/>
        <w:rPr>
          <w:sz w:val="27"/>
        </w:rPr>
      </w:pPr>
    </w:p>
    <w:p>
      <w:pPr>
        <w:pStyle w:val="BodyText"/>
        <w:ind w:left="280" w:right="668"/>
      </w:pPr>
      <w:r>
        <w:rPr>
          <w:b/>
          <w:color w:val="665082"/>
        </w:rPr>
        <w:t>Maria: </w:t>
      </w:r>
      <w:r>
        <w:rPr/>
        <w:t>I believe</w:t>
      </w:r>
      <w:r>
        <w:rPr>
          <w:spacing w:val="-1"/>
        </w:rPr>
        <w:t> </w:t>
      </w:r>
      <w:r>
        <w:rPr/>
        <w:t>that addressing cultural factors can help me</w:t>
      </w:r>
      <w:r>
        <w:rPr>
          <w:spacing w:val="-1"/>
        </w:rPr>
        <w:t> </w:t>
      </w:r>
      <w:r>
        <w:rPr/>
        <w:t>understand myself better and find ways to navigate</w:t>
      </w:r>
      <w:r>
        <w:rPr>
          <w:spacing w:val="-1"/>
        </w:rPr>
        <w:t> </w:t>
      </w:r>
      <w:r>
        <w:rPr/>
        <w:t>my sexual difficulties within the context</w:t>
      </w:r>
      <w:r>
        <w:rPr>
          <w:spacing w:val="-4"/>
        </w:rPr>
        <w:t> </w:t>
      </w:r>
      <w:r>
        <w:rPr/>
        <w:t>of</w:t>
      </w:r>
      <w:r>
        <w:rPr>
          <w:spacing w:val="-4"/>
        </w:rPr>
        <w:t> </w:t>
      </w:r>
      <w:r>
        <w:rPr/>
        <w:t>my</w:t>
      </w:r>
      <w:r>
        <w:rPr>
          <w:spacing w:val="-4"/>
        </w:rPr>
        <w:t> </w:t>
      </w:r>
      <w:r>
        <w:rPr/>
        <w:t>cultural</w:t>
      </w:r>
      <w:r>
        <w:rPr>
          <w:spacing w:val="-4"/>
        </w:rPr>
        <w:t> </w:t>
      </w:r>
      <w:r>
        <w:rPr/>
        <w:t>background.</w:t>
      </w:r>
      <w:r>
        <w:rPr>
          <w:spacing w:val="-4"/>
        </w:rPr>
        <w:t> </w:t>
      </w:r>
      <w:r>
        <w:rPr/>
        <w:t>It's</w:t>
      </w:r>
      <w:r>
        <w:rPr>
          <w:spacing w:val="-4"/>
        </w:rPr>
        <w:t> </w:t>
      </w:r>
      <w:r>
        <w:rPr/>
        <w:t>important</w:t>
      </w:r>
      <w:r>
        <w:rPr>
          <w:spacing w:val="-4"/>
        </w:rPr>
        <w:t> </w:t>
      </w:r>
      <w:r>
        <w:rPr/>
        <w:t>to</w:t>
      </w:r>
      <w:r>
        <w:rPr>
          <w:spacing w:val="-4"/>
        </w:rPr>
        <w:t> </w:t>
      </w:r>
      <w:r>
        <w:rPr/>
        <w:t>me</w:t>
      </w:r>
      <w:r>
        <w:rPr>
          <w:spacing w:val="-5"/>
        </w:rPr>
        <w:t> </w:t>
      </w:r>
      <w:r>
        <w:rPr/>
        <w:t>that</w:t>
      </w:r>
      <w:r>
        <w:rPr>
          <w:spacing w:val="-4"/>
        </w:rPr>
        <w:t> </w:t>
      </w:r>
      <w:r>
        <w:rPr/>
        <w:t>my</w:t>
      </w:r>
      <w:r>
        <w:rPr>
          <w:spacing w:val="-4"/>
        </w:rPr>
        <w:t> </w:t>
      </w:r>
      <w:r>
        <w:rPr/>
        <w:t>therapist recognizes and incorporates cultural considerations into the treatment </w:t>
      </w:r>
      <w:r>
        <w:rPr>
          <w:spacing w:val="-2"/>
        </w:rPr>
        <w:t>approach.</w:t>
      </w:r>
    </w:p>
    <w:p>
      <w:pPr>
        <w:pStyle w:val="BodyText"/>
        <w:rPr>
          <w:sz w:val="27"/>
        </w:rPr>
      </w:pPr>
    </w:p>
    <w:p>
      <w:pPr>
        <w:pStyle w:val="BodyText"/>
        <w:ind w:left="280"/>
      </w:pPr>
      <w:r>
        <w:rPr>
          <w:b/>
          <w:color w:val="665082"/>
        </w:rPr>
        <w:t>Therapist:</w:t>
      </w:r>
      <w:r>
        <w:rPr>
          <w:b/>
          <w:color w:val="665082"/>
          <w:spacing w:val="-18"/>
        </w:rPr>
        <w:t> </w:t>
      </w:r>
      <w:r>
        <w:rPr/>
        <w:t>Absolutely,</w:t>
      </w:r>
      <w:r>
        <w:rPr>
          <w:spacing w:val="-11"/>
        </w:rPr>
        <w:t> </w:t>
      </w:r>
      <w:r>
        <w:rPr/>
        <w:t>Maria.</w:t>
      </w:r>
      <w:r>
        <w:rPr>
          <w:spacing w:val="-8"/>
        </w:rPr>
        <w:t> </w:t>
      </w:r>
      <w:r>
        <w:rPr/>
        <w:t>Integrating</w:t>
      </w:r>
      <w:r>
        <w:rPr>
          <w:spacing w:val="-8"/>
        </w:rPr>
        <w:t> </w:t>
      </w:r>
      <w:r>
        <w:rPr/>
        <w:t>your</w:t>
      </w:r>
      <w:r>
        <w:rPr>
          <w:spacing w:val="-8"/>
        </w:rPr>
        <w:t> </w:t>
      </w:r>
      <w:r>
        <w:rPr/>
        <w:t>cultural</w:t>
      </w:r>
      <w:r>
        <w:rPr>
          <w:spacing w:val="-8"/>
        </w:rPr>
        <w:t> </w:t>
      </w:r>
      <w:r>
        <w:rPr/>
        <w:t>background</w:t>
      </w:r>
      <w:r>
        <w:rPr>
          <w:spacing w:val="-8"/>
        </w:rPr>
        <w:t> </w:t>
      </w:r>
      <w:r>
        <w:rPr/>
        <w:t>into</w:t>
      </w:r>
      <w:r>
        <w:rPr>
          <w:spacing w:val="-8"/>
        </w:rPr>
        <w:t> </w:t>
      </w:r>
      <w:r>
        <w:rPr/>
        <w:t>our treatment</w:t>
      </w:r>
      <w:r>
        <w:rPr>
          <w:spacing w:val="-2"/>
        </w:rPr>
        <w:t> </w:t>
      </w:r>
      <w:r>
        <w:rPr/>
        <w:t>process</w:t>
      </w:r>
      <w:r>
        <w:rPr>
          <w:spacing w:val="-2"/>
        </w:rPr>
        <w:t> </w:t>
      </w:r>
      <w:r>
        <w:rPr/>
        <w:t>will</w:t>
      </w:r>
      <w:r>
        <w:rPr>
          <w:spacing w:val="-2"/>
        </w:rPr>
        <w:t> </w:t>
      </w:r>
      <w:r>
        <w:rPr/>
        <w:t>be</w:t>
      </w:r>
      <w:r>
        <w:rPr>
          <w:spacing w:val="-3"/>
        </w:rPr>
        <w:t> </w:t>
      </w:r>
      <w:r>
        <w:rPr/>
        <w:t>a</w:t>
      </w:r>
      <w:r>
        <w:rPr>
          <w:spacing w:val="-3"/>
        </w:rPr>
        <w:t> </w:t>
      </w:r>
      <w:r>
        <w:rPr/>
        <w:t>priority.</w:t>
      </w:r>
      <w:r>
        <w:rPr>
          <w:spacing w:val="-8"/>
        </w:rPr>
        <w:t> </w:t>
      </w:r>
      <w:r>
        <w:rPr/>
        <w:t>We</w:t>
      </w:r>
      <w:r>
        <w:rPr>
          <w:spacing w:val="-3"/>
        </w:rPr>
        <w:t> </w:t>
      </w:r>
      <w:r>
        <w:rPr/>
        <w:t>will</w:t>
      </w:r>
      <w:r>
        <w:rPr>
          <w:spacing w:val="-2"/>
        </w:rPr>
        <w:t> </w:t>
      </w:r>
      <w:r>
        <w:rPr/>
        <w:t>work</w:t>
      </w:r>
      <w:r>
        <w:rPr>
          <w:spacing w:val="-2"/>
        </w:rPr>
        <w:t> </w:t>
      </w:r>
      <w:r>
        <w:rPr/>
        <w:t>collaboratively</w:t>
      </w:r>
      <w:r>
        <w:rPr>
          <w:spacing w:val="-2"/>
        </w:rPr>
        <w:t> </w:t>
      </w:r>
      <w:r>
        <w:rPr/>
        <w:t>to</w:t>
      </w:r>
      <w:r>
        <w:rPr>
          <w:spacing w:val="-2"/>
        </w:rPr>
        <w:t> </w:t>
      </w:r>
      <w:r>
        <w:rPr/>
        <w:t>explore</w:t>
      </w:r>
    </w:p>
    <w:p>
      <w:pPr>
        <w:spacing w:after="0"/>
        <w:sectPr>
          <w:pgSz w:w="12240" w:h="15840"/>
          <w:pgMar w:header="0" w:footer="765" w:top="1260" w:bottom="980" w:left="1400" w:right="1180"/>
        </w:sectPr>
      </w:pPr>
    </w:p>
    <w:p>
      <w:pPr>
        <w:pStyle w:val="BodyText"/>
        <w:spacing w:before="66"/>
        <w:ind w:left="280" w:right="668"/>
      </w:pPr>
      <w:r>
        <w:rPr/>
        <w:t>how</w:t>
      </w:r>
      <w:r>
        <w:rPr>
          <w:spacing w:val="-4"/>
        </w:rPr>
        <w:t> </w:t>
      </w:r>
      <w:r>
        <w:rPr/>
        <w:t>your</w:t>
      </w:r>
      <w:r>
        <w:rPr>
          <w:spacing w:val="-4"/>
        </w:rPr>
        <w:t> </w:t>
      </w:r>
      <w:r>
        <w:rPr/>
        <w:t>cultural</w:t>
      </w:r>
      <w:r>
        <w:rPr>
          <w:spacing w:val="-4"/>
        </w:rPr>
        <w:t> </w:t>
      </w:r>
      <w:r>
        <w:rPr/>
        <w:t>values</w:t>
      </w:r>
      <w:r>
        <w:rPr>
          <w:spacing w:val="-4"/>
        </w:rPr>
        <w:t> </w:t>
      </w:r>
      <w:r>
        <w:rPr/>
        <w:t>and</w:t>
      </w:r>
      <w:r>
        <w:rPr>
          <w:spacing w:val="-4"/>
        </w:rPr>
        <w:t> </w:t>
      </w:r>
      <w:r>
        <w:rPr/>
        <w:t>beliefs</w:t>
      </w:r>
      <w:r>
        <w:rPr>
          <w:spacing w:val="-4"/>
        </w:rPr>
        <w:t> </w:t>
      </w:r>
      <w:r>
        <w:rPr/>
        <w:t>intersect</w:t>
      </w:r>
      <w:r>
        <w:rPr>
          <w:spacing w:val="-4"/>
        </w:rPr>
        <w:t> </w:t>
      </w:r>
      <w:r>
        <w:rPr/>
        <w:t>with</w:t>
      </w:r>
      <w:r>
        <w:rPr>
          <w:spacing w:val="-4"/>
        </w:rPr>
        <w:t> </w:t>
      </w:r>
      <w:r>
        <w:rPr/>
        <w:t>your</w:t>
      </w:r>
      <w:r>
        <w:rPr>
          <w:spacing w:val="-4"/>
        </w:rPr>
        <w:t> </w:t>
      </w:r>
      <w:r>
        <w:rPr/>
        <w:t>sexual</w:t>
      </w:r>
      <w:r>
        <w:rPr>
          <w:spacing w:val="-4"/>
        </w:rPr>
        <w:t> </w:t>
      </w:r>
      <w:r>
        <w:rPr/>
        <w:t>experiences and develop strategies to address your concerns effectively.</w:t>
      </w:r>
    </w:p>
    <w:p>
      <w:pPr>
        <w:pStyle w:val="BodyText"/>
        <w:spacing w:before="5"/>
        <w:rPr>
          <w:sz w:val="27"/>
        </w:rPr>
      </w:pPr>
    </w:p>
    <w:p>
      <w:pPr>
        <w:pStyle w:val="BodyText"/>
        <w:ind w:left="280" w:right="502"/>
      </w:pPr>
      <w:r>
        <w:rPr/>
        <w:t>In</w:t>
      </w:r>
      <w:r>
        <w:rPr>
          <w:spacing w:val="-2"/>
        </w:rPr>
        <w:t> </w:t>
      </w:r>
      <w:r>
        <w:rPr/>
        <w:t>this</w:t>
      </w:r>
      <w:r>
        <w:rPr>
          <w:spacing w:val="-2"/>
        </w:rPr>
        <w:t> </w:t>
      </w:r>
      <w:r>
        <w:rPr/>
        <w:t>vignette,</w:t>
      </w:r>
      <w:r>
        <w:rPr>
          <w:spacing w:val="-2"/>
        </w:rPr>
        <w:t> </w:t>
      </w:r>
      <w:r>
        <w:rPr/>
        <w:t>the</w:t>
      </w:r>
      <w:r>
        <w:rPr>
          <w:spacing w:val="-3"/>
        </w:rPr>
        <w:t> </w:t>
      </w:r>
      <w:r>
        <w:rPr/>
        <w:t>LMFT</w:t>
      </w:r>
      <w:r>
        <w:rPr>
          <w:spacing w:val="-8"/>
        </w:rPr>
        <w:t> </w:t>
      </w:r>
      <w:r>
        <w:rPr/>
        <w:t>conducts</w:t>
      </w:r>
      <w:r>
        <w:rPr>
          <w:spacing w:val="-2"/>
        </w:rPr>
        <w:t> </w:t>
      </w:r>
      <w:r>
        <w:rPr/>
        <w:t>a</w:t>
      </w:r>
      <w:r>
        <w:rPr>
          <w:spacing w:val="-3"/>
        </w:rPr>
        <w:t> </w:t>
      </w:r>
      <w:r>
        <w:rPr/>
        <w:t>CFI</w:t>
      </w:r>
      <w:r>
        <w:rPr>
          <w:spacing w:val="-2"/>
        </w:rPr>
        <w:t> </w:t>
      </w:r>
      <w:r>
        <w:rPr/>
        <w:t>to</w:t>
      </w:r>
      <w:r>
        <w:rPr>
          <w:spacing w:val="-2"/>
        </w:rPr>
        <w:t> </w:t>
      </w:r>
      <w:r>
        <w:rPr/>
        <w:t>gather</w:t>
      </w:r>
      <w:r>
        <w:rPr>
          <w:spacing w:val="-2"/>
        </w:rPr>
        <w:t> </w:t>
      </w:r>
      <w:r>
        <w:rPr/>
        <w:t>information</w:t>
      </w:r>
      <w:r>
        <w:rPr>
          <w:spacing w:val="-2"/>
        </w:rPr>
        <w:t> </w:t>
      </w:r>
      <w:r>
        <w:rPr/>
        <w:t>about</w:t>
      </w:r>
      <w:r>
        <w:rPr>
          <w:spacing w:val="-2"/>
        </w:rPr>
        <w:t> </w:t>
      </w:r>
      <w:r>
        <w:rPr/>
        <w:t>Maria's cultural</w:t>
      </w:r>
      <w:r>
        <w:rPr>
          <w:spacing w:val="-1"/>
        </w:rPr>
        <w:t> </w:t>
      </w:r>
      <w:r>
        <w:rPr/>
        <w:t>background,</w:t>
      </w:r>
      <w:r>
        <w:rPr>
          <w:spacing w:val="-1"/>
        </w:rPr>
        <w:t> </w:t>
      </w:r>
      <w:r>
        <w:rPr/>
        <w:t>beliefs,</w:t>
      </w:r>
      <w:r>
        <w:rPr>
          <w:spacing w:val="-1"/>
        </w:rPr>
        <w:t> </w:t>
      </w:r>
      <w:r>
        <w:rPr/>
        <w:t>and</w:t>
      </w:r>
      <w:r>
        <w:rPr>
          <w:spacing w:val="-1"/>
        </w:rPr>
        <w:t> </w:t>
      </w:r>
      <w:r>
        <w:rPr/>
        <w:t>experiences</w:t>
      </w:r>
      <w:r>
        <w:rPr>
          <w:spacing w:val="-1"/>
        </w:rPr>
        <w:t> </w:t>
      </w:r>
      <w:r>
        <w:rPr/>
        <w:t>related</w:t>
      </w:r>
      <w:r>
        <w:rPr>
          <w:spacing w:val="-1"/>
        </w:rPr>
        <w:t> </w:t>
      </w:r>
      <w:r>
        <w:rPr/>
        <w:t>to</w:t>
      </w:r>
      <w:r>
        <w:rPr>
          <w:spacing w:val="-1"/>
        </w:rPr>
        <w:t> </w:t>
      </w:r>
      <w:r>
        <w:rPr/>
        <w:t>her</w:t>
      </w:r>
      <w:r>
        <w:rPr>
          <w:spacing w:val="-1"/>
        </w:rPr>
        <w:t> </w:t>
      </w:r>
      <w:r>
        <w:rPr/>
        <w:t>sexual</w:t>
      </w:r>
      <w:r>
        <w:rPr>
          <w:spacing w:val="-1"/>
        </w:rPr>
        <w:t> </w:t>
      </w:r>
      <w:r>
        <w:rPr/>
        <w:t>difficulties. The</w:t>
      </w:r>
      <w:r>
        <w:rPr>
          <w:spacing w:val="-5"/>
        </w:rPr>
        <w:t> </w:t>
      </w:r>
      <w:r>
        <w:rPr/>
        <w:t>therapist</w:t>
      </w:r>
      <w:r>
        <w:rPr>
          <w:spacing w:val="-4"/>
        </w:rPr>
        <w:t> </w:t>
      </w:r>
      <w:r>
        <w:rPr/>
        <w:t>acknowledges</w:t>
      </w:r>
      <w:r>
        <w:rPr>
          <w:spacing w:val="-4"/>
        </w:rPr>
        <w:t> </w:t>
      </w:r>
      <w:r>
        <w:rPr/>
        <w:t>the</w:t>
      </w:r>
      <w:r>
        <w:rPr>
          <w:spacing w:val="-5"/>
        </w:rPr>
        <w:t> </w:t>
      </w:r>
      <w:r>
        <w:rPr/>
        <w:t>influence</w:t>
      </w:r>
      <w:r>
        <w:rPr>
          <w:spacing w:val="-5"/>
        </w:rPr>
        <w:t> </w:t>
      </w:r>
      <w:r>
        <w:rPr/>
        <w:t>of</w:t>
      </w:r>
      <w:r>
        <w:rPr>
          <w:spacing w:val="-4"/>
        </w:rPr>
        <w:t> </w:t>
      </w:r>
      <w:r>
        <w:rPr/>
        <w:t>cultural</w:t>
      </w:r>
      <w:r>
        <w:rPr>
          <w:spacing w:val="-4"/>
        </w:rPr>
        <w:t> </w:t>
      </w:r>
      <w:r>
        <w:rPr/>
        <w:t>factors</w:t>
      </w:r>
      <w:r>
        <w:rPr>
          <w:spacing w:val="-4"/>
        </w:rPr>
        <w:t> </w:t>
      </w:r>
      <w:r>
        <w:rPr/>
        <w:t>on</w:t>
      </w:r>
      <w:r>
        <w:rPr>
          <w:spacing w:val="-4"/>
        </w:rPr>
        <w:t> </w:t>
      </w:r>
      <w:r>
        <w:rPr/>
        <w:t>Maria's</w:t>
      </w:r>
      <w:r>
        <w:rPr>
          <w:spacing w:val="-4"/>
        </w:rPr>
        <w:t> </w:t>
      </w:r>
      <w:r>
        <w:rPr/>
        <w:t>coping strategies, help-seeking behaviors, and expectations for therapy.</w:t>
      </w:r>
      <w:r>
        <w:rPr>
          <w:spacing w:val="-2"/>
        </w:rPr>
        <w:t> </w:t>
      </w:r>
      <w:r>
        <w:rPr/>
        <w:t>The therapist emphasizes the importance of creating a safe and non-judgmental space that respects Maria's cultural values and beliefs. They also discuss the role of culture in the treatment process and highlight the integration of cultural considerations into therapy.</w:t>
      </w:r>
    </w:p>
    <w:p>
      <w:pPr>
        <w:pStyle w:val="BodyText"/>
        <w:spacing w:before="5"/>
        <w:rPr>
          <w:sz w:val="26"/>
        </w:rPr>
      </w:pPr>
    </w:p>
    <w:p>
      <w:pPr>
        <w:pStyle w:val="BodyText"/>
        <w:spacing w:before="1"/>
        <w:ind w:left="280" w:right="579"/>
      </w:pPr>
      <w:r>
        <w:rPr/>
        <w:t>Based</w:t>
      </w:r>
      <w:r>
        <w:rPr>
          <w:spacing w:val="-3"/>
        </w:rPr>
        <w:t> </w:t>
      </w:r>
      <w:r>
        <w:rPr/>
        <w:t>on</w:t>
      </w:r>
      <w:r>
        <w:rPr>
          <w:spacing w:val="-3"/>
        </w:rPr>
        <w:t> </w:t>
      </w:r>
      <w:r>
        <w:rPr/>
        <w:t>the</w:t>
      </w:r>
      <w:r>
        <w:rPr>
          <w:spacing w:val="-4"/>
        </w:rPr>
        <w:t> </w:t>
      </w:r>
      <w:r>
        <w:rPr/>
        <w:t>information</w:t>
      </w:r>
      <w:r>
        <w:rPr>
          <w:spacing w:val="-3"/>
        </w:rPr>
        <w:t> </w:t>
      </w:r>
      <w:r>
        <w:rPr/>
        <w:t>gathered</w:t>
      </w:r>
      <w:r>
        <w:rPr>
          <w:spacing w:val="-3"/>
        </w:rPr>
        <w:t> </w:t>
      </w:r>
      <w:r>
        <w:rPr/>
        <w:t>through</w:t>
      </w:r>
      <w:r>
        <w:rPr>
          <w:spacing w:val="-3"/>
        </w:rPr>
        <w:t> </w:t>
      </w:r>
      <w:r>
        <w:rPr/>
        <w:t>the</w:t>
      </w:r>
      <w:r>
        <w:rPr>
          <w:spacing w:val="-4"/>
        </w:rPr>
        <w:t> </w:t>
      </w:r>
      <w:r>
        <w:rPr/>
        <w:t>CFI,</w:t>
      </w:r>
      <w:r>
        <w:rPr>
          <w:spacing w:val="-3"/>
        </w:rPr>
        <w:t> </w:t>
      </w:r>
      <w:r>
        <w:rPr/>
        <w:t>the</w:t>
      </w:r>
      <w:r>
        <w:rPr>
          <w:spacing w:val="-4"/>
        </w:rPr>
        <w:t> </w:t>
      </w:r>
      <w:r>
        <w:rPr/>
        <w:t>clinician</w:t>
      </w:r>
      <w:r>
        <w:rPr>
          <w:spacing w:val="-3"/>
        </w:rPr>
        <w:t> </w:t>
      </w:r>
      <w:r>
        <w:rPr/>
        <w:t>can</w:t>
      </w:r>
      <w:r>
        <w:rPr>
          <w:spacing w:val="-3"/>
        </w:rPr>
        <w:t> </w:t>
      </w:r>
      <w:r>
        <w:rPr/>
        <w:t>tailor</w:t>
      </w:r>
      <w:r>
        <w:rPr>
          <w:spacing w:val="-3"/>
        </w:rPr>
        <w:t> </w:t>
      </w:r>
      <w:r>
        <w:rPr/>
        <w:t>the treatment plan to address Maria's specific needs and cultural context. They may incorporate culturally sensitive interventions such as exploring cultural narratives around sexuality, challenging cultural beliefs that hinder open communication, and introducing culturally relevant coping strategies.</w:t>
      </w:r>
    </w:p>
    <w:p>
      <w:pPr>
        <w:pStyle w:val="BodyText"/>
        <w:spacing w:before="11"/>
        <w:rPr>
          <w:sz w:val="26"/>
        </w:rPr>
      </w:pPr>
    </w:p>
    <w:p>
      <w:pPr>
        <w:pStyle w:val="BodyText"/>
        <w:ind w:left="280" w:right="544"/>
      </w:pPr>
      <w:r>
        <w:rPr/>
        <w:t>Throughout therapy, the clinician maintains an ongoing awareness of cultural dynamics,</w:t>
      </w:r>
      <w:r>
        <w:rPr>
          <w:spacing w:val="-4"/>
        </w:rPr>
        <w:t> </w:t>
      </w:r>
      <w:r>
        <w:rPr/>
        <w:t>regularly</w:t>
      </w:r>
      <w:r>
        <w:rPr>
          <w:spacing w:val="-4"/>
        </w:rPr>
        <w:t> </w:t>
      </w:r>
      <w:r>
        <w:rPr/>
        <w:t>checking</w:t>
      </w:r>
      <w:r>
        <w:rPr>
          <w:spacing w:val="-4"/>
        </w:rPr>
        <w:t> </w:t>
      </w:r>
      <w:r>
        <w:rPr/>
        <w:t>in</w:t>
      </w:r>
      <w:r>
        <w:rPr>
          <w:spacing w:val="-4"/>
        </w:rPr>
        <w:t> </w:t>
      </w:r>
      <w:r>
        <w:rPr/>
        <w:t>with</w:t>
      </w:r>
      <w:r>
        <w:rPr>
          <w:spacing w:val="-4"/>
        </w:rPr>
        <w:t> </w:t>
      </w:r>
      <w:r>
        <w:rPr/>
        <w:t>Maria</w:t>
      </w:r>
      <w:r>
        <w:rPr>
          <w:spacing w:val="-5"/>
        </w:rPr>
        <w:t> </w:t>
      </w:r>
      <w:r>
        <w:rPr/>
        <w:t>to</w:t>
      </w:r>
      <w:r>
        <w:rPr>
          <w:spacing w:val="-4"/>
        </w:rPr>
        <w:t> </w:t>
      </w:r>
      <w:r>
        <w:rPr/>
        <w:t>ensure</w:t>
      </w:r>
      <w:r>
        <w:rPr>
          <w:spacing w:val="-5"/>
        </w:rPr>
        <w:t> </w:t>
      </w:r>
      <w:r>
        <w:rPr/>
        <w:t>that</w:t>
      </w:r>
      <w:r>
        <w:rPr>
          <w:spacing w:val="-4"/>
        </w:rPr>
        <w:t> </w:t>
      </w:r>
      <w:r>
        <w:rPr/>
        <w:t>her</w:t>
      </w:r>
      <w:r>
        <w:rPr>
          <w:spacing w:val="-4"/>
        </w:rPr>
        <w:t> </w:t>
      </w:r>
      <w:r>
        <w:rPr/>
        <w:t>cultural</w:t>
      </w:r>
      <w:r>
        <w:rPr>
          <w:spacing w:val="-4"/>
        </w:rPr>
        <w:t> </w:t>
      </w:r>
      <w:r>
        <w:rPr/>
        <w:t>identity is acknowledged and respected. They continue to collaborate with her, allowing</w:t>
      </w:r>
      <w:r>
        <w:rPr>
          <w:spacing w:val="-2"/>
        </w:rPr>
        <w:t> </w:t>
      </w:r>
      <w:r>
        <w:rPr/>
        <w:t>her</w:t>
      </w:r>
      <w:r>
        <w:rPr>
          <w:spacing w:val="-2"/>
        </w:rPr>
        <w:t> </w:t>
      </w:r>
      <w:r>
        <w:rPr/>
        <w:t>to</w:t>
      </w:r>
      <w:r>
        <w:rPr>
          <w:spacing w:val="-2"/>
        </w:rPr>
        <w:t> </w:t>
      </w:r>
      <w:r>
        <w:rPr/>
        <w:t>express</w:t>
      </w:r>
      <w:r>
        <w:rPr>
          <w:spacing w:val="-2"/>
        </w:rPr>
        <w:t> </w:t>
      </w:r>
      <w:r>
        <w:rPr/>
        <w:t>any</w:t>
      </w:r>
      <w:r>
        <w:rPr>
          <w:spacing w:val="-2"/>
        </w:rPr>
        <w:t> </w:t>
      </w:r>
      <w:r>
        <w:rPr/>
        <w:t>concerns</w:t>
      </w:r>
      <w:r>
        <w:rPr>
          <w:spacing w:val="-2"/>
        </w:rPr>
        <w:t> </w:t>
      </w:r>
      <w:r>
        <w:rPr/>
        <w:t>or</w:t>
      </w:r>
      <w:r>
        <w:rPr>
          <w:spacing w:val="-2"/>
        </w:rPr>
        <w:t> </w:t>
      </w:r>
      <w:r>
        <w:rPr/>
        <w:t>preferences</w:t>
      </w:r>
      <w:r>
        <w:rPr>
          <w:spacing w:val="-2"/>
        </w:rPr>
        <w:t> </w:t>
      </w:r>
      <w:r>
        <w:rPr/>
        <w:t>related</w:t>
      </w:r>
      <w:r>
        <w:rPr>
          <w:spacing w:val="-2"/>
        </w:rPr>
        <w:t> </w:t>
      </w:r>
      <w:r>
        <w:rPr/>
        <w:t>to</w:t>
      </w:r>
      <w:r>
        <w:rPr>
          <w:spacing w:val="-2"/>
        </w:rPr>
        <w:t> </w:t>
      </w:r>
      <w:r>
        <w:rPr/>
        <w:t>cultural</w:t>
      </w:r>
      <w:r>
        <w:rPr>
          <w:spacing w:val="-2"/>
        </w:rPr>
        <w:t> </w:t>
      </w:r>
      <w:r>
        <w:rPr/>
        <w:t>aspects of therapy.</w:t>
      </w:r>
    </w:p>
    <w:p>
      <w:pPr>
        <w:pStyle w:val="BodyText"/>
        <w:spacing w:before="11"/>
        <w:rPr>
          <w:sz w:val="26"/>
        </w:rPr>
      </w:pPr>
    </w:p>
    <w:p>
      <w:pPr>
        <w:pStyle w:val="BodyText"/>
        <w:ind w:left="280" w:right="668"/>
      </w:pPr>
      <w:r>
        <w:rPr/>
        <mc:AlternateContent>
          <mc:Choice Requires="wps">
            <w:drawing>
              <wp:anchor distT="0" distB="0" distL="0" distR="0" allowOverlap="1" layoutInCell="1" locked="0" behindDoc="0" simplePos="0" relativeHeight="15744000">
                <wp:simplePos x="0" y="0"/>
                <wp:positionH relativeFrom="page">
                  <wp:posOffset>1028700</wp:posOffset>
                </wp:positionH>
                <wp:positionV relativeFrom="paragraph">
                  <wp:posOffset>1159104</wp:posOffset>
                </wp:positionV>
                <wp:extent cx="2389505" cy="169037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2389505" cy="1690370"/>
                          <a:chExt cx="2389505" cy="1690370"/>
                        </a:xfrm>
                      </wpg:grpSpPr>
                      <pic:pic>
                        <pic:nvPicPr>
                          <pic:cNvPr id="67" name="Image 67"/>
                          <pic:cNvPicPr/>
                        </pic:nvPicPr>
                        <pic:blipFill>
                          <a:blip r:embed="rId17" cstate="print"/>
                          <a:stretch>
                            <a:fillRect/>
                          </a:stretch>
                        </pic:blipFill>
                        <pic:spPr>
                          <a:xfrm>
                            <a:off x="0" y="0"/>
                            <a:ext cx="2389230" cy="1690016"/>
                          </a:xfrm>
                          <a:prstGeom prst="rect">
                            <a:avLst/>
                          </a:prstGeom>
                        </pic:spPr>
                      </pic:pic>
                      <pic:pic>
                        <pic:nvPicPr>
                          <pic:cNvPr id="68" name="Image 68"/>
                          <pic:cNvPicPr/>
                        </pic:nvPicPr>
                        <pic:blipFill>
                          <a:blip r:embed="rId18" cstate="print"/>
                          <a:stretch>
                            <a:fillRect/>
                          </a:stretch>
                        </pic:blipFill>
                        <pic:spPr>
                          <a:xfrm>
                            <a:off x="76200" y="56200"/>
                            <a:ext cx="2236830" cy="1537616"/>
                          </a:xfrm>
                          <a:prstGeom prst="rect">
                            <a:avLst/>
                          </a:prstGeom>
                        </pic:spPr>
                      </pic:pic>
                      <pic:pic>
                        <pic:nvPicPr>
                          <pic:cNvPr id="69" name="Image 69"/>
                          <pic:cNvPicPr/>
                        </pic:nvPicPr>
                        <pic:blipFill>
                          <a:blip r:embed="rId19" cstate="print"/>
                          <a:stretch>
                            <a:fillRect/>
                          </a:stretch>
                        </pic:blipFill>
                        <pic:spPr>
                          <a:xfrm>
                            <a:off x="39499" y="18475"/>
                            <a:ext cx="2310989" cy="1612899"/>
                          </a:xfrm>
                          <a:prstGeom prst="rect">
                            <a:avLst/>
                          </a:prstGeom>
                        </pic:spPr>
                      </pic:pic>
                      <wps:wsp>
                        <wps:cNvPr id="70" name="Textbox 70"/>
                        <wps:cNvSpPr txBox="1"/>
                        <wps:spPr>
                          <a:xfrm>
                            <a:off x="0" y="0"/>
                            <a:ext cx="2389505" cy="1690370"/>
                          </a:xfrm>
                          <a:prstGeom prst="rect">
                            <a:avLst/>
                          </a:prstGeom>
                        </wps:spPr>
                        <wps:txbx>
                          <w:txbxContent>
                            <w:p>
                              <w:pPr>
                                <w:spacing w:line="240" w:lineRule="auto" w:before="9"/>
                                <w:rPr>
                                  <w:sz w:val="69"/>
                                </w:rPr>
                              </w:pPr>
                            </w:p>
                            <w:p>
                              <w:pPr>
                                <w:spacing w:before="0"/>
                                <w:ind w:left="251" w:right="0" w:firstLine="0"/>
                                <w:jc w:val="left"/>
                                <w:rPr>
                                  <w:rFonts w:ascii="Book Antiqua"/>
                                  <w:i/>
                                  <w:sz w:val="66"/>
                                </w:rPr>
                              </w:pPr>
                              <w:r>
                                <w:rPr>
                                  <w:rFonts w:ascii="Book Antiqua"/>
                                  <w:i/>
                                  <w:sz w:val="66"/>
                                </w:rPr>
                                <w:t>vignette</w:t>
                              </w:r>
                              <w:r>
                                <w:rPr>
                                  <w:rFonts w:ascii="Book Antiqua"/>
                                  <w:i/>
                                  <w:spacing w:val="-23"/>
                                  <w:sz w:val="66"/>
                                </w:rPr>
                                <w:t> </w:t>
                              </w:r>
                              <w:r>
                                <w:rPr>
                                  <w:rFonts w:ascii="Book Antiqua"/>
                                  <w:i/>
                                  <w:sz w:val="66"/>
                                </w:rPr>
                                <w:t>#</w:t>
                              </w:r>
                              <w:r>
                                <w:rPr>
                                  <w:rFonts w:ascii="Book Antiqua"/>
                                  <w:i/>
                                  <w:spacing w:val="-23"/>
                                  <w:sz w:val="66"/>
                                </w:rPr>
                                <w:t> </w:t>
                              </w:r>
                              <w:r>
                                <w:rPr>
                                  <w:rFonts w:ascii="Book Antiqua"/>
                                  <w:i/>
                                  <w:spacing w:val="-10"/>
                                  <w:sz w:val="66"/>
                                </w:rPr>
                                <w:t>2</w:t>
                              </w:r>
                            </w:p>
                          </w:txbxContent>
                        </wps:txbx>
                        <wps:bodyPr wrap="square" lIns="0" tIns="0" rIns="0" bIns="0" rtlCol="0">
                          <a:noAutofit/>
                        </wps:bodyPr>
                      </wps:wsp>
                    </wpg:wgp>
                  </a:graphicData>
                </a:graphic>
              </wp:anchor>
            </w:drawing>
          </mc:Choice>
          <mc:Fallback>
            <w:pict>
              <v:group style="position:absolute;margin-left:81pt;margin-top:91.268097pt;width:188.15pt;height:133.1pt;mso-position-horizontal-relative:page;mso-position-vertical-relative:paragraph;z-index:15744000" id="docshapegroup65" coordorigin="1620,1825" coordsize="3763,2662">
                <v:shape style="position:absolute;left:1620;top:1825;width:3763;height:2662" type="#_x0000_t75" id="docshape66" stroked="false">
                  <v:imagedata r:id="rId17" o:title=""/>
                </v:shape>
                <v:shape style="position:absolute;left:1740;top:1913;width:3523;height:2422" type="#_x0000_t75" id="docshape67" stroked="false">
                  <v:imagedata r:id="rId18" o:title=""/>
                </v:shape>
                <v:shape style="position:absolute;left:1682;top:1854;width:3640;height:2540" type="#_x0000_t75" id="docshape68" stroked="false">
                  <v:imagedata r:id="rId19" o:title=""/>
                </v:shape>
                <v:shape style="position:absolute;left:1620;top:1825;width:3763;height:2662" type="#_x0000_t202" id="docshape69" filled="false" stroked="false">
                  <v:textbox inset="0,0,0,0">
                    <w:txbxContent>
                      <w:p>
                        <w:pPr>
                          <w:spacing w:line="240" w:lineRule="auto" w:before="9"/>
                          <w:rPr>
                            <w:sz w:val="69"/>
                          </w:rPr>
                        </w:pPr>
                      </w:p>
                      <w:p>
                        <w:pPr>
                          <w:spacing w:before="0"/>
                          <w:ind w:left="251" w:right="0" w:firstLine="0"/>
                          <w:jc w:val="left"/>
                          <w:rPr>
                            <w:rFonts w:ascii="Book Antiqua"/>
                            <w:i/>
                            <w:sz w:val="66"/>
                          </w:rPr>
                        </w:pPr>
                        <w:r>
                          <w:rPr>
                            <w:rFonts w:ascii="Book Antiqua"/>
                            <w:i/>
                            <w:sz w:val="66"/>
                          </w:rPr>
                          <w:t>vignette</w:t>
                        </w:r>
                        <w:r>
                          <w:rPr>
                            <w:rFonts w:ascii="Book Antiqua"/>
                            <w:i/>
                            <w:spacing w:val="-23"/>
                            <w:sz w:val="66"/>
                          </w:rPr>
                          <w:t> </w:t>
                        </w:r>
                        <w:r>
                          <w:rPr>
                            <w:rFonts w:ascii="Book Antiqua"/>
                            <w:i/>
                            <w:sz w:val="66"/>
                          </w:rPr>
                          <w:t>#</w:t>
                        </w:r>
                        <w:r>
                          <w:rPr>
                            <w:rFonts w:ascii="Book Antiqua"/>
                            <w:i/>
                            <w:spacing w:val="-23"/>
                            <w:sz w:val="66"/>
                          </w:rPr>
                          <w:t> </w:t>
                        </w:r>
                        <w:r>
                          <w:rPr>
                            <w:rFonts w:ascii="Book Antiqua"/>
                            <w:i/>
                            <w:spacing w:val="-10"/>
                            <w:sz w:val="66"/>
                          </w:rPr>
                          <w:t>2</w:t>
                        </w:r>
                      </w:p>
                    </w:txbxContent>
                  </v:textbox>
                  <w10:wrap type="none"/>
                </v:shape>
                <w10:wrap type="none"/>
              </v:group>
            </w:pict>
          </mc:Fallback>
        </mc:AlternateContent>
      </w:r>
      <w:r>
        <w:rPr/>
        <w:t>By using the insights gained from the CFI, the clinician can provide a culturally sensitive and personalized treatment approach that honors Maria's cultural background, promotes her comfort and engagement in therapy, and addresses</w:t>
      </w:r>
      <w:r>
        <w:rPr>
          <w:spacing w:val="-4"/>
        </w:rPr>
        <w:t> </w:t>
      </w:r>
      <w:r>
        <w:rPr/>
        <w:t>her</w:t>
      </w:r>
      <w:r>
        <w:rPr>
          <w:spacing w:val="-4"/>
        </w:rPr>
        <w:t> </w:t>
      </w:r>
      <w:r>
        <w:rPr/>
        <w:t>sexual</w:t>
      </w:r>
      <w:r>
        <w:rPr>
          <w:spacing w:val="-4"/>
        </w:rPr>
        <w:t> </w:t>
      </w:r>
      <w:r>
        <w:rPr/>
        <w:t>difficulties</w:t>
      </w:r>
      <w:r>
        <w:rPr>
          <w:spacing w:val="-4"/>
        </w:rPr>
        <w:t> </w:t>
      </w:r>
      <w:r>
        <w:rPr/>
        <w:t>within</w:t>
      </w:r>
      <w:r>
        <w:rPr>
          <w:spacing w:val="-4"/>
        </w:rPr>
        <w:t> </w:t>
      </w:r>
      <w:r>
        <w:rPr/>
        <w:t>the</w:t>
      </w:r>
      <w:r>
        <w:rPr>
          <w:spacing w:val="-5"/>
        </w:rPr>
        <w:t> </w:t>
      </w:r>
      <w:r>
        <w:rPr/>
        <w:t>context</w:t>
      </w:r>
      <w:r>
        <w:rPr>
          <w:spacing w:val="-4"/>
        </w:rPr>
        <w:t> </w:t>
      </w:r>
      <w:r>
        <w:rPr/>
        <w:t>of</w:t>
      </w:r>
      <w:r>
        <w:rPr>
          <w:spacing w:val="-4"/>
        </w:rPr>
        <w:t> </w:t>
      </w:r>
      <w:r>
        <w:rPr/>
        <w:t>her</w:t>
      </w:r>
      <w:r>
        <w:rPr>
          <w:spacing w:val="-4"/>
        </w:rPr>
        <w:t> </w:t>
      </w:r>
      <w:r>
        <w:rPr/>
        <w:t>cultural</w:t>
      </w:r>
      <w:r>
        <w:rPr>
          <w:spacing w:val="-4"/>
        </w:rPr>
        <w:t> </w:t>
      </w:r>
      <w:r>
        <w:rPr/>
        <w:t>beliefs</w:t>
      </w:r>
      <w:r>
        <w:rPr>
          <w:spacing w:val="-4"/>
        </w:rPr>
        <w:t> </w:t>
      </w:r>
      <w:r>
        <w:rPr/>
        <w:t>and </w:t>
      </w:r>
      <w:r>
        <w:rPr>
          <w:spacing w:val="-2"/>
        </w:rPr>
        <w:t>values.</w:t>
      </w:r>
    </w:p>
    <w:p>
      <w:pPr>
        <w:pStyle w:val="BodyText"/>
        <w:rPr>
          <w:sz w:val="30"/>
        </w:rPr>
      </w:pPr>
    </w:p>
    <w:p>
      <w:pPr>
        <w:pStyle w:val="BodyText"/>
        <w:spacing w:before="9"/>
        <w:rPr>
          <w:sz w:val="24"/>
        </w:rPr>
      </w:pPr>
    </w:p>
    <w:p>
      <w:pPr>
        <w:pStyle w:val="BodyText"/>
        <w:ind w:left="4162" w:right="502"/>
      </w:pPr>
      <w:r>
        <w:rPr/>
        <mc:AlternateContent>
          <mc:Choice Requires="wps">
            <w:drawing>
              <wp:anchor distT="0" distB="0" distL="0" distR="0" allowOverlap="1" layoutInCell="1" locked="0" behindDoc="1" simplePos="0" relativeHeight="487602688">
                <wp:simplePos x="0" y="0"/>
                <wp:positionH relativeFrom="page">
                  <wp:posOffset>3532187</wp:posOffset>
                </wp:positionH>
                <wp:positionV relativeFrom="paragraph">
                  <wp:posOffset>618137</wp:posOffset>
                </wp:positionV>
                <wp:extent cx="474345" cy="393700"/>
                <wp:effectExtent l="0" t="0" r="0" b="0"/>
                <wp:wrapTopAndBottom/>
                <wp:docPr id="71" name="Textbox 71"/>
                <wp:cNvGraphicFramePr>
                  <a:graphicFrameLocks/>
                </wp:cNvGraphicFramePr>
                <a:graphic>
                  <a:graphicData uri="http://schemas.microsoft.com/office/word/2010/wordprocessingShape">
                    <wps:wsp>
                      <wps:cNvPr id="71" name="Textbox 71"/>
                      <wps:cNvSpPr txBox="1"/>
                      <wps:spPr>
                        <a:xfrm>
                          <a:off x="0" y="0"/>
                          <a:ext cx="474345" cy="393700"/>
                        </a:xfrm>
                        <a:prstGeom prst="rect">
                          <a:avLst/>
                        </a:prstGeom>
                        <a:solidFill>
                          <a:srgbClr val="F7F7F8"/>
                        </a:solidFill>
                      </wps:spPr>
                      <wps:txbx>
                        <w:txbxContent>
                          <w:p>
                            <w:pPr>
                              <w:pStyle w:val="BodyText"/>
                              <w:spacing w:line="308" w:lineRule="exact"/>
                              <w:ind w:right="-15"/>
                              <w:rPr>
                                <w:color w:val="000000"/>
                              </w:rPr>
                            </w:pPr>
                            <w:r>
                              <w:rPr>
                                <w:color w:val="374151"/>
                                <w:spacing w:val="-2"/>
                              </w:rPr>
                              <w:t>today?</w:t>
                            </w:r>
                          </w:p>
                        </w:txbxContent>
                      </wps:txbx>
                      <wps:bodyPr wrap="square" lIns="0" tIns="0" rIns="0" bIns="0" rtlCol="0">
                        <a:noAutofit/>
                      </wps:bodyPr>
                    </wps:wsp>
                  </a:graphicData>
                </a:graphic>
              </wp:anchor>
            </w:drawing>
          </mc:Choice>
          <mc:Fallback>
            <w:pict>
              <v:shape style="position:absolute;margin-left:278.125pt;margin-top:48.672268pt;width:37.35pt;height:31pt;mso-position-horizontal-relative:page;mso-position-vertical-relative:paragraph;z-index:-15713792;mso-wrap-distance-left:0;mso-wrap-distance-right:0" type="#_x0000_t202" id="docshape70" filled="true" fillcolor="#f7f7f8" stroked="false">
                <v:textbox inset="0,0,0,0">
                  <w:txbxContent>
                    <w:p>
                      <w:pPr>
                        <w:pStyle w:val="BodyText"/>
                        <w:spacing w:line="308" w:lineRule="exact"/>
                        <w:ind w:right="-15"/>
                        <w:rPr>
                          <w:color w:val="000000"/>
                        </w:rPr>
                      </w:pPr>
                      <w:r>
                        <w:rPr>
                          <w:color w:val="374151"/>
                          <w:spacing w:val="-2"/>
                        </w:rPr>
                        <w:t>today?</w:t>
                      </w:r>
                    </w:p>
                  </w:txbxContent>
                </v:textbox>
                <v:fill type="solid"/>
                <w10:wrap type="topAndBottom"/>
              </v:shape>
            </w:pict>
          </mc:Fallback>
        </mc:AlternateContent>
      </w:r>
      <w:r>
        <w:rPr>
          <w:b/>
          <w:color w:val="665082"/>
          <w:shd w:fill="F7F7F8" w:color="auto" w:val="clear"/>
        </w:rPr>
        <w:t>Therapist:</w:t>
      </w:r>
      <w:r>
        <w:rPr>
          <w:b/>
          <w:color w:val="665082"/>
          <w:spacing w:val="-16"/>
          <w:shd w:fill="F7F7F8" w:color="auto" w:val="clear"/>
        </w:rPr>
        <w:t> </w:t>
      </w:r>
      <w:r>
        <w:rPr>
          <w:color w:val="374151"/>
          <w:shd w:fill="F7F7F8" w:color="auto" w:val="clear"/>
        </w:rPr>
        <w:t>Good</w:t>
      </w:r>
      <w:r>
        <w:rPr>
          <w:color w:val="374151"/>
          <w:spacing w:val="-10"/>
          <w:shd w:fill="F7F7F8" w:color="auto" w:val="clear"/>
        </w:rPr>
        <w:t> </w:t>
      </w:r>
      <w:r>
        <w:rPr>
          <w:color w:val="374151"/>
          <w:shd w:fill="F7F7F8" w:color="auto" w:val="clear"/>
        </w:rPr>
        <w:t>morning,</w:t>
      </w:r>
      <w:r>
        <w:rPr>
          <w:color w:val="374151"/>
          <w:spacing w:val="-10"/>
          <w:shd w:fill="F7F7F8" w:color="auto" w:val="clear"/>
        </w:rPr>
        <w:t> </w:t>
      </w:r>
      <w:r>
        <w:rPr>
          <w:color w:val="374151"/>
          <w:shd w:fill="F7F7F8" w:color="auto" w:val="clear"/>
        </w:rPr>
        <w:t>I'm</w:t>
      </w:r>
      <w:r>
        <w:rPr>
          <w:color w:val="374151"/>
          <w:spacing w:val="-10"/>
          <w:shd w:fill="F7F7F8" w:color="auto" w:val="clear"/>
        </w:rPr>
        <w:t> </w:t>
      </w:r>
      <w:r>
        <w:rPr>
          <w:color w:val="374151"/>
          <w:shd w:fill="F7F7F8" w:color="auto" w:val="clear"/>
        </w:rPr>
        <w:t>Dr.</w:t>
      </w:r>
      <w:r>
        <w:rPr>
          <w:color w:val="374151"/>
          <w:spacing w:val="-10"/>
          <w:shd w:fill="F7F7F8" w:color="auto" w:val="clear"/>
        </w:rPr>
        <w:t> </w:t>
      </w:r>
      <w:r>
        <w:rPr>
          <w:color w:val="374151"/>
          <w:shd w:fill="F7F7F8" w:color="auto" w:val="clear"/>
        </w:rPr>
        <w:t>Johnson,</w:t>
      </w:r>
      <w:r>
        <w:rPr>
          <w:color w:val="374151"/>
          <w:spacing w:val="-23"/>
          <w:shd w:fill="F7F7F8" w:color="auto" w:val="clear"/>
        </w:rPr>
        <w:t> </w:t>
      </w:r>
      <w:r>
        <w:rPr>
          <w:color w:val="374151"/>
          <w:spacing w:val="-23"/>
        </w:rPr>
        <w:t> </w:t>
      </w:r>
      <w:r>
        <w:rPr>
          <w:color w:val="374151"/>
          <w:shd w:fill="F7F7F8" w:color="auto" w:val="clear"/>
        </w:rPr>
        <w:t>a mental health therapist specializing in </w:t>
      </w:r>
      <w:r>
        <w:rPr>
          <w:color w:val="374151"/>
        </w:rPr>
        <w:t> </w:t>
      </w:r>
      <w:r>
        <w:rPr>
          <w:color w:val="374151"/>
          <w:shd w:fill="F7F7F8" w:color="auto" w:val="clear"/>
        </w:rPr>
        <w:t>sexual dysfunction. How can I assist you</w:t>
      </w:r>
      <w:r>
        <w:rPr>
          <w:color w:val="374151"/>
          <w:spacing w:val="40"/>
          <w:shd w:fill="F7F7F8" w:color="auto" w:val="clear"/>
        </w:rPr>
        <w:t> </w:t>
      </w:r>
    </w:p>
    <w:p>
      <w:pPr>
        <w:pStyle w:val="BodyText"/>
        <w:spacing w:line="237" w:lineRule="auto"/>
        <w:ind w:left="4146" w:right="499" w:firstLine="15"/>
      </w:pPr>
      <w:r>
        <w:rPr>
          <w:b/>
          <w:color w:val="665082"/>
          <w:shd w:fill="F7F7F8" w:color="auto" w:val="clear"/>
        </w:rPr>
        <w:t>Client: </w:t>
      </w:r>
      <w:r>
        <w:rPr>
          <w:color w:val="374151"/>
          <w:shd w:fill="F7F7F8" w:color="auto" w:val="clear"/>
        </w:rPr>
        <w:t>Hi, Dr. Johnson. I've been </w:t>
      </w:r>
      <w:r>
        <w:rPr>
          <w:color w:val="374151"/>
        </w:rPr>
        <w:t> </w:t>
      </w:r>
      <w:r>
        <w:rPr>
          <w:color w:val="374151"/>
          <w:shd w:fill="F7F7F8" w:color="auto" w:val="clear"/>
        </w:rPr>
        <w:t>experiencing</w:t>
      </w:r>
      <w:r>
        <w:rPr>
          <w:color w:val="374151"/>
          <w:spacing w:val="-5"/>
          <w:shd w:fill="F7F7F8" w:color="auto" w:val="clear"/>
        </w:rPr>
        <w:t> </w:t>
      </w:r>
      <w:r>
        <w:rPr>
          <w:color w:val="374151"/>
          <w:shd w:fill="F7F7F8" w:color="auto" w:val="clear"/>
        </w:rPr>
        <w:t>some</w:t>
      </w:r>
      <w:r>
        <w:rPr>
          <w:color w:val="374151"/>
          <w:spacing w:val="-5"/>
          <w:shd w:fill="F7F7F8" w:color="auto" w:val="clear"/>
        </w:rPr>
        <w:t> </w:t>
      </w:r>
      <w:r>
        <w:rPr>
          <w:color w:val="374151"/>
          <w:shd w:fill="F7F7F8" w:color="auto" w:val="clear"/>
        </w:rPr>
        <w:t>difficulties</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my</w:t>
      </w:r>
      <w:r>
        <w:rPr>
          <w:color w:val="374151"/>
          <w:spacing w:val="-5"/>
          <w:shd w:fill="F7F7F8" w:color="auto" w:val="clear"/>
        </w:rPr>
        <w:t> </w:t>
      </w:r>
      <w:r>
        <w:rPr>
          <w:color w:val="374151"/>
          <w:shd w:fill="F7F7F8" w:color="auto" w:val="clear"/>
        </w:rPr>
        <w:t>sexual</w:t>
      </w:r>
      <w:r>
        <w:rPr>
          <w:color w:val="374151"/>
          <w:spacing w:val="-5"/>
          <w:shd w:fill="F7F7F8" w:color="auto" w:val="clear"/>
        </w:rPr>
        <w:t> </w:t>
      </w:r>
      <w:r>
        <w:rPr>
          <w:color w:val="374151"/>
          <w:spacing w:val="-5"/>
        </w:rPr>
        <w:t> </w:t>
      </w:r>
      <w:r>
        <w:rPr>
          <w:color w:val="374151"/>
          <w:shd w:fill="F7F7F8" w:color="auto" w:val="clear"/>
        </w:rPr>
        <w:t>relationship with my partner, and it's been</w:t>
      </w:r>
      <w:r>
        <w:rPr>
          <w:color w:val="374151"/>
          <w:spacing w:val="40"/>
          <w:shd w:fill="F7F7F8" w:color="auto" w:val="clear"/>
        </w:rPr>
        <w:t> </w:t>
      </w:r>
    </w:p>
    <w:p>
      <w:pPr>
        <w:pStyle w:val="BodyText"/>
        <w:ind w:left="280" w:right="502"/>
      </w:pPr>
      <w:r>
        <w:rPr>
          <w:color w:val="374151"/>
          <w:shd w:fill="F7F7F8" w:color="auto" w:val="clear"/>
        </w:rPr>
        <w:t>causing</w:t>
      </w:r>
      <w:r>
        <w:rPr>
          <w:color w:val="374151"/>
          <w:spacing w:val="-2"/>
          <w:shd w:fill="F7F7F8" w:color="auto" w:val="clear"/>
        </w:rPr>
        <w:t> </w:t>
      </w:r>
      <w:r>
        <w:rPr>
          <w:color w:val="374151"/>
          <w:shd w:fill="F7F7F8" w:color="auto" w:val="clear"/>
        </w:rPr>
        <w:t>me</w:t>
      </w:r>
      <w:r>
        <w:rPr>
          <w:color w:val="374151"/>
          <w:spacing w:val="-3"/>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lot</w:t>
      </w:r>
      <w:r>
        <w:rPr>
          <w:color w:val="374151"/>
          <w:spacing w:val="-2"/>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distress.</w:t>
      </w:r>
      <w:r>
        <w:rPr>
          <w:color w:val="374151"/>
          <w:spacing w:val="-2"/>
          <w:shd w:fill="F7F7F8" w:color="auto" w:val="clear"/>
        </w:rPr>
        <w:t> </w:t>
      </w:r>
      <w:r>
        <w:rPr>
          <w:color w:val="374151"/>
          <w:shd w:fill="F7F7F8" w:color="auto" w:val="clear"/>
        </w:rPr>
        <w:t>I</w:t>
      </w:r>
      <w:r>
        <w:rPr>
          <w:color w:val="374151"/>
          <w:spacing w:val="-2"/>
          <w:shd w:fill="F7F7F8" w:color="auto" w:val="clear"/>
        </w:rPr>
        <w:t> </w:t>
      </w:r>
      <w:r>
        <w:rPr>
          <w:color w:val="374151"/>
          <w:shd w:fill="F7F7F8" w:color="auto" w:val="clear"/>
        </w:rPr>
        <w:t>thought</w:t>
      </w:r>
      <w:r>
        <w:rPr>
          <w:color w:val="374151"/>
          <w:spacing w:val="-2"/>
          <w:shd w:fill="F7F7F8" w:color="auto" w:val="clear"/>
        </w:rPr>
        <w:t> </w:t>
      </w:r>
      <w:r>
        <w:rPr>
          <w:color w:val="374151"/>
          <w:shd w:fill="F7F7F8" w:color="auto" w:val="clear"/>
        </w:rPr>
        <w:t>it</w:t>
      </w:r>
      <w:r>
        <w:rPr>
          <w:color w:val="374151"/>
          <w:spacing w:val="-2"/>
          <w:shd w:fill="F7F7F8" w:color="auto" w:val="clear"/>
        </w:rPr>
        <w:t> </w:t>
      </w:r>
      <w:r>
        <w:rPr>
          <w:color w:val="374151"/>
          <w:shd w:fill="F7F7F8" w:color="auto" w:val="clear"/>
        </w:rPr>
        <w:t>would</w:t>
      </w:r>
      <w:r>
        <w:rPr>
          <w:color w:val="374151"/>
          <w:spacing w:val="-2"/>
          <w:shd w:fill="F7F7F8" w:color="auto" w:val="clear"/>
        </w:rPr>
        <w:t> </w:t>
      </w:r>
      <w:r>
        <w:rPr>
          <w:color w:val="374151"/>
          <w:shd w:fill="F7F7F8" w:color="auto" w:val="clear"/>
        </w:rPr>
        <w:t>be</w:t>
      </w:r>
      <w:r>
        <w:rPr>
          <w:color w:val="374151"/>
          <w:spacing w:val="-3"/>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good</w:t>
      </w:r>
      <w:r>
        <w:rPr>
          <w:color w:val="374151"/>
          <w:spacing w:val="-2"/>
          <w:shd w:fill="F7F7F8" w:color="auto" w:val="clear"/>
        </w:rPr>
        <w:t> </w:t>
      </w:r>
      <w:r>
        <w:rPr>
          <w:color w:val="374151"/>
          <w:shd w:fill="F7F7F8" w:color="auto" w:val="clear"/>
        </w:rPr>
        <w:t>idea</w:t>
      </w:r>
      <w:r>
        <w:rPr>
          <w:color w:val="374151"/>
          <w:spacing w:val="-3"/>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seek</w:t>
      </w:r>
      <w:r>
        <w:rPr>
          <w:color w:val="374151"/>
          <w:spacing w:val="-3"/>
          <w:shd w:fill="F7F7F8" w:color="auto" w:val="clear"/>
        </w:rPr>
        <w:t> </w:t>
      </w:r>
      <w:r>
        <w:rPr>
          <w:color w:val="374151"/>
          <w:spacing w:val="-3"/>
        </w:rPr>
        <w:t> </w:t>
      </w:r>
      <w:r>
        <w:rPr>
          <w:color w:val="374151"/>
          <w:shd w:fill="F7F7F8" w:color="auto" w:val="clear"/>
        </w:rPr>
        <w:t>professional help.</w:t>
      </w:r>
    </w:p>
    <w:p>
      <w:pPr>
        <w:spacing w:after="0"/>
        <w:sectPr>
          <w:pgSz w:w="12240" w:h="15840"/>
          <w:pgMar w:header="0" w:footer="765" w:top="1260" w:bottom="980" w:left="1400" w:right="1180"/>
        </w:sectPr>
      </w:pPr>
    </w:p>
    <w:p>
      <w:pPr>
        <w:pStyle w:val="BodyText"/>
        <w:spacing w:before="66"/>
        <w:ind w:left="280" w:right="502"/>
      </w:pPr>
      <w:r>
        <w:rPr/>
        <mc:AlternateContent>
          <mc:Choice Requires="wps">
            <w:drawing>
              <wp:anchor distT="0" distB="0" distL="0" distR="0" allowOverlap="1" layoutInCell="1" locked="0" behindDoc="1" simplePos="0" relativeHeight="487603712">
                <wp:simplePos x="0" y="0"/>
                <wp:positionH relativeFrom="page">
                  <wp:posOffset>1066800</wp:posOffset>
                </wp:positionH>
                <wp:positionV relativeFrom="paragraph">
                  <wp:posOffset>660314</wp:posOffset>
                </wp:positionV>
                <wp:extent cx="2823210" cy="787400"/>
                <wp:effectExtent l="0" t="0" r="0" b="0"/>
                <wp:wrapTopAndBottom/>
                <wp:docPr id="72" name="Group 72"/>
                <wp:cNvGraphicFramePr>
                  <a:graphicFrameLocks/>
                </wp:cNvGraphicFramePr>
                <a:graphic>
                  <a:graphicData uri="http://schemas.microsoft.com/office/word/2010/wordprocessingGroup">
                    <wpg:wgp>
                      <wpg:cNvPr id="72" name="Group 72"/>
                      <wpg:cNvGrpSpPr/>
                      <wpg:grpSpPr>
                        <a:xfrm>
                          <a:off x="0" y="0"/>
                          <a:ext cx="2823210" cy="787400"/>
                          <a:chExt cx="2823210" cy="787400"/>
                        </a:xfrm>
                      </wpg:grpSpPr>
                      <wps:wsp>
                        <wps:cNvPr id="73" name="Textbox 73"/>
                        <wps:cNvSpPr txBox="1"/>
                        <wps:spPr>
                          <a:xfrm>
                            <a:off x="0" y="393700"/>
                            <a:ext cx="2823210" cy="393700"/>
                          </a:xfrm>
                          <a:prstGeom prst="rect">
                            <a:avLst/>
                          </a:prstGeom>
                          <a:solidFill>
                            <a:srgbClr val="F7F7F8"/>
                          </a:solidFill>
                        </wps:spPr>
                        <wps:txbx>
                          <w:txbxContent>
                            <w:p>
                              <w:pPr>
                                <w:spacing w:line="308" w:lineRule="exact" w:before="0"/>
                                <w:ind w:left="0" w:right="-15" w:firstLine="0"/>
                                <w:jc w:val="left"/>
                                <w:rPr>
                                  <w:color w:val="000000"/>
                                  <w:sz w:val="28"/>
                                </w:rPr>
                              </w:pPr>
                              <w:r>
                                <w:rPr>
                                  <w:b/>
                                  <w:color w:val="665082"/>
                                  <w:sz w:val="28"/>
                                </w:rPr>
                                <w:t>Client:</w:t>
                              </w:r>
                              <w:r>
                                <w:rPr>
                                  <w:b/>
                                  <w:color w:val="665082"/>
                                  <w:spacing w:val="-7"/>
                                  <w:sz w:val="28"/>
                                </w:rPr>
                                <w:t> </w:t>
                              </w:r>
                              <w:r>
                                <w:rPr>
                                  <w:color w:val="374151"/>
                                  <w:sz w:val="28"/>
                                </w:rPr>
                                <w:t>Absolutely,</w:t>
                              </w:r>
                              <w:r>
                                <w:rPr>
                                  <w:color w:val="374151"/>
                                  <w:spacing w:val="-7"/>
                                  <w:sz w:val="28"/>
                                </w:rPr>
                                <w:t> </w:t>
                              </w:r>
                              <w:r>
                                <w:rPr>
                                  <w:color w:val="374151"/>
                                  <w:sz w:val="28"/>
                                </w:rPr>
                                <w:t>that</w:t>
                              </w:r>
                              <w:r>
                                <w:rPr>
                                  <w:color w:val="374151"/>
                                  <w:spacing w:val="-7"/>
                                  <w:sz w:val="28"/>
                                </w:rPr>
                                <w:t> </w:t>
                              </w:r>
                              <w:r>
                                <w:rPr>
                                  <w:color w:val="374151"/>
                                  <w:sz w:val="28"/>
                                </w:rPr>
                                <w:t>sounds</w:t>
                              </w:r>
                              <w:r>
                                <w:rPr>
                                  <w:color w:val="374151"/>
                                  <w:spacing w:val="-6"/>
                                  <w:sz w:val="28"/>
                                </w:rPr>
                                <w:t> </w:t>
                              </w:r>
                              <w:r>
                                <w:rPr>
                                  <w:color w:val="374151"/>
                                  <w:spacing w:val="-2"/>
                                  <w:sz w:val="28"/>
                                </w:rPr>
                                <w:t>helpful.</w:t>
                              </w:r>
                            </w:p>
                          </w:txbxContent>
                        </wps:txbx>
                        <wps:bodyPr wrap="square" lIns="0" tIns="0" rIns="0" bIns="0" rtlCol="0">
                          <a:noAutofit/>
                        </wps:bodyPr>
                      </wps:wsp>
                      <wps:wsp>
                        <wps:cNvPr id="74" name="Textbox 74"/>
                        <wps:cNvSpPr txBox="1"/>
                        <wps:spPr>
                          <a:xfrm>
                            <a:off x="0" y="0"/>
                            <a:ext cx="232092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to</w:t>
                              </w:r>
                              <w:r>
                                <w:rPr>
                                  <w:color w:val="374151"/>
                                  <w:spacing w:val="-2"/>
                                  <w:sz w:val="28"/>
                                </w:rPr>
                                <w:t> </w:t>
                              </w:r>
                              <w:r>
                                <w:rPr>
                                  <w:color w:val="374151"/>
                                  <w:sz w:val="28"/>
                                </w:rPr>
                                <w:t>your</w:t>
                              </w:r>
                              <w:r>
                                <w:rPr>
                                  <w:color w:val="374151"/>
                                  <w:spacing w:val="-1"/>
                                  <w:sz w:val="28"/>
                                </w:rPr>
                                <w:t> </w:t>
                              </w:r>
                              <w:r>
                                <w:rPr>
                                  <w:color w:val="374151"/>
                                  <w:sz w:val="28"/>
                                </w:rPr>
                                <w:t>experience.</w:t>
                              </w:r>
                              <w:r>
                                <w:rPr>
                                  <w:color w:val="374151"/>
                                  <w:spacing w:val="-2"/>
                                  <w:sz w:val="28"/>
                                </w:rPr>
                                <w:t> </w:t>
                              </w:r>
                              <w:r>
                                <w:rPr>
                                  <w:color w:val="374151"/>
                                  <w:sz w:val="28"/>
                                </w:rPr>
                                <w:t>Is</w:t>
                              </w:r>
                              <w:r>
                                <w:rPr>
                                  <w:color w:val="374151"/>
                                  <w:spacing w:val="-1"/>
                                  <w:sz w:val="28"/>
                                </w:rPr>
                                <w:t> </w:t>
                              </w:r>
                              <w:r>
                                <w:rPr>
                                  <w:color w:val="374151"/>
                                  <w:sz w:val="28"/>
                                </w:rPr>
                                <w:t>that</w:t>
                              </w:r>
                              <w:r>
                                <w:rPr>
                                  <w:color w:val="374151"/>
                                  <w:spacing w:val="-1"/>
                                  <w:sz w:val="28"/>
                                </w:rPr>
                                <w:t> </w:t>
                              </w:r>
                              <w:r>
                                <w:rPr>
                                  <w:color w:val="374151"/>
                                  <w:spacing w:val="-4"/>
                                  <w:sz w:val="28"/>
                                </w:rPr>
                                <w:t>okay?</w:t>
                              </w:r>
                            </w:p>
                          </w:txbxContent>
                        </wps:txbx>
                        <wps:bodyPr wrap="square" lIns="0" tIns="0" rIns="0" bIns="0" rtlCol="0">
                          <a:noAutofit/>
                        </wps:bodyPr>
                      </wps:wsp>
                    </wpg:wgp>
                  </a:graphicData>
                </a:graphic>
              </wp:anchor>
            </w:drawing>
          </mc:Choice>
          <mc:Fallback>
            <w:pict>
              <v:group style="position:absolute;margin-left:84pt;margin-top:51.993298pt;width:222.3pt;height:62pt;mso-position-horizontal-relative:page;mso-position-vertical-relative:paragraph;z-index:-15712768;mso-wrap-distance-left:0;mso-wrap-distance-right:0" id="docshapegroup71" coordorigin="1680,1040" coordsize="4446,1240">
                <v:shape style="position:absolute;left:1680;top:1659;width:4446;height:620" type="#_x0000_t202" id="docshape72" filled="true" fillcolor="#f7f7f8" stroked="false">
                  <v:textbox inset="0,0,0,0">
                    <w:txbxContent>
                      <w:p>
                        <w:pPr>
                          <w:spacing w:line="308" w:lineRule="exact" w:before="0"/>
                          <w:ind w:left="0" w:right="-15" w:firstLine="0"/>
                          <w:jc w:val="left"/>
                          <w:rPr>
                            <w:color w:val="000000"/>
                            <w:sz w:val="28"/>
                          </w:rPr>
                        </w:pPr>
                        <w:r>
                          <w:rPr>
                            <w:b/>
                            <w:color w:val="665082"/>
                            <w:sz w:val="28"/>
                          </w:rPr>
                          <w:t>Client:</w:t>
                        </w:r>
                        <w:r>
                          <w:rPr>
                            <w:b/>
                            <w:color w:val="665082"/>
                            <w:spacing w:val="-7"/>
                            <w:sz w:val="28"/>
                          </w:rPr>
                          <w:t> </w:t>
                        </w:r>
                        <w:r>
                          <w:rPr>
                            <w:color w:val="374151"/>
                            <w:sz w:val="28"/>
                          </w:rPr>
                          <w:t>Absolutely,</w:t>
                        </w:r>
                        <w:r>
                          <w:rPr>
                            <w:color w:val="374151"/>
                            <w:spacing w:val="-7"/>
                            <w:sz w:val="28"/>
                          </w:rPr>
                          <w:t> </w:t>
                        </w:r>
                        <w:r>
                          <w:rPr>
                            <w:color w:val="374151"/>
                            <w:sz w:val="28"/>
                          </w:rPr>
                          <w:t>that</w:t>
                        </w:r>
                        <w:r>
                          <w:rPr>
                            <w:color w:val="374151"/>
                            <w:spacing w:val="-7"/>
                            <w:sz w:val="28"/>
                          </w:rPr>
                          <w:t> </w:t>
                        </w:r>
                        <w:r>
                          <w:rPr>
                            <w:color w:val="374151"/>
                            <w:sz w:val="28"/>
                          </w:rPr>
                          <w:t>sounds</w:t>
                        </w:r>
                        <w:r>
                          <w:rPr>
                            <w:color w:val="374151"/>
                            <w:spacing w:val="-6"/>
                            <w:sz w:val="28"/>
                          </w:rPr>
                          <w:t> </w:t>
                        </w:r>
                        <w:r>
                          <w:rPr>
                            <w:color w:val="374151"/>
                            <w:spacing w:val="-2"/>
                            <w:sz w:val="28"/>
                          </w:rPr>
                          <w:t>helpful.</w:t>
                        </w:r>
                      </w:p>
                    </w:txbxContent>
                  </v:textbox>
                  <v:fill type="solid"/>
                  <w10:wrap type="none"/>
                </v:shape>
                <v:shape style="position:absolute;left:1680;top:1039;width:3655;height:620" type="#_x0000_t202" id="docshape73" filled="true" fillcolor="#f7f7f8" stroked="false">
                  <v:textbox inset="0,0,0,0">
                    <w:txbxContent>
                      <w:p>
                        <w:pPr>
                          <w:spacing w:line="308" w:lineRule="exact" w:before="0"/>
                          <w:ind w:left="0" w:right="-15" w:firstLine="0"/>
                          <w:jc w:val="left"/>
                          <w:rPr>
                            <w:color w:val="000000"/>
                            <w:sz w:val="28"/>
                          </w:rPr>
                        </w:pPr>
                        <w:r>
                          <w:rPr>
                            <w:color w:val="374151"/>
                            <w:sz w:val="28"/>
                          </w:rPr>
                          <w:t>to</w:t>
                        </w:r>
                        <w:r>
                          <w:rPr>
                            <w:color w:val="374151"/>
                            <w:spacing w:val="-2"/>
                            <w:sz w:val="28"/>
                          </w:rPr>
                          <w:t> </w:t>
                        </w:r>
                        <w:r>
                          <w:rPr>
                            <w:color w:val="374151"/>
                            <w:sz w:val="28"/>
                          </w:rPr>
                          <w:t>your</w:t>
                        </w:r>
                        <w:r>
                          <w:rPr>
                            <w:color w:val="374151"/>
                            <w:spacing w:val="-1"/>
                            <w:sz w:val="28"/>
                          </w:rPr>
                          <w:t> </w:t>
                        </w:r>
                        <w:r>
                          <w:rPr>
                            <w:color w:val="374151"/>
                            <w:sz w:val="28"/>
                          </w:rPr>
                          <w:t>experience.</w:t>
                        </w:r>
                        <w:r>
                          <w:rPr>
                            <w:color w:val="374151"/>
                            <w:spacing w:val="-2"/>
                            <w:sz w:val="28"/>
                          </w:rPr>
                          <w:t> </w:t>
                        </w:r>
                        <w:r>
                          <w:rPr>
                            <w:color w:val="374151"/>
                            <w:sz w:val="28"/>
                          </w:rPr>
                          <w:t>Is</w:t>
                        </w:r>
                        <w:r>
                          <w:rPr>
                            <w:color w:val="374151"/>
                            <w:spacing w:val="-1"/>
                            <w:sz w:val="28"/>
                          </w:rPr>
                          <w:t> </w:t>
                        </w:r>
                        <w:r>
                          <w:rPr>
                            <w:color w:val="374151"/>
                            <w:sz w:val="28"/>
                          </w:rPr>
                          <w:t>that</w:t>
                        </w:r>
                        <w:r>
                          <w:rPr>
                            <w:color w:val="374151"/>
                            <w:spacing w:val="-1"/>
                            <w:sz w:val="28"/>
                          </w:rPr>
                          <w:t> </w:t>
                        </w:r>
                        <w:r>
                          <w:rPr>
                            <w:color w:val="374151"/>
                            <w:spacing w:val="-4"/>
                            <w:sz w:val="28"/>
                          </w:rPr>
                          <w:t>okay?</w:t>
                        </w:r>
                      </w:p>
                    </w:txbxContent>
                  </v:textbox>
                  <v:fill type="solid"/>
                  <w10:wrap type="none"/>
                </v:shape>
                <w10:wrap type="topAndBottom"/>
              </v:group>
            </w:pict>
          </mc:Fallback>
        </mc:AlternateContent>
      </w:r>
      <w:r>
        <w:rPr>
          <w:b/>
          <w:color w:val="665082"/>
          <w:shd w:fill="F7F7F8" w:color="auto" w:val="clear"/>
        </w:rPr>
        <w:t>Therapist: </w:t>
      </w:r>
      <w:r>
        <w:rPr>
          <w:color w:val="374151"/>
          <w:shd w:fill="F7F7F8" w:color="auto" w:val="clear"/>
        </w:rPr>
        <w:t>I'm glad you reached out. Let's start by using the Cultural </w:t>
      </w:r>
      <w:r>
        <w:rPr>
          <w:color w:val="374151"/>
        </w:rPr>
        <w:t> </w:t>
      </w:r>
      <w:r>
        <w:rPr>
          <w:color w:val="374151"/>
          <w:shd w:fill="F7F7F8" w:color="auto" w:val="clear"/>
        </w:rPr>
        <w:t>Formulation Interview (CFI) to gain a comprehensive understanding of your </w:t>
      </w:r>
      <w:r>
        <w:rPr>
          <w:color w:val="374151"/>
        </w:rPr>
        <w:t> </w:t>
      </w:r>
      <w:r>
        <w:rPr>
          <w:color w:val="374151"/>
          <w:shd w:fill="F7F7F8" w:color="auto" w:val="clear"/>
        </w:rPr>
        <w:t>concerns.</w:t>
      </w:r>
      <w:r>
        <w:rPr>
          <w:color w:val="374151"/>
          <w:spacing w:val="-9"/>
          <w:shd w:fill="F7F7F8" w:color="auto" w:val="clear"/>
        </w:rPr>
        <w:t> </w:t>
      </w:r>
      <w:r>
        <w:rPr>
          <w:color w:val="374151"/>
          <w:shd w:fill="F7F7F8" w:color="auto" w:val="clear"/>
        </w:rPr>
        <w:t>This</w:t>
      </w:r>
      <w:r>
        <w:rPr>
          <w:color w:val="374151"/>
          <w:spacing w:val="-3"/>
          <w:shd w:fill="F7F7F8" w:color="auto" w:val="clear"/>
        </w:rPr>
        <w:t> </w:t>
      </w:r>
      <w:r>
        <w:rPr>
          <w:color w:val="374151"/>
          <w:shd w:fill="F7F7F8" w:color="auto" w:val="clear"/>
        </w:rPr>
        <w:t>will</w:t>
      </w:r>
      <w:r>
        <w:rPr>
          <w:color w:val="374151"/>
          <w:spacing w:val="-3"/>
          <w:shd w:fill="F7F7F8" w:color="auto" w:val="clear"/>
        </w:rPr>
        <w:t> </w:t>
      </w:r>
      <w:r>
        <w:rPr>
          <w:color w:val="374151"/>
          <w:shd w:fill="F7F7F8" w:color="auto" w:val="clear"/>
        </w:rPr>
        <w:t>help</w:t>
      </w:r>
      <w:r>
        <w:rPr>
          <w:color w:val="374151"/>
          <w:spacing w:val="-3"/>
          <w:shd w:fill="F7F7F8" w:color="auto" w:val="clear"/>
        </w:rPr>
        <w:t> </w:t>
      </w:r>
      <w:r>
        <w:rPr>
          <w:color w:val="374151"/>
          <w:shd w:fill="F7F7F8" w:color="auto" w:val="clear"/>
        </w:rPr>
        <w:t>me</w:t>
      </w:r>
      <w:r>
        <w:rPr>
          <w:color w:val="374151"/>
          <w:spacing w:val="-4"/>
          <w:shd w:fill="F7F7F8" w:color="auto" w:val="clear"/>
        </w:rPr>
        <w:t> </w:t>
      </w:r>
      <w:r>
        <w:rPr>
          <w:color w:val="374151"/>
          <w:shd w:fill="F7F7F8" w:color="auto" w:val="clear"/>
        </w:rPr>
        <w:t>consider</w:t>
      </w:r>
      <w:r>
        <w:rPr>
          <w:color w:val="374151"/>
          <w:spacing w:val="-3"/>
          <w:shd w:fill="F7F7F8" w:color="auto" w:val="clear"/>
        </w:rPr>
        <w:t> </w:t>
      </w:r>
      <w:r>
        <w:rPr>
          <w:color w:val="374151"/>
          <w:shd w:fill="F7F7F8" w:color="auto" w:val="clear"/>
        </w:rPr>
        <w:t>any</w:t>
      </w:r>
      <w:r>
        <w:rPr>
          <w:color w:val="374151"/>
          <w:spacing w:val="-3"/>
          <w:shd w:fill="F7F7F8" w:color="auto" w:val="clear"/>
        </w:rPr>
        <w:t> </w:t>
      </w:r>
      <w:r>
        <w:rPr>
          <w:color w:val="374151"/>
          <w:shd w:fill="F7F7F8" w:color="auto" w:val="clear"/>
        </w:rPr>
        <w:t>cultural</w:t>
      </w:r>
      <w:r>
        <w:rPr>
          <w:color w:val="374151"/>
          <w:spacing w:val="-3"/>
          <w:shd w:fill="F7F7F8" w:color="auto" w:val="clear"/>
        </w:rPr>
        <w:t> </w:t>
      </w:r>
      <w:r>
        <w:rPr>
          <w:color w:val="374151"/>
          <w:shd w:fill="F7F7F8" w:color="auto" w:val="clear"/>
        </w:rPr>
        <w:t>factors</w:t>
      </w:r>
      <w:r>
        <w:rPr>
          <w:color w:val="374151"/>
          <w:spacing w:val="-3"/>
          <w:shd w:fill="F7F7F8" w:color="auto" w:val="clear"/>
        </w:rPr>
        <w:t> </w:t>
      </w:r>
      <w:r>
        <w:rPr>
          <w:color w:val="374151"/>
          <w:shd w:fill="F7F7F8" w:color="auto" w:val="clear"/>
        </w:rPr>
        <w:t>that</w:t>
      </w:r>
      <w:r>
        <w:rPr>
          <w:color w:val="374151"/>
          <w:spacing w:val="-3"/>
          <w:shd w:fill="F7F7F8" w:color="auto" w:val="clear"/>
        </w:rPr>
        <w:t> </w:t>
      </w:r>
      <w:r>
        <w:rPr>
          <w:color w:val="374151"/>
          <w:shd w:fill="F7F7F8" w:color="auto" w:val="clear"/>
        </w:rPr>
        <w:t>might</w:t>
      </w:r>
      <w:r>
        <w:rPr>
          <w:color w:val="374151"/>
          <w:spacing w:val="-3"/>
          <w:shd w:fill="F7F7F8" w:color="auto" w:val="clear"/>
        </w:rPr>
        <w:t> </w:t>
      </w:r>
      <w:r>
        <w:rPr>
          <w:color w:val="374151"/>
          <w:shd w:fill="F7F7F8" w:color="auto" w:val="clear"/>
        </w:rPr>
        <w:t>be</w:t>
      </w:r>
      <w:r>
        <w:rPr>
          <w:color w:val="374151"/>
          <w:spacing w:val="-4"/>
          <w:shd w:fill="F7F7F8" w:color="auto" w:val="clear"/>
        </w:rPr>
        <w:t> </w:t>
      </w:r>
      <w:r>
        <w:rPr>
          <w:color w:val="374151"/>
          <w:shd w:fill="F7F7F8" w:color="auto" w:val="clear"/>
        </w:rPr>
        <w:t>relevant</w:t>
      </w:r>
    </w:p>
    <w:p>
      <w:pPr>
        <w:pStyle w:val="BodyText"/>
        <w:spacing w:line="237" w:lineRule="auto" w:after="2"/>
        <w:ind w:left="280" w:right="502"/>
      </w:pPr>
      <w:r>
        <w:rPr>
          <w:b/>
          <w:color w:val="665082"/>
          <w:shd w:fill="F7F7F8" w:color="auto" w:val="clear"/>
        </w:rPr>
        <w:t>Therapist: </w:t>
      </w:r>
      <w:r>
        <w:rPr>
          <w:color w:val="374151"/>
          <w:shd w:fill="F7F7F8" w:color="auto" w:val="clear"/>
        </w:rPr>
        <w:t>Great. Let's begin with Domain 1, Cultural Definition of the </w:t>
      </w:r>
      <w:r>
        <w:rPr>
          <w:color w:val="374151"/>
        </w:rPr>
        <w:t> </w:t>
      </w:r>
      <w:r>
        <w:rPr>
          <w:color w:val="374151"/>
          <w:shd w:fill="F7F7F8" w:color="auto" w:val="clear"/>
        </w:rPr>
        <w:t>Problem. How would you describe the specific sexual difficulties you've been</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523240" cy="393700"/>
                <wp:effectExtent l="0" t="0" r="0" b="0"/>
                <wp:docPr id="75" name="Textbox 75"/>
                <wp:cNvGraphicFramePr>
                  <a:graphicFrameLocks/>
                </wp:cNvGraphicFramePr>
                <a:graphic>
                  <a:graphicData uri="http://schemas.microsoft.com/office/word/2010/wordprocessingShape">
                    <wps:wsp>
                      <wps:cNvPr id="75" name="Textbox 75"/>
                      <wps:cNvSpPr txBox="1"/>
                      <wps:spPr>
                        <a:xfrm>
                          <a:off x="0" y="0"/>
                          <a:ext cx="523240" cy="393700"/>
                        </a:xfrm>
                        <a:prstGeom prst="rect">
                          <a:avLst/>
                        </a:prstGeom>
                        <a:solidFill>
                          <a:srgbClr val="F7F7F8"/>
                        </a:solidFill>
                      </wps:spPr>
                      <wps:txbx>
                        <w:txbxContent>
                          <w:p>
                            <w:pPr>
                              <w:pStyle w:val="BodyText"/>
                              <w:spacing w:line="308" w:lineRule="exact"/>
                              <w:ind w:right="-15"/>
                              <w:rPr>
                                <w:color w:val="000000"/>
                              </w:rPr>
                            </w:pPr>
                            <w:r>
                              <w:rPr>
                                <w:color w:val="374151"/>
                                <w:spacing w:val="-2"/>
                              </w:rPr>
                              <w:t>facing?</w:t>
                            </w:r>
                          </w:p>
                        </w:txbxContent>
                      </wps:txbx>
                      <wps:bodyPr wrap="square" lIns="0" tIns="0" rIns="0" bIns="0" rtlCol="0">
                        <a:noAutofit/>
                      </wps:bodyPr>
                    </wps:wsp>
                  </a:graphicData>
                </a:graphic>
              </wp:inline>
            </w:drawing>
          </mc:Choice>
          <mc:Fallback>
            <w:pict>
              <v:shape style="width:41.2pt;height:31pt;mso-position-horizontal-relative:char;mso-position-vertical-relative:line" type="#_x0000_t202" id="docshape74" filled="true" fillcolor="#f7f7f8" stroked="false">
                <w10:anchorlock/>
                <v:textbox inset="0,0,0,0">
                  <w:txbxContent>
                    <w:p>
                      <w:pPr>
                        <w:pStyle w:val="BodyText"/>
                        <w:spacing w:line="308" w:lineRule="exact"/>
                        <w:ind w:right="-15"/>
                        <w:rPr>
                          <w:color w:val="000000"/>
                        </w:rPr>
                      </w:pPr>
                      <w:r>
                        <w:rPr>
                          <w:color w:val="374151"/>
                          <w:spacing w:val="-2"/>
                        </w:rPr>
                        <w:t>facing?</w:t>
                      </w:r>
                    </w:p>
                  </w:txbxContent>
                </v:textbox>
                <v:fill type="solid"/>
              </v:shape>
            </w:pict>
          </mc:Fallback>
        </mc:AlternateContent>
      </w:r>
      <w:r>
        <w:rPr>
          <w:sz w:val="20"/>
        </w:rPr>
      </w:r>
    </w:p>
    <w:p>
      <w:pPr>
        <w:pStyle w:val="BodyText"/>
        <w:spacing w:line="282" w:lineRule="exact"/>
        <w:ind w:left="280"/>
      </w:pPr>
      <w:r>
        <w:rPr>
          <w:b/>
          <w:color w:val="665082"/>
          <w:shd w:fill="F7F7F8" w:color="auto" w:val="clear"/>
        </w:rPr>
        <w:t>Client:</w:t>
      </w:r>
      <w:r>
        <w:rPr>
          <w:b/>
          <w:color w:val="665082"/>
          <w:spacing w:val="-12"/>
          <w:shd w:fill="F7F7F8" w:color="auto" w:val="clear"/>
        </w:rPr>
        <w:t> </w:t>
      </w:r>
      <w:r>
        <w:rPr>
          <w:color w:val="374151"/>
          <w:shd w:fill="F7F7F8" w:color="auto" w:val="clear"/>
        </w:rPr>
        <w:t>Well,</w:t>
      </w:r>
      <w:r>
        <w:rPr>
          <w:color w:val="374151"/>
          <w:spacing w:val="-4"/>
          <w:shd w:fill="F7F7F8" w:color="auto" w:val="clear"/>
        </w:rPr>
        <w:t> </w:t>
      </w:r>
      <w:r>
        <w:rPr>
          <w:color w:val="374151"/>
          <w:shd w:fill="F7F7F8" w:color="auto" w:val="clear"/>
        </w:rPr>
        <w:t>I've</w:t>
      </w:r>
      <w:r>
        <w:rPr>
          <w:color w:val="374151"/>
          <w:spacing w:val="-5"/>
          <w:shd w:fill="F7F7F8" w:color="auto" w:val="clear"/>
        </w:rPr>
        <w:t> </w:t>
      </w:r>
      <w:r>
        <w:rPr>
          <w:color w:val="374151"/>
          <w:shd w:fill="F7F7F8" w:color="auto" w:val="clear"/>
        </w:rPr>
        <w:t>been</w:t>
      </w:r>
      <w:r>
        <w:rPr>
          <w:color w:val="374151"/>
          <w:spacing w:val="-5"/>
          <w:shd w:fill="F7F7F8" w:color="auto" w:val="clear"/>
        </w:rPr>
        <w:t> </w:t>
      </w:r>
      <w:r>
        <w:rPr>
          <w:color w:val="374151"/>
          <w:shd w:fill="F7F7F8" w:color="auto" w:val="clear"/>
        </w:rPr>
        <w:t>having</w:t>
      </w:r>
      <w:r>
        <w:rPr>
          <w:color w:val="374151"/>
          <w:spacing w:val="-4"/>
          <w:shd w:fill="F7F7F8" w:color="auto" w:val="clear"/>
        </w:rPr>
        <w:t> </w:t>
      </w:r>
      <w:r>
        <w:rPr>
          <w:color w:val="374151"/>
          <w:shd w:fill="F7F7F8" w:color="auto" w:val="clear"/>
        </w:rPr>
        <w:t>trouble</w:t>
      </w:r>
      <w:r>
        <w:rPr>
          <w:color w:val="374151"/>
          <w:spacing w:val="-5"/>
          <w:shd w:fill="F7F7F8" w:color="auto" w:val="clear"/>
        </w:rPr>
        <w:t> </w:t>
      </w:r>
      <w:r>
        <w:rPr>
          <w:color w:val="374151"/>
          <w:shd w:fill="F7F7F8" w:color="auto" w:val="clear"/>
        </w:rPr>
        <w:t>with</w:t>
      </w:r>
      <w:r>
        <w:rPr>
          <w:color w:val="374151"/>
          <w:spacing w:val="-4"/>
          <w:shd w:fill="F7F7F8" w:color="auto" w:val="clear"/>
        </w:rPr>
        <w:t> </w:t>
      </w:r>
      <w:r>
        <w:rPr>
          <w:color w:val="374151"/>
          <w:shd w:fill="F7F7F8" w:color="auto" w:val="clear"/>
        </w:rPr>
        <w:t>arousal</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reaching</w:t>
      </w:r>
      <w:r>
        <w:rPr>
          <w:color w:val="374151"/>
          <w:spacing w:val="-4"/>
          <w:shd w:fill="F7F7F8" w:color="auto" w:val="clear"/>
        </w:rPr>
        <w:t> </w:t>
      </w:r>
      <w:r>
        <w:rPr>
          <w:color w:val="374151"/>
          <w:shd w:fill="F7F7F8" w:color="auto" w:val="clear"/>
        </w:rPr>
        <w:t>orgasm.</w:t>
      </w:r>
      <w:r>
        <w:rPr>
          <w:color w:val="374151"/>
          <w:spacing w:val="-4"/>
          <w:shd w:fill="F7F7F8" w:color="auto" w:val="clear"/>
        </w:rPr>
        <w:t> It's</w:t>
      </w:r>
      <w:r>
        <w:rPr>
          <w:color w:val="374151"/>
          <w:spacing w:val="40"/>
          <w:shd w:fill="F7F7F8" w:color="auto" w:val="clear"/>
        </w:rPr>
        <w:t> </w:t>
      </w:r>
    </w:p>
    <w:p>
      <w:pPr>
        <w:pStyle w:val="BodyText"/>
        <w:spacing w:line="321" w:lineRule="exact"/>
        <w:ind w:left="280"/>
      </w:pPr>
      <w:r>
        <w:rPr/>
        <mc:AlternateContent>
          <mc:Choice Requires="wps">
            <w:drawing>
              <wp:anchor distT="0" distB="0" distL="0" distR="0" allowOverlap="1" layoutInCell="1" locked="0" behindDoc="1" simplePos="0" relativeHeight="487604736">
                <wp:simplePos x="0" y="0"/>
                <wp:positionH relativeFrom="page">
                  <wp:posOffset>1066800</wp:posOffset>
                </wp:positionH>
                <wp:positionV relativeFrom="paragraph">
                  <wp:posOffset>208906</wp:posOffset>
                </wp:positionV>
                <wp:extent cx="1193165" cy="393700"/>
                <wp:effectExtent l="0" t="0" r="0" b="0"/>
                <wp:wrapTopAndBottom/>
                <wp:docPr id="76" name="Textbox 76"/>
                <wp:cNvGraphicFramePr>
                  <a:graphicFrameLocks/>
                </wp:cNvGraphicFramePr>
                <a:graphic>
                  <a:graphicData uri="http://schemas.microsoft.com/office/word/2010/wordprocessingShape">
                    <wps:wsp>
                      <wps:cNvPr id="76" name="Textbox 76"/>
                      <wps:cNvSpPr txBox="1"/>
                      <wps:spPr>
                        <a:xfrm>
                          <a:off x="0" y="0"/>
                          <a:ext cx="1193165" cy="393700"/>
                        </a:xfrm>
                        <a:prstGeom prst="rect">
                          <a:avLst/>
                        </a:prstGeom>
                        <a:solidFill>
                          <a:srgbClr val="F7F7F8"/>
                        </a:solidFill>
                      </wps:spPr>
                      <wps:txbx>
                        <w:txbxContent>
                          <w:p>
                            <w:pPr>
                              <w:pStyle w:val="BodyText"/>
                              <w:spacing w:line="308" w:lineRule="exact"/>
                              <w:ind w:right="-15"/>
                              <w:rPr>
                                <w:color w:val="000000"/>
                              </w:rPr>
                            </w:pPr>
                            <w:r>
                              <w:rPr>
                                <w:color w:val="374151"/>
                              </w:rPr>
                              <w:t>overall</w:t>
                            </w:r>
                            <w:r>
                              <w:rPr>
                                <w:color w:val="374151"/>
                                <w:spacing w:val="-2"/>
                              </w:rPr>
                              <w:t> intimacy.</w:t>
                            </w:r>
                          </w:p>
                        </w:txbxContent>
                      </wps:txbx>
                      <wps:bodyPr wrap="square" lIns="0" tIns="0" rIns="0" bIns="0" rtlCol="0">
                        <a:noAutofit/>
                      </wps:bodyPr>
                    </wps:wsp>
                  </a:graphicData>
                </a:graphic>
              </wp:anchor>
            </w:drawing>
          </mc:Choice>
          <mc:Fallback>
            <w:pict>
              <v:shape style="position:absolute;margin-left:84pt;margin-top:16.449316pt;width:93.95pt;height:31pt;mso-position-horizontal-relative:page;mso-position-vertical-relative:paragraph;z-index:-15711744;mso-wrap-distance-left:0;mso-wrap-distance-right:0" type="#_x0000_t202" id="docshape75" filled="true" fillcolor="#f7f7f8" stroked="false">
                <v:textbox inset="0,0,0,0">
                  <w:txbxContent>
                    <w:p>
                      <w:pPr>
                        <w:pStyle w:val="BodyText"/>
                        <w:spacing w:line="308" w:lineRule="exact"/>
                        <w:ind w:right="-15"/>
                        <w:rPr>
                          <w:color w:val="000000"/>
                        </w:rPr>
                      </w:pPr>
                      <w:r>
                        <w:rPr>
                          <w:color w:val="374151"/>
                        </w:rPr>
                        <w:t>overall</w:t>
                      </w:r>
                      <w:r>
                        <w:rPr>
                          <w:color w:val="374151"/>
                          <w:spacing w:val="-2"/>
                        </w:rPr>
                        <w:t> intimacy.</w:t>
                      </w:r>
                    </w:p>
                  </w:txbxContent>
                </v:textbox>
                <v:fill type="solid"/>
                <w10:wrap type="topAndBottom"/>
              </v:shape>
            </w:pict>
          </mc:Fallback>
        </mc:AlternateContent>
      </w:r>
      <w:r>
        <w:rPr>
          <w:color w:val="374151"/>
          <w:shd w:fill="F7F7F8" w:color="auto" w:val="clear"/>
        </w:rPr>
        <w:t>been</w:t>
      </w:r>
      <w:r>
        <w:rPr>
          <w:color w:val="374151"/>
          <w:spacing w:val="-5"/>
          <w:shd w:fill="F7F7F8" w:color="auto" w:val="clear"/>
        </w:rPr>
        <w:t> </w:t>
      </w:r>
      <w:r>
        <w:rPr>
          <w:color w:val="374151"/>
          <w:shd w:fill="F7F7F8" w:color="auto" w:val="clear"/>
        </w:rPr>
        <w:t>going</w:t>
      </w:r>
      <w:r>
        <w:rPr>
          <w:color w:val="374151"/>
          <w:spacing w:val="-3"/>
          <w:shd w:fill="F7F7F8" w:color="auto" w:val="clear"/>
        </w:rPr>
        <w:t> </w:t>
      </w:r>
      <w:r>
        <w:rPr>
          <w:color w:val="374151"/>
          <w:shd w:fill="F7F7F8" w:color="auto" w:val="clear"/>
        </w:rPr>
        <w:t>on</w:t>
      </w:r>
      <w:r>
        <w:rPr>
          <w:color w:val="374151"/>
          <w:spacing w:val="-3"/>
          <w:shd w:fill="F7F7F8" w:color="auto" w:val="clear"/>
        </w:rPr>
        <w:t> </w:t>
      </w:r>
      <w:r>
        <w:rPr>
          <w:color w:val="374151"/>
          <w:shd w:fill="F7F7F8" w:color="auto" w:val="clear"/>
        </w:rPr>
        <w:t>for</w:t>
      </w:r>
      <w:r>
        <w:rPr>
          <w:color w:val="374151"/>
          <w:spacing w:val="-3"/>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few</w:t>
      </w:r>
      <w:r>
        <w:rPr>
          <w:color w:val="374151"/>
          <w:spacing w:val="-3"/>
          <w:shd w:fill="F7F7F8" w:color="auto" w:val="clear"/>
        </w:rPr>
        <w:t> </w:t>
      </w:r>
      <w:r>
        <w:rPr>
          <w:color w:val="374151"/>
          <w:shd w:fill="F7F7F8" w:color="auto" w:val="clear"/>
        </w:rPr>
        <w:t>months</w:t>
      </w:r>
      <w:r>
        <w:rPr>
          <w:color w:val="374151"/>
          <w:spacing w:val="-2"/>
          <w:shd w:fill="F7F7F8" w:color="auto" w:val="clear"/>
        </w:rPr>
        <w:t> </w:t>
      </w:r>
      <w:r>
        <w:rPr>
          <w:color w:val="374151"/>
          <w:shd w:fill="F7F7F8" w:color="auto" w:val="clear"/>
        </w:rPr>
        <w:t>now,</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it's</w:t>
      </w:r>
      <w:r>
        <w:rPr>
          <w:color w:val="374151"/>
          <w:spacing w:val="-3"/>
          <w:shd w:fill="F7F7F8" w:color="auto" w:val="clear"/>
        </w:rPr>
        <w:t> </w:t>
      </w:r>
      <w:r>
        <w:rPr>
          <w:color w:val="374151"/>
          <w:shd w:fill="F7F7F8" w:color="auto" w:val="clear"/>
        </w:rPr>
        <w:t>affecting</w:t>
      </w:r>
      <w:r>
        <w:rPr>
          <w:color w:val="374151"/>
          <w:spacing w:val="-3"/>
          <w:shd w:fill="F7F7F8" w:color="auto" w:val="clear"/>
        </w:rPr>
        <w:t> </w:t>
      </w:r>
      <w:r>
        <w:rPr>
          <w:color w:val="374151"/>
          <w:shd w:fill="F7F7F8" w:color="auto" w:val="clear"/>
        </w:rPr>
        <w:t>my</w:t>
      </w:r>
      <w:r>
        <w:rPr>
          <w:color w:val="374151"/>
          <w:spacing w:val="-3"/>
          <w:shd w:fill="F7F7F8" w:color="auto" w:val="clear"/>
        </w:rPr>
        <w:t> </w:t>
      </w:r>
      <w:r>
        <w:rPr>
          <w:color w:val="374151"/>
          <w:shd w:fill="F7F7F8" w:color="auto" w:val="clear"/>
        </w:rPr>
        <w:t>self-esteem</w:t>
      </w:r>
      <w:r>
        <w:rPr>
          <w:color w:val="374151"/>
          <w:spacing w:val="-3"/>
          <w:shd w:fill="F7F7F8" w:color="auto" w:val="clear"/>
        </w:rPr>
        <w:t> </w:t>
      </w:r>
      <w:r>
        <w:rPr>
          <w:color w:val="374151"/>
          <w:shd w:fill="F7F7F8" w:color="auto" w:val="clear"/>
        </w:rPr>
        <w:t>and</w:t>
      </w:r>
      <w:r>
        <w:rPr>
          <w:color w:val="374151"/>
          <w:spacing w:val="-2"/>
          <w:shd w:fill="F7F7F8" w:color="auto" w:val="clear"/>
        </w:rPr>
        <w:t> </w:t>
      </w:r>
      <w:r>
        <w:rPr>
          <w:color w:val="374151"/>
          <w:spacing w:val="-5"/>
          <w:shd w:fill="F7F7F8" w:color="auto" w:val="clear"/>
        </w:rPr>
        <w:t>our</w:t>
      </w:r>
      <w:r>
        <w:rPr>
          <w:color w:val="374151"/>
          <w:spacing w:val="40"/>
          <w:shd w:fill="F7F7F8" w:color="auto" w:val="clear"/>
        </w:rPr>
        <w:t> </w:t>
      </w:r>
    </w:p>
    <w:p>
      <w:pPr>
        <w:pStyle w:val="BodyText"/>
        <w:spacing w:line="237" w:lineRule="auto" w:after="6"/>
        <w:ind w:left="280" w:right="502"/>
      </w:pPr>
      <w:r>
        <w:rPr>
          <w:b/>
          <w:color w:val="665082"/>
          <w:shd w:fill="F7F7F8" w:color="auto" w:val="clear"/>
        </w:rPr>
        <w:t>Therapist:</w:t>
      </w:r>
      <w:r>
        <w:rPr>
          <w:b/>
          <w:color w:val="665082"/>
          <w:spacing w:val="-5"/>
          <w:shd w:fill="F7F7F8" w:color="auto" w:val="clear"/>
        </w:rPr>
        <w:t> </w:t>
      </w:r>
      <w:r>
        <w:rPr>
          <w:color w:val="374151"/>
          <w:shd w:fill="F7F7F8" w:color="auto" w:val="clear"/>
        </w:rPr>
        <w:t>Thank</w:t>
      </w:r>
      <w:r>
        <w:rPr>
          <w:color w:val="374151"/>
          <w:spacing w:val="-5"/>
          <w:shd w:fill="F7F7F8" w:color="auto" w:val="clear"/>
        </w:rPr>
        <w:t> </w:t>
      </w:r>
      <w:r>
        <w:rPr>
          <w:color w:val="374151"/>
          <w:shd w:fill="F7F7F8" w:color="auto" w:val="clear"/>
        </w:rPr>
        <w:t>you</w:t>
      </w:r>
      <w:r>
        <w:rPr>
          <w:color w:val="374151"/>
          <w:spacing w:val="-5"/>
          <w:shd w:fill="F7F7F8" w:color="auto" w:val="clear"/>
        </w:rPr>
        <w:t> </w:t>
      </w:r>
      <w:r>
        <w:rPr>
          <w:color w:val="374151"/>
          <w:shd w:fill="F7F7F8" w:color="auto" w:val="clear"/>
        </w:rPr>
        <w:t>for</w:t>
      </w:r>
      <w:r>
        <w:rPr>
          <w:color w:val="374151"/>
          <w:spacing w:val="-5"/>
          <w:shd w:fill="F7F7F8" w:color="auto" w:val="clear"/>
        </w:rPr>
        <w:t> </w:t>
      </w:r>
      <w:r>
        <w:rPr>
          <w:color w:val="374151"/>
          <w:shd w:fill="F7F7F8" w:color="auto" w:val="clear"/>
        </w:rPr>
        <w:t>sharing</w:t>
      </w:r>
      <w:r>
        <w:rPr>
          <w:color w:val="374151"/>
          <w:spacing w:val="-5"/>
          <w:shd w:fill="F7F7F8" w:color="auto" w:val="clear"/>
        </w:rPr>
        <w:t> </w:t>
      </w:r>
      <w:r>
        <w:rPr>
          <w:color w:val="374151"/>
          <w:shd w:fill="F7F7F8" w:color="auto" w:val="clear"/>
        </w:rPr>
        <w:t>that.</w:t>
      </w:r>
      <w:r>
        <w:rPr>
          <w:color w:val="374151"/>
          <w:spacing w:val="-5"/>
          <w:shd w:fill="F7F7F8" w:color="auto" w:val="clear"/>
        </w:rPr>
        <w:t> </w:t>
      </w:r>
      <w:r>
        <w:rPr>
          <w:color w:val="374151"/>
          <w:shd w:fill="F7F7F8" w:color="auto" w:val="clear"/>
        </w:rPr>
        <w:t>Now,</w:t>
      </w:r>
      <w:r>
        <w:rPr>
          <w:color w:val="374151"/>
          <w:spacing w:val="-5"/>
          <w:shd w:fill="F7F7F8" w:color="auto" w:val="clear"/>
        </w:rPr>
        <w:t> </w:t>
      </w:r>
      <w:r>
        <w:rPr>
          <w:color w:val="374151"/>
          <w:shd w:fill="F7F7F8" w:color="auto" w:val="clear"/>
        </w:rPr>
        <w:t>let's</w:t>
      </w:r>
      <w:r>
        <w:rPr>
          <w:color w:val="374151"/>
          <w:spacing w:val="-5"/>
          <w:shd w:fill="F7F7F8" w:color="auto" w:val="clear"/>
        </w:rPr>
        <w:t> </w:t>
      </w:r>
      <w:r>
        <w:rPr>
          <w:color w:val="374151"/>
          <w:shd w:fill="F7F7F8" w:color="auto" w:val="clear"/>
        </w:rPr>
        <w:t>move</w:t>
      </w:r>
      <w:r>
        <w:rPr>
          <w:color w:val="374151"/>
          <w:spacing w:val="-6"/>
          <w:shd w:fill="F7F7F8" w:color="auto" w:val="clear"/>
        </w:rPr>
        <w:t> </w:t>
      </w:r>
      <w:r>
        <w:rPr>
          <w:color w:val="374151"/>
          <w:shd w:fill="F7F7F8" w:color="auto" w:val="clear"/>
        </w:rPr>
        <w:t>on</w:t>
      </w:r>
      <w:r>
        <w:rPr>
          <w:color w:val="374151"/>
          <w:spacing w:val="-5"/>
          <w:shd w:fill="F7F7F8" w:color="auto" w:val="clear"/>
        </w:rPr>
        <w:t> </w:t>
      </w:r>
      <w:r>
        <w:rPr>
          <w:color w:val="374151"/>
          <w:shd w:fill="F7F7F8" w:color="auto" w:val="clear"/>
        </w:rPr>
        <w:t>to</w:t>
      </w:r>
      <w:r>
        <w:rPr>
          <w:color w:val="374151"/>
          <w:spacing w:val="-5"/>
          <w:shd w:fill="F7F7F8" w:color="auto" w:val="clear"/>
        </w:rPr>
        <w:t> </w:t>
      </w:r>
      <w:r>
        <w:rPr>
          <w:color w:val="374151"/>
          <w:shd w:fill="F7F7F8" w:color="auto" w:val="clear"/>
        </w:rPr>
        <w:t>Domain</w:t>
      </w:r>
      <w:r>
        <w:rPr>
          <w:color w:val="374151"/>
          <w:spacing w:val="-5"/>
          <w:shd w:fill="F7F7F8" w:color="auto" w:val="clear"/>
        </w:rPr>
        <w:t> </w:t>
      </w:r>
      <w:r>
        <w:rPr>
          <w:color w:val="374151"/>
          <w:shd w:fill="F7F7F8" w:color="auto" w:val="clear"/>
        </w:rPr>
        <w:t>2,</w:t>
      </w:r>
      <w:r>
        <w:rPr>
          <w:color w:val="374151"/>
          <w:spacing w:val="-6"/>
          <w:shd w:fill="F7F7F8" w:color="auto" w:val="clear"/>
        </w:rPr>
        <w:t> </w:t>
      </w:r>
      <w:r>
        <w:rPr>
          <w:color w:val="374151"/>
          <w:spacing w:val="-6"/>
        </w:rPr>
        <w:t> </w:t>
      </w:r>
      <w:r>
        <w:rPr>
          <w:color w:val="374151"/>
          <w:shd w:fill="F7F7F8" w:color="auto" w:val="clear"/>
        </w:rPr>
        <w:t>Cultural</w:t>
      </w:r>
      <w:r>
        <w:rPr>
          <w:color w:val="374151"/>
          <w:spacing w:val="-1"/>
          <w:shd w:fill="F7F7F8" w:color="auto" w:val="clear"/>
        </w:rPr>
        <w:t> </w:t>
      </w:r>
      <w:r>
        <w:rPr>
          <w:color w:val="374151"/>
          <w:shd w:fill="F7F7F8" w:color="auto" w:val="clear"/>
        </w:rPr>
        <w:t>Perceptions</w:t>
      </w:r>
      <w:r>
        <w:rPr>
          <w:color w:val="374151"/>
          <w:spacing w:val="-1"/>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Problem.</w:t>
      </w:r>
      <w:r>
        <w:rPr>
          <w:color w:val="374151"/>
          <w:spacing w:val="-1"/>
          <w:shd w:fill="F7F7F8" w:color="auto" w:val="clear"/>
        </w:rPr>
        <w:t> </w:t>
      </w:r>
      <w:r>
        <w:rPr>
          <w:color w:val="374151"/>
          <w:shd w:fill="F7F7F8" w:color="auto" w:val="clear"/>
        </w:rPr>
        <w:t>How do</w:t>
      </w:r>
      <w:r>
        <w:rPr>
          <w:color w:val="374151"/>
          <w:spacing w:val="-1"/>
          <w:shd w:fill="F7F7F8" w:color="auto" w:val="clear"/>
        </w:rPr>
        <w:t> </w:t>
      </w:r>
      <w:r>
        <w:rPr>
          <w:color w:val="374151"/>
          <w:shd w:fill="F7F7F8" w:color="auto" w:val="clear"/>
        </w:rPr>
        <w:t>you</w:t>
      </w:r>
      <w:r>
        <w:rPr>
          <w:color w:val="374151"/>
          <w:spacing w:val="-1"/>
          <w:shd w:fill="F7F7F8" w:color="auto" w:val="clear"/>
        </w:rPr>
        <w:t> </w:t>
      </w:r>
      <w:r>
        <w:rPr>
          <w:color w:val="374151"/>
          <w:shd w:fill="F7F7F8" w:color="auto" w:val="clear"/>
        </w:rPr>
        <w:t>think</w:t>
      </w:r>
      <w:r>
        <w:rPr>
          <w:color w:val="374151"/>
          <w:spacing w:val="-1"/>
          <w:shd w:fill="F7F7F8" w:color="auto" w:val="clear"/>
        </w:rPr>
        <w:t> </w:t>
      </w:r>
      <w:r>
        <w:rPr>
          <w:color w:val="374151"/>
          <w:shd w:fill="F7F7F8" w:color="auto" w:val="clear"/>
        </w:rPr>
        <w:t>your</w:t>
      </w:r>
      <w:r>
        <w:rPr>
          <w:color w:val="374151"/>
          <w:spacing w:val="-1"/>
          <w:shd w:fill="F7F7F8" w:color="auto" w:val="clear"/>
        </w:rPr>
        <w:t> </w:t>
      </w:r>
      <w:r>
        <w:rPr>
          <w:color w:val="374151"/>
          <w:shd w:fill="F7F7F8" w:color="auto" w:val="clear"/>
        </w:rPr>
        <w:t>culture</w:t>
      </w:r>
      <w:r>
        <w:rPr>
          <w:color w:val="374151"/>
          <w:spacing w:val="-1"/>
          <w:shd w:fill="F7F7F8" w:color="auto" w:val="clear"/>
        </w:rPr>
        <w:t> </w:t>
      </w:r>
      <w:r>
        <w:rPr>
          <w:color w:val="374151"/>
          <w:spacing w:val="-5"/>
          <w:shd w:fill="F7F7F8" w:color="auto" w:val="clear"/>
        </w:rPr>
        <w:t>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5412740" cy="393700"/>
                <wp:effectExtent l="0" t="0" r="0" b="0"/>
                <wp:docPr id="77" name="Textbox 77"/>
                <wp:cNvGraphicFramePr>
                  <a:graphicFrameLocks/>
                </wp:cNvGraphicFramePr>
                <a:graphic>
                  <a:graphicData uri="http://schemas.microsoft.com/office/word/2010/wordprocessingShape">
                    <wps:wsp>
                      <wps:cNvPr id="77" name="Textbox 77"/>
                      <wps:cNvSpPr txBox="1"/>
                      <wps:spPr>
                        <a:xfrm>
                          <a:off x="0" y="0"/>
                          <a:ext cx="5412740" cy="393700"/>
                        </a:xfrm>
                        <a:prstGeom prst="rect">
                          <a:avLst/>
                        </a:prstGeom>
                        <a:solidFill>
                          <a:srgbClr val="F7F7F8"/>
                        </a:solidFill>
                      </wps:spPr>
                      <wps:txbx>
                        <w:txbxContent>
                          <w:p>
                            <w:pPr>
                              <w:pStyle w:val="BodyText"/>
                              <w:spacing w:line="308" w:lineRule="exact"/>
                              <w:ind w:right="-15"/>
                              <w:rPr>
                                <w:color w:val="000000"/>
                              </w:rPr>
                            </w:pPr>
                            <w:r>
                              <w:rPr>
                                <w:color w:val="374151"/>
                              </w:rPr>
                              <w:t>background</w:t>
                            </w:r>
                            <w:r>
                              <w:rPr>
                                <w:color w:val="374151"/>
                                <w:spacing w:val="-4"/>
                              </w:rPr>
                              <w:t> </w:t>
                            </w:r>
                            <w:r>
                              <w:rPr>
                                <w:color w:val="374151"/>
                              </w:rPr>
                              <w:t>might</w:t>
                            </w:r>
                            <w:r>
                              <w:rPr>
                                <w:color w:val="374151"/>
                                <w:spacing w:val="-1"/>
                              </w:rPr>
                              <w:t> </w:t>
                            </w:r>
                            <w:r>
                              <w:rPr>
                                <w:color w:val="374151"/>
                              </w:rPr>
                              <w:t>influence</w:t>
                            </w:r>
                            <w:r>
                              <w:rPr>
                                <w:color w:val="374151"/>
                                <w:spacing w:val="-2"/>
                              </w:rPr>
                              <w:t> </w:t>
                            </w:r>
                            <w:r>
                              <w:rPr>
                                <w:color w:val="374151"/>
                              </w:rPr>
                              <w:t>or</w:t>
                            </w:r>
                            <w:r>
                              <w:rPr>
                                <w:color w:val="374151"/>
                                <w:spacing w:val="-1"/>
                              </w:rPr>
                              <w:t> </w:t>
                            </w:r>
                            <w:r>
                              <w:rPr>
                                <w:color w:val="374151"/>
                              </w:rPr>
                              <w:t>shape</w:t>
                            </w:r>
                            <w:r>
                              <w:rPr>
                                <w:color w:val="374151"/>
                                <w:spacing w:val="-3"/>
                              </w:rPr>
                              <w:t> </w:t>
                            </w:r>
                            <w:r>
                              <w:rPr>
                                <w:color w:val="374151"/>
                              </w:rPr>
                              <w:t>your</w:t>
                            </w:r>
                            <w:r>
                              <w:rPr>
                                <w:color w:val="374151"/>
                                <w:spacing w:val="-1"/>
                              </w:rPr>
                              <w:t> </w:t>
                            </w:r>
                            <w:r>
                              <w:rPr>
                                <w:color w:val="374151"/>
                              </w:rPr>
                              <w:t>experience</w:t>
                            </w:r>
                            <w:r>
                              <w:rPr>
                                <w:color w:val="374151"/>
                                <w:spacing w:val="-2"/>
                              </w:rPr>
                              <w:t> </w:t>
                            </w:r>
                            <w:r>
                              <w:rPr>
                                <w:color w:val="374151"/>
                              </w:rPr>
                              <w:t>of</w:t>
                            </w:r>
                            <w:r>
                              <w:rPr>
                                <w:color w:val="374151"/>
                                <w:spacing w:val="-1"/>
                              </w:rPr>
                              <w:t> </w:t>
                            </w:r>
                            <w:r>
                              <w:rPr>
                                <w:color w:val="374151"/>
                              </w:rPr>
                              <w:t>sexual</w:t>
                            </w:r>
                            <w:r>
                              <w:rPr>
                                <w:color w:val="374151"/>
                                <w:spacing w:val="-1"/>
                              </w:rPr>
                              <w:t> </w:t>
                            </w:r>
                            <w:r>
                              <w:rPr>
                                <w:color w:val="374151"/>
                                <w:spacing w:val="-2"/>
                              </w:rPr>
                              <w:t>difficulties?</w:t>
                            </w:r>
                          </w:p>
                        </w:txbxContent>
                      </wps:txbx>
                      <wps:bodyPr wrap="square" lIns="0" tIns="0" rIns="0" bIns="0" rtlCol="0">
                        <a:noAutofit/>
                      </wps:bodyPr>
                    </wps:wsp>
                  </a:graphicData>
                </a:graphic>
              </wp:inline>
            </w:drawing>
          </mc:Choice>
          <mc:Fallback>
            <w:pict>
              <v:shape style="width:426.2pt;height:31pt;mso-position-horizontal-relative:char;mso-position-vertical-relative:line" type="#_x0000_t202" id="docshape76" filled="true" fillcolor="#f7f7f8" stroked="false">
                <w10:anchorlock/>
                <v:textbox inset="0,0,0,0">
                  <w:txbxContent>
                    <w:p>
                      <w:pPr>
                        <w:pStyle w:val="BodyText"/>
                        <w:spacing w:line="308" w:lineRule="exact"/>
                        <w:ind w:right="-15"/>
                        <w:rPr>
                          <w:color w:val="000000"/>
                        </w:rPr>
                      </w:pPr>
                      <w:r>
                        <w:rPr>
                          <w:color w:val="374151"/>
                        </w:rPr>
                        <w:t>background</w:t>
                      </w:r>
                      <w:r>
                        <w:rPr>
                          <w:color w:val="374151"/>
                          <w:spacing w:val="-4"/>
                        </w:rPr>
                        <w:t> </w:t>
                      </w:r>
                      <w:r>
                        <w:rPr>
                          <w:color w:val="374151"/>
                        </w:rPr>
                        <w:t>might</w:t>
                      </w:r>
                      <w:r>
                        <w:rPr>
                          <w:color w:val="374151"/>
                          <w:spacing w:val="-1"/>
                        </w:rPr>
                        <w:t> </w:t>
                      </w:r>
                      <w:r>
                        <w:rPr>
                          <w:color w:val="374151"/>
                        </w:rPr>
                        <w:t>influence</w:t>
                      </w:r>
                      <w:r>
                        <w:rPr>
                          <w:color w:val="374151"/>
                          <w:spacing w:val="-2"/>
                        </w:rPr>
                        <w:t> </w:t>
                      </w:r>
                      <w:r>
                        <w:rPr>
                          <w:color w:val="374151"/>
                        </w:rPr>
                        <w:t>or</w:t>
                      </w:r>
                      <w:r>
                        <w:rPr>
                          <w:color w:val="374151"/>
                          <w:spacing w:val="-1"/>
                        </w:rPr>
                        <w:t> </w:t>
                      </w:r>
                      <w:r>
                        <w:rPr>
                          <w:color w:val="374151"/>
                        </w:rPr>
                        <w:t>shape</w:t>
                      </w:r>
                      <w:r>
                        <w:rPr>
                          <w:color w:val="374151"/>
                          <w:spacing w:val="-3"/>
                        </w:rPr>
                        <w:t> </w:t>
                      </w:r>
                      <w:r>
                        <w:rPr>
                          <w:color w:val="374151"/>
                        </w:rPr>
                        <w:t>your</w:t>
                      </w:r>
                      <w:r>
                        <w:rPr>
                          <w:color w:val="374151"/>
                          <w:spacing w:val="-1"/>
                        </w:rPr>
                        <w:t> </w:t>
                      </w:r>
                      <w:r>
                        <w:rPr>
                          <w:color w:val="374151"/>
                        </w:rPr>
                        <w:t>experience</w:t>
                      </w:r>
                      <w:r>
                        <w:rPr>
                          <w:color w:val="374151"/>
                          <w:spacing w:val="-2"/>
                        </w:rPr>
                        <w:t> </w:t>
                      </w:r>
                      <w:r>
                        <w:rPr>
                          <w:color w:val="374151"/>
                        </w:rPr>
                        <w:t>of</w:t>
                      </w:r>
                      <w:r>
                        <w:rPr>
                          <w:color w:val="374151"/>
                          <w:spacing w:val="-1"/>
                        </w:rPr>
                        <w:t> </w:t>
                      </w:r>
                      <w:r>
                        <w:rPr>
                          <w:color w:val="374151"/>
                        </w:rPr>
                        <w:t>sexual</w:t>
                      </w:r>
                      <w:r>
                        <w:rPr>
                          <w:color w:val="374151"/>
                          <w:spacing w:val="-1"/>
                        </w:rPr>
                        <w:t> </w:t>
                      </w:r>
                      <w:r>
                        <w:rPr>
                          <w:color w:val="374151"/>
                          <w:spacing w:val="-2"/>
                        </w:rPr>
                        <w:t>difficulties?</w:t>
                      </w:r>
                    </w:p>
                  </w:txbxContent>
                </v:textbox>
                <v:fill type="solid"/>
              </v:shape>
            </w:pict>
          </mc:Fallback>
        </mc:AlternateContent>
      </w:r>
      <w:r>
        <w:rPr>
          <w:sz w:val="20"/>
        </w:rPr>
      </w:r>
    </w:p>
    <w:p>
      <w:pPr>
        <w:pStyle w:val="BodyText"/>
        <w:spacing w:line="282" w:lineRule="exact"/>
        <w:ind w:left="280"/>
      </w:pPr>
      <w:r>
        <w:rPr>
          <w:b/>
          <w:color w:val="665082"/>
          <w:shd w:fill="F7F7F8" w:color="auto" w:val="clear"/>
        </w:rPr>
        <w:t>Client:</w:t>
      </w:r>
      <w:r>
        <w:rPr>
          <w:b/>
          <w:color w:val="665082"/>
          <w:spacing w:val="-4"/>
          <w:shd w:fill="F7F7F8" w:color="auto" w:val="clear"/>
        </w:rPr>
        <w:t> </w:t>
      </w:r>
      <w:r>
        <w:rPr>
          <w:color w:val="374151"/>
          <w:shd w:fill="F7F7F8" w:color="auto" w:val="clear"/>
        </w:rPr>
        <w:t>I</w:t>
      </w:r>
      <w:r>
        <w:rPr>
          <w:color w:val="374151"/>
          <w:spacing w:val="-1"/>
          <w:shd w:fill="F7F7F8" w:color="auto" w:val="clear"/>
        </w:rPr>
        <w:t> </w:t>
      </w:r>
      <w:r>
        <w:rPr>
          <w:color w:val="374151"/>
          <w:shd w:fill="F7F7F8" w:color="auto" w:val="clear"/>
        </w:rPr>
        <w:t>come</w:t>
      </w:r>
      <w:r>
        <w:rPr>
          <w:color w:val="374151"/>
          <w:spacing w:val="-2"/>
          <w:shd w:fill="F7F7F8" w:color="auto" w:val="clear"/>
        </w:rPr>
        <w:t> </w:t>
      </w:r>
      <w:r>
        <w:rPr>
          <w:color w:val="374151"/>
          <w:shd w:fill="F7F7F8" w:color="auto" w:val="clear"/>
        </w:rPr>
        <w:t>from</w:t>
      </w:r>
      <w:r>
        <w:rPr>
          <w:color w:val="374151"/>
          <w:spacing w:val="-2"/>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conservative</w:t>
      </w:r>
      <w:r>
        <w:rPr>
          <w:color w:val="374151"/>
          <w:spacing w:val="-2"/>
          <w:shd w:fill="F7F7F8" w:color="auto" w:val="clear"/>
        </w:rPr>
        <w:t> </w:t>
      </w:r>
      <w:r>
        <w:rPr>
          <w:color w:val="374151"/>
          <w:shd w:fill="F7F7F8" w:color="auto" w:val="clear"/>
        </w:rPr>
        <w:t>cultural</w:t>
      </w:r>
      <w:r>
        <w:rPr>
          <w:color w:val="374151"/>
          <w:spacing w:val="-2"/>
          <w:shd w:fill="F7F7F8" w:color="auto" w:val="clear"/>
        </w:rPr>
        <w:t> </w:t>
      </w:r>
      <w:r>
        <w:rPr>
          <w:color w:val="374151"/>
          <w:shd w:fill="F7F7F8" w:color="auto" w:val="clear"/>
        </w:rPr>
        <w:t>background</w:t>
      </w:r>
      <w:r>
        <w:rPr>
          <w:color w:val="374151"/>
          <w:spacing w:val="-1"/>
          <w:shd w:fill="F7F7F8" w:color="auto" w:val="clear"/>
        </w:rPr>
        <w:t> </w:t>
      </w:r>
      <w:r>
        <w:rPr>
          <w:color w:val="374151"/>
          <w:shd w:fill="F7F7F8" w:color="auto" w:val="clear"/>
        </w:rPr>
        <w:t>where</w:t>
      </w:r>
      <w:r>
        <w:rPr>
          <w:color w:val="374151"/>
          <w:spacing w:val="-2"/>
          <w:shd w:fill="F7F7F8" w:color="auto" w:val="clear"/>
        </w:rPr>
        <w:t> discussions</w:t>
      </w:r>
      <w:r>
        <w:rPr>
          <w:color w:val="374151"/>
          <w:spacing w:val="40"/>
          <w:shd w:fill="F7F7F8" w:color="auto" w:val="clear"/>
        </w:rPr>
        <w:t> </w:t>
      </w:r>
    </w:p>
    <w:p>
      <w:pPr>
        <w:pStyle w:val="BodyText"/>
        <w:ind w:left="280"/>
      </w:pPr>
      <w:r>
        <w:rPr/>
        <mc:AlternateContent>
          <mc:Choice Requires="wps">
            <w:drawing>
              <wp:anchor distT="0" distB="0" distL="0" distR="0" allowOverlap="1" layoutInCell="1" locked="0" behindDoc="1" simplePos="0" relativeHeight="487605760">
                <wp:simplePos x="0" y="0"/>
                <wp:positionH relativeFrom="page">
                  <wp:posOffset>1066800</wp:posOffset>
                </wp:positionH>
                <wp:positionV relativeFrom="paragraph">
                  <wp:posOffset>414611</wp:posOffset>
                </wp:positionV>
                <wp:extent cx="1175385" cy="393700"/>
                <wp:effectExtent l="0" t="0" r="0" b="0"/>
                <wp:wrapTopAndBottom/>
                <wp:docPr id="78" name="Textbox 78"/>
                <wp:cNvGraphicFramePr>
                  <a:graphicFrameLocks/>
                </wp:cNvGraphicFramePr>
                <a:graphic>
                  <a:graphicData uri="http://schemas.microsoft.com/office/word/2010/wordprocessingShape">
                    <wps:wsp>
                      <wps:cNvPr id="78" name="Textbox 78"/>
                      <wps:cNvSpPr txBox="1"/>
                      <wps:spPr>
                        <a:xfrm>
                          <a:off x="0" y="0"/>
                          <a:ext cx="1175385" cy="393700"/>
                        </a:xfrm>
                        <a:prstGeom prst="rect">
                          <a:avLst/>
                        </a:prstGeom>
                        <a:solidFill>
                          <a:srgbClr val="F7F7F8"/>
                        </a:solidFill>
                      </wps:spPr>
                      <wps:txbx>
                        <w:txbxContent>
                          <w:p>
                            <w:pPr>
                              <w:pStyle w:val="BodyText"/>
                              <w:spacing w:line="308" w:lineRule="exact"/>
                              <w:ind w:right="-15"/>
                              <w:rPr>
                                <w:color w:val="000000"/>
                              </w:rPr>
                            </w:pPr>
                            <w:r>
                              <w:rPr>
                                <w:color w:val="374151"/>
                              </w:rPr>
                              <w:t>sexual</w:t>
                            </w:r>
                            <w:r>
                              <w:rPr>
                                <w:color w:val="374151"/>
                                <w:spacing w:val="-2"/>
                              </w:rPr>
                              <w:t> concerns.</w:t>
                            </w:r>
                          </w:p>
                        </w:txbxContent>
                      </wps:txbx>
                      <wps:bodyPr wrap="square" lIns="0" tIns="0" rIns="0" bIns="0" rtlCol="0">
                        <a:noAutofit/>
                      </wps:bodyPr>
                    </wps:wsp>
                  </a:graphicData>
                </a:graphic>
              </wp:anchor>
            </w:drawing>
          </mc:Choice>
          <mc:Fallback>
            <w:pict>
              <v:shape style="position:absolute;margin-left:84pt;margin-top:32.646584pt;width:92.55pt;height:31pt;mso-position-horizontal-relative:page;mso-position-vertical-relative:paragraph;z-index:-15710720;mso-wrap-distance-left:0;mso-wrap-distance-right:0" type="#_x0000_t202" id="docshape77" filled="true" fillcolor="#f7f7f8" stroked="false">
                <v:textbox inset="0,0,0,0">
                  <w:txbxContent>
                    <w:p>
                      <w:pPr>
                        <w:pStyle w:val="BodyText"/>
                        <w:spacing w:line="308" w:lineRule="exact"/>
                        <w:ind w:right="-15"/>
                        <w:rPr>
                          <w:color w:val="000000"/>
                        </w:rPr>
                      </w:pPr>
                      <w:r>
                        <w:rPr>
                          <w:color w:val="374151"/>
                        </w:rPr>
                        <w:t>sexual</w:t>
                      </w:r>
                      <w:r>
                        <w:rPr>
                          <w:color w:val="374151"/>
                          <w:spacing w:val="-2"/>
                        </w:rPr>
                        <w:t> concerns.</w:t>
                      </w:r>
                    </w:p>
                  </w:txbxContent>
                </v:textbox>
                <v:fill type="solid"/>
                <w10:wrap type="topAndBottom"/>
              </v:shape>
            </w:pict>
          </mc:Fallback>
        </mc:AlternateContent>
      </w:r>
      <w:r>
        <w:rPr>
          <w:color w:val="374151"/>
          <w:shd w:fill="F7F7F8" w:color="auto" w:val="clear"/>
        </w:rPr>
        <w:t>about sex are often considered taboo. I believe this cultural upbringing has </w:t>
      </w:r>
      <w:r>
        <w:rPr>
          <w:color w:val="374151"/>
        </w:rPr>
        <w:t> </w:t>
      </w:r>
      <w:r>
        <w:rPr>
          <w:color w:val="374151"/>
          <w:shd w:fill="F7F7F8" w:color="auto" w:val="clear"/>
        </w:rPr>
        <w:t>contributed to my feelings of shame and embarrassment about discussing my</w:t>
      </w:r>
      <w:r>
        <w:rPr>
          <w:color w:val="374151"/>
          <w:spacing w:val="40"/>
          <w:shd w:fill="F7F7F8" w:color="auto" w:val="clear"/>
        </w:rPr>
        <w:t> </w:t>
      </w:r>
    </w:p>
    <w:p>
      <w:pPr>
        <w:pStyle w:val="BodyText"/>
        <w:spacing w:line="237" w:lineRule="auto" w:after="4"/>
        <w:ind w:left="280" w:right="502"/>
        <w:jc w:val="both"/>
      </w:pPr>
      <w:r>
        <w:rPr>
          <w:b/>
          <w:color w:val="665082"/>
          <w:shd w:fill="F7F7F8" w:color="auto" w:val="clear"/>
        </w:rPr>
        <w:t>Therapist:</w:t>
      </w:r>
      <w:r>
        <w:rPr>
          <w:b/>
          <w:color w:val="665082"/>
          <w:spacing w:val="-3"/>
          <w:shd w:fill="F7F7F8" w:color="auto" w:val="clear"/>
        </w:rPr>
        <w:t> </w:t>
      </w:r>
      <w:r>
        <w:rPr>
          <w:color w:val="374151"/>
          <w:shd w:fill="F7F7F8" w:color="auto" w:val="clear"/>
        </w:rPr>
        <w:t>I</w:t>
      </w:r>
      <w:r>
        <w:rPr>
          <w:color w:val="374151"/>
          <w:spacing w:val="-4"/>
          <w:shd w:fill="F7F7F8" w:color="auto" w:val="clear"/>
        </w:rPr>
        <w:t> </w:t>
      </w:r>
      <w:r>
        <w:rPr>
          <w:color w:val="374151"/>
          <w:shd w:fill="F7F7F8" w:color="auto" w:val="clear"/>
        </w:rPr>
        <w:t>appreciate</w:t>
      </w:r>
      <w:r>
        <w:rPr>
          <w:color w:val="374151"/>
          <w:spacing w:val="-4"/>
          <w:shd w:fill="F7F7F8" w:color="auto" w:val="clear"/>
        </w:rPr>
        <w:t> </w:t>
      </w:r>
      <w:r>
        <w:rPr>
          <w:color w:val="374151"/>
          <w:shd w:fill="F7F7F8" w:color="auto" w:val="clear"/>
        </w:rPr>
        <w:t>you</w:t>
      </w:r>
      <w:r>
        <w:rPr>
          <w:color w:val="374151"/>
          <w:spacing w:val="-3"/>
          <w:shd w:fill="F7F7F8" w:color="auto" w:val="clear"/>
        </w:rPr>
        <w:t> </w:t>
      </w:r>
      <w:r>
        <w:rPr>
          <w:color w:val="374151"/>
          <w:shd w:fill="F7F7F8" w:color="auto" w:val="clear"/>
        </w:rPr>
        <w:t>sharing</w:t>
      </w:r>
      <w:r>
        <w:rPr>
          <w:color w:val="374151"/>
          <w:spacing w:val="-4"/>
          <w:shd w:fill="F7F7F8" w:color="auto" w:val="clear"/>
        </w:rPr>
        <w:t> </w:t>
      </w:r>
      <w:r>
        <w:rPr>
          <w:color w:val="374151"/>
          <w:shd w:fill="F7F7F8" w:color="auto" w:val="clear"/>
        </w:rPr>
        <w:t>that.</w:t>
      </w:r>
      <w:r>
        <w:rPr>
          <w:color w:val="374151"/>
          <w:spacing w:val="-3"/>
          <w:shd w:fill="F7F7F8" w:color="auto" w:val="clear"/>
        </w:rPr>
        <w:t> </w:t>
      </w:r>
      <w:r>
        <w:rPr>
          <w:color w:val="374151"/>
          <w:shd w:fill="F7F7F8" w:color="auto" w:val="clear"/>
        </w:rPr>
        <w:t>It's</w:t>
      </w:r>
      <w:r>
        <w:rPr>
          <w:color w:val="374151"/>
          <w:spacing w:val="-4"/>
          <w:shd w:fill="F7F7F8" w:color="auto" w:val="clear"/>
        </w:rPr>
        <w:t> </w:t>
      </w:r>
      <w:r>
        <w:rPr>
          <w:color w:val="374151"/>
          <w:shd w:fill="F7F7F8" w:color="auto" w:val="clear"/>
        </w:rPr>
        <w:t>essential</w:t>
      </w:r>
      <w:r>
        <w:rPr>
          <w:color w:val="374151"/>
          <w:spacing w:val="-3"/>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consider</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impact</w:t>
      </w:r>
      <w:r>
        <w:rPr>
          <w:color w:val="374151"/>
          <w:spacing w:val="-3"/>
          <w:shd w:fill="F7F7F8" w:color="auto" w:val="clear"/>
        </w:rPr>
        <w:t> </w:t>
      </w:r>
      <w:r>
        <w:rPr>
          <w:color w:val="374151"/>
          <w:shd w:fill="F7F7F8" w:color="auto" w:val="clear"/>
        </w:rPr>
        <w:t>of</w:t>
      </w:r>
      <w:r>
        <w:rPr>
          <w:color w:val="374151"/>
        </w:rPr>
        <w:t> </w:t>
      </w:r>
      <w:r>
        <w:rPr>
          <w:color w:val="374151"/>
          <w:shd w:fill="F7F7F8" w:color="auto" w:val="clear"/>
        </w:rPr>
        <w:t>cultural</w:t>
      </w:r>
      <w:r>
        <w:rPr>
          <w:color w:val="374151"/>
          <w:spacing w:val="-3"/>
          <w:shd w:fill="F7F7F8" w:color="auto" w:val="clear"/>
        </w:rPr>
        <w:t> </w:t>
      </w:r>
      <w:r>
        <w:rPr>
          <w:color w:val="374151"/>
          <w:shd w:fill="F7F7F8" w:color="auto" w:val="clear"/>
        </w:rPr>
        <w:t>factors.</w:t>
      </w:r>
      <w:r>
        <w:rPr>
          <w:color w:val="374151"/>
          <w:spacing w:val="-3"/>
          <w:shd w:fill="F7F7F8" w:color="auto" w:val="clear"/>
        </w:rPr>
        <w:t> </w:t>
      </w:r>
      <w:r>
        <w:rPr>
          <w:color w:val="374151"/>
          <w:shd w:fill="F7F7F8" w:color="auto" w:val="clear"/>
        </w:rPr>
        <w:t>Moving</w:t>
      </w:r>
      <w:r>
        <w:rPr>
          <w:color w:val="374151"/>
          <w:spacing w:val="-3"/>
          <w:shd w:fill="F7F7F8" w:color="auto" w:val="clear"/>
        </w:rPr>
        <w:t> </w:t>
      </w:r>
      <w:r>
        <w:rPr>
          <w:color w:val="374151"/>
          <w:shd w:fill="F7F7F8" w:color="auto" w:val="clear"/>
        </w:rPr>
        <w:t>on</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Domain</w:t>
      </w:r>
      <w:r>
        <w:rPr>
          <w:color w:val="374151"/>
          <w:spacing w:val="-3"/>
          <w:shd w:fill="F7F7F8" w:color="auto" w:val="clear"/>
        </w:rPr>
        <w:t> </w:t>
      </w:r>
      <w:r>
        <w:rPr>
          <w:color w:val="374151"/>
          <w:shd w:fill="F7F7F8" w:color="auto" w:val="clear"/>
        </w:rPr>
        <w:t>3,</w:t>
      </w:r>
      <w:r>
        <w:rPr>
          <w:color w:val="374151"/>
          <w:spacing w:val="-3"/>
          <w:shd w:fill="F7F7F8" w:color="auto" w:val="clear"/>
        </w:rPr>
        <w:t> </w:t>
      </w:r>
      <w:r>
        <w:rPr>
          <w:color w:val="374151"/>
          <w:shd w:fill="F7F7F8" w:color="auto" w:val="clear"/>
        </w:rPr>
        <w:t>Cultural</w:t>
      </w:r>
      <w:r>
        <w:rPr>
          <w:color w:val="374151"/>
          <w:spacing w:val="-3"/>
          <w:shd w:fill="F7F7F8" w:color="auto" w:val="clear"/>
        </w:rPr>
        <w:t> </w:t>
      </w:r>
      <w:r>
        <w:rPr>
          <w:color w:val="374151"/>
          <w:shd w:fill="F7F7F8" w:color="auto" w:val="clear"/>
        </w:rPr>
        <w:t>Explanatory</w:t>
      </w:r>
      <w:r>
        <w:rPr>
          <w:color w:val="374151"/>
          <w:spacing w:val="-3"/>
          <w:shd w:fill="F7F7F8" w:color="auto" w:val="clear"/>
        </w:rPr>
        <w:t> </w:t>
      </w:r>
      <w:r>
        <w:rPr>
          <w:color w:val="374151"/>
          <w:shd w:fill="F7F7F8" w:color="auto" w:val="clear"/>
        </w:rPr>
        <w:t>Model.</w:t>
      </w:r>
      <w:r>
        <w:rPr>
          <w:color w:val="374151"/>
          <w:spacing w:val="-3"/>
          <w:shd w:fill="F7F7F8" w:color="auto" w:val="clear"/>
        </w:rPr>
        <w:t> </w:t>
      </w:r>
      <w:r>
        <w:rPr>
          <w:color w:val="374151"/>
          <w:shd w:fill="F7F7F8" w:color="auto" w:val="clear"/>
        </w:rPr>
        <w:t>How</w:t>
      </w:r>
      <w:r>
        <w:rPr>
          <w:color w:val="374151"/>
          <w:spacing w:val="-3"/>
          <w:shd w:fill="F7F7F8" w:color="auto" w:val="clear"/>
        </w:rPr>
        <w:t> </w:t>
      </w:r>
      <w:r>
        <w:rPr>
          <w:color w:val="374151"/>
          <w:shd w:fill="F7F7F8" w:color="auto" w:val="clear"/>
        </w:rPr>
        <w:t>do</w:t>
      </w:r>
      <w:r>
        <w:rPr>
          <w:color w:val="374151"/>
        </w:rPr>
        <w:t> </w:t>
      </w:r>
      <w:r>
        <w:rPr>
          <w:color w:val="374151"/>
          <w:shd w:fill="F7F7F8" w:color="auto" w:val="clear"/>
        </w:rPr>
        <w:t>you make sense of your sexual difficulties within the context of your cultural</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1353185" cy="393700"/>
                <wp:effectExtent l="0" t="0" r="0" b="0"/>
                <wp:docPr id="79" name="Textbox 79"/>
                <wp:cNvGraphicFramePr>
                  <a:graphicFrameLocks/>
                </wp:cNvGraphicFramePr>
                <a:graphic>
                  <a:graphicData uri="http://schemas.microsoft.com/office/word/2010/wordprocessingShape">
                    <wps:wsp>
                      <wps:cNvPr id="79" name="Textbox 79"/>
                      <wps:cNvSpPr txBox="1"/>
                      <wps:spPr>
                        <a:xfrm>
                          <a:off x="0" y="0"/>
                          <a:ext cx="1353185" cy="393700"/>
                        </a:xfrm>
                        <a:prstGeom prst="rect">
                          <a:avLst/>
                        </a:prstGeom>
                        <a:solidFill>
                          <a:srgbClr val="F7F7F8"/>
                        </a:solidFill>
                      </wps:spPr>
                      <wps:txbx>
                        <w:txbxContent>
                          <w:p>
                            <w:pPr>
                              <w:pStyle w:val="BodyText"/>
                              <w:spacing w:line="308" w:lineRule="exact"/>
                              <w:ind w:right="-15"/>
                              <w:rPr>
                                <w:color w:val="000000"/>
                              </w:rPr>
                            </w:pPr>
                            <w:r>
                              <w:rPr>
                                <w:color w:val="374151"/>
                              </w:rPr>
                              <w:t>beliefs</w:t>
                            </w:r>
                            <w:r>
                              <w:rPr>
                                <w:color w:val="374151"/>
                                <w:spacing w:val="-2"/>
                              </w:rPr>
                              <w:t> </w:t>
                            </w:r>
                            <w:r>
                              <w:rPr>
                                <w:color w:val="374151"/>
                              </w:rPr>
                              <w:t>and</w:t>
                            </w:r>
                            <w:r>
                              <w:rPr>
                                <w:color w:val="374151"/>
                                <w:spacing w:val="-2"/>
                              </w:rPr>
                              <w:t> values?</w:t>
                            </w:r>
                          </w:p>
                        </w:txbxContent>
                      </wps:txbx>
                      <wps:bodyPr wrap="square" lIns="0" tIns="0" rIns="0" bIns="0" rtlCol="0">
                        <a:noAutofit/>
                      </wps:bodyPr>
                    </wps:wsp>
                  </a:graphicData>
                </a:graphic>
              </wp:inline>
            </w:drawing>
          </mc:Choice>
          <mc:Fallback>
            <w:pict>
              <v:shape style="width:106.55pt;height:31pt;mso-position-horizontal-relative:char;mso-position-vertical-relative:line" type="#_x0000_t202" id="docshape78" filled="true" fillcolor="#f7f7f8" stroked="false">
                <w10:anchorlock/>
                <v:textbox inset="0,0,0,0">
                  <w:txbxContent>
                    <w:p>
                      <w:pPr>
                        <w:pStyle w:val="BodyText"/>
                        <w:spacing w:line="308" w:lineRule="exact"/>
                        <w:ind w:right="-15"/>
                        <w:rPr>
                          <w:color w:val="000000"/>
                        </w:rPr>
                      </w:pPr>
                      <w:r>
                        <w:rPr>
                          <w:color w:val="374151"/>
                        </w:rPr>
                        <w:t>beliefs</w:t>
                      </w:r>
                      <w:r>
                        <w:rPr>
                          <w:color w:val="374151"/>
                          <w:spacing w:val="-2"/>
                        </w:rPr>
                        <w:t> </w:t>
                      </w:r>
                      <w:r>
                        <w:rPr>
                          <w:color w:val="374151"/>
                        </w:rPr>
                        <w:t>and</w:t>
                      </w:r>
                      <w:r>
                        <w:rPr>
                          <w:color w:val="374151"/>
                          <w:spacing w:val="-2"/>
                        </w:rPr>
                        <w:t> values?</w:t>
                      </w:r>
                    </w:p>
                  </w:txbxContent>
                </v:textbox>
                <v:fill type="solid"/>
              </v:shape>
            </w:pict>
          </mc:Fallback>
        </mc:AlternateContent>
      </w:r>
      <w:r>
        <w:rPr>
          <w:sz w:val="20"/>
        </w:rPr>
      </w:r>
    </w:p>
    <w:p>
      <w:pPr>
        <w:pStyle w:val="BodyText"/>
        <w:spacing w:line="282" w:lineRule="exact"/>
        <w:ind w:left="280"/>
      </w:pPr>
      <w:r>
        <w:rPr>
          <w:b/>
          <w:color w:val="665082"/>
          <w:shd w:fill="F7F7F8" w:color="auto" w:val="clear"/>
        </w:rPr>
        <w:t>Client:</w:t>
      </w:r>
      <w:r>
        <w:rPr>
          <w:b/>
          <w:color w:val="665082"/>
          <w:spacing w:val="-2"/>
          <w:shd w:fill="F7F7F8" w:color="auto" w:val="clear"/>
        </w:rPr>
        <w:t> </w:t>
      </w:r>
      <w:r>
        <w:rPr>
          <w:color w:val="374151"/>
          <w:shd w:fill="F7F7F8" w:color="auto" w:val="clear"/>
        </w:rPr>
        <w:t>I've</w:t>
      </w:r>
      <w:r>
        <w:rPr>
          <w:color w:val="374151"/>
          <w:spacing w:val="-2"/>
          <w:shd w:fill="F7F7F8" w:color="auto" w:val="clear"/>
        </w:rPr>
        <w:t> </w:t>
      </w:r>
      <w:r>
        <w:rPr>
          <w:color w:val="374151"/>
          <w:shd w:fill="F7F7F8" w:color="auto" w:val="clear"/>
        </w:rPr>
        <w:t>been</w:t>
      </w:r>
      <w:r>
        <w:rPr>
          <w:color w:val="374151"/>
          <w:spacing w:val="-1"/>
          <w:shd w:fill="F7F7F8" w:color="auto" w:val="clear"/>
        </w:rPr>
        <w:t> </w:t>
      </w:r>
      <w:r>
        <w:rPr>
          <w:color w:val="374151"/>
          <w:shd w:fill="F7F7F8" w:color="auto" w:val="clear"/>
        </w:rPr>
        <w:t>raised</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belief</w:t>
      </w:r>
      <w:r>
        <w:rPr>
          <w:color w:val="374151"/>
          <w:spacing w:val="-1"/>
          <w:shd w:fill="F7F7F8" w:color="auto" w:val="clear"/>
        </w:rPr>
        <w:t> </w:t>
      </w:r>
      <w:r>
        <w:rPr>
          <w:color w:val="374151"/>
          <w:shd w:fill="F7F7F8" w:color="auto" w:val="clear"/>
        </w:rPr>
        <w:t>that</w:t>
      </w:r>
      <w:r>
        <w:rPr>
          <w:color w:val="374151"/>
          <w:spacing w:val="-1"/>
          <w:shd w:fill="F7F7F8" w:color="auto" w:val="clear"/>
        </w:rPr>
        <w:t> </w:t>
      </w:r>
      <w:r>
        <w:rPr>
          <w:color w:val="374151"/>
          <w:shd w:fill="F7F7F8" w:color="auto" w:val="clear"/>
        </w:rPr>
        <w:t>sex</w:t>
      </w:r>
      <w:r>
        <w:rPr>
          <w:color w:val="374151"/>
          <w:spacing w:val="-1"/>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primarily</w:t>
      </w:r>
      <w:r>
        <w:rPr>
          <w:color w:val="374151"/>
          <w:spacing w:val="-1"/>
          <w:shd w:fill="F7F7F8" w:color="auto" w:val="clear"/>
        </w:rPr>
        <w:t> </w:t>
      </w:r>
      <w:r>
        <w:rPr>
          <w:color w:val="374151"/>
          <w:shd w:fill="F7F7F8" w:color="auto" w:val="clear"/>
        </w:rPr>
        <w:t>for</w:t>
      </w:r>
      <w:r>
        <w:rPr>
          <w:color w:val="374151"/>
          <w:spacing w:val="-1"/>
          <w:shd w:fill="F7F7F8" w:color="auto" w:val="clear"/>
        </w:rPr>
        <w:t> </w:t>
      </w:r>
      <w:r>
        <w:rPr>
          <w:color w:val="374151"/>
          <w:shd w:fill="F7F7F8" w:color="auto" w:val="clear"/>
        </w:rPr>
        <w:t>procreation</w:t>
      </w:r>
      <w:r>
        <w:rPr>
          <w:color w:val="374151"/>
          <w:spacing w:val="-1"/>
          <w:shd w:fill="F7F7F8" w:color="auto" w:val="clear"/>
        </w:rPr>
        <w:t> </w:t>
      </w:r>
      <w:r>
        <w:rPr>
          <w:color w:val="374151"/>
          <w:spacing w:val="-5"/>
          <w:shd w:fill="F7F7F8" w:color="auto" w:val="clear"/>
        </w:rPr>
        <w:t>and</w:t>
      </w:r>
    </w:p>
    <w:p>
      <w:pPr>
        <w:pStyle w:val="BodyText"/>
        <w:spacing w:line="321" w:lineRule="exact"/>
        <w:ind w:left="280"/>
      </w:pPr>
      <w:r>
        <w:rPr/>
        <mc:AlternateContent>
          <mc:Choice Requires="wps">
            <w:drawing>
              <wp:anchor distT="0" distB="0" distL="0" distR="0" allowOverlap="1" layoutInCell="1" locked="0" behindDoc="1" simplePos="0" relativeHeight="487606784">
                <wp:simplePos x="0" y="0"/>
                <wp:positionH relativeFrom="page">
                  <wp:posOffset>1066800</wp:posOffset>
                </wp:positionH>
                <wp:positionV relativeFrom="paragraph">
                  <wp:posOffset>208906</wp:posOffset>
                </wp:positionV>
                <wp:extent cx="3706495" cy="393700"/>
                <wp:effectExtent l="0" t="0" r="0" b="0"/>
                <wp:wrapTopAndBottom/>
                <wp:docPr id="80" name="Textbox 80"/>
                <wp:cNvGraphicFramePr>
                  <a:graphicFrameLocks/>
                </wp:cNvGraphicFramePr>
                <a:graphic>
                  <a:graphicData uri="http://schemas.microsoft.com/office/word/2010/wordprocessingShape">
                    <wps:wsp>
                      <wps:cNvPr id="80" name="Textbox 80"/>
                      <wps:cNvSpPr txBox="1"/>
                      <wps:spPr>
                        <a:xfrm>
                          <a:off x="0" y="0"/>
                          <a:ext cx="3706495" cy="393700"/>
                        </a:xfrm>
                        <a:prstGeom prst="rect">
                          <a:avLst/>
                        </a:prstGeom>
                        <a:solidFill>
                          <a:srgbClr val="F7F7F8"/>
                        </a:solidFill>
                      </wps:spPr>
                      <wps:txbx>
                        <w:txbxContent>
                          <w:p>
                            <w:pPr>
                              <w:pStyle w:val="BodyText"/>
                              <w:spacing w:line="308" w:lineRule="exact"/>
                              <w:ind w:right="-15"/>
                              <w:rPr>
                                <w:color w:val="000000"/>
                              </w:rPr>
                            </w:pPr>
                            <w:r>
                              <w:rPr>
                                <w:color w:val="374151"/>
                              </w:rPr>
                              <w:t>ability</w:t>
                            </w:r>
                            <w:r>
                              <w:rPr>
                                <w:color w:val="374151"/>
                                <w:spacing w:val="-4"/>
                              </w:rPr>
                              <w:t> </w:t>
                            </w:r>
                            <w:r>
                              <w:rPr>
                                <w:color w:val="374151"/>
                              </w:rPr>
                              <w:t>to</w:t>
                            </w:r>
                            <w:r>
                              <w:rPr>
                                <w:color w:val="374151"/>
                                <w:spacing w:val="-1"/>
                              </w:rPr>
                              <w:t> </w:t>
                            </w:r>
                            <w:r>
                              <w:rPr>
                                <w:color w:val="374151"/>
                              </w:rPr>
                              <w:t>enjoy</w:t>
                            </w:r>
                            <w:r>
                              <w:rPr>
                                <w:color w:val="374151"/>
                                <w:spacing w:val="-1"/>
                              </w:rPr>
                              <w:t> </w:t>
                            </w:r>
                            <w:r>
                              <w:rPr>
                                <w:color w:val="374151"/>
                              </w:rPr>
                              <w:t>and</w:t>
                            </w:r>
                            <w:r>
                              <w:rPr>
                                <w:color w:val="374151"/>
                                <w:spacing w:val="-1"/>
                              </w:rPr>
                              <w:t> </w:t>
                            </w:r>
                            <w:r>
                              <w:rPr>
                                <w:color w:val="374151"/>
                              </w:rPr>
                              <w:t>engage</w:t>
                            </w:r>
                            <w:r>
                              <w:rPr>
                                <w:color w:val="374151"/>
                                <w:spacing w:val="-3"/>
                              </w:rPr>
                              <w:t> </w:t>
                            </w:r>
                            <w:r>
                              <w:rPr>
                                <w:color w:val="374151"/>
                              </w:rPr>
                              <w:t>in</w:t>
                            </w:r>
                            <w:r>
                              <w:rPr>
                                <w:color w:val="374151"/>
                                <w:spacing w:val="-1"/>
                              </w:rPr>
                              <w:t> </w:t>
                            </w:r>
                            <w:r>
                              <w:rPr>
                                <w:color w:val="374151"/>
                              </w:rPr>
                              <w:t>sexual</w:t>
                            </w:r>
                            <w:r>
                              <w:rPr>
                                <w:color w:val="374151"/>
                                <w:spacing w:val="-1"/>
                              </w:rPr>
                              <w:t> </w:t>
                            </w:r>
                            <w:r>
                              <w:rPr>
                                <w:color w:val="374151"/>
                              </w:rPr>
                              <w:t>activities</w:t>
                            </w:r>
                            <w:r>
                              <w:rPr>
                                <w:color w:val="374151"/>
                                <w:spacing w:val="-1"/>
                              </w:rPr>
                              <w:t> </w:t>
                            </w:r>
                            <w:r>
                              <w:rPr>
                                <w:color w:val="374151"/>
                                <w:spacing w:val="-2"/>
                              </w:rPr>
                              <w:t>fully.</w:t>
                            </w:r>
                          </w:p>
                        </w:txbxContent>
                      </wps:txbx>
                      <wps:bodyPr wrap="square" lIns="0" tIns="0" rIns="0" bIns="0" rtlCol="0">
                        <a:noAutofit/>
                      </wps:bodyPr>
                    </wps:wsp>
                  </a:graphicData>
                </a:graphic>
              </wp:anchor>
            </w:drawing>
          </mc:Choice>
          <mc:Fallback>
            <w:pict>
              <v:shape style="position:absolute;margin-left:84pt;margin-top:16.449316pt;width:291.850pt;height:31pt;mso-position-horizontal-relative:page;mso-position-vertical-relative:paragraph;z-index:-15709696;mso-wrap-distance-left:0;mso-wrap-distance-right:0" type="#_x0000_t202" id="docshape79" filled="true" fillcolor="#f7f7f8" stroked="false">
                <v:textbox inset="0,0,0,0">
                  <w:txbxContent>
                    <w:p>
                      <w:pPr>
                        <w:pStyle w:val="BodyText"/>
                        <w:spacing w:line="308" w:lineRule="exact"/>
                        <w:ind w:right="-15"/>
                        <w:rPr>
                          <w:color w:val="000000"/>
                        </w:rPr>
                      </w:pPr>
                      <w:r>
                        <w:rPr>
                          <w:color w:val="374151"/>
                        </w:rPr>
                        <w:t>ability</w:t>
                      </w:r>
                      <w:r>
                        <w:rPr>
                          <w:color w:val="374151"/>
                          <w:spacing w:val="-4"/>
                        </w:rPr>
                        <w:t> </w:t>
                      </w:r>
                      <w:r>
                        <w:rPr>
                          <w:color w:val="374151"/>
                        </w:rPr>
                        <w:t>to</w:t>
                      </w:r>
                      <w:r>
                        <w:rPr>
                          <w:color w:val="374151"/>
                          <w:spacing w:val="-1"/>
                        </w:rPr>
                        <w:t> </w:t>
                      </w:r>
                      <w:r>
                        <w:rPr>
                          <w:color w:val="374151"/>
                        </w:rPr>
                        <w:t>enjoy</w:t>
                      </w:r>
                      <w:r>
                        <w:rPr>
                          <w:color w:val="374151"/>
                          <w:spacing w:val="-1"/>
                        </w:rPr>
                        <w:t> </w:t>
                      </w:r>
                      <w:r>
                        <w:rPr>
                          <w:color w:val="374151"/>
                        </w:rPr>
                        <w:t>and</w:t>
                      </w:r>
                      <w:r>
                        <w:rPr>
                          <w:color w:val="374151"/>
                          <w:spacing w:val="-1"/>
                        </w:rPr>
                        <w:t> </w:t>
                      </w:r>
                      <w:r>
                        <w:rPr>
                          <w:color w:val="374151"/>
                        </w:rPr>
                        <w:t>engage</w:t>
                      </w:r>
                      <w:r>
                        <w:rPr>
                          <w:color w:val="374151"/>
                          <w:spacing w:val="-3"/>
                        </w:rPr>
                        <w:t> </w:t>
                      </w:r>
                      <w:r>
                        <w:rPr>
                          <w:color w:val="374151"/>
                        </w:rPr>
                        <w:t>in</w:t>
                      </w:r>
                      <w:r>
                        <w:rPr>
                          <w:color w:val="374151"/>
                          <w:spacing w:val="-1"/>
                        </w:rPr>
                        <w:t> </w:t>
                      </w:r>
                      <w:r>
                        <w:rPr>
                          <w:color w:val="374151"/>
                        </w:rPr>
                        <w:t>sexual</w:t>
                      </w:r>
                      <w:r>
                        <w:rPr>
                          <w:color w:val="374151"/>
                          <w:spacing w:val="-1"/>
                        </w:rPr>
                        <w:t> </w:t>
                      </w:r>
                      <w:r>
                        <w:rPr>
                          <w:color w:val="374151"/>
                        </w:rPr>
                        <w:t>activities</w:t>
                      </w:r>
                      <w:r>
                        <w:rPr>
                          <w:color w:val="374151"/>
                          <w:spacing w:val="-1"/>
                        </w:rPr>
                        <w:t> </w:t>
                      </w:r>
                      <w:r>
                        <w:rPr>
                          <w:color w:val="374151"/>
                          <w:spacing w:val="-2"/>
                        </w:rPr>
                        <w:t>fully.</w:t>
                      </w:r>
                    </w:p>
                  </w:txbxContent>
                </v:textbox>
                <v:fill type="solid"/>
                <w10:wrap type="topAndBottom"/>
              </v:shape>
            </w:pict>
          </mc:Fallback>
        </mc:AlternateContent>
      </w:r>
      <w:r>
        <w:rPr>
          <w:color w:val="374151"/>
          <w:shd w:fill="F7F7F8" w:color="auto" w:val="clear"/>
        </w:rPr>
        <w:t>not</w:t>
      </w:r>
      <w:r>
        <w:rPr>
          <w:color w:val="374151"/>
          <w:spacing w:val="-4"/>
          <w:shd w:fill="F7F7F8" w:color="auto" w:val="clear"/>
        </w:rPr>
        <w:t> </w:t>
      </w:r>
      <w:r>
        <w:rPr>
          <w:color w:val="374151"/>
          <w:shd w:fill="F7F7F8" w:color="auto" w:val="clear"/>
        </w:rPr>
        <w:t>for</w:t>
      </w:r>
      <w:r>
        <w:rPr>
          <w:color w:val="374151"/>
          <w:spacing w:val="-2"/>
          <w:shd w:fill="F7F7F8" w:color="auto" w:val="clear"/>
        </w:rPr>
        <w:t> </w:t>
      </w:r>
      <w:r>
        <w:rPr>
          <w:color w:val="374151"/>
          <w:shd w:fill="F7F7F8" w:color="auto" w:val="clear"/>
        </w:rPr>
        <w:t>pleasure.</w:t>
      </w:r>
      <w:r>
        <w:rPr>
          <w:color w:val="374151"/>
          <w:spacing w:val="-1"/>
          <w:shd w:fill="F7F7F8" w:color="auto" w:val="clear"/>
        </w:rPr>
        <w:t> </w:t>
      </w:r>
      <w:r>
        <w:rPr>
          <w:color w:val="374151"/>
          <w:shd w:fill="F7F7F8" w:color="auto" w:val="clear"/>
        </w:rPr>
        <w:t>It's</w:t>
      </w:r>
      <w:r>
        <w:rPr>
          <w:color w:val="374151"/>
          <w:spacing w:val="-2"/>
          <w:shd w:fill="F7F7F8" w:color="auto" w:val="clear"/>
        </w:rPr>
        <w:t> </w:t>
      </w:r>
      <w:r>
        <w:rPr>
          <w:color w:val="374151"/>
          <w:shd w:fill="F7F7F8" w:color="auto" w:val="clear"/>
        </w:rPr>
        <w:t>possible</w:t>
      </w:r>
      <w:r>
        <w:rPr>
          <w:color w:val="374151"/>
          <w:spacing w:val="-3"/>
          <w:shd w:fill="F7F7F8" w:color="auto" w:val="clear"/>
        </w:rPr>
        <w:t> </w:t>
      </w:r>
      <w:r>
        <w:rPr>
          <w:color w:val="374151"/>
          <w:shd w:fill="F7F7F8" w:color="auto" w:val="clear"/>
        </w:rPr>
        <w:t>that</w:t>
      </w:r>
      <w:r>
        <w:rPr>
          <w:color w:val="374151"/>
          <w:spacing w:val="-1"/>
          <w:shd w:fill="F7F7F8" w:color="auto" w:val="clear"/>
        </w:rPr>
        <w:t> </w:t>
      </w:r>
      <w:r>
        <w:rPr>
          <w:color w:val="374151"/>
          <w:shd w:fill="F7F7F8" w:color="auto" w:val="clear"/>
        </w:rPr>
        <w:t>this</w:t>
      </w:r>
      <w:r>
        <w:rPr>
          <w:color w:val="374151"/>
          <w:spacing w:val="-2"/>
          <w:shd w:fill="F7F7F8" w:color="auto" w:val="clear"/>
        </w:rPr>
        <w:t> </w:t>
      </w:r>
      <w:r>
        <w:rPr>
          <w:color w:val="374151"/>
          <w:shd w:fill="F7F7F8" w:color="auto" w:val="clear"/>
        </w:rPr>
        <w:t>belief</w:t>
      </w:r>
      <w:r>
        <w:rPr>
          <w:color w:val="374151"/>
          <w:spacing w:val="-2"/>
          <w:shd w:fill="F7F7F8" w:color="auto" w:val="clear"/>
        </w:rPr>
        <w:t> </w:t>
      </w:r>
      <w:r>
        <w:rPr>
          <w:color w:val="374151"/>
          <w:shd w:fill="F7F7F8" w:color="auto" w:val="clear"/>
        </w:rPr>
        <w:t>has</w:t>
      </w:r>
      <w:r>
        <w:rPr>
          <w:color w:val="374151"/>
          <w:spacing w:val="-1"/>
          <w:shd w:fill="F7F7F8" w:color="auto" w:val="clear"/>
        </w:rPr>
        <w:t> </w:t>
      </w:r>
      <w:r>
        <w:rPr>
          <w:color w:val="374151"/>
          <w:shd w:fill="F7F7F8" w:color="auto" w:val="clear"/>
        </w:rPr>
        <w:t>unconsciously</w:t>
      </w:r>
      <w:r>
        <w:rPr>
          <w:color w:val="374151"/>
          <w:spacing w:val="-2"/>
          <w:shd w:fill="F7F7F8" w:color="auto" w:val="clear"/>
        </w:rPr>
        <w:t> </w:t>
      </w:r>
      <w:r>
        <w:rPr>
          <w:color w:val="374151"/>
          <w:shd w:fill="F7F7F8" w:color="auto" w:val="clear"/>
        </w:rPr>
        <w:t>influenced</w:t>
      </w:r>
      <w:r>
        <w:rPr>
          <w:color w:val="374151"/>
          <w:spacing w:val="-1"/>
          <w:shd w:fill="F7F7F8" w:color="auto" w:val="clear"/>
        </w:rPr>
        <w:t> </w:t>
      </w:r>
      <w:r>
        <w:rPr>
          <w:color w:val="374151"/>
          <w:spacing w:val="-5"/>
          <w:shd w:fill="F7F7F8" w:color="auto" w:val="clear"/>
        </w:rPr>
        <w:t>my</w:t>
      </w:r>
      <w:r>
        <w:rPr>
          <w:color w:val="374151"/>
          <w:spacing w:val="40"/>
          <w:shd w:fill="F7F7F8" w:color="auto" w:val="clear"/>
        </w:rPr>
        <w:t> </w:t>
      </w:r>
    </w:p>
    <w:p>
      <w:pPr>
        <w:pStyle w:val="BodyText"/>
        <w:spacing w:line="237" w:lineRule="auto" w:after="9"/>
        <w:ind w:left="280" w:right="499"/>
      </w:pPr>
      <w:r>
        <w:rPr>
          <w:b/>
          <w:color w:val="665082"/>
          <w:shd w:fill="F7F7F8" w:color="auto" w:val="clear"/>
        </w:rPr>
        <w:t>Therapist: </w:t>
      </w:r>
      <w:r>
        <w:rPr>
          <w:color w:val="374151"/>
          <w:shd w:fill="F7F7F8" w:color="auto" w:val="clear"/>
        </w:rPr>
        <w:t>That's an insightful observation. Domain 4, Cultural Factors</w:t>
      </w:r>
      <w:r>
        <w:rPr>
          <w:color w:val="374151"/>
          <w:spacing w:val="-9"/>
          <w:shd w:fill="F7F7F8" w:color="auto" w:val="clear"/>
        </w:rPr>
        <w:t> </w:t>
      </w:r>
      <w:r>
        <w:rPr>
          <w:color w:val="374151"/>
          <w:spacing w:val="-9"/>
        </w:rPr>
        <w:t> </w:t>
      </w:r>
      <w:r>
        <w:rPr>
          <w:color w:val="374151"/>
          <w:shd w:fill="F7F7F8" w:color="auto" w:val="clear"/>
        </w:rPr>
        <w:t>Affecting Self-Coping and Past Help-Seeking, allows us to explore how your </w:t>
      </w:r>
      <w:r>
        <w:rPr>
          <w:color w:val="374151"/>
        </w:rPr>
        <w:t> </w:t>
      </w:r>
      <w:r>
        <w:rPr>
          <w:color w:val="374151"/>
          <w:shd w:fill="F7F7F8" w:color="auto" w:val="clear"/>
        </w:rPr>
        <w:t>culture and community have influenced your coping strategies and previous </w:t>
      </w:r>
      <w:r>
        <w:rPr>
          <w:color w:val="374151"/>
        </w:rPr>
        <w:t> </w:t>
      </w:r>
      <w:r>
        <w:rPr>
          <w:color w:val="374151"/>
          <w:shd w:fill="F7F7F8" w:color="auto" w:val="clear"/>
        </w:rPr>
        <w:t>attempts to address this issue. Can you tell me about any previous experiences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534535" cy="393700"/>
                <wp:effectExtent l="0" t="0" r="0" b="0"/>
                <wp:docPr id="81" name="Textbox 81"/>
                <wp:cNvGraphicFramePr>
                  <a:graphicFrameLocks/>
                </wp:cNvGraphicFramePr>
                <a:graphic>
                  <a:graphicData uri="http://schemas.microsoft.com/office/word/2010/wordprocessingShape">
                    <wps:wsp>
                      <wps:cNvPr id="81" name="Textbox 81"/>
                      <wps:cNvSpPr txBox="1"/>
                      <wps:spPr>
                        <a:xfrm>
                          <a:off x="0" y="0"/>
                          <a:ext cx="4534535" cy="393700"/>
                        </a:xfrm>
                        <a:prstGeom prst="rect">
                          <a:avLst/>
                        </a:prstGeom>
                        <a:solidFill>
                          <a:srgbClr val="F7F7F8"/>
                        </a:solidFill>
                      </wps:spPr>
                      <wps:txbx>
                        <w:txbxContent>
                          <w:p>
                            <w:pPr>
                              <w:pStyle w:val="BodyText"/>
                              <w:spacing w:line="308" w:lineRule="exact"/>
                              <w:ind w:right="-15"/>
                              <w:rPr>
                                <w:color w:val="000000"/>
                              </w:rPr>
                            </w:pPr>
                            <w:r>
                              <w:rPr>
                                <w:color w:val="374151"/>
                              </w:rPr>
                              <w:t>or</w:t>
                            </w:r>
                            <w:r>
                              <w:rPr>
                                <w:color w:val="374151"/>
                                <w:spacing w:val="-4"/>
                              </w:rPr>
                              <w:t> </w:t>
                            </w:r>
                            <w:r>
                              <w:rPr>
                                <w:color w:val="374151"/>
                              </w:rPr>
                              <w:t>support-seeking</w:t>
                            </w:r>
                            <w:r>
                              <w:rPr>
                                <w:color w:val="374151"/>
                                <w:spacing w:val="-2"/>
                              </w:rPr>
                              <w:t> </w:t>
                            </w:r>
                            <w:r>
                              <w:rPr>
                                <w:color w:val="374151"/>
                              </w:rPr>
                              <w:t>behaviors</w:t>
                            </w:r>
                            <w:r>
                              <w:rPr>
                                <w:color w:val="374151"/>
                                <w:spacing w:val="-2"/>
                              </w:rPr>
                              <w:t> </w:t>
                            </w:r>
                            <w:r>
                              <w:rPr>
                                <w:color w:val="374151"/>
                              </w:rPr>
                              <w:t>related</w:t>
                            </w:r>
                            <w:r>
                              <w:rPr>
                                <w:color w:val="374151"/>
                                <w:spacing w:val="-1"/>
                              </w:rPr>
                              <w:t> </w:t>
                            </w:r>
                            <w:r>
                              <w:rPr>
                                <w:color w:val="374151"/>
                              </w:rPr>
                              <w:t>to</w:t>
                            </w:r>
                            <w:r>
                              <w:rPr>
                                <w:color w:val="374151"/>
                                <w:spacing w:val="-2"/>
                              </w:rPr>
                              <w:t> </w:t>
                            </w:r>
                            <w:r>
                              <w:rPr>
                                <w:color w:val="374151"/>
                              </w:rPr>
                              <w:t>your</w:t>
                            </w:r>
                            <w:r>
                              <w:rPr>
                                <w:color w:val="374151"/>
                                <w:spacing w:val="-2"/>
                              </w:rPr>
                              <w:t> </w:t>
                            </w:r>
                            <w:r>
                              <w:rPr>
                                <w:color w:val="374151"/>
                              </w:rPr>
                              <w:t>sexual</w:t>
                            </w:r>
                            <w:r>
                              <w:rPr>
                                <w:color w:val="374151"/>
                                <w:spacing w:val="-1"/>
                              </w:rPr>
                              <w:t> </w:t>
                            </w:r>
                            <w:r>
                              <w:rPr>
                                <w:color w:val="374151"/>
                                <w:spacing w:val="-2"/>
                              </w:rPr>
                              <w:t>difficulties?</w:t>
                            </w:r>
                          </w:p>
                        </w:txbxContent>
                      </wps:txbx>
                      <wps:bodyPr wrap="square" lIns="0" tIns="0" rIns="0" bIns="0" rtlCol="0">
                        <a:noAutofit/>
                      </wps:bodyPr>
                    </wps:wsp>
                  </a:graphicData>
                </a:graphic>
              </wp:inline>
            </w:drawing>
          </mc:Choice>
          <mc:Fallback>
            <w:pict>
              <v:shape style="width:357.05pt;height:31pt;mso-position-horizontal-relative:char;mso-position-vertical-relative:line" type="#_x0000_t202" id="docshape80" filled="true" fillcolor="#f7f7f8" stroked="false">
                <w10:anchorlock/>
                <v:textbox inset="0,0,0,0">
                  <w:txbxContent>
                    <w:p>
                      <w:pPr>
                        <w:pStyle w:val="BodyText"/>
                        <w:spacing w:line="308" w:lineRule="exact"/>
                        <w:ind w:right="-15"/>
                        <w:rPr>
                          <w:color w:val="000000"/>
                        </w:rPr>
                      </w:pPr>
                      <w:r>
                        <w:rPr>
                          <w:color w:val="374151"/>
                        </w:rPr>
                        <w:t>or</w:t>
                      </w:r>
                      <w:r>
                        <w:rPr>
                          <w:color w:val="374151"/>
                          <w:spacing w:val="-4"/>
                        </w:rPr>
                        <w:t> </w:t>
                      </w:r>
                      <w:r>
                        <w:rPr>
                          <w:color w:val="374151"/>
                        </w:rPr>
                        <w:t>support-seeking</w:t>
                      </w:r>
                      <w:r>
                        <w:rPr>
                          <w:color w:val="374151"/>
                          <w:spacing w:val="-2"/>
                        </w:rPr>
                        <w:t> </w:t>
                      </w:r>
                      <w:r>
                        <w:rPr>
                          <w:color w:val="374151"/>
                        </w:rPr>
                        <w:t>behaviors</w:t>
                      </w:r>
                      <w:r>
                        <w:rPr>
                          <w:color w:val="374151"/>
                          <w:spacing w:val="-2"/>
                        </w:rPr>
                        <w:t> </w:t>
                      </w:r>
                      <w:r>
                        <w:rPr>
                          <w:color w:val="374151"/>
                        </w:rPr>
                        <w:t>related</w:t>
                      </w:r>
                      <w:r>
                        <w:rPr>
                          <w:color w:val="374151"/>
                          <w:spacing w:val="-1"/>
                        </w:rPr>
                        <w:t> </w:t>
                      </w:r>
                      <w:r>
                        <w:rPr>
                          <w:color w:val="374151"/>
                        </w:rPr>
                        <w:t>to</w:t>
                      </w:r>
                      <w:r>
                        <w:rPr>
                          <w:color w:val="374151"/>
                          <w:spacing w:val="-2"/>
                        </w:rPr>
                        <w:t> </w:t>
                      </w:r>
                      <w:r>
                        <w:rPr>
                          <w:color w:val="374151"/>
                        </w:rPr>
                        <w:t>your</w:t>
                      </w:r>
                      <w:r>
                        <w:rPr>
                          <w:color w:val="374151"/>
                          <w:spacing w:val="-2"/>
                        </w:rPr>
                        <w:t> </w:t>
                      </w:r>
                      <w:r>
                        <w:rPr>
                          <w:color w:val="374151"/>
                        </w:rPr>
                        <w:t>sexual</w:t>
                      </w:r>
                      <w:r>
                        <w:rPr>
                          <w:color w:val="374151"/>
                          <w:spacing w:val="-1"/>
                        </w:rPr>
                        <w:t> </w:t>
                      </w:r>
                      <w:r>
                        <w:rPr>
                          <w:color w:val="374151"/>
                          <w:spacing w:val="-2"/>
                        </w:rPr>
                        <w:t>difficulties?</w:t>
                      </w:r>
                    </w:p>
                  </w:txbxContent>
                </v:textbox>
                <v:fill type="solid"/>
              </v:shape>
            </w:pict>
          </mc:Fallback>
        </mc:AlternateContent>
      </w:r>
      <w:r>
        <w:rPr>
          <w:sz w:val="20"/>
        </w:rPr>
      </w:r>
    </w:p>
    <w:p>
      <w:pPr>
        <w:pStyle w:val="BodyText"/>
        <w:spacing w:line="282" w:lineRule="exact"/>
        <w:ind w:left="280"/>
      </w:pPr>
      <w:r>
        <w:rPr>
          <w:b/>
          <w:color w:val="665082"/>
          <w:shd w:fill="F7F7F8" w:color="auto" w:val="clear"/>
        </w:rPr>
        <w:t>Client:</w:t>
      </w:r>
      <w:r>
        <w:rPr>
          <w:b/>
          <w:color w:val="665082"/>
          <w:spacing w:val="-6"/>
          <w:shd w:fill="F7F7F8" w:color="auto" w:val="clear"/>
        </w:rPr>
        <w:t> </w:t>
      </w:r>
      <w:r>
        <w:rPr>
          <w:color w:val="374151"/>
          <w:shd w:fill="F7F7F8" w:color="auto" w:val="clear"/>
        </w:rPr>
        <w:t>In</w:t>
      </w:r>
      <w:r>
        <w:rPr>
          <w:color w:val="374151"/>
          <w:spacing w:val="-3"/>
          <w:shd w:fill="F7F7F8" w:color="auto" w:val="clear"/>
        </w:rPr>
        <w:t> </w:t>
      </w:r>
      <w:r>
        <w:rPr>
          <w:color w:val="374151"/>
          <w:shd w:fill="F7F7F8" w:color="auto" w:val="clear"/>
        </w:rPr>
        <w:t>my</w:t>
      </w:r>
      <w:r>
        <w:rPr>
          <w:color w:val="374151"/>
          <w:spacing w:val="-3"/>
          <w:shd w:fill="F7F7F8" w:color="auto" w:val="clear"/>
        </w:rPr>
        <w:t> </w:t>
      </w:r>
      <w:r>
        <w:rPr>
          <w:color w:val="374151"/>
          <w:shd w:fill="F7F7F8" w:color="auto" w:val="clear"/>
        </w:rPr>
        <w:t>community,</w:t>
      </w:r>
      <w:r>
        <w:rPr>
          <w:color w:val="374151"/>
          <w:spacing w:val="-3"/>
          <w:shd w:fill="F7F7F8" w:color="auto" w:val="clear"/>
        </w:rPr>
        <w:t> </w:t>
      </w:r>
      <w:r>
        <w:rPr>
          <w:color w:val="374151"/>
          <w:shd w:fill="F7F7F8" w:color="auto" w:val="clear"/>
        </w:rPr>
        <w:t>seeking</w:t>
      </w:r>
      <w:r>
        <w:rPr>
          <w:color w:val="374151"/>
          <w:spacing w:val="-3"/>
          <w:shd w:fill="F7F7F8" w:color="auto" w:val="clear"/>
        </w:rPr>
        <w:t> </w:t>
      </w:r>
      <w:r>
        <w:rPr>
          <w:color w:val="374151"/>
          <w:shd w:fill="F7F7F8" w:color="auto" w:val="clear"/>
        </w:rPr>
        <w:t>help</w:t>
      </w:r>
      <w:r>
        <w:rPr>
          <w:color w:val="374151"/>
          <w:spacing w:val="-3"/>
          <w:shd w:fill="F7F7F8" w:color="auto" w:val="clear"/>
        </w:rPr>
        <w:t> </w:t>
      </w:r>
      <w:r>
        <w:rPr>
          <w:color w:val="374151"/>
          <w:shd w:fill="F7F7F8" w:color="auto" w:val="clear"/>
        </w:rPr>
        <w:t>for</w:t>
      </w:r>
      <w:r>
        <w:rPr>
          <w:color w:val="374151"/>
          <w:spacing w:val="-3"/>
          <w:shd w:fill="F7F7F8" w:color="auto" w:val="clear"/>
        </w:rPr>
        <w:t> </w:t>
      </w:r>
      <w:r>
        <w:rPr>
          <w:color w:val="374151"/>
          <w:shd w:fill="F7F7F8" w:color="auto" w:val="clear"/>
        </w:rPr>
        <w:t>sexual</w:t>
      </w:r>
      <w:r>
        <w:rPr>
          <w:color w:val="374151"/>
          <w:spacing w:val="-3"/>
          <w:shd w:fill="F7F7F8" w:color="auto" w:val="clear"/>
        </w:rPr>
        <w:t> </w:t>
      </w:r>
      <w:r>
        <w:rPr>
          <w:color w:val="374151"/>
          <w:shd w:fill="F7F7F8" w:color="auto" w:val="clear"/>
        </w:rPr>
        <w:t>concerns</w:t>
      </w:r>
      <w:r>
        <w:rPr>
          <w:color w:val="374151"/>
          <w:spacing w:val="-3"/>
          <w:shd w:fill="F7F7F8" w:color="auto" w:val="clear"/>
        </w:rPr>
        <w:t> </w:t>
      </w:r>
      <w:r>
        <w:rPr>
          <w:color w:val="374151"/>
          <w:shd w:fill="F7F7F8" w:color="auto" w:val="clear"/>
        </w:rPr>
        <w:t>is</w:t>
      </w:r>
      <w:r>
        <w:rPr>
          <w:color w:val="374151"/>
          <w:spacing w:val="-3"/>
          <w:shd w:fill="F7F7F8" w:color="auto" w:val="clear"/>
        </w:rPr>
        <w:t> </w:t>
      </w:r>
      <w:r>
        <w:rPr>
          <w:color w:val="374151"/>
          <w:spacing w:val="-2"/>
          <w:shd w:fill="F7F7F8" w:color="auto" w:val="clear"/>
        </w:rPr>
        <w:t>heavily</w:t>
      </w:r>
      <w:r>
        <w:rPr>
          <w:color w:val="374151"/>
          <w:spacing w:val="40"/>
          <w:shd w:fill="F7F7F8" w:color="auto" w:val="clear"/>
        </w:rPr>
        <w:t> </w:t>
      </w:r>
    </w:p>
    <w:p>
      <w:pPr>
        <w:pStyle w:val="BodyText"/>
        <w:ind w:left="280" w:right="502"/>
      </w:pPr>
      <w:r>
        <w:rPr>
          <w:color w:val="374151"/>
          <w:shd w:fill="F7F7F8" w:color="auto" w:val="clear"/>
        </w:rPr>
        <w:t>stigmatized.</w:t>
      </w:r>
      <w:r>
        <w:rPr>
          <w:color w:val="374151"/>
          <w:spacing w:val="-3"/>
          <w:shd w:fill="F7F7F8" w:color="auto" w:val="clear"/>
        </w:rPr>
        <w:t> </w:t>
      </w:r>
      <w:r>
        <w:rPr>
          <w:color w:val="374151"/>
          <w:shd w:fill="F7F7F8" w:color="auto" w:val="clear"/>
        </w:rPr>
        <w:t>I</w:t>
      </w:r>
      <w:r>
        <w:rPr>
          <w:color w:val="374151"/>
          <w:spacing w:val="-3"/>
          <w:shd w:fill="F7F7F8" w:color="auto" w:val="clear"/>
        </w:rPr>
        <w:t> </w:t>
      </w:r>
      <w:r>
        <w:rPr>
          <w:color w:val="374151"/>
          <w:shd w:fill="F7F7F8" w:color="auto" w:val="clear"/>
        </w:rPr>
        <w:t>haven't</w:t>
      </w:r>
      <w:r>
        <w:rPr>
          <w:color w:val="374151"/>
          <w:spacing w:val="-3"/>
          <w:shd w:fill="F7F7F8" w:color="auto" w:val="clear"/>
        </w:rPr>
        <w:t> </w:t>
      </w:r>
      <w:r>
        <w:rPr>
          <w:color w:val="374151"/>
          <w:shd w:fill="F7F7F8" w:color="auto" w:val="clear"/>
        </w:rPr>
        <w:t>spoken</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anyone</w:t>
      </w:r>
      <w:r>
        <w:rPr>
          <w:color w:val="374151"/>
          <w:spacing w:val="-4"/>
          <w:shd w:fill="F7F7F8" w:color="auto" w:val="clear"/>
        </w:rPr>
        <w:t> </w:t>
      </w:r>
      <w:r>
        <w:rPr>
          <w:color w:val="374151"/>
          <w:shd w:fill="F7F7F8" w:color="auto" w:val="clear"/>
        </w:rPr>
        <w:t>about</w:t>
      </w:r>
      <w:r>
        <w:rPr>
          <w:color w:val="374151"/>
          <w:spacing w:val="-3"/>
          <w:shd w:fill="F7F7F8" w:color="auto" w:val="clear"/>
        </w:rPr>
        <w:t> </w:t>
      </w:r>
      <w:r>
        <w:rPr>
          <w:color w:val="374151"/>
          <w:shd w:fill="F7F7F8" w:color="auto" w:val="clear"/>
        </w:rPr>
        <w:t>this</w:t>
      </w:r>
      <w:r>
        <w:rPr>
          <w:color w:val="374151"/>
          <w:spacing w:val="-3"/>
          <w:shd w:fill="F7F7F8" w:color="auto" w:val="clear"/>
        </w:rPr>
        <w:t> </w:t>
      </w:r>
      <w:r>
        <w:rPr>
          <w:color w:val="374151"/>
          <w:shd w:fill="F7F7F8" w:color="auto" w:val="clear"/>
        </w:rPr>
        <w:t>before,</w:t>
      </w:r>
      <w:r>
        <w:rPr>
          <w:color w:val="374151"/>
          <w:spacing w:val="-3"/>
          <w:shd w:fill="F7F7F8" w:color="auto" w:val="clear"/>
        </w:rPr>
        <w:t> </w:t>
      </w:r>
      <w:r>
        <w:rPr>
          <w:color w:val="374151"/>
          <w:shd w:fill="F7F7F8" w:color="auto" w:val="clear"/>
        </w:rPr>
        <w:t>not</w:t>
      </w:r>
      <w:r>
        <w:rPr>
          <w:color w:val="374151"/>
          <w:spacing w:val="-3"/>
          <w:shd w:fill="F7F7F8" w:color="auto" w:val="clear"/>
        </w:rPr>
        <w:t> </w:t>
      </w:r>
      <w:r>
        <w:rPr>
          <w:color w:val="374151"/>
          <w:shd w:fill="F7F7F8" w:color="auto" w:val="clear"/>
        </w:rPr>
        <w:t>even</w:t>
      </w:r>
      <w:r>
        <w:rPr>
          <w:color w:val="374151"/>
          <w:spacing w:val="-3"/>
          <w:shd w:fill="F7F7F8" w:color="auto" w:val="clear"/>
        </w:rPr>
        <w:t> </w:t>
      </w:r>
      <w:r>
        <w:rPr>
          <w:color w:val="374151"/>
          <w:shd w:fill="F7F7F8" w:color="auto" w:val="clear"/>
        </w:rPr>
        <w:t>my</w:t>
      </w:r>
      <w:r>
        <w:rPr>
          <w:color w:val="374151"/>
          <w:spacing w:val="-3"/>
          <w:shd w:fill="F7F7F8" w:color="auto" w:val="clear"/>
        </w:rPr>
        <w:t> </w:t>
      </w:r>
      <w:r>
        <w:rPr>
          <w:color w:val="374151"/>
          <w:shd w:fill="F7F7F8" w:color="auto" w:val="clear"/>
        </w:rPr>
        <w:t>close</w:t>
      </w:r>
      <w:r>
        <w:rPr>
          <w:color w:val="374151"/>
          <w:spacing w:val="-4"/>
          <w:shd w:fill="F7F7F8" w:color="auto" w:val="clear"/>
        </w:rPr>
        <w:t> </w:t>
      </w:r>
      <w:r>
        <w:rPr>
          <w:color w:val="374151"/>
          <w:spacing w:val="-4"/>
        </w:rPr>
        <w:t> </w:t>
      </w:r>
      <w:r>
        <w:rPr>
          <w:color w:val="374151"/>
          <w:shd w:fill="F7F7F8" w:color="auto" w:val="clear"/>
        </w:rPr>
        <w:t>friends or family.</w:t>
      </w:r>
    </w:p>
    <w:p>
      <w:pPr>
        <w:spacing w:after="0"/>
        <w:sectPr>
          <w:pgSz w:w="12240" w:h="15840"/>
          <w:pgMar w:header="0" w:footer="765" w:top="1260" w:bottom="980" w:left="1400" w:right="1180"/>
        </w:sectPr>
      </w:pPr>
    </w:p>
    <w:p>
      <w:pPr>
        <w:pStyle w:val="BodyText"/>
        <w:spacing w:before="66" w:after="6"/>
        <w:ind w:left="280" w:right="502"/>
      </w:pPr>
      <w:r>
        <w:rPr>
          <w:b/>
          <w:color w:val="665082"/>
          <w:shd w:fill="F7F7F8" w:color="auto" w:val="clear"/>
        </w:rPr>
        <w:t>Therapist</w:t>
      </w:r>
      <w:r>
        <w:rPr>
          <w:color w:val="374151"/>
          <w:shd w:fill="F7F7F8" w:color="auto" w:val="clear"/>
        </w:rPr>
        <w:t>:</w:t>
      </w:r>
      <w:r>
        <w:rPr>
          <w:color w:val="374151"/>
          <w:spacing w:val="-2"/>
          <w:shd w:fill="F7F7F8" w:color="auto" w:val="clear"/>
        </w:rPr>
        <w:t> </w:t>
      </w:r>
      <w:r>
        <w:rPr>
          <w:color w:val="374151"/>
          <w:shd w:fill="F7F7F8" w:color="auto" w:val="clear"/>
        </w:rPr>
        <w:t>Thank you for sharing your experience. Finally, in Domain 5, </w:t>
      </w:r>
      <w:r>
        <w:rPr>
          <w:color w:val="374151"/>
        </w:rPr>
        <w:t> </w:t>
      </w:r>
      <w:r>
        <w:rPr>
          <w:color w:val="374151"/>
          <w:shd w:fill="F7F7F8" w:color="auto" w:val="clear"/>
        </w:rPr>
        <w:t>Cultural Factors</w:t>
      </w:r>
      <w:r>
        <w:rPr>
          <w:color w:val="374151"/>
          <w:spacing w:val="-11"/>
          <w:shd w:fill="F7F7F8" w:color="auto" w:val="clear"/>
        </w:rPr>
        <w:t> </w:t>
      </w:r>
      <w:r>
        <w:rPr>
          <w:color w:val="374151"/>
          <w:shd w:fill="F7F7F8" w:color="auto" w:val="clear"/>
        </w:rPr>
        <w:t>Affecting the Relationship Between the Individual and the </w:t>
      </w:r>
      <w:r>
        <w:rPr>
          <w:color w:val="374151"/>
        </w:rPr>
        <w:t> </w:t>
      </w:r>
      <w:r>
        <w:rPr>
          <w:color w:val="374151"/>
          <w:shd w:fill="F7F7F8" w:color="auto" w:val="clear"/>
        </w:rPr>
        <w:t>Clinician, we examine how your cultural background might influence our </w:t>
      </w:r>
      <w:r>
        <w:rPr>
          <w:color w:val="374151"/>
        </w:rPr>
        <w:t> </w:t>
      </w:r>
      <w:r>
        <w:rPr>
          <w:color w:val="374151"/>
          <w:shd w:fill="F7F7F8" w:color="auto" w:val="clear"/>
        </w:rPr>
        <w:t>therapeutic relationship. Is there anything you'd like me to know or consider in</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834390" cy="393700"/>
                <wp:effectExtent l="0" t="0" r="0" b="0"/>
                <wp:docPr id="82" name="Textbox 82"/>
                <wp:cNvGraphicFramePr>
                  <a:graphicFrameLocks/>
                </wp:cNvGraphicFramePr>
                <a:graphic>
                  <a:graphicData uri="http://schemas.microsoft.com/office/word/2010/wordprocessingShape">
                    <wps:wsp>
                      <wps:cNvPr id="82" name="Textbox 82"/>
                      <wps:cNvSpPr txBox="1"/>
                      <wps:spPr>
                        <a:xfrm>
                          <a:off x="0" y="0"/>
                          <a:ext cx="834390" cy="393700"/>
                        </a:xfrm>
                        <a:prstGeom prst="rect">
                          <a:avLst/>
                        </a:prstGeom>
                        <a:solidFill>
                          <a:srgbClr val="F7F7F8"/>
                        </a:solidFill>
                      </wps:spPr>
                      <wps:txbx>
                        <w:txbxContent>
                          <w:p>
                            <w:pPr>
                              <w:pStyle w:val="BodyText"/>
                              <w:spacing w:line="308" w:lineRule="exact"/>
                              <w:ind w:right="-15"/>
                              <w:rPr>
                                <w:color w:val="000000"/>
                              </w:rPr>
                            </w:pPr>
                            <w:r>
                              <w:rPr>
                                <w:color w:val="374151"/>
                              </w:rPr>
                              <w:t>this</w:t>
                            </w:r>
                            <w:r>
                              <w:rPr>
                                <w:color w:val="374151"/>
                                <w:spacing w:val="-2"/>
                              </w:rPr>
                              <w:t> regard?</w:t>
                            </w:r>
                          </w:p>
                        </w:txbxContent>
                      </wps:txbx>
                      <wps:bodyPr wrap="square" lIns="0" tIns="0" rIns="0" bIns="0" rtlCol="0">
                        <a:noAutofit/>
                      </wps:bodyPr>
                    </wps:wsp>
                  </a:graphicData>
                </a:graphic>
              </wp:inline>
            </w:drawing>
          </mc:Choice>
          <mc:Fallback>
            <w:pict>
              <v:shape style="width:65.7pt;height:31pt;mso-position-horizontal-relative:char;mso-position-vertical-relative:line" type="#_x0000_t202" id="docshape81" filled="true" fillcolor="#f7f7f8" stroked="false">
                <w10:anchorlock/>
                <v:textbox inset="0,0,0,0">
                  <w:txbxContent>
                    <w:p>
                      <w:pPr>
                        <w:pStyle w:val="BodyText"/>
                        <w:spacing w:line="308" w:lineRule="exact"/>
                        <w:ind w:right="-15"/>
                        <w:rPr>
                          <w:color w:val="000000"/>
                        </w:rPr>
                      </w:pPr>
                      <w:r>
                        <w:rPr>
                          <w:color w:val="374151"/>
                        </w:rPr>
                        <w:t>this</w:t>
                      </w:r>
                      <w:r>
                        <w:rPr>
                          <w:color w:val="374151"/>
                          <w:spacing w:val="-2"/>
                        </w:rPr>
                        <w:t> regard?</w:t>
                      </w:r>
                    </w:p>
                  </w:txbxContent>
                </v:textbox>
                <v:fill type="solid"/>
              </v:shape>
            </w:pict>
          </mc:Fallback>
        </mc:AlternateContent>
      </w:r>
      <w:r>
        <w:rPr>
          <w:sz w:val="20"/>
        </w:rPr>
      </w:r>
    </w:p>
    <w:p>
      <w:pPr>
        <w:pStyle w:val="BodyText"/>
        <w:spacing w:line="282" w:lineRule="exact"/>
        <w:ind w:left="280"/>
      </w:pPr>
      <w:r>
        <w:rPr>
          <w:b/>
          <w:color w:val="665082"/>
          <w:shd w:fill="F7F7F8" w:color="auto" w:val="clear"/>
        </w:rPr>
        <w:t>Client:</w:t>
      </w:r>
      <w:r>
        <w:rPr>
          <w:b/>
          <w:color w:val="665082"/>
          <w:spacing w:val="-3"/>
          <w:shd w:fill="F7F7F8" w:color="auto" w:val="clear"/>
        </w:rPr>
        <w:t> </w:t>
      </w:r>
      <w:r>
        <w:rPr>
          <w:color w:val="374151"/>
          <w:shd w:fill="F7F7F8" w:color="auto" w:val="clear"/>
        </w:rPr>
        <w:t>I</w:t>
      </w:r>
      <w:r>
        <w:rPr>
          <w:color w:val="374151"/>
          <w:spacing w:val="-1"/>
          <w:shd w:fill="F7F7F8" w:color="auto" w:val="clear"/>
        </w:rPr>
        <w:t> </w:t>
      </w:r>
      <w:r>
        <w:rPr>
          <w:color w:val="374151"/>
          <w:shd w:fill="F7F7F8" w:color="auto" w:val="clear"/>
        </w:rPr>
        <w:t>would</w:t>
      </w:r>
      <w:r>
        <w:rPr>
          <w:color w:val="374151"/>
          <w:spacing w:val="-1"/>
          <w:shd w:fill="F7F7F8" w:color="auto" w:val="clear"/>
        </w:rPr>
        <w:t> </w:t>
      </w:r>
      <w:r>
        <w:rPr>
          <w:color w:val="374151"/>
          <w:shd w:fill="F7F7F8" w:color="auto" w:val="clear"/>
        </w:rPr>
        <w:t>appreciate</w:t>
      </w:r>
      <w:r>
        <w:rPr>
          <w:color w:val="374151"/>
          <w:spacing w:val="-2"/>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therapist who</w:t>
      </w:r>
      <w:r>
        <w:rPr>
          <w:color w:val="374151"/>
          <w:spacing w:val="-1"/>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sensitive</w:t>
      </w:r>
      <w:r>
        <w:rPr>
          <w:color w:val="374151"/>
          <w:spacing w:val="-2"/>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my </w:t>
      </w:r>
      <w:r>
        <w:rPr>
          <w:color w:val="374151"/>
          <w:spacing w:val="-2"/>
          <w:shd w:fill="F7F7F8" w:color="auto" w:val="clear"/>
        </w:rPr>
        <w:t>cultural</w:t>
      </w:r>
      <w:r>
        <w:rPr>
          <w:color w:val="374151"/>
          <w:spacing w:val="40"/>
          <w:shd w:fill="F7F7F8" w:color="auto" w:val="clear"/>
        </w:rPr>
        <w:t> </w:t>
      </w:r>
    </w:p>
    <w:p>
      <w:pPr>
        <w:pStyle w:val="BodyText"/>
        <w:spacing w:line="321" w:lineRule="exact"/>
        <w:ind w:left="280"/>
      </w:pPr>
      <w:r>
        <w:rPr/>
        <mc:AlternateContent>
          <mc:Choice Requires="wps">
            <w:drawing>
              <wp:anchor distT="0" distB="0" distL="0" distR="0" allowOverlap="1" layoutInCell="1" locked="0" behindDoc="1" simplePos="0" relativeHeight="487608320">
                <wp:simplePos x="0" y="0"/>
                <wp:positionH relativeFrom="page">
                  <wp:posOffset>1066800</wp:posOffset>
                </wp:positionH>
                <wp:positionV relativeFrom="paragraph">
                  <wp:posOffset>208906</wp:posOffset>
                </wp:positionV>
                <wp:extent cx="4912995" cy="393700"/>
                <wp:effectExtent l="0" t="0" r="0" b="0"/>
                <wp:wrapTopAndBottom/>
                <wp:docPr id="83" name="Textbox 83"/>
                <wp:cNvGraphicFramePr>
                  <a:graphicFrameLocks/>
                </wp:cNvGraphicFramePr>
                <a:graphic>
                  <a:graphicData uri="http://schemas.microsoft.com/office/word/2010/wordprocessingShape">
                    <wps:wsp>
                      <wps:cNvPr id="83" name="Textbox 83"/>
                      <wps:cNvSpPr txBox="1"/>
                      <wps:spPr>
                        <a:xfrm>
                          <a:off x="0" y="0"/>
                          <a:ext cx="4912995" cy="393700"/>
                        </a:xfrm>
                        <a:prstGeom prst="rect">
                          <a:avLst/>
                        </a:prstGeom>
                        <a:solidFill>
                          <a:srgbClr val="F7F7F8"/>
                        </a:solidFill>
                      </wps:spPr>
                      <wps:txbx>
                        <w:txbxContent>
                          <w:p>
                            <w:pPr>
                              <w:pStyle w:val="BodyText"/>
                              <w:spacing w:line="308" w:lineRule="exact"/>
                              <w:ind w:right="-15"/>
                              <w:rPr>
                                <w:color w:val="000000"/>
                              </w:rPr>
                            </w:pPr>
                            <w:r>
                              <w:rPr>
                                <w:color w:val="374151"/>
                              </w:rPr>
                              <w:t>would</w:t>
                            </w:r>
                            <w:r>
                              <w:rPr>
                                <w:color w:val="374151"/>
                                <w:spacing w:val="-3"/>
                              </w:rPr>
                              <w:t> </w:t>
                            </w:r>
                            <w:r>
                              <w:rPr>
                                <w:color w:val="374151"/>
                              </w:rPr>
                              <w:t>make</w:t>
                            </w:r>
                            <w:r>
                              <w:rPr>
                                <w:color w:val="374151"/>
                                <w:spacing w:val="-2"/>
                              </w:rPr>
                              <w:t> </w:t>
                            </w:r>
                            <w:r>
                              <w:rPr>
                                <w:color w:val="374151"/>
                              </w:rPr>
                              <w:t>me</w:t>
                            </w:r>
                            <w:r>
                              <w:rPr>
                                <w:color w:val="374151"/>
                                <w:spacing w:val="-2"/>
                              </w:rPr>
                              <w:t> </w:t>
                            </w:r>
                            <w:r>
                              <w:rPr>
                                <w:color w:val="374151"/>
                              </w:rPr>
                              <w:t>feel more</w:t>
                            </w:r>
                            <w:r>
                              <w:rPr>
                                <w:color w:val="374151"/>
                                <w:spacing w:val="-2"/>
                              </w:rPr>
                              <w:t> </w:t>
                            </w:r>
                            <w:r>
                              <w:rPr>
                                <w:color w:val="374151"/>
                              </w:rPr>
                              <w:t>comfortable</w:t>
                            </w:r>
                            <w:r>
                              <w:rPr>
                                <w:color w:val="374151"/>
                                <w:spacing w:val="-2"/>
                              </w:rPr>
                              <w:t> </w:t>
                            </w:r>
                            <w:r>
                              <w:rPr>
                                <w:color w:val="374151"/>
                              </w:rPr>
                              <w:t>and open</w:t>
                            </w:r>
                            <w:r>
                              <w:rPr>
                                <w:color w:val="374151"/>
                                <w:spacing w:val="-1"/>
                              </w:rPr>
                              <w:t> </w:t>
                            </w:r>
                            <w:r>
                              <w:rPr>
                                <w:color w:val="374151"/>
                              </w:rPr>
                              <w:t>during</w:t>
                            </w:r>
                            <w:r>
                              <w:rPr>
                                <w:color w:val="374151"/>
                                <w:spacing w:val="-1"/>
                              </w:rPr>
                              <w:t> </w:t>
                            </w:r>
                            <w:r>
                              <w:rPr>
                                <w:color w:val="374151"/>
                              </w:rPr>
                              <w:t>our </w:t>
                            </w:r>
                            <w:r>
                              <w:rPr>
                                <w:color w:val="374151"/>
                                <w:spacing w:val="-2"/>
                              </w:rPr>
                              <w:t>sessions.</w:t>
                            </w:r>
                          </w:p>
                        </w:txbxContent>
                      </wps:txbx>
                      <wps:bodyPr wrap="square" lIns="0" tIns="0" rIns="0" bIns="0" rtlCol="0">
                        <a:noAutofit/>
                      </wps:bodyPr>
                    </wps:wsp>
                  </a:graphicData>
                </a:graphic>
              </wp:anchor>
            </w:drawing>
          </mc:Choice>
          <mc:Fallback>
            <w:pict>
              <v:shape style="position:absolute;margin-left:84pt;margin-top:16.449316pt;width:386.85pt;height:31pt;mso-position-horizontal-relative:page;mso-position-vertical-relative:paragraph;z-index:-15708160;mso-wrap-distance-left:0;mso-wrap-distance-right:0" type="#_x0000_t202" id="docshape82" filled="true" fillcolor="#f7f7f8" stroked="false">
                <v:textbox inset="0,0,0,0">
                  <w:txbxContent>
                    <w:p>
                      <w:pPr>
                        <w:pStyle w:val="BodyText"/>
                        <w:spacing w:line="308" w:lineRule="exact"/>
                        <w:ind w:right="-15"/>
                        <w:rPr>
                          <w:color w:val="000000"/>
                        </w:rPr>
                      </w:pPr>
                      <w:r>
                        <w:rPr>
                          <w:color w:val="374151"/>
                        </w:rPr>
                        <w:t>would</w:t>
                      </w:r>
                      <w:r>
                        <w:rPr>
                          <w:color w:val="374151"/>
                          <w:spacing w:val="-3"/>
                        </w:rPr>
                        <w:t> </w:t>
                      </w:r>
                      <w:r>
                        <w:rPr>
                          <w:color w:val="374151"/>
                        </w:rPr>
                        <w:t>make</w:t>
                      </w:r>
                      <w:r>
                        <w:rPr>
                          <w:color w:val="374151"/>
                          <w:spacing w:val="-2"/>
                        </w:rPr>
                        <w:t> </w:t>
                      </w:r>
                      <w:r>
                        <w:rPr>
                          <w:color w:val="374151"/>
                        </w:rPr>
                        <w:t>me</w:t>
                      </w:r>
                      <w:r>
                        <w:rPr>
                          <w:color w:val="374151"/>
                          <w:spacing w:val="-2"/>
                        </w:rPr>
                        <w:t> </w:t>
                      </w:r>
                      <w:r>
                        <w:rPr>
                          <w:color w:val="374151"/>
                        </w:rPr>
                        <w:t>feel more</w:t>
                      </w:r>
                      <w:r>
                        <w:rPr>
                          <w:color w:val="374151"/>
                          <w:spacing w:val="-2"/>
                        </w:rPr>
                        <w:t> </w:t>
                      </w:r>
                      <w:r>
                        <w:rPr>
                          <w:color w:val="374151"/>
                        </w:rPr>
                        <w:t>comfortable</w:t>
                      </w:r>
                      <w:r>
                        <w:rPr>
                          <w:color w:val="374151"/>
                          <w:spacing w:val="-2"/>
                        </w:rPr>
                        <w:t> </w:t>
                      </w:r>
                      <w:r>
                        <w:rPr>
                          <w:color w:val="374151"/>
                        </w:rPr>
                        <w:t>and open</w:t>
                      </w:r>
                      <w:r>
                        <w:rPr>
                          <w:color w:val="374151"/>
                          <w:spacing w:val="-1"/>
                        </w:rPr>
                        <w:t> </w:t>
                      </w:r>
                      <w:r>
                        <w:rPr>
                          <w:color w:val="374151"/>
                        </w:rPr>
                        <w:t>during</w:t>
                      </w:r>
                      <w:r>
                        <w:rPr>
                          <w:color w:val="374151"/>
                          <w:spacing w:val="-1"/>
                        </w:rPr>
                        <w:t> </w:t>
                      </w:r>
                      <w:r>
                        <w:rPr>
                          <w:color w:val="374151"/>
                        </w:rPr>
                        <w:t>our </w:t>
                      </w:r>
                      <w:r>
                        <w:rPr>
                          <w:color w:val="374151"/>
                          <w:spacing w:val="-2"/>
                        </w:rPr>
                        <w:t>sessions.</w:t>
                      </w:r>
                    </w:p>
                  </w:txbxContent>
                </v:textbox>
                <v:fill type="solid"/>
                <w10:wrap type="topAndBottom"/>
              </v:shape>
            </w:pict>
          </mc:Fallback>
        </mc:AlternateContent>
      </w:r>
      <w:r>
        <w:rPr>
          <w:color w:val="374151"/>
          <w:shd w:fill="F7F7F8" w:color="auto" w:val="clear"/>
        </w:rPr>
        <w:t>background</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understands</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unique</w:t>
      </w:r>
      <w:r>
        <w:rPr>
          <w:color w:val="374151"/>
          <w:spacing w:val="-2"/>
          <w:shd w:fill="F7F7F8" w:color="auto" w:val="clear"/>
        </w:rPr>
        <w:t> </w:t>
      </w:r>
      <w:r>
        <w:rPr>
          <w:color w:val="374151"/>
          <w:shd w:fill="F7F7F8" w:color="auto" w:val="clear"/>
        </w:rPr>
        <w:t>challenges</w:t>
      </w:r>
      <w:r>
        <w:rPr>
          <w:color w:val="374151"/>
          <w:spacing w:val="-1"/>
          <w:shd w:fill="F7F7F8" w:color="auto" w:val="clear"/>
        </w:rPr>
        <w:t> </w:t>
      </w:r>
      <w:r>
        <w:rPr>
          <w:color w:val="374151"/>
          <w:shd w:fill="F7F7F8" w:color="auto" w:val="clear"/>
        </w:rPr>
        <w:t>I</w:t>
      </w:r>
      <w:r>
        <w:rPr>
          <w:color w:val="374151"/>
          <w:spacing w:val="-2"/>
          <w:shd w:fill="F7F7F8" w:color="auto" w:val="clear"/>
        </w:rPr>
        <w:t> </w:t>
      </w:r>
      <w:r>
        <w:rPr>
          <w:color w:val="374151"/>
          <w:shd w:fill="F7F7F8" w:color="auto" w:val="clear"/>
        </w:rPr>
        <w:t>might</w:t>
      </w:r>
      <w:r>
        <w:rPr>
          <w:color w:val="374151"/>
          <w:spacing w:val="-1"/>
          <w:shd w:fill="F7F7F8" w:color="auto" w:val="clear"/>
        </w:rPr>
        <w:t> </w:t>
      </w:r>
      <w:r>
        <w:rPr>
          <w:color w:val="374151"/>
          <w:shd w:fill="F7F7F8" w:color="auto" w:val="clear"/>
        </w:rPr>
        <w:t>face</w:t>
      </w:r>
      <w:r>
        <w:rPr>
          <w:color w:val="374151"/>
          <w:spacing w:val="-2"/>
          <w:shd w:fill="F7F7F8" w:color="auto" w:val="clear"/>
        </w:rPr>
        <w:t> </w:t>
      </w:r>
      <w:r>
        <w:rPr>
          <w:color w:val="374151"/>
          <w:shd w:fill="F7F7F8" w:color="auto" w:val="clear"/>
        </w:rPr>
        <w:t>due</w:t>
      </w:r>
      <w:r>
        <w:rPr>
          <w:color w:val="374151"/>
          <w:spacing w:val="-2"/>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it.</w:t>
      </w:r>
      <w:r>
        <w:rPr>
          <w:color w:val="374151"/>
          <w:spacing w:val="-1"/>
          <w:shd w:fill="F7F7F8" w:color="auto" w:val="clear"/>
        </w:rPr>
        <w:t> </w:t>
      </w:r>
      <w:r>
        <w:rPr>
          <w:color w:val="374151"/>
          <w:spacing w:val="-5"/>
          <w:shd w:fill="F7F7F8" w:color="auto" w:val="clear"/>
        </w:rPr>
        <w:t>It</w:t>
      </w:r>
      <w:r>
        <w:rPr>
          <w:color w:val="374151"/>
          <w:spacing w:val="40"/>
          <w:shd w:fill="F7F7F8" w:color="auto" w:val="clear"/>
        </w:rPr>
        <w:t> </w:t>
      </w:r>
    </w:p>
    <w:p>
      <w:pPr>
        <w:pStyle w:val="BodyText"/>
        <w:spacing w:line="237" w:lineRule="auto" w:after="6"/>
        <w:ind w:left="280"/>
      </w:pPr>
      <w:r>
        <w:rPr>
          <w:b/>
          <w:color w:val="665082"/>
          <w:shd w:fill="F7F7F8" w:color="auto" w:val="clear"/>
        </w:rPr>
        <w:t>Therapist</w:t>
      </w:r>
      <w:r>
        <w:rPr>
          <w:color w:val="374151"/>
          <w:shd w:fill="F7F7F8" w:color="auto" w:val="clear"/>
        </w:rPr>
        <w:t>:</w:t>
      </w:r>
      <w:r>
        <w:rPr>
          <w:color w:val="374151"/>
          <w:spacing w:val="-3"/>
          <w:shd w:fill="F7F7F8" w:color="auto" w:val="clear"/>
        </w:rPr>
        <w:t> </w:t>
      </w:r>
      <w:r>
        <w:rPr>
          <w:color w:val="374151"/>
          <w:shd w:fill="F7F7F8" w:color="auto" w:val="clear"/>
        </w:rPr>
        <w:t>I</w:t>
      </w:r>
      <w:r>
        <w:rPr>
          <w:color w:val="374151"/>
          <w:spacing w:val="-3"/>
          <w:shd w:fill="F7F7F8" w:color="auto" w:val="clear"/>
        </w:rPr>
        <w:t> </w:t>
      </w:r>
      <w:r>
        <w:rPr>
          <w:color w:val="374151"/>
          <w:shd w:fill="F7F7F8" w:color="auto" w:val="clear"/>
        </w:rPr>
        <w:t>understand</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will</w:t>
      </w:r>
      <w:r>
        <w:rPr>
          <w:color w:val="374151"/>
          <w:spacing w:val="-3"/>
          <w:shd w:fill="F7F7F8" w:color="auto" w:val="clear"/>
        </w:rPr>
        <w:t> </w:t>
      </w:r>
      <w:r>
        <w:rPr>
          <w:color w:val="374151"/>
          <w:shd w:fill="F7F7F8" w:color="auto" w:val="clear"/>
        </w:rPr>
        <w:t>do</w:t>
      </w:r>
      <w:r>
        <w:rPr>
          <w:color w:val="374151"/>
          <w:spacing w:val="-3"/>
          <w:shd w:fill="F7F7F8" w:color="auto" w:val="clear"/>
        </w:rPr>
        <w:t> </w:t>
      </w:r>
      <w:r>
        <w:rPr>
          <w:color w:val="374151"/>
          <w:shd w:fill="F7F7F8" w:color="auto" w:val="clear"/>
        </w:rPr>
        <w:t>my</w:t>
      </w:r>
      <w:r>
        <w:rPr>
          <w:color w:val="374151"/>
          <w:spacing w:val="-3"/>
          <w:shd w:fill="F7F7F8" w:color="auto" w:val="clear"/>
        </w:rPr>
        <w:t> </w:t>
      </w:r>
      <w:r>
        <w:rPr>
          <w:color w:val="374151"/>
          <w:shd w:fill="F7F7F8" w:color="auto" w:val="clear"/>
        </w:rPr>
        <w:t>best</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provide</w:t>
      </w:r>
      <w:r>
        <w:rPr>
          <w:color w:val="374151"/>
          <w:spacing w:val="-4"/>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safe</w:t>
      </w:r>
      <w:r>
        <w:rPr>
          <w:color w:val="374151"/>
          <w:spacing w:val="-4"/>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culturally</w:t>
      </w:r>
      <w:r>
        <w:rPr>
          <w:color w:val="374151"/>
          <w:spacing w:val="-4"/>
          <w:shd w:fill="F7F7F8" w:color="auto" w:val="clear"/>
        </w:rPr>
        <w:t> </w:t>
      </w:r>
      <w:r>
        <w:rPr>
          <w:color w:val="374151"/>
          <w:spacing w:val="-4"/>
        </w:rPr>
        <w:t> </w:t>
      </w:r>
      <w:r>
        <w:rPr>
          <w:color w:val="374151"/>
          <w:shd w:fill="F7F7F8" w:color="auto" w:val="clear"/>
        </w:rPr>
        <w:t>responsive environment.</w:t>
      </w:r>
      <w:r>
        <w:rPr>
          <w:color w:val="374151"/>
          <w:spacing w:val="-1"/>
          <w:shd w:fill="F7F7F8" w:color="auto" w:val="clear"/>
        </w:rPr>
        <w:t> </w:t>
      </w:r>
      <w:r>
        <w:rPr>
          <w:color w:val="374151"/>
          <w:shd w:fill="F7F7F8" w:color="auto" w:val="clear"/>
        </w:rPr>
        <w:t>Your cultural background is an essential aspect of</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562475" cy="393700"/>
                <wp:effectExtent l="0" t="0" r="0" b="0"/>
                <wp:docPr id="84" name="Textbox 84"/>
                <wp:cNvGraphicFramePr>
                  <a:graphicFrameLocks/>
                </wp:cNvGraphicFramePr>
                <a:graphic>
                  <a:graphicData uri="http://schemas.microsoft.com/office/word/2010/wordprocessingShape">
                    <wps:wsp>
                      <wps:cNvPr id="84" name="Textbox 84"/>
                      <wps:cNvSpPr txBox="1"/>
                      <wps:spPr>
                        <a:xfrm>
                          <a:off x="0" y="0"/>
                          <a:ext cx="4562475" cy="393700"/>
                        </a:xfrm>
                        <a:prstGeom prst="rect">
                          <a:avLst/>
                        </a:prstGeom>
                        <a:solidFill>
                          <a:srgbClr val="F7F7F8"/>
                        </a:solidFill>
                      </wps:spPr>
                      <wps:txbx>
                        <w:txbxContent>
                          <w:p>
                            <w:pPr>
                              <w:pStyle w:val="BodyText"/>
                              <w:spacing w:line="308" w:lineRule="exact"/>
                              <w:ind w:right="-15"/>
                              <w:rPr>
                                <w:color w:val="000000"/>
                              </w:rPr>
                            </w:pPr>
                            <w:r>
                              <w:rPr>
                                <w:color w:val="374151"/>
                              </w:rPr>
                              <w:t>your</w:t>
                            </w:r>
                            <w:r>
                              <w:rPr>
                                <w:color w:val="374151"/>
                                <w:spacing w:val="-3"/>
                              </w:rPr>
                              <w:t> </w:t>
                            </w:r>
                            <w:r>
                              <w:rPr>
                                <w:color w:val="374151"/>
                              </w:rPr>
                              <w:t>identity</w:t>
                            </w:r>
                            <w:r>
                              <w:rPr>
                                <w:color w:val="374151"/>
                                <w:spacing w:val="-1"/>
                              </w:rPr>
                              <w:t> </w:t>
                            </w:r>
                            <w:r>
                              <w:rPr>
                                <w:color w:val="374151"/>
                              </w:rPr>
                              <w:t>and</w:t>
                            </w:r>
                            <w:r>
                              <w:rPr>
                                <w:color w:val="374151"/>
                                <w:spacing w:val="-1"/>
                              </w:rPr>
                              <w:t> </w:t>
                            </w:r>
                            <w:r>
                              <w:rPr>
                                <w:color w:val="374151"/>
                              </w:rPr>
                              <w:t>will</w:t>
                            </w:r>
                            <w:r>
                              <w:rPr>
                                <w:color w:val="374151"/>
                                <w:spacing w:val="-1"/>
                              </w:rPr>
                              <w:t> </w:t>
                            </w:r>
                            <w:r>
                              <w:rPr>
                                <w:color w:val="374151"/>
                              </w:rPr>
                              <w:t>be</w:t>
                            </w:r>
                            <w:r>
                              <w:rPr>
                                <w:color w:val="374151"/>
                                <w:spacing w:val="-2"/>
                              </w:rPr>
                              <w:t> </w:t>
                            </w:r>
                            <w:r>
                              <w:rPr>
                                <w:color w:val="374151"/>
                              </w:rPr>
                              <w:t>integrated</w:t>
                            </w:r>
                            <w:r>
                              <w:rPr>
                                <w:color w:val="374151"/>
                                <w:spacing w:val="-1"/>
                              </w:rPr>
                              <w:t> </w:t>
                            </w:r>
                            <w:r>
                              <w:rPr>
                                <w:color w:val="374151"/>
                              </w:rPr>
                              <w:t>into</w:t>
                            </w:r>
                            <w:r>
                              <w:rPr>
                                <w:color w:val="374151"/>
                                <w:spacing w:val="-1"/>
                              </w:rPr>
                              <w:t> </w:t>
                            </w:r>
                            <w:r>
                              <w:rPr>
                                <w:color w:val="374151"/>
                              </w:rPr>
                              <w:t>our</w:t>
                            </w:r>
                            <w:r>
                              <w:rPr>
                                <w:color w:val="374151"/>
                                <w:spacing w:val="-1"/>
                              </w:rPr>
                              <w:t> </w:t>
                            </w:r>
                            <w:r>
                              <w:rPr>
                                <w:color w:val="374151"/>
                              </w:rPr>
                              <w:t>treatment </w:t>
                            </w:r>
                            <w:r>
                              <w:rPr>
                                <w:color w:val="374151"/>
                                <w:spacing w:val="-2"/>
                              </w:rPr>
                              <w:t>approach.</w:t>
                            </w:r>
                          </w:p>
                        </w:txbxContent>
                      </wps:txbx>
                      <wps:bodyPr wrap="square" lIns="0" tIns="0" rIns="0" bIns="0" rtlCol="0">
                        <a:noAutofit/>
                      </wps:bodyPr>
                    </wps:wsp>
                  </a:graphicData>
                </a:graphic>
              </wp:inline>
            </w:drawing>
          </mc:Choice>
          <mc:Fallback>
            <w:pict>
              <v:shape style="width:359.25pt;height:31pt;mso-position-horizontal-relative:char;mso-position-vertical-relative:line" type="#_x0000_t202" id="docshape83" filled="true" fillcolor="#f7f7f8" stroked="false">
                <w10:anchorlock/>
                <v:textbox inset="0,0,0,0">
                  <w:txbxContent>
                    <w:p>
                      <w:pPr>
                        <w:pStyle w:val="BodyText"/>
                        <w:spacing w:line="308" w:lineRule="exact"/>
                        <w:ind w:right="-15"/>
                        <w:rPr>
                          <w:color w:val="000000"/>
                        </w:rPr>
                      </w:pPr>
                      <w:r>
                        <w:rPr>
                          <w:color w:val="374151"/>
                        </w:rPr>
                        <w:t>your</w:t>
                      </w:r>
                      <w:r>
                        <w:rPr>
                          <w:color w:val="374151"/>
                          <w:spacing w:val="-3"/>
                        </w:rPr>
                        <w:t> </w:t>
                      </w:r>
                      <w:r>
                        <w:rPr>
                          <w:color w:val="374151"/>
                        </w:rPr>
                        <w:t>identity</w:t>
                      </w:r>
                      <w:r>
                        <w:rPr>
                          <w:color w:val="374151"/>
                          <w:spacing w:val="-1"/>
                        </w:rPr>
                        <w:t> </w:t>
                      </w:r>
                      <w:r>
                        <w:rPr>
                          <w:color w:val="374151"/>
                        </w:rPr>
                        <w:t>and</w:t>
                      </w:r>
                      <w:r>
                        <w:rPr>
                          <w:color w:val="374151"/>
                          <w:spacing w:val="-1"/>
                        </w:rPr>
                        <w:t> </w:t>
                      </w:r>
                      <w:r>
                        <w:rPr>
                          <w:color w:val="374151"/>
                        </w:rPr>
                        <w:t>will</w:t>
                      </w:r>
                      <w:r>
                        <w:rPr>
                          <w:color w:val="374151"/>
                          <w:spacing w:val="-1"/>
                        </w:rPr>
                        <w:t> </w:t>
                      </w:r>
                      <w:r>
                        <w:rPr>
                          <w:color w:val="374151"/>
                        </w:rPr>
                        <w:t>be</w:t>
                      </w:r>
                      <w:r>
                        <w:rPr>
                          <w:color w:val="374151"/>
                          <w:spacing w:val="-2"/>
                        </w:rPr>
                        <w:t> </w:t>
                      </w:r>
                      <w:r>
                        <w:rPr>
                          <w:color w:val="374151"/>
                        </w:rPr>
                        <w:t>integrated</w:t>
                      </w:r>
                      <w:r>
                        <w:rPr>
                          <w:color w:val="374151"/>
                          <w:spacing w:val="-1"/>
                        </w:rPr>
                        <w:t> </w:t>
                      </w:r>
                      <w:r>
                        <w:rPr>
                          <w:color w:val="374151"/>
                        </w:rPr>
                        <w:t>into</w:t>
                      </w:r>
                      <w:r>
                        <w:rPr>
                          <w:color w:val="374151"/>
                          <w:spacing w:val="-1"/>
                        </w:rPr>
                        <w:t> </w:t>
                      </w:r>
                      <w:r>
                        <w:rPr>
                          <w:color w:val="374151"/>
                        </w:rPr>
                        <w:t>our</w:t>
                      </w:r>
                      <w:r>
                        <w:rPr>
                          <w:color w:val="374151"/>
                          <w:spacing w:val="-1"/>
                        </w:rPr>
                        <w:t> </w:t>
                      </w:r>
                      <w:r>
                        <w:rPr>
                          <w:color w:val="374151"/>
                        </w:rPr>
                        <w:t>treatment </w:t>
                      </w:r>
                      <w:r>
                        <w:rPr>
                          <w:color w:val="374151"/>
                          <w:spacing w:val="-2"/>
                        </w:rPr>
                        <w:t>approach.</w:t>
                      </w:r>
                    </w:p>
                  </w:txbxContent>
                </v:textbox>
                <v:fill type="solid"/>
              </v:shape>
            </w:pict>
          </mc:Fallback>
        </mc:AlternateContent>
      </w:r>
      <w:r>
        <w:rPr>
          <w:sz w:val="20"/>
        </w:rPr>
      </w:r>
    </w:p>
    <w:p>
      <w:pPr>
        <w:pStyle w:val="BodyText"/>
        <w:spacing w:line="282" w:lineRule="exact"/>
        <w:ind w:left="280"/>
      </w:pPr>
      <w:r>
        <w:rPr>
          <w:color w:val="374151"/>
          <w:shd w:fill="F7F7F8" w:color="auto" w:val="clear"/>
        </w:rPr>
        <w:t>In</w:t>
      </w:r>
      <w:r>
        <w:rPr>
          <w:color w:val="374151"/>
          <w:spacing w:val="-1"/>
          <w:shd w:fill="F7F7F8" w:color="auto" w:val="clear"/>
        </w:rPr>
        <w:t> </w:t>
      </w:r>
      <w:r>
        <w:rPr>
          <w:color w:val="374151"/>
          <w:shd w:fill="F7F7F8" w:color="auto" w:val="clear"/>
        </w:rPr>
        <w:t>this</w:t>
      </w:r>
      <w:r>
        <w:rPr>
          <w:color w:val="374151"/>
          <w:spacing w:val="-1"/>
          <w:shd w:fill="F7F7F8" w:color="auto" w:val="clear"/>
        </w:rPr>
        <w:t> </w:t>
      </w:r>
      <w:r>
        <w:rPr>
          <w:color w:val="374151"/>
          <w:shd w:fill="F7F7F8" w:color="auto" w:val="clear"/>
        </w:rPr>
        <w:t>clinical</w:t>
      </w:r>
      <w:r>
        <w:rPr>
          <w:color w:val="374151"/>
          <w:spacing w:val="-1"/>
          <w:shd w:fill="F7F7F8" w:color="auto" w:val="clear"/>
        </w:rPr>
        <w:t> </w:t>
      </w:r>
      <w:r>
        <w:rPr>
          <w:color w:val="374151"/>
          <w:shd w:fill="F7F7F8" w:color="auto" w:val="clear"/>
        </w:rPr>
        <w:t>vignette,</w:t>
      </w:r>
      <w:r>
        <w:rPr>
          <w:color w:val="374151"/>
          <w:spacing w:val="-2"/>
          <w:shd w:fill="F7F7F8" w:color="auto" w:val="clear"/>
        </w:rPr>
        <w:t> </w:t>
      </w:r>
      <w:r>
        <w:rPr>
          <w:color w:val="374151"/>
          <w:shd w:fill="F7F7F8" w:color="auto" w:val="clear"/>
        </w:rPr>
        <w:t>the</w:t>
      </w:r>
      <w:r>
        <w:rPr>
          <w:color w:val="374151"/>
          <w:spacing w:val="-1"/>
          <w:shd w:fill="F7F7F8" w:color="auto" w:val="clear"/>
        </w:rPr>
        <w:t> </w:t>
      </w:r>
      <w:r>
        <w:rPr>
          <w:color w:val="374151"/>
          <w:shd w:fill="F7F7F8" w:color="auto" w:val="clear"/>
        </w:rPr>
        <w:t>therapist</w:t>
      </w:r>
      <w:r>
        <w:rPr>
          <w:color w:val="374151"/>
          <w:spacing w:val="-1"/>
          <w:shd w:fill="F7F7F8" w:color="auto" w:val="clear"/>
        </w:rPr>
        <w:t> </w:t>
      </w:r>
      <w:r>
        <w:rPr>
          <w:color w:val="374151"/>
          <w:shd w:fill="F7F7F8" w:color="auto" w:val="clear"/>
        </w:rPr>
        <w:t>utilizes</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DSM-5</w:t>
      </w:r>
      <w:r>
        <w:rPr>
          <w:color w:val="374151"/>
          <w:spacing w:val="-1"/>
          <w:shd w:fill="F7F7F8" w:color="auto" w:val="clear"/>
        </w:rPr>
        <w:t> </w:t>
      </w:r>
      <w:r>
        <w:rPr>
          <w:color w:val="374151"/>
          <w:shd w:fill="F7F7F8" w:color="auto" w:val="clear"/>
        </w:rPr>
        <w:t>Cultural</w:t>
      </w:r>
      <w:r>
        <w:rPr>
          <w:color w:val="374151"/>
          <w:spacing w:val="-1"/>
          <w:shd w:fill="F7F7F8" w:color="auto" w:val="clear"/>
        </w:rPr>
        <w:t> </w:t>
      </w:r>
      <w:r>
        <w:rPr>
          <w:color w:val="374151"/>
          <w:spacing w:val="-2"/>
          <w:shd w:fill="F7F7F8" w:color="auto" w:val="clear"/>
        </w:rPr>
        <w:t>Formulation</w:t>
      </w:r>
      <w:r>
        <w:rPr>
          <w:color w:val="374151"/>
          <w:spacing w:val="40"/>
          <w:shd w:fill="F7F7F8" w:color="auto" w:val="clear"/>
        </w:rPr>
        <w:t> </w:t>
      </w:r>
    </w:p>
    <w:p>
      <w:pPr>
        <w:pStyle w:val="BodyText"/>
        <w:spacing w:after="7"/>
        <w:ind w:left="280"/>
      </w:pPr>
      <w:r>
        <w:rPr>
          <w:color w:val="374151"/>
          <w:shd w:fill="F7F7F8" w:color="auto" w:val="clear"/>
        </w:rPr>
        <w:t>Interview</w:t>
      </w:r>
      <w:r>
        <w:rPr>
          <w:color w:val="374151"/>
          <w:spacing w:val="-3"/>
          <w:shd w:fill="F7F7F8" w:color="auto" w:val="clear"/>
        </w:rPr>
        <w:t> </w:t>
      </w:r>
      <w:r>
        <w:rPr>
          <w:color w:val="374151"/>
          <w:shd w:fill="F7F7F8" w:color="auto" w:val="clear"/>
        </w:rPr>
        <w:t>(CFI)</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explore</w:t>
      </w:r>
      <w:r>
        <w:rPr>
          <w:color w:val="374151"/>
          <w:spacing w:val="-4"/>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client's</w:t>
      </w:r>
      <w:r>
        <w:rPr>
          <w:color w:val="374151"/>
          <w:spacing w:val="-3"/>
          <w:shd w:fill="F7F7F8" w:color="auto" w:val="clear"/>
        </w:rPr>
        <w:t> </w:t>
      </w:r>
      <w:r>
        <w:rPr>
          <w:color w:val="374151"/>
          <w:shd w:fill="F7F7F8" w:color="auto" w:val="clear"/>
        </w:rPr>
        <w:t>sexual</w:t>
      </w:r>
      <w:r>
        <w:rPr>
          <w:color w:val="374151"/>
          <w:spacing w:val="-3"/>
          <w:shd w:fill="F7F7F8" w:color="auto" w:val="clear"/>
        </w:rPr>
        <w:t> </w:t>
      </w:r>
      <w:r>
        <w:rPr>
          <w:color w:val="374151"/>
          <w:shd w:fill="F7F7F8" w:color="auto" w:val="clear"/>
        </w:rPr>
        <w:t>difficulties</w:t>
      </w:r>
      <w:r>
        <w:rPr>
          <w:color w:val="374151"/>
          <w:spacing w:val="-3"/>
          <w:shd w:fill="F7F7F8" w:color="auto" w:val="clear"/>
        </w:rPr>
        <w:t> </w:t>
      </w:r>
      <w:r>
        <w:rPr>
          <w:color w:val="374151"/>
          <w:shd w:fill="F7F7F8" w:color="auto" w:val="clear"/>
        </w:rPr>
        <w:t>in</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context</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their</w:t>
      </w:r>
      <w:r>
        <w:rPr>
          <w:color w:val="374151"/>
          <w:spacing w:val="-4"/>
          <w:shd w:fill="F7F7F8" w:color="auto" w:val="clear"/>
        </w:rPr>
        <w:t> </w:t>
      </w:r>
      <w:r>
        <w:rPr>
          <w:color w:val="374151"/>
          <w:spacing w:val="-4"/>
        </w:rPr>
        <w:t> </w:t>
      </w:r>
      <w:r>
        <w:rPr>
          <w:color w:val="374151"/>
          <w:shd w:fill="F7F7F8" w:color="auto" w:val="clear"/>
        </w:rPr>
        <w:t>cultural background. By acknowledging the impact of culture on the client's </w:t>
      </w:r>
      <w:r>
        <w:rPr>
          <w:color w:val="374151"/>
        </w:rPr>
        <w:t> </w:t>
      </w:r>
      <w:r>
        <w:rPr>
          <w:color w:val="374151"/>
          <w:shd w:fill="F7F7F8" w:color="auto" w:val="clear"/>
        </w:rPr>
        <w:t>experiences, beliefs, and coping strategies, the therapist aims to develop a</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459355" cy="393700"/>
                <wp:effectExtent l="0" t="0" r="0" b="0"/>
                <wp:docPr id="85" name="Textbox 85"/>
                <wp:cNvGraphicFramePr>
                  <a:graphicFrameLocks/>
                </wp:cNvGraphicFramePr>
                <a:graphic>
                  <a:graphicData uri="http://schemas.microsoft.com/office/word/2010/wordprocessingShape">
                    <wps:wsp>
                      <wps:cNvPr id="85" name="Textbox 85"/>
                      <wps:cNvSpPr txBox="1"/>
                      <wps:spPr>
                        <a:xfrm>
                          <a:off x="0" y="0"/>
                          <a:ext cx="2459355" cy="393700"/>
                        </a:xfrm>
                        <a:prstGeom prst="rect">
                          <a:avLst/>
                        </a:prstGeom>
                        <a:solidFill>
                          <a:srgbClr val="F7F7F8"/>
                        </a:solidFill>
                      </wps:spPr>
                      <wps:txbx>
                        <w:txbxContent>
                          <w:p>
                            <w:pPr>
                              <w:pStyle w:val="BodyText"/>
                              <w:spacing w:line="308" w:lineRule="exact"/>
                              <w:ind w:right="-15"/>
                              <w:rPr>
                                <w:color w:val="000000"/>
                              </w:rPr>
                            </w:pPr>
                            <w:r>
                              <w:rPr>
                                <w:color w:val="374151"/>
                              </w:rPr>
                              <w:t>culturally</w:t>
                            </w:r>
                            <w:r>
                              <w:rPr>
                                <w:color w:val="374151"/>
                                <w:spacing w:val="-3"/>
                              </w:rPr>
                              <w:t> </w:t>
                            </w:r>
                            <w:r>
                              <w:rPr>
                                <w:color w:val="374151"/>
                              </w:rPr>
                              <w:t>sensitive</w:t>
                            </w:r>
                            <w:r>
                              <w:rPr>
                                <w:color w:val="374151"/>
                                <w:spacing w:val="-3"/>
                              </w:rPr>
                              <w:t> </w:t>
                            </w:r>
                            <w:r>
                              <w:rPr>
                                <w:color w:val="374151"/>
                              </w:rPr>
                              <w:t>treatment</w:t>
                            </w:r>
                            <w:r>
                              <w:rPr>
                                <w:color w:val="374151"/>
                                <w:spacing w:val="-2"/>
                              </w:rPr>
                              <w:t> plan.</w:t>
                            </w:r>
                          </w:p>
                        </w:txbxContent>
                      </wps:txbx>
                      <wps:bodyPr wrap="square" lIns="0" tIns="0" rIns="0" bIns="0" rtlCol="0">
                        <a:noAutofit/>
                      </wps:bodyPr>
                    </wps:wsp>
                  </a:graphicData>
                </a:graphic>
              </wp:inline>
            </w:drawing>
          </mc:Choice>
          <mc:Fallback>
            <w:pict>
              <v:shape style="width:193.65pt;height:31pt;mso-position-horizontal-relative:char;mso-position-vertical-relative:line" type="#_x0000_t202" id="docshape84" filled="true" fillcolor="#f7f7f8" stroked="false">
                <w10:anchorlock/>
                <v:textbox inset="0,0,0,0">
                  <w:txbxContent>
                    <w:p>
                      <w:pPr>
                        <w:pStyle w:val="BodyText"/>
                        <w:spacing w:line="308" w:lineRule="exact"/>
                        <w:ind w:right="-15"/>
                        <w:rPr>
                          <w:color w:val="000000"/>
                        </w:rPr>
                      </w:pPr>
                      <w:r>
                        <w:rPr>
                          <w:color w:val="374151"/>
                        </w:rPr>
                        <w:t>culturally</w:t>
                      </w:r>
                      <w:r>
                        <w:rPr>
                          <w:color w:val="374151"/>
                          <w:spacing w:val="-3"/>
                        </w:rPr>
                        <w:t> </w:t>
                      </w:r>
                      <w:r>
                        <w:rPr>
                          <w:color w:val="374151"/>
                        </w:rPr>
                        <w:t>sensitive</w:t>
                      </w:r>
                      <w:r>
                        <w:rPr>
                          <w:color w:val="374151"/>
                          <w:spacing w:val="-3"/>
                        </w:rPr>
                        <w:t> </w:t>
                      </w:r>
                      <w:r>
                        <w:rPr>
                          <w:color w:val="374151"/>
                        </w:rPr>
                        <w:t>treatment</w:t>
                      </w:r>
                      <w:r>
                        <w:rPr>
                          <w:color w:val="374151"/>
                          <w:spacing w:val="-2"/>
                        </w:rPr>
                        <w:t> plan.</w:t>
                      </w:r>
                    </w:p>
                  </w:txbxContent>
                </v:textbox>
                <v:fill type="solid"/>
              </v:shape>
            </w:pict>
          </mc:Fallback>
        </mc:AlternateContent>
      </w:r>
      <w:r>
        <w:rPr>
          <w:sz w:val="20"/>
        </w:rPr>
      </w:r>
    </w:p>
    <w:p>
      <w:pPr>
        <w:pStyle w:val="BodyText"/>
        <w:spacing w:line="282" w:lineRule="exact"/>
        <w:ind w:left="280"/>
      </w:pPr>
      <w:r>
        <w:rPr>
          <w:color w:val="374151"/>
          <w:shd w:fill="F7F7F8" w:color="auto" w:val="clear"/>
        </w:rPr>
        <w:t>Note:</w:t>
      </w:r>
      <w:r>
        <w:rPr>
          <w:color w:val="374151"/>
          <w:spacing w:val="-9"/>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CFI</w:t>
      </w:r>
      <w:r>
        <w:rPr>
          <w:color w:val="374151"/>
          <w:spacing w:val="-1"/>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structured interview</w:t>
      </w:r>
      <w:r>
        <w:rPr>
          <w:color w:val="374151"/>
          <w:spacing w:val="-1"/>
          <w:shd w:fill="F7F7F8" w:color="auto" w:val="clear"/>
        </w:rPr>
        <w:t> </w:t>
      </w:r>
      <w:r>
        <w:rPr>
          <w:color w:val="374151"/>
          <w:shd w:fill="F7F7F8" w:color="auto" w:val="clear"/>
        </w:rPr>
        <w:t>developed</w:t>
      </w:r>
      <w:r>
        <w:rPr>
          <w:color w:val="374151"/>
          <w:spacing w:val="-1"/>
          <w:shd w:fill="F7F7F8" w:color="auto" w:val="clear"/>
        </w:rPr>
        <w:t> </w:t>
      </w:r>
      <w:r>
        <w:rPr>
          <w:color w:val="374151"/>
          <w:shd w:fill="F7F7F8" w:color="auto" w:val="clear"/>
        </w:rPr>
        <w:t>by</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DSM-5</w:t>
      </w:r>
      <w:r>
        <w:rPr>
          <w:color w:val="374151"/>
          <w:spacing w:val="-1"/>
          <w:shd w:fill="F7F7F8" w:color="auto" w:val="clear"/>
        </w:rPr>
        <w:t> </w:t>
      </w:r>
      <w:r>
        <w:rPr>
          <w:color w:val="374151"/>
          <w:shd w:fill="F7F7F8" w:color="auto" w:val="clear"/>
        </w:rPr>
        <w:t>to </w:t>
      </w:r>
      <w:r>
        <w:rPr>
          <w:color w:val="374151"/>
          <w:spacing w:val="-2"/>
          <w:shd w:fill="F7F7F8" w:color="auto" w:val="clear"/>
        </w:rPr>
        <w:t>guide</w:t>
      </w:r>
      <w:r>
        <w:rPr>
          <w:color w:val="374151"/>
          <w:spacing w:val="40"/>
          <w:shd w:fill="F7F7F8" w:color="auto" w:val="clear"/>
        </w:rPr>
        <w:t> </w:t>
      </w:r>
    </w:p>
    <w:p>
      <w:pPr>
        <w:pStyle w:val="BodyText"/>
        <w:ind w:left="280" w:right="668"/>
      </w:pPr>
      <w:r>
        <w:rPr>
          <w:color w:val="374151"/>
          <w:shd w:fill="F7F7F8" w:color="auto" w:val="clear"/>
        </w:rPr>
        <w:t>clinicians in assessing the cultural aspects of mental health issues. The </w:t>
      </w:r>
      <w:r>
        <w:rPr>
          <w:color w:val="374151"/>
        </w:rPr>
        <w:t> </w:t>
      </w:r>
      <w:r>
        <w:rPr>
          <w:color w:val="374151"/>
          <w:shd w:fill="F7F7F8" w:color="auto" w:val="clear"/>
        </w:rPr>
        <w:t>dialogue</w:t>
      </w:r>
      <w:r>
        <w:rPr>
          <w:color w:val="374151"/>
          <w:spacing w:val="-4"/>
          <w:shd w:fill="F7F7F8" w:color="auto" w:val="clear"/>
        </w:rPr>
        <w:t> </w:t>
      </w:r>
      <w:r>
        <w:rPr>
          <w:color w:val="374151"/>
          <w:shd w:fill="F7F7F8" w:color="auto" w:val="clear"/>
        </w:rPr>
        <w:t>above</w:t>
      </w:r>
      <w:r>
        <w:rPr>
          <w:color w:val="374151"/>
          <w:spacing w:val="-4"/>
          <w:shd w:fill="F7F7F8" w:color="auto" w:val="clear"/>
        </w:rPr>
        <w:t> </w:t>
      </w:r>
      <w:r>
        <w:rPr>
          <w:color w:val="374151"/>
          <w:shd w:fill="F7F7F8" w:color="auto" w:val="clear"/>
        </w:rPr>
        <w:t>is</w:t>
      </w:r>
      <w:r>
        <w:rPr>
          <w:color w:val="374151"/>
          <w:spacing w:val="-3"/>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fictional</w:t>
      </w:r>
      <w:r>
        <w:rPr>
          <w:color w:val="374151"/>
          <w:spacing w:val="-3"/>
          <w:shd w:fill="F7F7F8" w:color="auto" w:val="clear"/>
        </w:rPr>
        <w:t> </w:t>
      </w:r>
      <w:r>
        <w:rPr>
          <w:color w:val="374151"/>
          <w:shd w:fill="F7F7F8" w:color="auto" w:val="clear"/>
        </w:rPr>
        <w:t>example</w:t>
      </w:r>
      <w:r>
        <w:rPr>
          <w:color w:val="374151"/>
          <w:spacing w:val="-4"/>
          <w:shd w:fill="F7F7F8" w:color="auto" w:val="clear"/>
        </w:rPr>
        <w:t> </w:t>
      </w:r>
      <w:r>
        <w:rPr>
          <w:color w:val="374151"/>
          <w:shd w:fill="F7F7F8" w:color="auto" w:val="clear"/>
        </w:rPr>
        <w:t>for</w:t>
      </w:r>
      <w:r>
        <w:rPr>
          <w:color w:val="374151"/>
          <w:spacing w:val="-3"/>
          <w:shd w:fill="F7F7F8" w:color="auto" w:val="clear"/>
        </w:rPr>
        <w:t> </w:t>
      </w:r>
      <w:r>
        <w:rPr>
          <w:color w:val="374151"/>
          <w:shd w:fill="F7F7F8" w:color="auto" w:val="clear"/>
        </w:rPr>
        <w:t>illustrative</w:t>
      </w:r>
      <w:r>
        <w:rPr>
          <w:color w:val="374151"/>
          <w:spacing w:val="-4"/>
          <w:shd w:fill="F7F7F8" w:color="auto" w:val="clear"/>
        </w:rPr>
        <w:t> </w:t>
      </w:r>
      <w:r>
        <w:rPr>
          <w:color w:val="374151"/>
          <w:shd w:fill="F7F7F8" w:color="auto" w:val="clear"/>
        </w:rPr>
        <w:t>purposes</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not</w:t>
      </w:r>
      <w:r>
        <w:rPr>
          <w:color w:val="374151"/>
          <w:spacing w:val="-3"/>
          <w:shd w:fill="F7F7F8" w:color="auto" w:val="clear"/>
        </w:rPr>
        <w:t> </w:t>
      </w:r>
      <w:r>
        <w:rPr>
          <w:color w:val="374151"/>
          <w:shd w:fill="F7F7F8" w:color="auto" w:val="clear"/>
        </w:rPr>
        <w:t>a</w:t>
      </w:r>
      <w:r>
        <w:rPr>
          <w:color w:val="374151"/>
          <w:spacing w:val="-4"/>
          <w:shd w:fill="F7F7F8" w:color="auto" w:val="clear"/>
        </w:rPr>
        <w:t> </w:t>
      </w:r>
      <w:r>
        <w:rPr>
          <w:color w:val="374151"/>
          <w:spacing w:val="-4"/>
        </w:rPr>
        <w:t> </w:t>
      </w:r>
      <w:r>
        <w:rPr>
          <w:color w:val="374151"/>
          <w:shd w:fill="F7F7F8" w:color="auto" w:val="clear"/>
        </w:rPr>
        <w:t>substitute for professional clinical training or advice.</w:t>
      </w:r>
    </w:p>
    <w:p>
      <w:pPr>
        <w:pStyle w:val="BodyText"/>
        <w:rPr>
          <w:sz w:val="30"/>
        </w:rPr>
      </w:pPr>
    </w:p>
    <w:p>
      <w:pPr>
        <w:pStyle w:val="BodyText"/>
        <w:spacing w:before="228"/>
        <w:ind w:left="280"/>
      </w:pPr>
      <w:r>
        <w:rPr>
          <w:spacing w:val="-2"/>
        </w:rPr>
        <w:t>References</w:t>
      </w:r>
    </w:p>
    <w:p>
      <w:pPr>
        <w:pStyle w:val="BodyText"/>
        <w:spacing w:before="7"/>
        <w:rPr>
          <w:sz w:val="27"/>
        </w:rPr>
      </w:pPr>
    </w:p>
    <w:p>
      <w:pPr>
        <w:pStyle w:val="BodyText"/>
        <w:ind w:left="280" w:right="499"/>
      </w:pPr>
      <w:r>
        <w:rPr/>
        <mc:AlternateContent>
          <mc:Choice Requires="wps">
            <w:drawing>
              <wp:anchor distT="0" distB="0" distL="0" distR="0" allowOverlap="1" layoutInCell="1" locked="0" behindDoc="1" simplePos="0" relativeHeight="487609856">
                <wp:simplePos x="0" y="0"/>
                <wp:positionH relativeFrom="page">
                  <wp:posOffset>1066800</wp:posOffset>
                </wp:positionH>
                <wp:positionV relativeFrom="paragraph">
                  <wp:posOffset>413554</wp:posOffset>
                </wp:positionV>
                <wp:extent cx="457200" cy="20320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457200" cy="203200"/>
                        </a:xfrm>
                        <a:custGeom>
                          <a:avLst/>
                          <a:gdLst/>
                          <a:ahLst/>
                          <a:cxnLst/>
                          <a:rect l="l" t="t" r="r" b="b"/>
                          <a:pathLst>
                            <a:path w="457200" h="203200">
                              <a:moveTo>
                                <a:pt x="457200" y="0"/>
                              </a:moveTo>
                              <a:lnTo>
                                <a:pt x="0" y="0"/>
                              </a:lnTo>
                              <a:lnTo>
                                <a:pt x="0" y="203200"/>
                              </a:lnTo>
                              <a:lnTo>
                                <a:pt x="457200" y="203200"/>
                              </a:lnTo>
                              <a:lnTo>
                                <a:pt x="457200" y="0"/>
                              </a:lnTo>
                              <a:close/>
                            </a:path>
                          </a:pathLst>
                        </a:custGeom>
                        <a:solidFill>
                          <a:srgbClr val="F7F7F8"/>
                        </a:solidFill>
                      </wps:spPr>
                      <wps:bodyPr wrap="square" lIns="0" tIns="0" rIns="0" bIns="0" rtlCol="0">
                        <a:prstTxWarp prst="textNoShape">
                          <a:avLst/>
                        </a:prstTxWarp>
                        <a:noAutofit/>
                      </wps:bodyPr>
                    </wps:wsp>
                  </a:graphicData>
                </a:graphic>
              </wp:anchor>
            </w:drawing>
          </mc:Choice>
          <mc:Fallback>
            <w:pict>
              <v:rect style="position:absolute;margin-left:84pt;margin-top:32.563332pt;width:36pt;height:16pt;mso-position-horizontal-relative:page;mso-position-vertical-relative:paragraph;z-index:-15706624;mso-wrap-distance-left:0;mso-wrap-distance-right:0" id="docshape85" filled="true" fillcolor="#f7f7f8" stroked="false">
                <v:fill type="solid"/>
                <w10:wrap type="topAndBottom"/>
              </v:rect>
            </w:pict>
          </mc:Fallback>
        </mc:AlternateContent>
      </w:r>
      <w:r>
        <w:rPr>
          <w:color w:val="374151"/>
          <w:shd w:fill="F7F7F8" w:color="auto" w:val="clear"/>
        </w:rPr>
        <w:t>Aggarwal, N. K., &amp; Lam, P.</w:t>
      </w:r>
      <w:r>
        <w:rPr>
          <w:color w:val="374151"/>
          <w:spacing w:val="-9"/>
          <w:shd w:fill="F7F7F8" w:color="auto" w:val="clear"/>
        </w:rPr>
        <w:t> </w:t>
      </w:r>
      <w:r>
        <w:rPr>
          <w:color w:val="374151"/>
          <w:shd w:fill="F7F7F8" w:color="auto" w:val="clear"/>
        </w:rPr>
        <w:t>Y. (2020). Cultural formulation interview:</w:t>
      </w:r>
      <w:r>
        <w:rPr>
          <w:color w:val="374151"/>
          <w:spacing w:val="-15"/>
          <w:shd w:fill="F7F7F8" w:color="auto" w:val="clear"/>
        </w:rPr>
        <w:t> </w:t>
      </w:r>
      <w:r>
        <w:rPr>
          <w:color w:val="374151"/>
          <w:shd w:fill="F7F7F8" w:color="auto" w:val="clear"/>
        </w:rPr>
        <w:t>A</w:t>
      </w:r>
      <w:r>
        <w:rPr>
          <w:color w:val="374151"/>
          <w:spacing w:val="-15"/>
          <w:shd w:fill="F7F7F8" w:color="auto" w:val="clear"/>
        </w:rPr>
        <w:t> </w:t>
      </w:r>
      <w:r>
        <w:rPr>
          <w:color w:val="374151"/>
          <w:spacing w:val="-15"/>
        </w:rPr>
        <w:t> </w:t>
      </w:r>
      <w:r>
        <w:rPr>
          <w:color w:val="374151"/>
          <w:shd w:fill="F7F7F8" w:color="auto" w:val="clear"/>
        </w:rPr>
        <w:t>review</w:t>
      </w:r>
      <w:r>
        <w:rPr>
          <w:color w:val="374151"/>
          <w:spacing w:val="-6"/>
          <w:shd w:fill="F7F7F8" w:color="auto" w:val="clear"/>
        </w:rPr>
        <w:t> </w:t>
      </w:r>
      <w:r>
        <w:rPr>
          <w:color w:val="374151"/>
          <w:shd w:fill="F7F7F8" w:color="auto" w:val="clear"/>
        </w:rPr>
        <w:t>of</w:t>
      </w:r>
      <w:r>
        <w:rPr>
          <w:color w:val="374151"/>
          <w:spacing w:val="-6"/>
          <w:shd w:fill="F7F7F8" w:color="auto" w:val="clear"/>
        </w:rPr>
        <w:t> </w:t>
      </w:r>
      <w:r>
        <w:rPr>
          <w:color w:val="374151"/>
          <w:shd w:fill="F7F7F8" w:color="auto" w:val="clear"/>
        </w:rPr>
        <w:t>the</w:t>
      </w:r>
      <w:r>
        <w:rPr>
          <w:color w:val="374151"/>
          <w:spacing w:val="-7"/>
          <w:shd w:fill="F7F7F8" w:color="auto" w:val="clear"/>
        </w:rPr>
        <w:t> </w:t>
      </w:r>
      <w:r>
        <w:rPr>
          <w:color w:val="374151"/>
          <w:shd w:fill="F7F7F8" w:color="auto" w:val="clear"/>
        </w:rPr>
        <w:t>CFI</w:t>
      </w:r>
      <w:r>
        <w:rPr>
          <w:color w:val="374151"/>
          <w:spacing w:val="-6"/>
          <w:shd w:fill="F7F7F8" w:color="auto" w:val="clear"/>
        </w:rPr>
        <w:t> </w:t>
      </w:r>
      <w:r>
        <w:rPr>
          <w:color w:val="374151"/>
          <w:shd w:fill="F7F7F8" w:color="auto" w:val="clear"/>
        </w:rPr>
        <w:t>2.0</w:t>
      </w:r>
      <w:r>
        <w:rPr>
          <w:color w:val="374151"/>
          <w:spacing w:val="-6"/>
          <w:shd w:fill="F7F7F8" w:color="auto" w:val="clear"/>
        </w:rPr>
        <w:t> </w:t>
      </w:r>
      <w:r>
        <w:rPr>
          <w:color w:val="374151"/>
          <w:shd w:fill="F7F7F8" w:color="auto" w:val="clear"/>
        </w:rPr>
        <w:t>and</w:t>
      </w:r>
      <w:r>
        <w:rPr>
          <w:color w:val="374151"/>
          <w:spacing w:val="-6"/>
          <w:shd w:fill="F7F7F8" w:color="auto" w:val="clear"/>
        </w:rPr>
        <w:t> </w:t>
      </w:r>
      <w:r>
        <w:rPr>
          <w:color w:val="374151"/>
          <w:shd w:fill="F7F7F8" w:color="auto" w:val="clear"/>
        </w:rPr>
        <w:t>its</w:t>
      </w:r>
      <w:r>
        <w:rPr>
          <w:color w:val="374151"/>
          <w:spacing w:val="-6"/>
          <w:shd w:fill="F7F7F8" w:color="auto" w:val="clear"/>
        </w:rPr>
        <w:t> </w:t>
      </w:r>
      <w:r>
        <w:rPr>
          <w:color w:val="374151"/>
          <w:shd w:fill="F7F7F8" w:color="auto" w:val="clear"/>
        </w:rPr>
        <w:t>adaptations.</w:t>
      </w:r>
      <w:r>
        <w:rPr>
          <w:color w:val="374151"/>
          <w:spacing w:val="-6"/>
          <w:shd w:fill="F7F7F8" w:color="auto" w:val="clear"/>
        </w:rPr>
        <w:t> </w:t>
      </w:r>
      <w:r>
        <w:rPr>
          <w:color w:val="374151"/>
          <w:shd w:fill="F7F7F8" w:color="auto" w:val="clear"/>
        </w:rPr>
        <w:t>Psychiatric</w:t>
      </w:r>
      <w:r>
        <w:rPr>
          <w:color w:val="374151"/>
          <w:spacing w:val="-7"/>
          <w:shd w:fill="F7F7F8" w:color="auto" w:val="clear"/>
        </w:rPr>
        <w:t> </w:t>
      </w:r>
      <w:r>
        <w:rPr>
          <w:color w:val="374151"/>
          <w:shd w:fill="F7F7F8" w:color="auto" w:val="clear"/>
        </w:rPr>
        <w:t>Services,</w:t>
      </w:r>
      <w:r>
        <w:rPr>
          <w:color w:val="374151"/>
          <w:spacing w:val="-6"/>
          <w:shd w:fill="F7F7F8" w:color="auto" w:val="clear"/>
        </w:rPr>
        <w:t> </w:t>
      </w:r>
      <w:r>
        <w:rPr>
          <w:color w:val="374151"/>
          <w:shd w:fill="F7F7F8" w:color="auto" w:val="clear"/>
        </w:rPr>
        <w:t>71(2),</w:t>
      </w:r>
      <w:r>
        <w:rPr>
          <w:color w:val="374151"/>
          <w:spacing w:val="-6"/>
          <w:shd w:fill="F7F7F8" w:color="auto" w:val="clear"/>
        </w:rPr>
        <w:t> </w:t>
      </w:r>
      <w:r>
        <w:rPr>
          <w:color w:val="374151"/>
          <w:shd w:fill="F7F7F8" w:color="auto" w:val="clear"/>
        </w:rPr>
        <w:t>107-111.</w:t>
      </w:r>
    </w:p>
    <w:p>
      <w:pPr>
        <w:pStyle w:val="BodyText"/>
        <w:ind w:left="280" w:right="646"/>
        <w:jc w:val="both"/>
      </w:pPr>
      <w:r>
        <w:rPr>
          <w:color w:val="374151"/>
          <w:shd w:fill="F7F7F8" w:color="auto" w:val="clear"/>
        </w:rPr>
        <w:t>Lewis-Fernández, R.,</w:t>
      </w:r>
      <w:r>
        <w:rPr>
          <w:color w:val="374151"/>
          <w:spacing w:val="-16"/>
          <w:shd w:fill="F7F7F8" w:color="auto" w:val="clear"/>
        </w:rPr>
        <w:t> </w:t>
      </w:r>
      <w:r>
        <w:rPr>
          <w:color w:val="374151"/>
          <w:shd w:fill="F7F7F8" w:color="auto" w:val="clear"/>
        </w:rPr>
        <w:t>Aggarwal, N. K., Bäärnhielm, S., et al. (2020). Culture</w:t>
      </w:r>
      <w:r>
        <w:rPr>
          <w:color w:val="374151"/>
          <w:spacing w:val="-1"/>
          <w:shd w:fill="F7F7F8" w:color="auto" w:val="clear"/>
        </w:rPr>
        <w:t> </w:t>
      </w:r>
      <w:r>
        <w:rPr>
          <w:color w:val="374151"/>
          <w:spacing w:val="-1"/>
        </w:rPr>
        <w:t> </w:t>
      </w:r>
      <w:r>
        <w:rPr>
          <w:color w:val="374151"/>
          <w:shd w:fill="F7F7F8" w:color="auto" w:val="clear"/>
        </w:rPr>
        <w:t>and</w:t>
      </w:r>
      <w:r>
        <w:rPr>
          <w:color w:val="374151"/>
          <w:spacing w:val="-5"/>
          <w:shd w:fill="F7F7F8" w:color="auto" w:val="clear"/>
        </w:rPr>
        <w:t> </w:t>
      </w:r>
      <w:r>
        <w:rPr>
          <w:color w:val="374151"/>
          <w:shd w:fill="F7F7F8" w:color="auto" w:val="clear"/>
        </w:rPr>
        <w:t>psychiatric</w:t>
      </w:r>
      <w:r>
        <w:rPr>
          <w:color w:val="374151"/>
          <w:spacing w:val="-6"/>
          <w:shd w:fill="F7F7F8" w:color="auto" w:val="clear"/>
        </w:rPr>
        <w:t> </w:t>
      </w:r>
      <w:r>
        <w:rPr>
          <w:color w:val="374151"/>
          <w:shd w:fill="F7F7F8" w:color="auto" w:val="clear"/>
        </w:rPr>
        <w:t>evaluation:</w:t>
      </w:r>
      <w:r>
        <w:rPr>
          <w:color w:val="374151"/>
          <w:spacing w:val="-5"/>
          <w:shd w:fill="F7F7F8" w:color="auto" w:val="clear"/>
        </w:rPr>
        <w:t> </w:t>
      </w:r>
      <w:r>
        <w:rPr>
          <w:color w:val="374151"/>
          <w:shd w:fill="F7F7F8" w:color="auto" w:val="clear"/>
        </w:rPr>
        <w:t>Operationalizing</w:t>
      </w:r>
      <w:r>
        <w:rPr>
          <w:color w:val="374151"/>
          <w:spacing w:val="-5"/>
          <w:shd w:fill="F7F7F8" w:color="auto" w:val="clear"/>
        </w:rPr>
        <w:t> </w:t>
      </w:r>
      <w:r>
        <w:rPr>
          <w:color w:val="374151"/>
          <w:shd w:fill="F7F7F8" w:color="auto" w:val="clear"/>
        </w:rPr>
        <w:t>cultural</w:t>
      </w:r>
      <w:r>
        <w:rPr>
          <w:color w:val="374151"/>
          <w:spacing w:val="-5"/>
          <w:shd w:fill="F7F7F8" w:color="auto" w:val="clear"/>
        </w:rPr>
        <w:t> </w:t>
      </w:r>
      <w:r>
        <w:rPr>
          <w:color w:val="374151"/>
          <w:shd w:fill="F7F7F8" w:color="auto" w:val="clear"/>
        </w:rPr>
        <w:t>formulation</w:t>
      </w:r>
      <w:r>
        <w:rPr>
          <w:color w:val="374151"/>
          <w:spacing w:val="-5"/>
          <w:shd w:fill="F7F7F8" w:color="auto" w:val="clear"/>
        </w:rPr>
        <w:t> </w:t>
      </w:r>
      <w:r>
        <w:rPr>
          <w:color w:val="374151"/>
          <w:shd w:fill="F7F7F8" w:color="auto" w:val="clear"/>
        </w:rPr>
        <w:t>for</w:t>
      </w:r>
      <w:r>
        <w:rPr>
          <w:color w:val="374151"/>
          <w:spacing w:val="-5"/>
          <w:shd w:fill="F7F7F8" w:color="auto" w:val="clear"/>
        </w:rPr>
        <w:t> </w:t>
      </w:r>
      <w:r>
        <w:rPr>
          <w:color w:val="374151"/>
          <w:shd w:fill="F7F7F8" w:color="auto" w:val="clear"/>
        </w:rPr>
        <w:t>DSM-5.</w:t>
      </w:r>
      <w:r>
        <w:rPr>
          <w:color w:val="374151"/>
          <w:spacing w:val="-6"/>
          <w:shd w:fill="F7F7F8" w:color="auto" w:val="clear"/>
        </w:rPr>
        <w:t> </w:t>
      </w:r>
      <w:r>
        <w:rPr>
          <w:color w:val="374151"/>
          <w:spacing w:val="-6"/>
        </w:rPr>
        <w:t> </w:t>
      </w:r>
      <w:r>
        <w:rPr>
          <w:color w:val="374151"/>
          <w:shd w:fill="F7F7F8" w:color="auto" w:val="clear"/>
        </w:rPr>
        <w:t>Cultural Diversity and Ethnic Minority Psychology, 26(2), 191-205.</w:t>
      </w:r>
    </w:p>
    <w:p>
      <w:pPr>
        <w:pStyle w:val="BodyText"/>
        <w:ind w:left="280"/>
        <w:rPr>
          <w:sz w:val="20"/>
        </w:rPr>
      </w:pPr>
      <w:r>
        <w:rPr>
          <w:sz w:val="20"/>
        </w:rPr>
        <mc:AlternateContent>
          <mc:Choice Requires="wps">
            <w:drawing>
              <wp:inline distT="0" distB="0" distL="0" distR="0">
                <wp:extent cx="457200" cy="203200"/>
                <wp:effectExtent l="0" t="0" r="0" b="0"/>
                <wp:docPr id="87" name="Group 87"/>
                <wp:cNvGraphicFramePr>
                  <a:graphicFrameLocks/>
                </wp:cNvGraphicFramePr>
                <a:graphic>
                  <a:graphicData uri="http://schemas.microsoft.com/office/word/2010/wordprocessingGroup">
                    <wpg:wgp>
                      <wpg:cNvPr id="87" name="Group 87"/>
                      <wpg:cNvGrpSpPr/>
                      <wpg:grpSpPr>
                        <a:xfrm>
                          <a:off x="0" y="0"/>
                          <a:ext cx="457200" cy="203200"/>
                          <a:chExt cx="457200" cy="203200"/>
                        </a:xfrm>
                      </wpg:grpSpPr>
                      <wps:wsp>
                        <wps:cNvPr id="88" name="Graphic 88"/>
                        <wps:cNvSpPr/>
                        <wps:spPr>
                          <a:xfrm>
                            <a:off x="0" y="0"/>
                            <a:ext cx="457200" cy="203200"/>
                          </a:xfrm>
                          <a:custGeom>
                            <a:avLst/>
                            <a:gdLst/>
                            <a:ahLst/>
                            <a:cxnLst/>
                            <a:rect l="l" t="t" r="r" b="b"/>
                            <a:pathLst>
                              <a:path w="457200" h="203200">
                                <a:moveTo>
                                  <a:pt x="457200" y="0"/>
                                </a:moveTo>
                                <a:lnTo>
                                  <a:pt x="0" y="0"/>
                                </a:lnTo>
                                <a:lnTo>
                                  <a:pt x="0" y="203200"/>
                                </a:lnTo>
                                <a:lnTo>
                                  <a:pt x="457200" y="203200"/>
                                </a:lnTo>
                                <a:lnTo>
                                  <a:pt x="457200" y="0"/>
                                </a:lnTo>
                                <a:close/>
                              </a:path>
                            </a:pathLst>
                          </a:custGeom>
                          <a:solidFill>
                            <a:srgbClr val="F7F7F8"/>
                          </a:solidFill>
                        </wps:spPr>
                        <wps:bodyPr wrap="square" lIns="0" tIns="0" rIns="0" bIns="0" rtlCol="0">
                          <a:prstTxWarp prst="textNoShape">
                            <a:avLst/>
                          </a:prstTxWarp>
                          <a:noAutofit/>
                        </wps:bodyPr>
                      </wps:wsp>
                    </wpg:wgp>
                  </a:graphicData>
                </a:graphic>
              </wp:inline>
            </w:drawing>
          </mc:Choice>
          <mc:Fallback>
            <w:pict>
              <v:group style="width:36pt;height:16pt;mso-position-horizontal-relative:char;mso-position-vertical-relative:line" id="docshapegroup86" coordorigin="0,0" coordsize="720,320">
                <v:rect style="position:absolute;left:0;top:0;width:720;height:320" id="docshape87" filled="true" fillcolor="#f7f7f8" stroked="false">
                  <v:fill type="solid"/>
                </v:rect>
              </v:group>
            </w:pict>
          </mc:Fallback>
        </mc:AlternateContent>
      </w:r>
      <w:r>
        <w:rPr>
          <w:sz w:val="20"/>
        </w:rPr>
      </w:r>
    </w:p>
    <w:p>
      <w:pPr>
        <w:pStyle w:val="BodyText"/>
        <w:ind w:left="280" w:right="502"/>
      </w:pPr>
      <w:r>
        <w:rPr/>
        <mc:AlternateContent>
          <mc:Choice Requires="wps">
            <w:drawing>
              <wp:anchor distT="0" distB="0" distL="0" distR="0" allowOverlap="1" layoutInCell="1" locked="0" behindDoc="0" simplePos="0" relativeHeight="15751680">
                <wp:simplePos x="0" y="0"/>
                <wp:positionH relativeFrom="page">
                  <wp:posOffset>1066800</wp:posOffset>
                </wp:positionH>
                <wp:positionV relativeFrom="paragraph">
                  <wp:posOffset>821605</wp:posOffset>
                </wp:positionV>
                <wp:extent cx="457200" cy="20320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457200" cy="203200"/>
                        </a:xfrm>
                        <a:custGeom>
                          <a:avLst/>
                          <a:gdLst/>
                          <a:ahLst/>
                          <a:cxnLst/>
                          <a:rect l="l" t="t" r="r" b="b"/>
                          <a:pathLst>
                            <a:path w="457200" h="203200">
                              <a:moveTo>
                                <a:pt x="457200" y="0"/>
                              </a:moveTo>
                              <a:lnTo>
                                <a:pt x="0" y="0"/>
                              </a:lnTo>
                              <a:lnTo>
                                <a:pt x="0" y="203200"/>
                              </a:lnTo>
                              <a:lnTo>
                                <a:pt x="457200" y="203200"/>
                              </a:lnTo>
                              <a:lnTo>
                                <a:pt x="457200" y="0"/>
                              </a:lnTo>
                              <a:close/>
                            </a:path>
                          </a:pathLst>
                        </a:custGeom>
                        <a:solidFill>
                          <a:srgbClr val="F7F7F8"/>
                        </a:solidFill>
                      </wps:spPr>
                      <wps:bodyPr wrap="square" lIns="0" tIns="0" rIns="0" bIns="0" rtlCol="0">
                        <a:prstTxWarp prst="textNoShape">
                          <a:avLst/>
                        </a:prstTxWarp>
                        <a:noAutofit/>
                      </wps:bodyPr>
                    </wps:wsp>
                  </a:graphicData>
                </a:graphic>
              </wp:anchor>
            </w:drawing>
          </mc:Choice>
          <mc:Fallback>
            <w:pict>
              <v:rect style="position:absolute;margin-left:84pt;margin-top:64.693314pt;width:36pt;height:16pt;mso-position-horizontal-relative:page;mso-position-vertical-relative:paragraph;z-index:15751680" id="docshape88" filled="true" fillcolor="#f7f7f8" stroked="false">
                <v:fill type="solid"/>
                <w10:wrap type="none"/>
              </v:rect>
            </w:pict>
          </mc:Fallback>
        </mc:AlternateContent>
      </w:r>
      <w:r>
        <w:rPr>
          <w:color w:val="374151"/>
          <w:shd w:fill="F7F7F8" w:color="auto" w:val="clear"/>
        </w:rPr>
        <w:t>Kopelowicz,</w:t>
      </w:r>
      <w:r>
        <w:rPr>
          <w:color w:val="374151"/>
          <w:spacing w:val="-11"/>
          <w:shd w:fill="F7F7F8" w:color="auto" w:val="clear"/>
        </w:rPr>
        <w:t> </w:t>
      </w:r>
      <w:r>
        <w:rPr>
          <w:color w:val="374151"/>
          <w:shd w:fill="F7F7F8" w:color="auto" w:val="clear"/>
        </w:rPr>
        <w:t>A.,</w:t>
      </w:r>
      <w:r>
        <w:rPr>
          <w:color w:val="374151"/>
          <w:spacing w:val="-11"/>
          <w:shd w:fill="F7F7F8" w:color="auto" w:val="clear"/>
        </w:rPr>
        <w:t> </w:t>
      </w:r>
      <w:r>
        <w:rPr>
          <w:color w:val="374151"/>
          <w:shd w:fill="F7F7F8" w:color="auto" w:val="clear"/>
        </w:rPr>
        <w:t>Aggarwal, N. K., Zarate, R., et al. (2021). The Cultural </w:t>
      </w:r>
      <w:r>
        <w:rPr>
          <w:color w:val="374151"/>
        </w:rPr>
        <w:t> </w:t>
      </w:r>
      <w:r>
        <w:rPr>
          <w:color w:val="374151"/>
          <w:shd w:fill="F7F7F8" w:color="auto" w:val="clear"/>
        </w:rPr>
        <w:t>Formulation Interview: Psychometric</w:t>
      </w:r>
      <w:r>
        <w:rPr>
          <w:color w:val="374151"/>
          <w:spacing w:val="-1"/>
          <w:shd w:fill="F7F7F8" w:color="auto" w:val="clear"/>
        </w:rPr>
        <w:t> </w:t>
      </w:r>
      <w:r>
        <w:rPr>
          <w:color w:val="374151"/>
          <w:shd w:fill="F7F7F8" w:color="auto" w:val="clear"/>
        </w:rPr>
        <w:t>Validation and</w:t>
      </w:r>
      <w:r>
        <w:rPr>
          <w:color w:val="374151"/>
          <w:spacing w:val="-12"/>
          <w:shd w:fill="F7F7F8" w:color="auto" w:val="clear"/>
        </w:rPr>
        <w:t> </w:t>
      </w:r>
      <w:r>
        <w:rPr>
          <w:color w:val="374151"/>
          <w:shd w:fill="F7F7F8" w:color="auto" w:val="clear"/>
        </w:rPr>
        <w:t>Adaptation for Mental </w:t>
      </w:r>
      <w:r>
        <w:rPr>
          <w:color w:val="374151"/>
        </w:rPr>
        <w:t> </w:t>
      </w:r>
      <w:r>
        <w:rPr>
          <w:color w:val="374151"/>
          <w:shd w:fill="F7F7F8" w:color="auto" w:val="clear"/>
        </w:rPr>
        <w:t>Health</w:t>
      </w:r>
      <w:r>
        <w:rPr>
          <w:color w:val="374151"/>
          <w:spacing w:val="-4"/>
          <w:shd w:fill="F7F7F8" w:color="auto" w:val="clear"/>
        </w:rPr>
        <w:t> </w:t>
      </w:r>
      <w:r>
        <w:rPr>
          <w:color w:val="374151"/>
          <w:shd w:fill="F7F7F8" w:color="auto" w:val="clear"/>
        </w:rPr>
        <w:t>Providers</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Low-</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Middle-Income</w:t>
      </w:r>
      <w:r>
        <w:rPr>
          <w:color w:val="374151"/>
          <w:spacing w:val="-5"/>
          <w:shd w:fill="F7F7F8" w:color="auto" w:val="clear"/>
        </w:rPr>
        <w:t> </w:t>
      </w:r>
      <w:r>
        <w:rPr>
          <w:color w:val="374151"/>
          <w:shd w:fill="F7F7F8" w:color="auto" w:val="clear"/>
        </w:rPr>
        <w:t>Countries.</w:t>
      </w:r>
      <w:r>
        <w:rPr>
          <w:color w:val="374151"/>
          <w:spacing w:val="-4"/>
          <w:shd w:fill="F7F7F8" w:color="auto" w:val="clear"/>
        </w:rPr>
        <w:t> </w:t>
      </w:r>
      <w:r>
        <w:rPr>
          <w:color w:val="374151"/>
          <w:shd w:fill="F7F7F8" w:color="auto" w:val="clear"/>
        </w:rPr>
        <w:t>Journal</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Nervous</w:t>
      </w:r>
      <w:r>
        <w:rPr>
          <w:color w:val="374151"/>
          <w:spacing w:val="-5"/>
          <w:shd w:fill="F7F7F8" w:color="auto" w:val="clear"/>
        </w:rPr>
        <w:t> </w:t>
      </w:r>
      <w:r>
        <w:rPr>
          <w:color w:val="374151"/>
          <w:spacing w:val="-5"/>
        </w:rPr>
        <w:t> </w:t>
      </w:r>
      <w:r>
        <w:rPr>
          <w:color w:val="374151"/>
          <w:shd w:fill="F7F7F8" w:color="auto" w:val="clear"/>
        </w:rPr>
        <w:t>and Mental Disease, 209(4), 247-253.</w:t>
      </w:r>
    </w:p>
    <w:p>
      <w:pPr>
        <w:spacing w:after="0"/>
        <w:sectPr>
          <w:pgSz w:w="12240" w:h="15840"/>
          <w:pgMar w:header="0" w:footer="765" w:top="126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11392">
                <wp:simplePos x="0" y="0"/>
                <wp:positionH relativeFrom="page">
                  <wp:posOffset>1066800</wp:posOffset>
                </wp:positionH>
                <wp:positionV relativeFrom="paragraph">
                  <wp:posOffset>660314</wp:posOffset>
                </wp:positionV>
                <wp:extent cx="457200" cy="20320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457200" cy="203200"/>
                        </a:xfrm>
                        <a:custGeom>
                          <a:avLst/>
                          <a:gdLst/>
                          <a:ahLst/>
                          <a:cxnLst/>
                          <a:rect l="l" t="t" r="r" b="b"/>
                          <a:pathLst>
                            <a:path w="457200" h="203200">
                              <a:moveTo>
                                <a:pt x="457200" y="0"/>
                              </a:moveTo>
                              <a:lnTo>
                                <a:pt x="0" y="0"/>
                              </a:lnTo>
                              <a:lnTo>
                                <a:pt x="0" y="203200"/>
                              </a:lnTo>
                              <a:lnTo>
                                <a:pt x="457200" y="203200"/>
                              </a:lnTo>
                              <a:lnTo>
                                <a:pt x="457200" y="0"/>
                              </a:lnTo>
                              <a:close/>
                            </a:path>
                          </a:pathLst>
                        </a:custGeom>
                        <a:solidFill>
                          <a:srgbClr val="F7F7F8"/>
                        </a:solidFill>
                      </wps:spPr>
                      <wps:bodyPr wrap="square" lIns="0" tIns="0" rIns="0" bIns="0" rtlCol="0">
                        <a:prstTxWarp prst="textNoShape">
                          <a:avLst/>
                        </a:prstTxWarp>
                        <a:noAutofit/>
                      </wps:bodyPr>
                    </wps:wsp>
                  </a:graphicData>
                </a:graphic>
              </wp:anchor>
            </w:drawing>
          </mc:Choice>
          <mc:Fallback>
            <w:pict>
              <v:rect style="position:absolute;margin-left:84pt;margin-top:51.993298pt;width:36pt;height:16pt;mso-position-horizontal-relative:page;mso-position-vertical-relative:paragraph;z-index:-15705088;mso-wrap-distance-left:0;mso-wrap-distance-right:0" id="docshape89" filled="true" fillcolor="#f7f7f8" stroked="false">
                <v:fill type="solid"/>
                <w10:wrap type="topAndBottom"/>
              </v:rect>
            </w:pict>
          </mc:Fallback>
        </mc:AlternateContent>
      </w:r>
      <w:r>
        <w:rPr>
          <w:color w:val="374151"/>
          <w:shd w:fill="F7F7F8" w:color="auto" w:val="clear"/>
        </w:rPr>
        <w:t>Kopelowicz,</w:t>
      </w:r>
      <w:r>
        <w:rPr>
          <w:color w:val="374151"/>
          <w:spacing w:val="-11"/>
          <w:shd w:fill="F7F7F8" w:color="auto" w:val="clear"/>
        </w:rPr>
        <w:t> </w:t>
      </w:r>
      <w:r>
        <w:rPr>
          <w:color w:val="374151"/>
          <w:shd w:fill="F7F7F8" w:color="auto" w:val="clear"/>
        </w:rPr>
        <w:t>A.,</w:t>
      </w:r>
      <w:r>
        <w:rPr>
          <w:color w:val="374151"/>
          <w:spacing w:val="-11"/>
          <w:shd w:fill="F7F7F8" w:color="auto" w:val="clear"/>
        </w:rPr>
        <w:t> </w:t>
      </w:r>
      <w:r>
        <w:rPr>
          <w:color w:val="374151"/>
          <w:shd w:fill="F7F7F8" w:color="auto" w:val="clear"/>
        </w:rPr>
        <w:t>Aggarwal, N. K., Zarate, R., et al. (2020). The Cultural </w:t>
      </w:r>
      <w:r>
        <w:rPr>
          <w:color w:val="374151"/>
        </w:rPr>
        <w:t> </w:t>
      </w:r>
      <w:r>
        <w:rPr>
          <w:color w:val="374151"/>
          <w:shd w:fill="F7F7F8" w:color="auto" w:val="clear"/>
        </w:rPr>
        <w:t>Formulation</w:t>
      </w:r>
      <w:r>
        <w:rPr>
          <w:color w:val="374151"/>
          <w:spacing w:val="-8"/>
          <w:shd w:fill="F7F7F8" w:color="auto" w:val="clear"/>
        </w:rPr>
        <w:t> </w:t>
      </w:r>
      <w:r>
        <w:rPr>
          <w:color w:val="374151"/>
          <w:shd w:fill="F7F7F8" w:color="auto" w:val="clear"/>
        </w:rPr>
        <w:t>Interview</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Providers</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Low-</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Middle-Income</w:t>
      </w:r>
      <w:r>
        <w:rPr>
          <w:color w:val="374151"/>
          <w:spacing w:val="-5"/>
          <w:shd w:fill="F7F7F8" w:color="auto" w:val="clear"/>
        </w:rPr>
        <w:t> </w:t>
      </w:r>
      <w:r>
        <w:rPr>
          <w:color w:val="374151"/>
          <w:shd w:fill="F7F7F8" w:color="auto" w:val="clear"/>
        </w:rPr>
        <w:t>Countries:</w:t>
      </w:r>
      <w:r>
        <w:rPr>
          <w:color w:val="374151"/>
          <w:spacing w:val="-18"/>
          <w:shd w:fill="F7F7F8" w:color="auto" w:val="clear"/>
        </w:rPr>
        <w:t> </w:t>
      </w:r>
      <w:r>
        <w:rPr>
          <w:color w:val="374151"/>
          <w:shd w:fill="F7F7F8" w:color="auto" w:val="clear"/>
        </w:rPr>
        <w:t>A</w:t>
      </w:r>
      <w:r>
        <w:rPr>
          <w:color w:val="374151"/>
          <w:spacing w:val="-22"/>
          <w:shd w:fill="F7F7F8" w:color="auto" w:val="clear"/>
        </w:rPr>
        <w:t> </w:t>
      </w:r>
      <w:r>
        <w:rPr>
          <w:color w:val="374151"/>
          <w:spacing w:val="-22"/>
        </w:rPr>
        <w:t> </w:t>
      </w:r>
      <w:r>
        <w:rPr>
          <w:color w:val="374151"/>
          <w:shd w:fill="F7F7F8" w:color="auto" w:val="clear"/>
        </w:rPr>
        <w:t>Validation Study in Mexico. Transcultural Psychiatry, 57(1), 3-17.</w:t>
      </w:r>
    </w:p>
    <w:p>
      <w:pPr>
        <w:pStyle w:val="BodyText"/>
        <w:ind w:left="280" w:right="502"/>
      </w:pPr>
      <w:r>
        <w:rPr>
          <w:color w:val="374151"/>
          <w:shd w:fill="F7F7F8" w:color="auto" w:val="clear"/>
        </w:rPr>
        <w:t>Ramirez, R., Treviño, L.</w:t>
      </w:r>
      <w:r>
        <w:rPr>
          <w:color w:val="374151"/>
          <w:spacing w:val="-11"/>
          <w:shd w:fill="F7F7F8" w:color="auto" w:val="clear"/>
        </w:rPr>
        <w:t> </w:t>
      </w:r>
      <w:r>
        <w:rPr>
          <w:color w:val="374151"/>
          <w:shd w:fill="F7F7F8" w:color="auto" w:val="clear"/>
        </w:rPr>
        <w:t>A., Gomez-Beloz,</w:t>
      </w:r>
      <w:r>
        <w:rPr>
          <w:color w:val="374151"/>
          <w:spacing w:val="-11"/>
          <w:shd w:fill="F7F7F8" w:color="auto" w:val="clear"/>
        </w:rPr>
        <w:t> </w:t>
      </w:r>
      <w:r>
        <w:rPr>
          <w:color w:val="374151"/>
          <w:shd w:fill="F7F7F8" w:color="auto" w:val="clear"/>
        </w:rPr>
        <w:t>A., et al. (2020). Cultural </w:t>
      </w:r>
      <w:r>
        <w:rPr>
          <w:color w:val="374151"/>
        </w:rPr>
        <w:t> </w:t>
      </w:r>
      <w:r>
        <w:rPr>
          <w:color w:val="374151"/>
          <w:shd w:fill="F7F7F8" w:color="auto" w:val="clear"/>
        </w:rPr>
        <w:t>Formulation</w:t>
      </w:r>
      <w:r>
        <w:rPr>
          <w:color w:val="374151"/>
          <w:spacing w:val="-8"/>
          <w:shd w:fill="F7F7F8" w:color="auto" w:val="clear"/>
        </w:rPr>
        <w:t> </w:t>
      </w:r>
      <w:r>
        <w:rPr>
          <w:color w:val="374151"/>
          <w:shd w:fill="F7F7F8" w:color="auto" w:val="clear"/>
        </w:rPr>
        <w:t>Interview</w:t>
      </w:r>
      <w:r>
        <w:rPr>
          <w:color w:val="374151"/>
          <w:spacing w:val="-5"/>
          <w:shd w:fill="F7F7F8" w:color="auto" w:val="clear"/>
        </w:rPr>
        <w:t> </w:t>
      </w:r>
      <w:r>
        <w:rPr>
          <w:color w:val="374151"/>
          <w:shd w:fill="F7F7F8" w:color="auto" w:val="clear"/>
        </w:rPr>
        <w:t>(CFI)</w:t>
      </w:r>
      <w:r>
        <w:rPr>
          <w:color w:val="374151"/>
          <w:spacing w:val="-5"/>
          <w:shd w:fill="F7F7F8" w:color="auto" w:val="clear"/>
        </w:rPr>
        <w:t> </w:t>
      </w:r>
      <w:r>
        <w:rPr>
          <w:color w:val="374151"/>
          <w:shd w:fill="F7F7F8" w:color="auto" w:val="clear"/>
        </w:rPr>
        <w:t>for</w:t>
      </w:r>
      <w:r>
        <w:rPr>
          <w:color w:val="374151"/>
          <w:spacing w:val="-5"/>
          <w:shd w:fill="F7F7F8" w:color="auto" w:val="clear"/>
        </w:rPr>
        <w:t> </w:t>
      </w:r>
      <w:r>
        <w:rPr>
          <w:color w:val="374151"/>
          <w:shd w:fill="F7F7F8" w:color="auto" w:val="clear"/>
        </w:rPr>
        <w:t>Latinos:</w:t>
      </w:r>
      <w:r>
        <w:rPr>
          <w:color w:val="374151"/>
          <w:spacing w:val="-5"/>
          <w:shd w:fill="F7F7F8" w:color="auto" w:val="clear"/>
        </w:rPr>
        <w:t> </w:t>
      </w:r>
      <w:r>
        <w:rPr>
          <w:color w:val="374151"/>
          <w:shd w:fill="F7F7F8" w:color="auto" w:val="clear"/>
        </w:rPr>
        <w:t>Qualitative</w:t>
      </w:r>
      <w:r>
        <w:rPr>
          <w:color w:val="374151"/>
          <w:spacing w:val="-18"/>
          <w:shd w:fill="F7F7F8" w:color="auto" w:val="clear"/>
        </w:rPr>
        <w:t> </w:t>
      </w:r>
      <w:r>
        <w:rPr>
          <w:color w:val="374151"/>
          <w:shd w:fill="F7F7F8" w:color="auto" w:val="clear"/>
        </w:rPr>
        <w:t>Analysis</w:t>
      </w:r>
      <w:r>
        <w:rPr>
          <w:color w:val="374151"/>
          <w:spacing w:val="-4"/>
          <w:shd w:fill="F7F7F8" w:color="auto" w:val="clear"/>
        </w:rPr>
        <w:t> </w:t>
      </w:r>
      <w:r>
        <w:rPr>
          <w:color w:val="374151"/>
          <w:shd w:fill="F7F7F8" w:color="auto" w:val="clear"/>
        </w:rPr>
        <w:t>and</w:t>
      </w:r>
      <w:r>
        <w:rPr>
          <w:color w:val="374151"/>
          <w:spacing w:val="-18"/>
          <w:shd w:fill="F7F7F8" w:color="auto" w:val="clear"/>
        </w:rPr>
        <w:t> </w:t>
      </w:r>
      <w:r>
        <w:rPr>
          <w:color w:val="374151"/>
          <w:shd w:fill="F7F7F8" w:color="auto" w:val="clear"/>
        </w:rPr>
        <w:t>Adaptation</w:t>
      </w:r>
      <w:r>
        <w:rPr>
          <w:color w:val="374151"/>
          <w:spacing w:val="-5"/>
          <w:shd w:fill="F7F7F8" w:color="auto" w:val="clear"/>
        </w:rPr>
        <w:t> </w:t>
      </w:r>
      <w:r>
        <w:rPr>
          <w:color w:val="374151"/>
          <w:spacing w:val="-5"/>
        </w:rPr>
        <w:t> </w:t>
      </w:r>
      <w:r>
        <w:rPr>
          <w:color w:val="374151"/>
          <w:shd w:fill="F7F7F8" w:color="auto" w:val="clear"/>
        </w:rPr>
        <w:t>for Research on Latino</w:t>
      </w:r>
      <w:r>
        <w:rPr>
          <w:color w:val="374151"/>
          <w:spacing w:val="-11"/>
          <w:shd w:fill="F7F7F8" w:color="auto" w:val="clear"/>
        </w:rPr>
        <w:t> </w:t>
      </w:r>
      <w:r>
        <w:rPr>
          <w:color w:val="374151"/>
          <w:shd w:fill="F7F7F8" w:color="auto" w:val="clear"/>
        </w:rPr>
        <w:t>Adults in Puerto Rico. Journal of Immigrant and </w:t>
      </w:r>
      <w:r>
        <w:rPr>
          <w:color w:val="374151"/>
        </w:rPr>
        <w:t> </w:t>
      </w:r>
      <w:r>
        <w:rPr>
          <w:color w:val="374151"/>
          <w:shd w:fill="F7F7F8" w:color="auto" w:val="clear"/>
        </w:rPr>
        <w:t>Minority Health, 22(6), 1121-1128.</w:t>
      </w:r>
    </w:p>
    <w:p>
      <w:pPr>
        <w:pStyle w:val="BodyText"/>
        <w:spacing w:before="7"/>
        <w:rPr>
          <w:sz w:val="27"/>
        </w:rPr>
      </w:pPr>
    </w:p>
    <w:p>
      <w:pPr>
        <w:pStyle w:val="BodyText"/>
        <w:ind w:left="280" w:right="549"/>
      </w:pPr>
      <w:r>
        <w:rPr/>
        <w:t>When</w:t>
      </w:r>
      <w:r>
        <w:rPr>
          <w:spacing w:val="-5"/>
        </w:rPr>
        <w:t> </w:t>
      </w:r>
      <w:r>
        <w:rPr/>
        <w:t>addressing</w:t>
      </w:r>
      <w:r>
        <w:rPr>
          <w:spacing w:val="-5"/>
        </w:rPr>
        <w:t> </w:t>
      </w:r>
      <w:r>
        <w:rPr/>
        <w:t>sexual</w:t>
      </w:r>
      <w:r>
        <w:rPr>
          <w:spacing w:val="-5"/>
        </w:rPr>
        <w:t> </w:t>
      </w:r>
      <w:r>
        <w:rPr/>
        <w:t>disorders</w:t>
      </w:r>
      <w:r>
        <w:rPr>
          <w:spacing w:val="-5"/>
        </w:rPr>
        <w:t> </w:t>
      </w:r>
      <w:r>
        <w:rPr/>
        <w:t>and</w:t>
      </w:r>
      <w:r>
        <w:rPr>
          <w:spacing w:val="-5"/>
        </w:rPr>
        <w:t> </w:t>
      </w:r>
      <w:r>
        <w:rPr/>
        <w:t>issues</w:t>
      </w:r>
      <w:r>
        <w:rPr>
          <w:spacing w:val="-5"/>
        </w:rPr>
        <w:t> </w:t>
      </w:r>
      <w:r>
        <w:rPr/>
        <w:t>with</w:t>
      </w:r>
      <w:r>
        <w:rPr>
          <w:spacing w:val="-5"/>
        </w:rPr>
        <w:t> </w:t>
      </w:r>
      <w:r>
        <w:rPr/>
        <w:t>cultural</w:t>
      </w:r>
      <w:r>
        <w:rPr>
          <w:spacing w:val="-5"/>
        </w:rPr>
        <w:t> </w:t>
      </w:r>
      <w:r>
        <w:rPr/>
        <w:t>competence,</w:t>
      </w:r>
      <w:r>
        <w:rPr>
          <w:spacing w:val="-5"/>
        </w:rPr>
        <w:t> </w:t>
      </w:r>
      <w:r>
        <w:rPr/>
        <w:t>mental health professionals need to be aware of the diverse cultural beliefs, values, and norms that can influence an individual's sexual health and well-being.</w:t>
      </w:r>
    </w:p>
    <w:p>
      <w:pPr>
        <w:pStyle w:val="BodyText"/>
        <w:spacing w:line="316" w:lineRule="exact"/>
        <w:ind w:left="280"/>
      </w:pPr>
      <w:r>
        <w:rPr/>
        <w:t>Here</w:t>
      </w:r>
      <w:r>
        <w:rPr>
          <w:spacing w:val="-3"/>
        </w:rPr>
        <w:t> </w:t>
      </w:r>
      <w:r>
        <w:rPr/>
        <w:t>are</w:t>
      </w:r>
      <w:r>
        <w:rPr>
          <w:spacing w:val="-2"/>
        </w:rPr>
        <w:t> </w:t>
      </w:r>
      <w:r>
        <w:rPr/>
        <w:t>a</w:t>
      </w:r>
      <w:r>
        <w:rPr>
          <w:spacing w:val="-2"/>
        </w:rPr>
        <w:t> </w:t>
      </w:r>
      <w:r>
        <w:rPr/>
        <w:t>few</w:t>
      </w:r>
      <w:r>
        <w:rPr>
          <w:spacing w:val="-1"/>
        </w:rPr>
        <w:t> </w:t>
      </w:r>
      <w:r>
        <w:rPr/>
        <w:t>assessment</w:t>
      </w:r>
      <w:r>
        <w:rPr>
          <w:spacing w:val="-1"/>
        </w:rPr>
        <w:t> </w:t>
      </w:r>
      <w:r>
        <w:rPr/>
        <w:t>tools</w:t>
      </w:r>
      <w:r>
        <w:rPr>
          <w:spacing w:val="-1"/>
        </w:rPr>
        <w:t> </w:t>
      </w:r>
      <w:r>
        <w:rPr/>
        <w:t>and</w:t>
      </w:r>
      <w:r>
        <w:rPr>
          <w:spacing w:val="-2"/>
        </w:rPr>
        <w:t> </w:t>
      </w:r>
      <w:r>
        <w:rPr/>
        <w:t>approaches</w:t>
      </w:r>
      <w:r>
        <w:rPr>
          <w:spacing w:val="-1"/>
        </w:rPr>
        <w:t> </w:t>
      </w:r>
      <w:r>
        <w:rPr/>
        <w:t>that</w:t>
      </w:r>
      <w:r>
        <w:rPr>
          <w:spacing w:val="-1"/>
        </w:rPr>
        <w:t> </w:t>
      </w:r>
      <w:r>
        <w:rPr/>
        <w:t>can</w:t>
      </w:r>
      <w:r>
        <w:rPr>
          <w:spacing w:val="-1"/>
        </w:rPr>
        <w:t> </w:t>
      </w:r>
      <w:r>
        <w:rPr/>
        <w:t>aid</w:t>
      </w:r>
      <w:r>
        <w:rPr>
          <w:spacing w:val="-1"/>
        </w:rPr>
        <w:t> </w:t>
      </w:r>
      <w:r>
        <w:rPr/>
        <w:t>in</w:t>
      </w:r>
      <w:r>
        <w:rPr>
          <w:spacing w:val="-1"/>
        </w:rPr>
        <w:t> </w:t>
      </w:r>
      <w:r>
        <w:rPr/>
        <w:t>this</w:t>
      </w:r>
      <w:r>
        <w:rPr>
          <w:spacing w:val="-1"/>
        </w:rPr>
        <w:t> </w:t>
      </w:r>
      <w:r>
        <w:rPr>
          <w:spacing w:val="-2"/>
        </w:rPr>
        <w:t>process:</w:t>
      </w:r>
    </w:p>
    <w:p>
      <w:pPr>
        <w:pStyle w:val="BodyText"/>
        <w:spacing w:before="9"/>
        <w:rPr>
          <w:sz w:val="24"/>
        </w:rPr>
      </w:pPr>
    </w:p>
    <w:p>
      <w:pPr>
        <w:pStyle w:val="ListParagraph"/>
        <w:numPr>
          <w:ilvl w:val="0"/>
          <w:numId w:val="9"/>
        </w:numPr>
        <w:tabs>
          <w:tab w:pos="1218" w:val="left" w:leader="none"/>
        </w:tabs>
        <w:spacing w:line="232" w:lineRule="auto" w:before="0" w:after="0"/>
        <w:ind w:left="1218" w:right="516" w:hanging="459"/>
        <w:jc w:val="left"/>
        <w:rPr>
          <w:sz w:val="28"/>
        </w:rPr>
      </w:pPr>
      <w:r>
        <w:rPr>
          <w:b/>
          <w:sz w:val="28"/>
        </w:rPr>
        <w:t>Cultural Formulation Interview (CFI):</w:t>
      </w:r>
      <w:r>
        <w:rPr>
          <w:b/>
          <w:spacing w:val="-1"/>
          <w:sz w:val="28"/>
        </w:rPr>
        <w:t> </w:t>
      </w:r>
      <w:r>
        <w:rPr>
          <w:sz w:val="28"/>
        </w:rPr>
        <w:t>As mentioned earlier, the CFI included in the DSM-5 is a structured interview that helps clinicians explore the cultural factors that may impact the presentation and</w:t>
      </w:r>
      <w:r>
        <w:rPr>
          <w:spacing w:val="-4"/>
          <w:sz w:val="28"/>
        </w:rPr>
        <w:t> </w:t>
      </w:r>
      <w:r>
        <w:rPr>
          <w:sz w:val="28"/>
        </w:rPr>
        <w:t>experience</w:t>
      </w:r>
      <w:r>
        <w:rPr>
          <w:spacing w:val="-5"/>
          <w:sz w:val="28"/>
        </w:rPr>
        <w:t> </w:t>
      </w:r>
      <w:r>
        <w:rPr>
          <w:sz w:val="28"/>
        </w:rPr>
        <w:t>of</w:t>
      </w:r>
      <w:r>
        <w:rPr>
          <w:spacing w:val="-4"/>
          <w:sz w:val="28"/>
        </w:rPr>
        <w:t> </w:t>
      </w:r>
      <w:r>
        <w:rPr>
          <w:sz w:val="28"/>
        </w:rPr>
        <w:t>sexual</w:t>
      </w:r>
      <w:r>
        <w:rPr>
          <w:spacing w:val="-4"/>
          <w:sz w:val="28"/>
        </w:rPr>
        <w:t> </w:t>
      </w:r>
      <w:r>
        <w:rPr>
          <w:sz w:val="28"/>
        </w:rPr>
        <w:t>disorders</w:t>
      </w:r>
      <w:r>
        <w:rPr>
          <w:spacing w:val="-4"/>
          <w:sz w:val="28"/>
        </w:rPr>
        <w:t> </w:t>
      </w:r>
      <w:r>
        <w:rPr>
          <w:sz w:val="28"/>
        </w:rPr>
        <w:t>and</w:t>
      </w:r>
      <w:r>
        <w:rPr>
          <w:spacing w:val="-4"/>
          <w:sz w:val="28"/>
        </w:rPr>
        <w:t> </w:t>
      </w:r>
      <w:r>
        <w:rPr>
          <w:sz w:val="28"/>
        </w:rPr>
        <w:t>issues.</w:t>
      </w:r>
      <w:r>
        <w:rPr>
          <w:spacing w:val="-4"/>
          <w:sz w:val="28"/>
        </w:rPr>
        <w:t> </w:t>
      </w:r>
      <w:r>
        <w:rPr>
          <w:sz w:val="28"/>
        </w:rPr>
        <w:t>It</w:t>
      </w:r>
      <w:r>
        <w:rPr>
          <w:spacing w:val="-4"/>
          <w:sz w:val="28"/>
        </w:rPr>
        <w:t> </w:t>
      </w:r>
      <w:r>
        <w:rPr>
          <w:sz w:val="28"/>
        </w:rPr>
        <w:t>provides</w:t>
      </w:r>
      <w:r>
        <w:rPr>
          <w:spacing w:val="-4"/>
          <w:sz w:val="28"/>
        </w:rPr>
        <w:t> </w:t>
      </w:r>
      <w:r>
        <w:rPr>
          <w:sz w:val="28"/>
        </w:rPr>
        <w:t>a</w:t>
      </w:r>
      <w:r>
        <w:rPr>
          <w:spacing w:val="-5"/>
          <w:sz w:val="28"/>
        </w:rPr>
        <w:t> </w:t>
      </w:r>
      <w:r>
        <w:rPr>
          <w:sz w:val="28"/>
        </w:rPr>
        <w:t>framework for understanding the individual within their cultural context and guides treatment planning.</w:t>
      </w:r>
    </w:p>
    <w:p>
      <w:pPr>
        <w:pStyle w:val="BodyText"/>
        <w:spacing w:before="4"/>
        <w:rPr>
          <w:sz w:val="25"/>
        </w:rPr>
      </w:pPr>
    </w:p>
    <w:p>
      <w:pPr>
        <w:pStyle w:val="ListParagraph"/>
        <w:numPr>
          <w:ilvl w:val="0"/>
          <w:numId w:val="9"/>
        </w:numPr>
        <w:tabs>
          <w:tab w:pos="1218" w:val="left" w:leader="none"/>
        </w:tabs>
        <w:spacing w:line="232" w:lineRule="auto" w:before="0" w:after="0"/>
        <w:ind w:left="1218" w:right="548" w:hanging="459"/>
        <w:jc w:val="left"/>
        <w:rPr>
          <w:sz w:val="28"/>
        </w:rPr>
      </w:pPr>
      <w:r>
        <w:rPr>
          <w:b/>
          <w:sz w:val="28"/>
        </w:rPr>
        <w:t>Cultural Competence</w:t>
      </w:r>
      <w:r>
        <w:rPr>
          <w:b/>
          <w:spacing w:val="-10"/>
          <w:sz w:val="28"/>
        </w:rPr>
        <w:t> </w:t>
      </w:r>
      <w:r>
        <w:rPr>
          <w:b/>
          <w:sz w:val="28"/>
        </w:rPr>
        <w:t>Assessment Tool (CCAT): </w:t>
      </w:r>
      <w:r>
        <w:rPr>
          <w:sz w:val="28"/>
        </w:rPr>
        <w:t>The CCAT is a self-assessment tool that mental health professionals can use to evaluate</w:t>
      </w:r>
      <w:r>
        <w:rPr>
          <w:spacing w:val="-5"/>
          <w:sz w:val="28"/>
        </w:rPr>
        <w:t> </w:t>
      </w:r>
      <w:r>
        <w:rPr>
          <w:sz w:val="28"/>
        </w:rPr>
        <w:t>their</w:t>
      </w:r>
      <w:r>
        <w:rPr>
          <w:spacing w:val="-4"/>
          <w:sz w:val="28"/>
        </w:rPr>
        <w:t> </w:t>
      </w:r>
      <w:r>
        <w:rPr>
          <w:sz w:val="28"/>
        </w:rPr>
        <w:t>own</w:t>
      </w:r>
      <w:r>
        <w:rPr>
          <w:spacing w:val="-4"/>
          <w:sz w:val="28"/>
        </w:rPr>
        <w:t> </w:t>
      </w:r>
      <w:r>
        <w:rPr>
          <w:sz w:val="28"/>
        </w:rPr>
        <w:t>cultural</w:t>
      </w:r>
      <w:r>
        <w:rPr>
          <w:spacing w:val="-4"/>
          <w:sz w:val="28"/>
        </w:rPr>
        <w:t> </w:t>
      </w:r>
      <w:r>
        <w:rPr>
          <w:sz w:val="28"/>
        </w:rPr>
        <w:t>competence.</w:t>
      </w:r>
      <w:r>
        <w:rPr>
          <w:spacing w:val="-4"/>
          <w:sz w:val="28"/>
        </w:rPr>
        <w:t> </w:t>
      </w:r>
      <w:r>
        <w:rPr>
          <w:sz w:val="28"/>
        </w:rPr>
        <w:t>It</w:t>
      </w:r>
      <w:r>
        <w:rPr>
          <w:spacing w:val="-4"/>
          <w:sz w:val="28"/>
        </w:rPr>
        <w:t> </w:t>
      </w:r>
      <w:r>
        <w:rPr>
          <w:sz w:val="28"/>
        </w:rPr>
        <w:t>helps</w:t>
      </w:r>
      <w:r>
        <w:rPr>
          <w:spacing w:val="-4"/>
          <w:sz w:val="28"/>
        </w:rPr>
        <w:t> </w:t>
      </w:r>
      <w:r>
        <w:rPr>
          <w:sz w:val="28"/>
        </w:rPr>
        <w:t>them</w:t>
      </w:r>
      <w:r>
        <w:rPr>
          <w:spacing w:val="-4"/>
          <w:sz w:val="28"/>
        </w:rPr>
        <w:t> </w:t>
      </w:r>
      <w:r>
        <w:rPr>
          <w:sz w:val="28"/>
        </w:rPr>
        <w:t>identify</w:t>
      </w:r>
      <w:r>
        <w:rPr>
          <w:spacing w:val="-4"/>
          <w:sz w:val="28"/>
        </w:rPr>
        <w:t> </w:t>
      </w:r>
      <w:r>
        <w:rPr>
          <w:sz w:val="28"/>
        </w:rPr>
        <w:t>areas</w:t>
      </w:r>
      <w:r>
        <w:rPr>
          <w:spacing w:val="-4"/>
          <w:sz w:val="28"/>
        </w:rPr>
        <w:t> </w:t>
      </w:r>
      <w:r>
        <w:rPr>
          <w:sz w:val="28"/>
        </w:rPr>
        <w:t>of strength and areas that may require further development in terms of understanding and addressing cultural influences on sexual health.</w:t>
      </w:r>
    </w:p>
    <w:p>
      <w:pPr>
        <w:pStyle w:val="BodyText"/>
        <w:spacing w:before="8"/>
        <w:rPr>
          <w:sz w:val="24"/>
        </w:rPr>
      </w:pPr>
    </w:p>
    <w:p>
      <w:pPr>
        <w:pStyle w:val="ListParagraph"/>
        <w:numPr>
          <w:ilvl w:val="0"/>
          <w:numId w:val="9"/>
        </w:numPr>
        <w:tabs>
          <w:tab w:pos="1218" w:val="left" w:leader="none"/>
        </w:tabs>
        <w:spacing w:line="232" w:lineRule="auto" w:before="0" w:after="0"/>
        <w:ind w:left="1218" w:right="608" w:hanging="459"/>
        <w:jc w:val="left"/>
        <w:rPr>
          <w:sz w:val="28"/>
        </w:rPr>
      </w:pPr>
      <w:r>
        <w:rPr>
          <w:b/>
          <w:sz w:val="28"/>
        </w:rPr>
        <w:t>Klein</w:t>
      </w:r>
      <w:r>
        <w:rPr>
          <w:b/>
          <w:spacing w:val="-3"/>
          <w:sz w:val="28"/>
        </w:rPr>
        <w:t> </w:t>
      </w:r>
      <w:r>
        <w:rPr>
          <w:b/>
          <w:sz w:val="28"/>
        </w:rPr>
        <w:t>Sexual</w:t>
      </w:r>
      <w:r>
        <w:rPr>
          <w:b/>
          <w:spacing w:val="-3"/>
          <w:sz w:val="28"/>
        </w:rPr>
        <w:t> </w:t>
      </w:r>
      <w:r>
        <w:rPr>
          <w:b/>
          <w:sz w:val="28"/>
        </w:rPr>
        <w:t>Orientation</w:t>
      </w:r>
      <w:r>
        <w:rPr>
          <w:b/>
          <w:spacing w:val="-3"/>
          <w:sz w:val="28"/>
        </w:rPr>
        <w:t> </w:t>
      </w:r>
      <w:r>
        <w:rPr>
          <w:b/>
          <w:sz w:val="28"/>
        </w:rPr>
        <w:t>Grid</w:t>
      </w:r>
      <w:r>
        <w:rPr>
          <w:b/>
          <w:spacing w:val="-3"/>
          <w:sz w:val="28"/>
        </w:rPr>
        <w:t> </w:t>
      </w:r>
      <w:r>
        <w:rPr>
          <w:b/>
          <w:sz w:val="28"/>
        </w:rPr>
        <w:t>(KSOG):</w:t>
      </w:r>
      <w:r>
        <w:rPr>
          <w:b/>
          <w:spacing w:val="-4"/>
          <w:sz w:val="28"/>
        </w:rPr>
        <w:t> </w:t>
      </w:r>
      <w:r>
        <w:rPr>
          <w:sz w:val="28"/>
        </w:rPr>
        <w:t>The</w:t>
      </w:r>
      <w:r>
        <w:rPr>
          <w:spacing w:val="-4"/>
          <w:sz w:val="28"/>
        </w:rPr>
        <w:t> </w:t>
      </w:r>
      <w:r>
        <w:rPr>
          <w:sz w:val="28"/>
        </w:rPr>
        <w:t>KSOG</w:t>
      </w:r>
      <w:r>
        <w:rPr>
          <w:spacing w:val="-3"/>
          <w:sz w:val="28"/>
        </w:rPr>
        <w:t> </w:t>
      </w:r>
      <w:r>
        <w:rPr>
          <w:sz w:val="28"/>
        </w:rPr>
        <w:t>is</w:t>
      </w:r>
      <w:r>
        <w:rPr>
          <w:spacing w:val="-3"/>
          <w:sz w:val="28"/>
        </w:rPr>
        <w:t> </w:t>
      </w:r>
      <w:r>
        <w:rPr>
          <w:sz w:val="28"/>
        </w:rPr>
        <w:t>a</w:t>
      </w:r>
      <w:r>
        <w:rPr>
          <w:spacing w:val="-4"/>
          <w:sz w:val="28"/>
        </w:rPr>
        <w:t> </w:t>
      </w:r>
      <w:r>
        <w:rPr>
          <w:sz w:val="28"/>
        </w:rPr>
        <w:t>self-report measure that assesses sexual orientation on multiple dimensions, including sexual attraction, sexual behavior, sexual fantasies, emotional preference, and lifestyle indicators. It acknowledges the diversity</w:t>
      </w:r>
      <w:r>
        <w:rPr>
          <w:spacing w:val="-5"/>
          <w:sz w:val="28"/>
        </w:rPr>
        <w:t> </w:t>
      </w:r>
      <w:r>
        <w:rPr>
          <w:sz w:val="28"/>
        </w:rPr>
        <w:t>of</w:t>
      </w:r>
      <w:r>
        <w:rPr>
          <w:spacing w:val="-5"/>
          <w:sz w:val="28"/>
        </w:rPr>
        <w:t> </w:t>
      </w:r>
      <w:r>
        <w:rPr>
          <w:sz w:val="28"/>
        </w:rPr>
        <w:t>sexual</w:t>
      </w:r>
      <w:r>
        <w:rPr>
          <w:spacing w:val="-5"/>
          <w:sz w:val="28"/>
        </w:rPr>
        <w:t> </w:t>
      </w:r>
      <w:r>
        <w:rPr>
          <w:sz w:val="28"/>
        </w:rPr>
        <w:t>orientations</w:t>
      </w:r>
      <w:r>
        <w:rPr>
          <w:spacing w:val="-5"/>
          <w:sz w:val="28"/>
        </w:rPr>
        <w:t> </w:t>
      </w:r>
      <w:r>
        <w:rPr>
          <w:sz w:val="28"/>
        </w:rPr>
        <w:t>and</w:t>
      </w:r>
      <w:r>
        <w:rPr>
          <w:spacing w:val="-5"/>
          <w:sz w:val="28"/>
        </w:rPr>
        <w:t> </w:t>
      </w:r>
      <w:r>
        <w:rPr>
          <w:sz w:val="28"/>
        </w:rPr>
        <w:t>allows</w:t>
      </w:r>
      <w:r>
        <w:rPr>
          <w:spacing w:val="-5"/>
          <w:sz w:val="28"/>
        </w:rPr>
        <w:t> </w:t>
      </w:r>
      <w:r>
        <w:rPr>
          <w:sz w:val="28"/>
        </w:rPr>
        <w:t>individuals</w:t>
      </w:r>
      <w:r>
        <w:rPr>
          <w:spacing w:val="-5"/>
          <w:sz w:val="28"/>
        </w:rPr>
        <w:t> </w:t>
      </w:r>
      <w:r>
        <w:rPr>
          <w:sz w:val="28"/>
        </w:rPr>
        <w:t>to</w:t>
      </w:r>
      <w:r>
        <w:rPr>
          <w:spacing w:val="-5"/>
          <w:sz w:val="28"/>
        </w:rPr>
        <w:t> </w:t>
      </w:r>
      <w:r>
        <w:rPr>
          <w:sz w:val="28"/>
        </w:rPr>
        <w:t>express</w:t>
      </w:r>
      <w:r>
        <w:rPr>
          <w:spacing w:val="-5"/>
          <w:sz w:val="28"/>
        </w:rPr>
        <w:t> </w:t>
      </w:r>
      <w:r>
        <w:rPr>
          <w:sz w:val="28"/>
        </w:rPr>
        <w:t>their experiences and identities within their cultural context.</w:t>
      </w:r>
    </w:p>
    <w:p>
      <w:pPr>
        <w:pStyle w:val="BodyText"/>
        <w:spacing w:before="4"/>
        <w:rPr>
          <w:sz w:val="25"/>
        </w:rPr>
      </w:pPr>
    </w:p>
    <w:p>
      <w:pPr>
        <w:pStyle w:val="ListParagraph"/>
        <w:numPr>
          <w:ilvl w:val="0"/>
          <w:numId w:val="9"/>
        </w:numPr>
        <w:tabs>
          <w:tab w:pos="1218" w:val="left" w:leader="none"/>
        </w:tabs>
        <w:spacing w:line="232" w:lineRule="auto" w:before="0" w:after="0"/>
        <w:ind w:left="1218" w:right="546" w:hanging="459"/>
        <w:jc w:val="left"/>
        <w:rPr>
          <w:sz w:val="28"/>
        </w:rPr>
      </w:pPr>
      <w:r>
        <w:rPr>
          <w:b/>
          <w:sz w:val="28"/>
        </w:rPr>
        <w:t>Intersectionality Framework: </w:t>
      </w:r>
      <w:r>
        <w:rPr>
          <w:sz w:val="28"/>
        </w:rPr>
        <w:t>When assessing sexual disorders and issues,</w:t>
      </w:r>
      <w:r>
        <w:rPr>
          <w:spacing w:val="-4"/>
          <w:sz w:val="28"/>
        </w:rPr>
        <w:t> </w:t>
      </w:r>
      <w:r>
        <w:rPr>
          <w:sz w:val="28"/>
        </w:rPr>
        <w:t>it</w:t>
      </w:r>
      <w:r>
        <w:rPr>
          <w:spacing w:val="-4"/>
          <w:sz w:val="28"/>
        </w:rPr>
        <w:t> </w:t>
      </w:r>
      <w:r>
        <w:rPr>
          <w:sz w:val="28"/>
        </w:rPr>
        <w:t>is</w:t>
      </w:r>
      <w:r>
        <w:rPr>
          <w:spacing w:val="-4"/>
          <w:sz w:val="28"/>
        </w:rPr>
        <w:t> </w:t>
      </w:r>
      <w:r>
        <w:rPr>
          <w:sz w:val="28"/>
        </w:rPr>
        <w:t>important</w:t>
      </w:r>
      <w:r>
        <w:rPr>
          <w:spacing w:val="-4"/>
          <w:sz w:val="28"/>
        </w:rPr>
        <w:t> </w:t>
      </w:r>
      <w:r>
        <w:rPr>
          <w:sz w:val="28"/>
        </w:rPr>
        <w:t>to</w:t>
      </w:r>
      <w:r>
        <w:rPr>
          <w:spacing w:val="-4"/>
          <w:sz w:val="28"/>
        </w:rPr>
        <w:t> </w:t>
      </w:r>
      <w:r>
        <w:rPr>
          <w:sz w:val="28"/>
        </w:rPr>
        <w:t>consider</w:t>
      </w:r>
      <w:r>
        <w:rPr>
          <w:spacing w:val="-4"/>
          <w:sz w:val="28"/>
        </w:rPr>
        <w:t> </w:t>
      </w:r>
      <w:r>
        <w:rPr>
          <w:sz w:val="28"/>
        </w:rPr>
        <w:t>the</w:t>
      </w:r>
      <w:r>
        <w:rPr>
          <w:spacing w:val="-5"/>
          <w:sz w:val="28"/>
        </w:rPr>
        <w:t> </w:t>
      </w:r>
      <w:r>
        <w:rPr>
          <w:sz w:val="28"/>
        </w:rPr>
        <w:t>intersectionality</w:t>
      </w:r>
      <w:r>
        <w:rPr>
          <w:spacing w:val="-4"/>
          <w:sz w:val="28"/>
        </w:rPr>
        <w:t> </w:t>
      </w:r>
      <w:r>
        <w:rPr>
          <w:sz w:val="28"/>
        </w:rPr>
        <w:t>of</w:t>
      </w:r>
      <w:r>
        <w:rPr>
          <w:spacing w:val="-4"/>
          <w:sz w:val="28"/>
        </w:rPr>
        <w:t> </w:t>
      </w:r>
      <w:r>
        <w:rPr>
          <w:sz w:val="28"/>
        </w:rPr>
        <w:t>various</w:t>
      </w:r>
      <w:r>
        <w:rPr>
          <w:spacing w:val="-4"/>
          <w:sz w:val="28"/>
        </w:rPr>
        <w:t> </w:t>
      </w:r>
      <w:r>
        <w:rPr>
          <w:sz w:val="28"/>
        </w:rPr>
        <w:t>social identities, such as race, ethnicity, gender, and socioeconomic status. The Intersectionality Framework helps mental health professionals understand how these intersecting identities may influence an individual's experiences, needs, and access to care.</w:t>
      </w:r>
    </w:p>
    <w:p>
      <w:pPr>
        <w:spacing w:after="0" w:line="232" w:lineRule="auto"/>
        <w:jc w:val="left"/>
        <w:rPr>
          <w:sz w:val="28"/>
        </w:rPr>
        <w:sectPr>
          <w:pgSz w:w="12240" w:h="15840"/>
          <w:pgMar w:header="0" w:footer="765" w:top="1260" w:bottom="980" w:left="1400" w:right="1180"/>
        </w:sectPr>
      </w:pPr>
    </w:p>
    <w:p>
      <w:pPr>
        <w:pStyle w:val="ListParagraph"/>
        <w:numPr>
          <w:ilvl w:val="0"/>
          <w:numId w:val="9"/>
        </w:numPr>
        <w:tabs>
          <w:tab w:pos="1218" w:val="left" w:leader="none"/>
        </w:tabs>
        <w:spacing w:line="235" w:lineRule="auto" w:before="50" w:after="0"/>
        <w:ind w:left="1218" w:right="525" w:hanging="459"/>
        <w:jc w:val="left"/>
        <w:rPr>
          <w:sz w:val="28"/>
        </w:rPr>
      </w:pPr>
      <w:r>
        <w:rPr>
          <w:b/>
          <w:sz w:val="28"/>
        </w:rPr>
        <w:t>Culturally Sensitive Interviewing: </w:t>
      </w:r>
      <w:r>
        <w:rPr>
          <w:sz w:val="28"/>
        </w:rPr>
        <w:t>Mental health professionals should adopt culturally sensitive interviewing techniques when exploring sexual issues. This involves actively listening, demonstrating</w:t>
      </w:r>
      <w:r>
        <w:rPr>
          <w:spacing w:val="-8"/>
          <w:sz w:val="28"/>
        </w:rPr>
        <w:t> </w:t>
      </w:r>
      <w:r>
        <w:rPr>
          <w:sz w:val="28"/>
        </w:rPr>
        <w:t>empathy,</w:t>
      </w:r>
      <w:r>
        <w:rPr>
          <w:spacing w:val="-8"/>
          <w:sz w:val="28"/>
        </w:rPr>
        <w:t> </w:t>
      </w:r>
      <w:r>
        <w:rPr>
          <w:sz w:val="28"/>
        </w:rPr>
        <w:t>and</w:t>
      </w:r>
      <w:r>
        <w:rPr>
          <w:spacing w:val="-8"/>
          <w:sz w:val="28"/>
        </w:rPr>
        <w:t> </w:t>
      </w:r>
      <w:r>
        <w:rPr>
          <w:sz w:val="28"/>
        </w:rPr>
        <w:t>avoiding</w:t>
      </w:r>
      <w:r>
        <w:rPr>
          <w:spacing w:val="-8"/>
          <w:sz w:val="28"/>
        </w:rPr>
        <w:t> </w:t>
      </w:r>
      <w:r>
        <w:rPr>
          <w:sz w:val="28"/>
        </w:rPr>
        <w:t>assumptions</w:t>
      </w:r>
      <w:r>
        <w:rPr>
          <w:spacing w:val="-8"/>
          <w:sz w:val="28"/>
        </w:rPr>
        <w:t> </w:t>
      </w:r>
      <w:r>
        <w:rPr>
          <w:sz w:val="28"/>
        </w:rPr>
        <w:t>or</w:t>
      </w:r>
      <w:r>
        <w:rPr>
          <w:spacing w:val="-8"/>
          <w:sz w:val="28"/>
        </w:rPr>
        <w:t> </w:t>
      </w:r>
      <w:r>
        <w:rPr>
          <w:sz w:val="28"/>
        </w:rPr>
        <w:t>judgments</w:t>
      </w:r>
      <w:r>
        <w:rPr>
          <w:spacing w:val="-8"/>
          <w:sz w:val="28"/>
        </w:rPr>
        <w:t> </w:t>
      </w:r>
      <w:r>
        <w:rPr>
          <w:sz w:val="28"/>
        </w:rPr>
        <w:t>based on cultural stereotypes. It also involves respecting privacy and confidentiality while being mindful of cultural norms around </w:t>
      </w:r>
      <w:r>
        <w:rPr>
          <w:spacing w:val="-2"/>
          <w:sz w:val="28"/>
        </w:rPr>
        <w:t>disclosure.</w:t>
      </w:r>
    </w:p>
    <w:p>
      <w:pPr>
        <w:pStyle w:val="BodyText"/>
        <w:spacing w:before="2"/>
        <w:rPr>
          <w:sz w:val="24"/>
        </w:rPr>
      </w:pPr>
    </w:p>
    <w:p>
      <w:pPr>
        <w:pStyle w:val="ListParagraph"/>
        <w:numPr>
          <w:ilvl w:val="0"/>
          <w:numId w:val="9"/>
        </w:numPr>
        <w:tabs>
          <w:tab w:pos="1218" w:val="left" w:leader="none"/>
        </w:tabs>
        <w:spacing w:line="232" w:lineRule="auto" w:before="0" w:after="0"/>
        <w:ind w:left="1218" w:right="537" w:hanging="459"/>
        <w:jc w:val="left"/>
        <w:rPr>
          <w:sz w:val="28"/>
        </w:rPr>
      </w:pPr>
      <w:r>
        <w:rPr>
          <w:b/>
          <w:sz w:val="28"/>
        </w:rPr>
        <w:t>Language and Communication Considerations: </w:t>
      </w:r>
      <w:r>
        <w:rPr>
          <w:sz w:val="28"/>
        </w:rPr>
        <w:t>Professionals should consider language barriers and provide interpreters or translated</w:t>
      </w:r>
      <w:r>
        <w:rPr>
          <w:spacing w:val="-13"/>
          <w:sz w:val="28"/>
        </w:rPr>
        <w:t> </w:t>
      </w:r>
      <w:r>
        <w:rPr>
          <w:sz w:val="28"/>
        </w:rPr>
        <w:t>materials</w:t>
      </w:r>
      <w:r>
        <w:rPr>
          <w:spacing w:val="-9"/>
          <w:sz w:val="28"/>
        </w:rPr>
        <w:t> </w:t>
      </w:r>
      <w:r>
        <w:rPr>
          <w:sz w:val="28"/>
        </w:rPr>
        <w:t>if</w:t>
      </w:r>
      <w:r>
        <w:rPr>
          <w:spacing w:val="-9"/>
          <w:sz w:val="28"/>
        </w:rPr>
        <w:t> </w:t>
      </w:r>
      <w:r>
        <w:rPr>
          <w:sz w:val="28"/>
        </w:rPr>
        <w:t>necessary.</w:t>
      </w:r>
      <w:r>
        <w:rPr>
          <w:spacing w:val="-18"/>
          <w:sz w:val="28"/>
        </w:rPr>
        <w:t> </w:t>
      </w:r>
      <w:r>
        <w:rPr>
          <w:sz w:val="28"/>
        </w:rPr>
        <w:t>Additionally,</w:t>
      </w:r>
      <w:r>
        <w:rPr>
          <w:spacing w:val="-8"/>
          <w:sz w:val="28"/>
        </w:rPr>
        <w:t> </w:t>
      </w:r>
      <w:r>
        <w:rPr>
          <w:sz w:val="28"/>
        </w:rPr>
        <w:t>they</w:t>
      </w:r>
      <w:r>
        <w:rPr>
          <w:spacing w:val="-9"/>
          <w:sz w:val="28"/>
        </w:rPr>
        <w:t> </w:t>
      </w:r>
      <w:r>
        <w:rPr>
          <w:sz w:val="28"/>
        </w:rPr>
        <w:t>should</w:t>
      </w:r>
      <w:r>
        <w:rPr>
          <w:spacing w:val="-9"/>
          <w:sz w:val="28"/>
        </w:rPr>
        <w:t> </w:t>
      </w:r>
      <w:r>
        <w:rPr>
          <w:sz w:val="28"/>
        </w:rPr>
        <w:t>be</w:t>
      </w:r>
      <w:r>
        <w:rPr>
          <w:spacing w:val="-10"/>
          <w:sz w:val="28"/>
        </w:rPr>
        <w:t> </w:t>
      </w:r>
      <w:r>
        <w:rPr>
          <w:sz w:val="28"/>
        </w:rPr>
        <w:t>aware</w:t>
      </w:r>
      <w:r>
        <w:rPr>
          <w:spacing w:val="-10"/>
          <w:sz w:val="28"/>
        </w:rPr>
        <w:t> </w:t>
      </w:r>
      <w:r>
        <w:rPr>
          <w:sz w:val="28"/>
        </w:rPr>
        <w:t>of cultural differences in communication styles and adapt their approach accordingly to facilitate effective and culturally sensitive </w:t>
      </w:r>
      <w:r>
        <w:rPr>
          <w:spacing w:val="-2"/>
          <w:sz w:val="28"/>
        </w:rPr>
        <w:t>communication.</w:t>
      </w:r>
    </w:p>
    <w:p>
      <w:pPr>
        <w:pStyle w:val="BodyText"/>
        <w:spacing w:before="4"/>
        <w:rPr>
          <w:sz w:val="25"/>
        </w:rPr>
      </w:pPr>
    </w:p>
    <w:p>
      <w:pPr>
        <w:pStyle w:val="ListParagraph"/>
        <w:numPr>
          <w:ilvl w:val="0"/>
          <w:numId w:val="9"/>
        </w:numPr>
        <w:tabs>
          <w:tab w:pos="1218" w:val="left" w:leader="none"/>
        </w:tabs>
        <w:spacing w:line="232" w:lineRule="auto" w:before="0" w:after="0"/>
        <w:ind w:left="1218" w:right="641" w:hanging="459"/>
        <w:jc w:val="left"/>
        <w:rPr>
          <w:sz w:val="28"/>
        </w:rPr>
      </w:pPr>
      <w:r>
        <w:rPr>
          <w:b/>
          <w:sz w:val="28"/>
        </w:rPr>
        <w:t>Continuous Education and Training: </w:t>
      </w:r>
      <w:r>
        <w:rPr>
          <w:sz w:val="28"/>
        </w:rPr>
        <w:t>Staying updated on research and</w:t>
      </w:r>
      <w:r>
        <w:rPr>
          <w:spacing w:val="-5"/>
          <w:sz w:val="28"/>
        </w:rPr>
        <w:t> </w:t>
      </w:r>
      <w:r>
        <w:rPr>
          <w:sz w:val="28"/>
        </w:rPr>
        <w:t>best</w:t>
      </w:r>
      <w:r>
        <w:rPr>
          <w:spacing w:val="-5"/>
          <w:sz w:val="28"/>
        </w:rPr>
        <w:t> </w:t>
      </w:r>
      <w:r>
        <w:rPr>
          <w:sz w:val="28"/>
        </w:rPr>
        <w:t>practices</w:t>
      </w:r>
      <w:r>
        <w:rPr>
          <w:spacing w:val="-5"/>
          <w:sz w:val="28"/>
        </w:rPr>
        <w:t> </w:t>
      </w:r>
      <w:r>
        <w:rPr>
          <w:sz w:val="28"/>
        </w:rPr>
        <w:t>related</w:t>
      </w:r>
      <w:r>
        <w:rPr>
          <w:spacing w:val="-5"/>
          <w:sz w:val="28"/>
        </w:rPr>
        <w:t> </w:t>
      </w:r>
      <w:r>
        <w:rPr>
          <w:sz w:val="28"/>
        </w:rPr>
        <w:t>to</w:t>
      </w:r>
      <w:r>
        <w:rPr>
          <w:spacing w:val="-5"/>
          <w:sz w:val="28"/>
        </w:rPr>
        <w:t> </w:t>
      </w:r>
      <w:r>
        <w:rPr>
          <w:sz w:val="28"/>
        </w:rPr>
        <w:t>sexual</w:t>
      </w:r>
      <w:r>
        <w:rPr>
          <w:spacing w:val="-5"/>
          <w:sz w:val="28"/>
        </w:rPr>
        <w:t> </w:t>
      </w:r>
      <w:r>
        <w:rPr>
          <w:sz w:val="28"/>
        </w:rPr>
        <w:t>disorders</w:t>
      </w:r>
      <w:r>
        <w:rPr>
          <w:spacing w:val="-5"/>
          <w:sz w:val="28"/>
        </w:rPr>
        <w:t> </w:t>
      </w:r>
      <w:r>
        <w:rPr>
          <w:sz w:val="28"/>
        </w:rPr>
        <w:t>and</w:t>
      </w:r>
      <w:r>
        <w:rPr>
          <w:spacing w:val="-5"/>
          <w:sz w:val="28"/>
        </w:rPr>
        <w:t> </w:t>
      </w:r>
      <w:r>
        <w:rPr>
          <w:sz w:val="28"/>
        </w:rPr>
        <w:t>cultural</w:t>
      </w:r>
      <w:r>
        <w:rPr>
          <w:spacing w:val="-5"/>
          <w:sz w:val="28"/>
        </w:rPr>
        <w:t> </w:t>
      </w:r>
      <w:r>
        <w:rPr>
          <w:sz w:val="28"/>
        </w:rPr>
        <w:t>competence is crucial. Mental health professionals should engage in ongoing education and training to enhance their knowledge and skills in providing culturally competent care.</w:t>
      </w:r>
    </w:p>
    <w:p>
      <w:pPr>
        <w:pStyle w:val="BodyText"/>
        <w:spacing w:before="7"/>
        <w:rPr>
          <w:sz w:val="27"/>
        </w:rPr>
      </w:pPr>
    </w:p>
    <w:p>
      <w:pPr>
        <w:pStyle w:val="BodyText"/>
        <w:ind w:left="280" w:right="502"/>
      </w:pPr>
      <w:r>
        <w:rPr/>
        <w:t>By utilizing these assessment tools and approaches, clinicians can better understand the cultural nuances of sexual disorders, respect individual diversity,</w:t>
      </w:r>
      <w:r>
        <w:rPr>
          <w:spacing w:val="-7"/>
        </w:rPr>
        <w:t> </w:t>
      </w:r>
      <w:r>
        <w:rPr/>
        <w:t>and</w:t>
      </w:r>
      <w:r>
        <w:rPr>
          <w:spacing w:val="-7"/>
        </w:rPr>
        <w:t> </w:t>
      </w:r>
      <w:r>
        <w:rPr/>
        <w:t>provide</w:t>
      </w:r>
      <w:r>
        <w:rPr>
          <w:spacing w:val="-8"/>
        </w:rPr>
        <w:t> </w:t>
      </w:r>
      <w:r>
        <w:rPr/>
        <w:t>more</w:t>
      </w:r>
      <w:r>
        <w:rPr>
          <w:spacing w:val="-8"/>
        </w:rPr>
        <w:t> </w:t>
      </w:r>
      <w:r>
        <w:rPr/>
        <w:t>effective</w:t>
      </w:r>
      <w:r>
        <w:rPr>
          <w:spacing w:val="-8"/>
        </w:rPr>
        <w:t> </w:t>
      </w:r>
      <w:r>
        <w:rPr/>
        <w:t>and</w:t>
      </w:r>
      <w:r>
        <w:rPr>
          <w:spacing w:val="-7"/>
        </w:rPr>
        <w:t> </w:t>
      </w:r>
      <w:r>
        <w:rPr/>
        <w:t>sensitive</w:t>
      </w:r>
      <w:r>
        <w:rPr>
          <w:spacing w:val="-8"/>
        </w:rPr>
        <w:t> </w:t>
      </w:r>
      <w:r>
        <w:rPr/>
        <w:t>treatment</w:t>
      </w:r>
      <w:r>
        <w:rPr>
          <w:spacing w:val="-7"/>
        </w:rPr>
        <w:t> </w:t>
      </w:r>
      <w:r>
        <w:rPr/>
        <w:t>interventions</w:t>
      </w:r>
      <w:r>
        <w:rPr>
          <w:spacing w:val="-7"/>
        </w:rPr>
        <w:t> </w:t>
      </w:r>
      <w:r>
        <w:rPr/>
        <w:t>that meet the unique needs of each individual.</w:t>
      </w:r>
    </w:p>
    <w:p>
      <w:pPr>
        <w:pStyle w:val="BodyText"/>
        <w:spacing w:before="2"/>
        <w:rPr>
          <w:sz w:val="36"/>
        </w:rPr>
      </w:pPr>
    </w:p>
    <w:p>
      <w:pPr>
        <w:pStyle w:val="Heading1"/>
        <w:numPr>
          <w:ilvl w:val="0"/>
          <w:numId w:val="3"/>
        </w:numPr>
        <w:tabs>
          <w:tab w:pos="640" w:val="left" w:leader="none"/>
        </w:tabs>
        <w:spacing w:line="240" w:lineRule="auto" w:before="0" w:after="0"/>
        <w:ind w:left="640" w:right="0" w:hanging="360"/>
        <w:jc w:val="left"/>
        <w:rPr>
          <w:color w:val="374151"/>
        </w:rPr>
      </w:pPr>
      <w:bookmarkStart w:name="_TOC_250006" w:id="4"/>
      <w:r>
        <w:rPr>
          <w:color w:val="374151"/>
          <w:shd w:fill="F7F7F8" w:color="auto" w:val="clear"/>
        </w:rPr>
        <w:t>Gender</w:t>
      </w:r>
      <w:r>
        <w:rPr>
          <w:color w:val="374151"/>
          <w:spacing w:val="-10"/>
          <w:shd w:fill="F7F7F8" w:color="auto" w:val="clear"/>
        </w:rPr>
        <w:t> </w:t>
      </w:r>
      <w:r>
        <w:rPr>
          <w:color w:val="374151"/>
          <w:shd w:fill="F7F7F8" w:color="auto" w:val="clear"/>
        </w:rPr>
        <w:t>Identity</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Gender</w:t>
      </w:r>
      <w:r>
        <w:rPr>
          <w:color w:val="374151"/>
          <w:spacing w:val="-9"/>
          <w:shd w:fill="F7F7F8" w:color="auto" w:val="clear"/>
        </w:rPr>
        <w:t> </w:t>
      </w:r>
      <w:bookmarkEnd w:id="4"/>
      <w:r>
        <w:rPr>
          <w:color w:val="374151"/>
          <w:spacing w:val="-2"/>
          <w:shd w:fill="F7F7F8" w:color="auto" w:val="clear"/>
        </w:rPr>
        <w:t>Dysphoria</w:t>
      </w:r>
    </w:p>
    <w:p>
      <w:pPr>
        <w:pStyle w:val="Heading2"/>
        <w:spacing w:before="282"/>
      </w:pPr>
      <w:r>
        <w:rPr/>
        <mc:AlternateContent>
          <mc:Choice Requires="wps">
            <w:drawing>
              <wp:anchor distT="0" distB="0" distL="0" distR="0" allowOverlap="1" layoutInCell="1" locked="0" behindDoc="1" simplePos="0" relativeHeight="487611904">
                <wp:simplePos x="0" y="0"/>
                <wp:positionH relativeFrom="page">
                  <wp:posOffset>1066800</wp:posOffset>
                </wp:positionH>
                <wp:positionV relativeFrom="paragraph">
                  <wp:posOffset>388463</wp:posOffset>
                </wp:positionV>
                <wp:extent cx="4707255" cy="787400"/>
                <wp:effectExtent l="0" t="0" r="0" b="0"/>
                <wp:wrapTopAndBottom/>
                <wp:docPr id="91" name="Group 91"/>
                <wp:cNvGraphicFramePr>
                  <a:graphicFrameLocks/>
                </wp:cNvGraphicFramePr>
                <a:graphic>
                  <a:graphicData uri="http://schemas.microsoft.com/office/word/2010/wordprocessingGroup">
                    <wpg:wgp>
                      <wpg:cNvPr id="91" name="Group 91"/>
                      <wpg:cNvGrpSpPr/>
                      <wpg:grpSpPr>
                        <a:xfrm>
                          <a:off x="0" y="0"/>
                          <a:ext cx="4707255" cy="787400"/>
                          <a:chExt cx="4707255" cy="787400"/>
                        </a:xfrm>
                      </wpg:grpSpPr>
                      <wps:wsp>
                        <wps:cNvPr id="92" name="Textbox 92"/>
                        <wps:cNvSpPr txBox="1"/>
                        <wps:spPr>
                          <a:xfrm>
                            <a:off x="0" y="393700"/>
                            <a:ext cx="96520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pacing w:val="-2"/>
                                  <w:sz w:val="28"/>
                                </w:rPr>
                                <w:t>Introduction</w:t>
                              </w:r>
                            </w:p>
                          </w:txbxContent>
                        </wps:txbx>
                        <wps:bodyPr wrap="square" lIns="0" tIns="0" rIns="0" bIns="0" rtlCol="0">
                          <a:noAutofit/>
                        </wps:bodyPr>
                      </wps:wsp>
                      <wps:wsp>
                        <wps:cNvPr id="93" name="Textbox 93"/>
                        <wps:cNvSpPr txBox="1"/>
                        <wps:spPr>
                          <a:xfrm>
                            <a:off x="0" y="0"/>
                            <a:ext cx="470725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Implications</w:t>
                              </w:r>
                              <w:r>
                                <w:rPr>
                                  <w:b/>
                                  <w:color w:val="374151"/>
                                  <w:spacing w:val="-6"/>
                                  <w:sz w:val="28"/>
                                </w:rPr>
                                <w:t> </w:t>
                              </w:r>
                              <w:r>
                                <w:rPr>
                                  <w:b/>
                                  <w:color w:val="374151"/>
                                  <w:sz w:val="28"/>
                                </w:rPr>
                                <w:t>for</w:t>
                              </w:r>
                              <w:r>
                                <w:rPr>
                                  <w:b/>
                                  <w:color w:val="374151"/>
                                  <w:spacing w:val="-10"/>
                                  <w:sz w:val="28"/>
                                </w:rPr>
                                <w:t> </w:t>
                              </w:r>
                              <w:r>
                                <w:rPr>
                                  <w:b/>
                                  <w:color w:val="374151"/>
                                  <w:sz w:val="28"/>
                                </w:rPr>
                                <w:t>Mental</w:t>
                              </w:r>
                              <w:r>
                                <w:rPr>
                                  <w:b/>
                                  <w:color w:val="374151"/>
                                  <w:spacing w:val="-4"/>
                                  <w:sz w:val="28"/>
                                </w:rPr>
                                <w:t> </w:t>
                              </w:r>
                              <w:r>
                                <w:rPr>
                                  <w:b/>
                                  <w:color w:val="374151"/>
                                  <w:sz w:val="28"/>
                                </w:rPr>
                                <w:t>Health</w:t>
                              </w:r>
                              <w:r>
                                <w:rPr>
                                  <w:b/>
                                  <w:color w:val="374151"/>
                                  <w:spacing w:val="-3"/>
                                  <w:sz w:val="28"/>
                                </w:rPr>
                                <w:t> </w:t>
                              </w:r>
                              <w:r>
                                <w:rPr>
                                  <w:b/>
                                  <w:color w:val="374151"/>
                                  <w:sz w:val="28"/>
                                </w:rPr>
                                <w:t>and</w:t>
                              </w:r>
                              <w:r>
                                <w:rPr>
                                  <w:b/>
                                  <w:color w:val="374151"/>
                                  <w:spacing w:val="-4"/>
                                  <w:sz w:val="28"/>
                                </w:rPr>
                                <w:t> </w:t>
                              </w:r>
                              <w:r>
                                <w:rPr>
                                  <w:b/>
                                  <w:color w:val="374151"/>
                                  <w:sz w:val="28"/>
                                </w:rPr>
                                <w:t>Social</w:t>
                              </w:r>
                              <w:r>
                                <w:rPr>
                                  <w:b/>
                                  <w:color w:val="374151"/>
                                  <w:spacing w:val="-10"/>
                                  <w:sz w:val="28"/>
                                </w:rPr>
                                <w:t> </w:t>
                              </w:r>
                              <w:r>
                                <w:rPr>
                                  <w:b/>
                                  <w:color w:val="374151"/>
                                  <w:sz w:val="28"/>
                                </w:rPr>
                                <w:t>Work</w:t>
                              </w:r>
                              <w:r>
                                <w:rPr>
                                  <w:b/>
                                  <w:color w:val="374151"/>
                                  <w:spacing w:val="-3"/>
                                  <w:sz w:val="28"/>
                                </w:rPr>
                                <w:t> </w:t>
                              </w:r>
                              <w:r>
                                <w:rPr>
                                  <w:b/>
                                  <w:color w:val="374151"/>
                                  <w:spacing w:val="-2"/>
                                  <w:sz w:val="28"/>
                                </w:rPr>
                                <w:t>Professionals</w:t>
                              </w:r>
                            </w:p>
                          </w:txbxContent>
                        </wps:txbx>
                        <wps:bodyPr wrap="square" lIns="0" tIns="0" rIns="0" bIns="0" rtlCol="0">
                          <a:noAutofit/>
                        </wps:bodyPr>
                      </wps:wsp>
                    </wpg:wgp>
                  </a:graphicData>
                </a:graphic>
              </wp:anchor>
            </w:drawing>
          </mc:Choice>
          <mc:Fallback>
            <w:pict>
              <v:group style="position:absolute;margin-left:84pt;margin-top:30.587683pt;width:370.65pt;height:62pt;mso-position-horizontal-relative:page;mso-position-vertical-relative:paragraph;z-index:-15704576;mso-wrap-distance-left:0;mso-wrap-distance-right:0" id="docshapegroup90" coordorigin="1680,612" coordsize="7413,1240">
                <v:shape style="position:absolute;left:1680;top:1231;width:1520;height:620" type="#_x0000_t202" id="docshape91" filled="true" fillcolor="#f7f7f8" stroked="false">
                  <v:textbox inset="0,0,0,0">
                    <w:txbxContent>
                      <w:p>
                        <w:pPr>
                          <w:spacing w:line="308" w:lineRule="exact" w:before="0"/>
                          <w:ind w:left="0" w:right="0" w:firstLine="0"/>
                          <w:jc w:val="left"/>
                          <w:rPr>
                            <w:b/>
                            <w:color w:val="000000"/>
                            <w:sz w:val="28"/>
                          </w:rPr>
                        </w:pPr>
                        <w:r>
                          <w:rPr>
                            <w:b/>
                            <w:color w:val="374151"/>
                            <w:spacing w:val="-2"/>
                            <w:sz w:val="28"/>
                          </w:rPr>
                          <w:t>Introduction</w:t>
                        </w:r>
                      </w:p>
                    </w:txbxContent>
                  </v:textbox>
                  <v:fill type="solid"/>
                  <w10:wrap type="none"/>
                </v:shape>
                <v:shape style="position:absolute;left:1680;top:611;width:7413;height:620" type="#_x0000_t202" id="docshape92" filled="true" fillcolor="#f7f7f8" stroked="false">
                  <v:textbox inset="0,0,0,0">
                    <w:txbxContent>
                      <w:p>
                        <w:pPr>
                          <w:spacing w:line="308" w:lineRule="exact" w:before="0"/>
                          <w:ind w:left="0" w:right="-15" w:firstLine="0"/>
                          <w:jc w:val="left"/>
                          <w:rPr>
                            <w:b/>
                            <w:color w:val="000000"/>
                            <w:sz w:val="28"/>
                          </w:rPr>
                        </w:pPr>
                        <w:r>
                          <w:rPr>
                            <w:b/>
                            <w:color w:val="374151"/>
                            <w:sz w:val="28"/>
                          </w:rPr>
                          <w:t>Implications</w:t>
                        </w:r>
                        <w:r>
                          <w:rPr>
                            <w:b/>
                            <w:color w:val="374151"/>
                            <w:spacing w:val="-6"/>
                            <w:sz w:val="28"/>
                          </w:rPr>
                          <w:t> </w:t>
                        </w:r>
                        <w:r>
                          <w:rPr>
                            <w:b/>
                            <w:color w:val="374151"/>
                            <w:sz w:val="28"/>
                          </w:rPr>
                          <w:t>for</w:t>
                        </w:r>
                        <w:r>
                          <w:rPr>
                            <w:b/>
                            <w:color w:val="374151"/>
                            <w:spacing w:val="-10"/>
                            <w:sz w:val="28"/>
                          </w:rPr>
                          <w:t> </w:t>
                        </w:r>
                        <w:r>
                          <w:rPr>
                            <w:b/>
                            <w:color w:val="374151"/>
                            <w:sz w:val="28"/>
                          </w:rPr>
                          <w:t>Mental</w:t>
                        </w:r>
                        <w:r>
                          <w:rPr>
                            <w:b/>
                            <w:color w:val="374151"/>
                            <w:spacing w:val="-4"/>
                            <w:sz w:val="28"/>
                          </w:rPr>
                          <w:t> </w:t>
                        </w:r>
                        <w:r>
                          <w:rPr>
                            <w:b/>
                            <w:color w:val="374151"/>
                            <w:sz w:val="28"/>
                          </w:rPr>
                          <w:t>Health</w:t>
                        </w:r>
                        <w:r>
                          <w:rPr>
                            <w:b/>
                            <w:color w:val="374151"/>
                            <w:spacing w:val="-3"/>
                            <w:sz w:val="28"/>
                          </w:rPr>
                          <w:t> </w:t>
                        </w:r>
                        <w:r>
                          <w:rPr>
                            <w:b/>
                            <w:color w:val="374151"/>
                            <w:sz w:val="28"/>
                          </w:rPr>
                          <w:t>and</w:t>
                        </w:r>
                        <w:r>
                          <w:rPr>
                            <w:b/>
                            <w:color w:val="374151"/>
                            <w:spacing w:val="-4"/>
                            <w:sz w:val="28"/>
                          </w:rPr>
                          <w:t> </w:t>
                        </w:r>
                        <w:r>
                          <w:rPr>
                            <w:b/>
                            <w:color w:val="374151"/>
                            <w:sz w:val="28"/>
                          </w:rPr>
                          <w:t>Social</w:t>
                        </w:r>
                        <w:r>
                          <w:rPr>
                            <w:b/>
                            <w:color w:val="374151"/>
                            <w:spacing w:val="-10"/>
                            <w:sz w:val="28"/>
                          </w:rPr>
                          <w:t> </w:t>
                        </w:r>
                        <w:r>
                          <w:rPr>
                            <w:b/>
                            <w:color w:val="374151"/>
                            <w:sz w:val="28"/>
                          </w:rPr>
                          <w:t>Work</w:t>
                        </w:r>
                        <w:r>
                          <w:rPr>
                            <w:b/>
                            <w:color w:val="374151"/>
                            <w:spacing w:val="-3"/>
                            <w:sz w:val="28"/>
                          </w:rPr>
                          <w:t> </w:t>
                        </w:r>
                        <w:r>
                          <w:rPr>
                            <w:b/>
                            <w:color w:val="374151"/>
                            <w:spacing w:val="-2"/>
                            <w:sz w:val="28"/>
                          </w:rPr>
                          <w:t>Professionals</w:t>
                        </w:r>
                      </w:p>
                    </w:txbxContent>
                  </v:textbox>
                  <v:fill type="solid"/>
                  <w10:wrap type="none"/>
                </v:shape>
                <w10:wrap type="topAndBottom"/>
              </v:group>
            </w:pict>
          </mc:Fallback>
        </mc:AlternateContent>
      </w:r>
      <w:r>
        <w:rPr>
          <w:color w:val="374151"/>
          <w:shd w:fill="F7F7F8" w:color="auto" w:val="clear"/>
        </w:rPr>
        <w:t>Exploring</w:t>
      </w:r>
      <w:r>
        <w:rPr>
          <w:color w:val="374151"/>
          <w:spacing w:val="-7"/>
          <w:shd w:fill="F7F7F8" w:color="auto" w:val="clear"/>
        </w:rPr>
        <w:t> </w:t>
      </w:r>
      <w:r>
        <w:rPr>
          <w:color w:val="374151"/>
          <w:shd w:fill="F7F7F8" w:color="auto" w:val="clear"/>
        </w:rPr>
        <w:t>Gender</w:t>
      </w:r>
      <w:r>
        <w:rPr>
          <w:color w:val="374151"/>
          <w:spacing w:val="-10"/>
          <w:shd w:fill="F7F7F8" w:color="auto" w:val="clear"/>
        </w:rPr>
        <w:t> </w:t>
      </w:r>
      <w:r>
        <w:rPr>
          <w:color w:val="374151"/>
          <w:shd w:fill="F7F7F8" w:color="auto" w:val="clear"/>
        </w:rPr>
        <w:t>Identity,</w:t>
      </w:r>
      <w:r>
        <w:rPr>
          <w:color w:val="374151"/>
          <w:spacing w:val="-4"/>
          <w:shd w:fill="F7F7F8" w:color="auto" w:val="clear"/>
        </w:rPr>
        <w:t> </w:t>
      </w:r>
      <w:r>
        <w:rPr>
          <w:color w:val="374151"/>
          <w:shd w:fill="F7F7F8" w:color="auto" w:val="clear"/>
        </w:rPr>
        <w:t>Gender</w:t>
      </w:r>
      <w:r>
        <w:rPr>
          <w:color w:val="374151"/>
          <w:spacing w:val="-10"/>
          <w:shd w:fill="F7F7F8" w:color="auto" w:val="clear"/>
        </w:rPr>
        <w:t> </w:t>
      </w:r>
      <w:r>
        <w:rPr>
          <w:color w:val="374151"/>
          <w:shd w:fill="F7F7F8" w:color="auto" w:val="clear"/>
        </w:rPr>
        <w:t>Dysphoria,</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DSM-</w:t>
      </w:r>
      <w:r>
        <w:rPr>
          <w:color w:val="374151"/>
          <w:spacing w:val="-5"/>
          <w:shd w:fill="F7F7F8" w:color="auto" w:val="clear"/>
        </w:rPr>
        <w:t>5:</w:t>
      </w:r>
      <w:r>
        <w:rPr>
          <w:color w:val="374151"/>
          <w:spacing w:val="40"/>
          <w:shd w:fill="F7F7F8" w:color="auto" w:val="clear"/>
        </w:rPr>
        <w:t> </w:t>
      </w:r>
    </w:p>
    <w:p>
      <w:pPr>
        <w:pStyle w:val="BodyText"/>
        <w:spacing w:line="237" w:lineRule="auto"/>
        <w:ind w:left="280" w:right="544"/>
      </w:pPr>
      <w:r>
        <w:rPr>
          <w:color w:val="374151"/>
          <w:shd w:fill="F7F7F8" w:color="auto" w:val="clear"/>
        </w:rPr>
        <w:t>In recent years, discussions surrounding gender identity and gender dysphoria </w:t>
      </w:r>
      <w:r>
        <w:rPr>
          <w:color w:val="374151"/>
        </w:rPr>
        <w:t> </w:t>
      </w:r>
      <w:r>
        <w:rPr>
          <w:color w:val="374151"/>
          <w:shd w:fill="F7F7F8" w:color="auto" w:val="clear"/>
        </w:rPr>
        <w:t>have gained significant attention in both academic and public arenas.</w:t>
      </w:r>
      <w:r>
        <w:rPr>
          <w:color w:val="374151"/>
          <w:spacing w:val="-11"/>
          <w:shd w:fill="F7F7F8" w:color="auto" w:val="clear"/>
        </w:rPr>
        <w:t> </w:t>
      </w:r>
      <w:r>
        <w:rPr>
          <w:color w:val="374151"/>
          <w:shd w:fill="F7F7F8" w:color="auto" w:val="clear"/>
        </w:rPr>
        <w:t>As </w:t>
      </w:r>
      <w:r>
        <w:rPr>
          <w:color w:val="374151"/>
        </w:rPr>
        <w:t> </w:t>
      </w:r>
      <w:r>
        <w:rPr>
          <w:color w:val="374151"/>
          <w:shd w:fill="F7F7F8" w:color="auto" w:val="clear"/>
        </w:rPr>
        <w:t>mental health and social work professionals play a crucial role in supporting </w:t>
      </w:r>
      <w:r>
        <w:rPr>
          <w:color w:val="374151"/>
        </w:rPr>
        <w:t> </w:t>
      </w:r>
      <w:r>
        <w:rPr>
          <w:color w:val="374151"/>
          <w:shd w:fill="F7F7F8" w:color="auto" w:val="clear"/>
        </w:rPr>
        <w:t>individuals</w:t>
      </w:r>
      <w:r>
        <w:rPr>
          <w:color w:val="374151"/>
          <w:spacing w:val="-5"/>
          <w:shd w:fill="F7F7F8" w:color="auto" w:val="clear"/>
        </w:rPr>
        <w:t> </w:t>
      </w:r>
      <w:r>
        <w:rPr>
          <w:color w:val="374151"/>
          <w:shd w:fill="F7F7F8" w:color="auto" w:val="clear"/>
        </w:rPr>
        <w:t>experiencing</w:t>
      </w:r>
      <w:r>
        <w:rPr>
          <w:color w:val="374151"/>
          <w:spacing w:val="-5"/>
          <w:shd w:fill="F7F7F8" w:color="auto" w:val="clear"/>
        </w:rPr>
        <w:t> </w:t>
      </w:r>
      <w:r>
        <w:rPr>
          <w:color w:val="374151"/>
          <w:shd w:fill="F7F7F8" w:color="auto" w:val="clear"/>
        </w:rPr>
        <w:t>gender-related</w:t>
      </w:r>
      <w:r>
        <w:rPr>
          <w:color w:val="374151"/>
          <w:spacing w:val="-5"/>
          <w:shd w:fill="F7F7F8" w:color="auto" w:val="clear"/>
        </w:rPr>
        <w:t> </w:t>
      </w:r>
      <w:r>
        <w:rPr>
          <w:color w:val="374151"/>
          <w:shd w:fill="F7F7F8" w:color="auto" w:val="clear"/>
        </w:rPr>
        <w:t>challenges,</w:t>
      </w:r>
      <w:r>
        <w:rPr>
          <w:color w:val="374151"/>
          <w:spacing w:val="-5"/>
          <w:shd w:fill="F7F7F8" w:color="auto" w:val="clear"/>
        </w:rPr>
        <w:t> </w:t>
      </w:r>
      <w:r>
        <w:rPr>
          <w:color w:val="374151"/>
          <w:shd w:fill="F7F7F8" w:color="auto" w:val="clear"/>
        </w:rPr>
        <w:t>it</w:t>
      </w:r>
      <w:r>
        <w:rPr>
          <w:color w:val="374151"/>
          <w:spacing w:val="-5"/>
          <w:shd w:fill="F7F7F8" w:color="auto" w:val="clear"/>
        </w:rPr>
        <w:t> </w:t>
      </w:r>
      <w:r>
        <w:rPr>
          <w:color w:val="374151"/>
          <w:shd w:fill="F7F7F8" w:color="auto" w:val="clear"/>
        </w:rPr>
        <w:t>is</w:t>
      </w:r>
      <w:r>
        <w:rPr>
          <w:color w:val="374151"/>
          <w:spacing w:val="-5"/>
          <w:shd w:fill="F7F7F8" w:color="auto" w:val="clear"/>
        </w:rPr>
        <w:t> </w:t>
      </w:r>
      <w:r>
        <w:rPr>
          <w:color w:val="374151"/>
          <w:shd w:fill="F7F7F8" w:color="auto" w:val="clear"/>
        </w:rPr>
        <w:t>vital</w:t>
      </w:r>
      <w:r>
        <w:rPr>
          <w:color w:val="374151"/>
          <w:spacing w:val="-5"/>
          <w:shd w:fill="F7F7F8" w:color="auto" w:val="clear"/>
        </w:rPr>
        <w:t> </w:t>
      </w:r>
      <w:r>
        <w:rPr>
          <w:color w:val="374151"/>
          <w:shd w:fill="F7F7F8" w:color="auto" w:val="clear"/>
        </w:rPr>
        <w:t>to</w:t>
      </w:r>
      <w:r>
        <w:rPr>
          <w:color w:val="374151"/>
          <w:spacing w:val="-5"/>
          <w:shd w:fill="F7F7F8" w:color="auto" w:val="clear"/>
        </w:rPr>
        <w:t> </w:t>
      </w:r>
      <w:r>
        <w:rPr>
          <w:color w:val="374151"/>
          <w:shd w:fill="F7F7F8" w:color="auto" w:val="clear"/>
        </w:rPr>
        <w:t>understand</w:t>
      </w:r>
      <w:r>
        <w:rPr>
          <w:color w:val="374151"/>
          <w:spacing w:val="-5"/>
          <w:shd w:fill="F7F7F8" w:color="auto" w:val="clear"/>
        </w:rPr>
        <w:t> </w:t>
      </w:r>
      <w:r>
        <w:rPr>
          <w:color w:val="374151"/>
          <w:shd w:fill="F7F7F8" w:color="auto" w:val="clear"/>
        </w:rPr>
        <w:t>the</w:t>
      </w:r>
      <w:r>
        <w:rPr>
          <w:color w:val="374151"/>
          <w:spacing w:val="-8"/>
          <w:shd w:fill="F7F7F8" w:color="auto" w:val="clear"/>
        </w:rPr>
        <w:t> </w:t>
      </w:r>
      <w:r>
        <w:rPr>
          <w:color w:val="374151"/>
          <w:spacing w:val="-8"/>
        </w:rPr>
        <w:t> </w:t>
      </w:r>
      <w:r>
        <w:rPr>
          <w:color w:val="374151"/>
          <w:shd w:fill="F7F7F8" w:color="auto" w:val="clear"/>
        </w:rPr>
        <w:t>complexities of gender identity, the diagnostic criteria for gender dysphoria as </w:t>
      </w:r>
      <w:r>
        <w:rPr>
          <w:color w:val="374151"/>
        </w:rPr>
        <w:t> </w:t>
      </w:r>
      <w:r>
        <w:rPr>
          <w:color w:val="374151"/>
          <w:shd w:fill="F7F7F8" w:color="auto" w:val="clear"/>
        </w:rPr>
        <w:t>outlined in the DSM-5, and the associated risks, such as suicidality.</w:t>
      </w:r>
      <w:r>
        <w:rPr>
          <w:color w:val="374151"/>
          <w:spacing w:val="-2"/>
          <w:shd w:fill="F7F7F8" w:color="auto" w:val="clear"/>
        </w:rPr>
        <w:t> </w:t>
      </w:r>
      <w:r>
        <w:rPr>
          <w:color w:val="374151"/>
          <w:shd w:fill="F7F7F8" w:color="auto" w:val="clear"/>
        </w:rPr>
        <w:t>This </w:t>
      </w:r>
      <w:r>
        <w:rPr>
          <w:color w:val="374151"/>
        </w:rPr>
        <w:t> </w:t>
      </w:r>
      <w:r>
        <w:rPr>
          <w:color w:val="374151"/>
          <w:shd w:fill="F7F7F8" w:color="auto" w:val="clear"/>
        </w:rPr>
        <w:t>section aims to provide an overview of these topics, equipping professionals</w:t>
      </w:r>
      <w:r>
        <w:rPr>
          <w:color w:val="374151"/>
          <w:spacing w:val="40"/>
          <w:shd w:fill="F7F7F8" w:color="auto" w:val="clear"/>
        </w:rPr>
        <w:t> </w:t>
      </w:r>
    </w:p>
    <w:p>
      <w:pPr>
        <w:spacing w:after="0" w:line="237" w:lineRule="auto"/>
        <w:sectPr>
          <w:pgSz w:w="12240" w:h="15840"/>
          <w:pgMar w:header="0" w:footer="765" w:top="124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12416">
                <wp:simplePos x="0" y="0"/>
                <wp:positionH relativeFrom="page">
                  <wp:posOffset>1066800</wp:posOffset>
                </wp:positionH>
                <wp:positionV relativeFrom="paragraph">
                  <wp:posOffset>251357</wp:posOffset>
                </wp:positionV>
                <wp:extent cx="3397885" cy="787400"/>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3397885" cy="787400"/>
                          <a:chExt cx="3397885" cy="787400"/>
                        </a:xfrm>
                      </wpg:grpSpPr>
                      <wps:wsp>
                        <wps:cNvPr id="95" name="Textbox 95"/>
                        <wps:cNvSpPr txBox="1"/>
                        <wps:spPr>
                          <a:xfrm>
                            <a:off x="0" y="393700"/>
                            <a:ext cx="239776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Understanding</w:t>
                              </w:r>
                              <w:r>
                                <w:rPr>
                                  <w:b/>
                                  <w:color w:val="374151"/>
                                  <w:spacing w:val="-6"/>
                                  <w:sz w:val="28"/>
                                </w:rPr>
                                <w:t> </w:t>
                              </w:r>
                              <w:r>
                                <w:rPr>
                                  <w:b/>
                                  <w:color w:val="374151"/>
                                  <w:sz w:val="28"/>
                                </w:rPr>
                                <w:t>Gender</w:t>
                              </w:r>
                              <w:r>
                                <w:rPr>
                                  <w:b/>
                                  <w:color w:val="374151"/>
                                  <w:spacing w:val="-8"/>
                                  <w:sz w:val="28"/>
                                </w:rPr>
                                <w:t> </w:t>
                              </w:r>
                              <w:r>
                                <w:rPr>
                                  <w:b/>
                                  <w:color w:val="374151"/>
                                  <w:spacing w:val="-2"/>
                                  <w:sz w:val="28"/>
                                </w:rPr>
                                <w:t>Identity</w:t>
                              </w:r>
                            </w:p>
                          </w:txbxContent>
                        </wps:txbx>
                        <wps:bodyPr wrap="square" lIns="0" tIns="0" rIns="0" bIns="0" rtlCol="0">
                          <a:noAutofit/>
                        </wps:bodyPr>
                      </wps:wsp>
                      <wps:wsp>
                        <wps:cNvPr id="96" name="Textbox 96"/>
                        <wps:cNvSpPr txBox="1"/>
                        <wps:spPr>
                          <a:xfrm>
                            <a:off x="0" y="0"/>
                            <a:ext cx="339788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to</w:t>
                              </w:r>
                              <w:r>
                                <w:rPr>
                                  <w:color w:val="374151"/>
                                  <w:spacing w:val="-2"/>
                                  <w:sz w:val="28"/>
                                </w:rPr>
                                <w:t> </w:t>
                              </w:r>
                              <w:r>
                                <w:rPr>
                                  <w:color w:val="374151"/>
                                  <w:sz w:val="28"/>
                                </w:rPr>
                                <w:t>individuals</w:t>
                              </w:r>
                              <w:r>
                                <w:rPr>
                                  <w:color w:val="374151"/>
                                  <w:spacing w:val="-1"/>
                                  <w:sz w:val="28"/>
                                </w:rPr>
                                <w:t> </w:t>
                              </w:r>
                              <w:r>
                                <w:rPr>
                                  <w:color w:val="374151"/>
                                  <w:sz w:val="28"/>
                                </w:rPr>
                                <w:t>navigating</w:t>
                              </w:r>
                              <w:r>
                                <w:rPr>
                                  <w:color w:val="374151"/>
                                  <w:spacing w:val="-1"/>
                                  <w:sz w:val="28"/>
                                </w:rPr>
                                <w:t> </w:t>
                              </w:r>
                              <w:r>
                                <w:rPr>
                                  <w:color w:val="374151"/>
                                  <w:sz w:val="28"/>
                                </w:rPr>
                                <w:t>gender</w:t>
                              </w:r>
                              <w:r>
                                <w:rPr>
                                  <w:color w:val="374151"/>
                                  <w:spacing w:val="-1"/>
                                  <w:sz w:val="28"/>
                                </w:rPr>
                                <w:t> </w:t>
                              </w:r>
                              <w:r>
                                <w:rPr>
                                  <w:color w:val="374151"/>
                                  <w:sz w:val="28"/>
                                </w:rPr>
                                <w:t>identity</w:t>
                              </w:r>
                              <w:r>
                                <w:rPr>
                                  <w:color w:val="374151"/>
                                  <w:spacing w:val="-1"/>
                                  <w:sz w:val="28"/>
                                </w:rPr>
                                <w:t> </w:t>
                              </w:r>
                              <w:r>
                                <w:rPr>
                                  <w:color w:val="374151"/>
                                  <w:spacing w:val="-2"/>
                                  <w:sz w:val="28"/>
                                </w:rPr>
                                <w:t>issues.</w:t>
                              </w:r>
                            </w:p>
                          </w:txbxContent>
                        </wps:txbx>
                        <wps:bodyPr wrap="square" lIns="0" tIns="0" rIns="0" bIns="0" rtlCol="0">
                          <a:noAutofit/>
                        </wps:bodyPr>
                      </wps:wsp>
                    </wpg:wgp>
                  </a:graphicData>
                </a:graphic>
              </wp:anchor>
            </w:drawing>
          </mc:Choice>
          <mc:Fallback>
            <w:pict>
              <v:group style="position:absolute;margin-left:84pt;margin-top:19.791931pt;width:267.55pt;height:62pt;mso-position-horizontal-relative:page;mso-position-vertical-relative:paragraph;z-index:-15704064;mso-wrap-distance-left:0;mso-wrap-distance-right:0" id="docshapegroup93" coordorigin="1680,396" coordsize="5351,1240">
                <v:shape style="position:absolute;left:1680;top:1015;width:3776;height:620" type="#_x0000_t202" id="docshape94" filled="true" fillcolor="#f7f7f8" stroked="false">
                  <v:textbox inset="0,0,0,0">
                    <w:txbxContent>
                      <w:p>
                        <w:pPr>
                          <w:spacing w:line="308" w:lineRule="exact" w:before="0"/>
                          <w:ind w:left="0" w:right="-15" w:firstLine="0"/>
                          <w:jc w:val="left"/>
                          <w:rPr>
                            <w:b/>
                            <w:color w:val="000000"/>
                            <w:sz w:val="28"/>
                          </w:rPr>
                        </w:pPr>
                        <w:r>
                          <w:rPr>
                            <w:b/>
                            <w:color w:val="374151"/>
                            <w:sz w:val="28"/>
                          </w:rPr>
                          <w:t>Understanding</w:t>
                        </w:r>
                        <w:r>
                          <w:rPr>
                            <w:b/>
                            <w:color w:val="374151"/>
                            <w:spacing w:val="-6"/>
                            <w:sz w:val="28"/>
                          </w:rPr>
                          <w:t> </w:t>
                        </w:r>
                        <w:r>
                          <w:rPr>
                            <w:b/>
                            <w:color w:val="374151"/>
                            <w:sz w:val="28"/>
                          </w:rPr>
                          <w:t>Gender</w:t>
                        </w:r>
                        <w:r>
                          <w:rPr>
                            <w:b/>
                            <w:color w:val="374151"/>
                            <w:spacing w:val="-8"/>
                            <w:sz w:val="28"/>
                          </w:rPr>
                          <w:t> </w:t>
                        </w:r>
                        <w:r>
                          <w:rPr>
                            <w:b/>
                            <w:color w:val="374151"/>
                            <w:spacing w:val="-2"/>
                            <w:sz w:val="28"/>
                          </w:rPr>
                          <w:t>Identity</w:t>
                        </w:r>
                      </w:p>
                    </w:txbxContent>
                  </v:textbox>
                  <v:fill type="solid"/>
                  <w10:wrap type="none"/>
                </v:shape>
                <v:shape style="position:absolute;left:1680;top:395;width:5351;height:620" type="#_x0000_t202" id="docshape95" filled="true" fillcolor="#f7f7f8" stroked="false">
                  <v:textbox inset="0,0,0,0">
                    <w:txbxContent>
                      <w:p>
                        <w:pPr>
                          <w:spacing w:line="308" w:lineRule="exact" w:before="0"/>
                          <w:ind w:left="0" w:right="-15" w:firstLine="0"/>
                          <w:jc w:val="left"/>
                          <w:rPr>
                            <w:color w:val="000000"/>
                            <w:sz w:val="28"/>
                          </w:rPr>
                        </w:pPr>
                        <w:r>
                          <w:rPr>
                            <w:color w:val="374151"/>
                            <w:sz w:val="28"/>
                          </w:rPr>
                          <w:t>to</w:t>
                        </w:r>
                        <w:r>
                          <w:rPr>
                            <w:color w:val="374151"/>
                            <w:spacing w:val="-2"/>
                            <w:sz w:val="28"/>
                          </w:rPr>
                          <w:t> </w:t>
                        </w:r>
                        <w:r>
                          <w:rPr>
                            <w:color w:val="374151"/>
                            <w:sz w:val="28"/>
                          </w:rPr>
                          <w:t>individuals</w:t>
                        </w:r>
                        <w:r>
                          <w:rPr>
                            <w:color w:val="374151"/>
                            <w:spacing w:val="-1"/>
                            <w:sz w:val="28"/>
                          </w:rPr>
                          <w:t> </w:t>
                        </w:r>
                        <w:r>
                          <w:rPr>
                            <w:color w:val="374151"/>
                            <w:sz w:val="28"/>
                          </w:rPr>
                          <w:t>navigating</w:t>
                        </w:r>
                        <w:r>
                          <w:rPr>
                            <w:color w:val="374151"/>
                            <w:spacing w:val="-1"/>
                            <w:sz w:val="28"/>
                          </w:rPr>
                          <w:t> </w:t>
                        </w:r>
                        <w:r>
                          <w:rPr>
                            <w:color w:val="374151"/>
                            <w:sz w:val="28"/>
                          </w:rPr>
                          <w:t>gender</w:t>
                        </w:r>
                        <w:r>
                          <w:rPr>
                            <w:color w:val="374151"/>
                            <w:spacing w:val="-1"/>
                            <w:sz w:val="28"/>
                          </w:rPr>
                          <w:t> </w:t>
                        </w:r>
                        <w:r>
                          <w:rPr>
                            <w:color w:val="374151"/>
                            <w:sz w:val="28"/>
                          </w:rPr>
                          <w:t>identity</w:t>
                        </w:r>
                        <w:r>
                          <w:rPr>
                            <w:color w:val="374151"/>
                            <w:spacing w:val="-1"/>
                            <w:sz w:val="28"/>
                          </w:rPr>
                          <w:t> </w:t>
                        </w:r>
                        <w:r>
                          <w:rPr>
                            <w:color w:val="374151"/>
                            <w:spacing w:val="-2"/>
                            <w:sz w:val="28"/>
                          </w:rPr>
                          <w:t>issues.</w:t>
                        </w:r>
                      </w:p>
                    </w:txbxContent>
                  </v:textbox>
                  <v:fill type="solid"/>
                  <w10:wrap type="none"/>
                </v:shape>
                <w10:wrap type="topAndBottom"/>
              </v:group>
            </w:pict>
          </mc:Fallback>
        </mc:AlternateContent>
      </w:r>
      <w:r>
        <w:rPr>
          <w:color w:val="374151"/>
          <w:shd w:fill="F7F7F8" w:color="auto" w:val="clear"/>
        </w:rPr>
        <w:t>with</w:t>
      </w:r>
      <w:r>
        <w:rPr>
          <w:color w:val="374151"/>
          <w:spacing w:val="-6"/>
          <w:shd w:fill="F7F7F8" w:color="auto" w:val="clear"/>
        </w:rPr>
        <w:t> </w:t>
      </w:r>
      <w:r>
        <w:rPr>
          <w:color w:val="374151"/>
          <w:shd w:fill="F7F7F8" w:color="auto" w:val="clear"/>
        </w:rPr>
        <w:t>essential</w:t>
      </w:r>
      <w:r>
        <w:rPr>
          <w:color w:val="374151"/>
          <w:spacing w:val="-3"/>
          <w:shd w:fill="F7F7F8" w:color="auto" w:val="clear"/>
        </w:rPr>
        <w:t> </w:t>
      </w:r>
      <w:r>
        <w:rPr>
          <w:color w:val="374151"/>
          <w:shd w:fill="F7F7F8" w:color="auto" w:val="clear"/>
        </w:rPr>
        <w:t>knowledge</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resources</w:t>
      </w:r>
      <w:r>
        <w:rPr>
          <w:color w:val="374151"/>
          <w:spacing w:val="-4"/>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offer</w:t>
      </w:r>
      <w:r>
        <w:rPr>
          <w:color w:val="374151"/>
          <w:spacing w:val="-3"/>
          <w:shd w:fill="F7F7F8" w:color="auto" w:val="clear"/>
        </w:rPr>
        <w:t> </w:t>
      </w:r>
      <w:r>
        <w:rPr>
          <w:color w:val="374151"/>
          <w:shd w:fill="F7F7F8" w:color="auto" w:val="clear"/>
        </w:rPr>
        <w:t>effective</w:t>
      </w:r>
      <w:r>
        <w:rPr>
          <w:color w:val="374151"/>
          <w:spacing w:val="-4"/>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sensitive</w:t>
      </w:r>
      <w:r>
        <w:rPr>
          <w:color w:val="374151"/>
          <w:spacing w:val="-3"/>
          <w:shd w:fill="F7F7F8" w:color="auto" w:val="clear"/>
        </w:rPr>
        <w:t> </w:t>
      </w:r>
      <w:r>
        <w:rPr>
          <w:color w:val="374151"/>
          <w:spacing w:val="-2"/>
          <w:shd w:fill="F7F7F8" w:color="auto" w:val="clear"/>
        </w:rPr>
        <w:t>support</w:t>
      </w:r>
      <w:r>
        <w:rPr>
          <w:color w:val="374151"/>
          <w:spacing w:val="40"/>
          <w:shd w:fill="F7F7F8" w:color="auto" w:val="clear"/>
        </w:rPr>
        <w:t> </w:t>
      </w:r>
    </w:p>
    <w:p>
      <w:pPr>
        <w:pStyle w:val="BodyText"/>
        <w:spacing w:line="237" w:lineRule="auto" w:after="12"/>
        <w:ind w:left="280" w:right="502"/>
      </w:pPr>
      <w:r>
        <w:rPr>
          <w:color w:val="374151"/>
          <w:shd w:fill="F7F7F8" w:color="auto" w:val="clear"/>
        </w:rPr>
        <w:t>Gender identity refers to an individual's deeply-felt sense of being male, </w:t>
      </w:r>
      <w:r>
        <w:rPr>
          <w:color w:val="374151"/>
        </w:rPr>
        <w:t> </w:t>
      </w:r>
      <w:r>
        <w:rPr>
          <w:color w:val="374151"/>
          <w:shd w:fill="F7F7F8" w:color="auto" w:val="clear"/>
        </w:rPr>
        <w:t>female, or non-binary, which may or may not align with the sex assigned at </w:t>
      </w:r>
      <w:r>
        <w:rPr>
          <w:color w:val="374151"/>
        </w:rPr>
        <w:t> </w:t>
      </w:r>
      <w:r>
        <w:rPr>
          <w:color w:val="374151"/>
          <w:shd w:fill="F7F7F8" w:color="auto" w:val="clear"/>
        </w:rPr>
        <w:t>birth. It is essential to recognize that gender identity exists on a spectrum, and </w:t>
      </w:r>
      <w:r>
        <w:rPr>
          <w:color w:val="374151"/>
        </w:rPr>
        <w:t> </w:t>
      </w:r>
      <w:r>
        <w:rPr>
          <w:color w:val="374151"/>
          <w:shd w:fill="F7F7F8" w:color="auto" w:val="clear"/>
        </w:rPr>
        <w:t>individuals may identify beyond traditional male or female categories. Mental </w:t>
      </w:r>
      <w:r>
        <w:rPr>
          <w:color w:val="374151"/>
        </w:rPr>
        <w:t> </w:t>
      </w:r>
      <w:r>
        <w:rPr>
          <w:color w:val="374151"/>
          <w:shd w:fill="F7F7F8" w:color="auto" w:val="clear"/>
        </w:rPr>
        <w:t>health professionals should approach gender identity with respect and </w:t>
      </w:r>
      <w:r>
        <w:rPr>
          <w:color w:val="374151"/>
        </w:rPr>
        <w:t> </w:t>
      </w:r>
      <w:r>
        <w:rPr>
          <w:color w:val="374151"/>
          <w:shd w:fill="F7F7F8" w:color="auto" w:val="clear"/>
        </w:rPr>
        <w:t>acknowledge the self-determination and courage of individuals seeking mental</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1404620" cy="787400"/>
                <wp:effectExtent l="0" t="0" r="0" b="3175"/>
                <wp:docPr id="97" name="Group 97"/>
                <wp:cNvGraphicFramePr>
                  <a:graphicFrameLocks/>
                </wp:cNvGraphicFramePr>
                <a:graphic>
                  <a:graphicData uri="http://schemas.microsoft.com/office/word/2010/wordprocessingGroup">
                    <wpg:wgp>
                      <wpg:cNvPr id="97" name="Group 97"/>
                      <wpg:cNvGrpSpPr/>
                      <wpg:grpSpPr>
                        <a:xfrm>
                          <a:off x="0" y="0"/>
                          <a:ext cx="1404620" cy="787400"/>
                          <a:chExt cx="1404620" cy="787400"/>
                        </a:xfrm>
                      </wpg:grpSpPr>
                      <wps:wsp>
                        <wps:cNvPr id="98" name="Textbox 98"/>
                        <wps:cNvSpPr txBox="1"/>
                        <wps:spPr>
                          <a:xfrm>
                            <a:off x="0" y="393700"/>
                            <a:ext cx="140462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Gender</w:t>
                              </w:r>
                              <w:r>
                                <w:rPr>
                                  <w:b/>
                                  <w:color w:val="374151"/>
                                  <w:spacing w:val="-8"/>
                                  <w:sz w:val="28"/>
                                </w:rPr>
                                <w:t> </w:t>
                              </w:r>
                              <w:r>
                                <w:rPr>
                                  <w:b/>
                                  <w:color w:val="374151"/>
                                  <w:spacing w:val="-2"/>
                                  <w:sz w:val="28"/>
                                </w:rPr>
                                <w:t>Dysphoria</w:t>
                              </w:r>
                            </w:p>
                          </w:txbxContent>
                        </wps:txbx>
                        <wps:bodyPr wrap="square" lIns="0" tIns="0" rIns="0" bIns="0" rtlCol="0">
                          <a:noAutofit/>
                        </wps:bodyPr>
                      </wps:wsp>
                      <wps:wsp>
                        <wps:cNvPr id="99" name="Textbox 99"/>
                        <wps:cNvSpPr txBox="1"/>
                        <wps:spPr>
                          <a:xfrm>
                            <a:off x="0" y="0"/>
                            <a:ext cx="119507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health</w:t>
                              </w:r>
                              <w:r>
                                <w:rPr>
                                  <w:color w:val="374151"/>
                                  <w:spacing w:val="-2"/>
                                  <w:sz w:val="28"/>
                                </w:rPr>
                                <w:t> treatment.</w:t>
                              </w:r>
                            </w:p>
                          </w:txbxContent>
                        </wps:txbx>
                        <wps:bodyPr wrap="square" lIns="0" tIns="0" rIns="0" bIns="0" rtlCol="0">
                          <a:noAutofit/>
                        </wps:bodyPr>
                      </wps:wsp>
                    </wpg:wgp>
                  </a:graphicData>
                </a:graphic>
              </wp:inline>
            </w:drawing>
          </mc:Choice>
          <mc:Fallback>
            <w:pict>
              <v:group style="width:110.6pt;height:62pt;mso-position-horizontal-relative:char;mso-position-vertical-relative:line" id="docshapegroup96" coordorigin="0,0" coordsize="2212,1240">
                <v:shape style="position:absolute;left:0;top:620;width:2212;height:620" type="#_x0000_t202" id="docshape97" filled="true" fillcolor="#f7f7f8" stroked="false">
                  <v:textbox inset="0,0,0,0">
                    <w:txbxContent>
                      <w:p>
                        <w:pPr>
                          <w:spacing w:line="308" w:lineRule="exact" w:before="0"/>
                          <w:ind w:left="0" w:right="-15" w:firstLine="0"/>
                          <w:jc w:val="left"/>
                          <w:rPr>
                            <w:b/>
                            <w:color w:val="000000"/>
                            <w:sz w:val="28"/>
                          </w:rPr>
                        </w:pPr>
                        <w:r>
                          <w:rPr>
                            <w:b/>
                            <w:color w:val="374151"/>
                            <w:sz w:val="28"/>
                          </w:rPr>
                          <w:t>Gender</w:t>
                        </w:r>
                        <w:r>
                          <w:rPr>
                            <w:b/>
                            <w:color w:val="374151"/>
                            <w:spacing w:val="-8"/>
                            <w:sz w:val="28"/>
                          </w:rPr>
                          <w:t> </w:t>
                        </w:r>
                        <w:r>
                          <w:rPr>
                            <w:b/>
                            <w:color w:val="374151"/>
                            <w:spacing w:val="-2"/>
                            <w:sz w:val="28"/>
                          </w:rPr>
                          <w:t>Dysphoria</w:t>
                        </w:r>
                      </w:p>
                    </w:txbxContent>
                  </v:textbox>
                  <v:fill type="solid"/>
                  <w10:wrap type="none"/>
                </v:shape>
                <v:shape style="position:absolute;left:0;top:0;width:1882;height:620" type="#_x0000_t202" id="docshape98" filled="true" fillcolor="#f7f7f8" stroked="false">
                  <v:textbox inset="0,0,0,0">
                    <w:txbxContent>
                      <w:p>
                        <w:pPr>
                          <w:spacing w:line="308" w:lineRule="exact" w:before="0"/>
                          <w:ind w:left="0" w:right="-15" w:firstLine="0"/>
                          <w:jc w:val="left"/>
                          <w:rPr>
                            <w:color w:val="000000"/>
                            <w:sz w:val="28"/>
                          </w:rPr>
                        </w:pPr>
                        <w:r>
                          <w:rPr>
                            <w:color w:val="374151"/>
                            <w:sz w:val="28"/>
                          </w:rPr>
                          <w:t>health</w:t>
                        </w:r>
                        <w:r>
                          <w:rPr>
                            <w:color w:val="374151"/>
                            <w:spacing w:val="-2"/>
                            <w:sz w:val="28"/>
                          </w:rPr>
                          <w:t> treatment.</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Gender</w:t>
      </w:r>
      <w:r>
        <w:rPr>
          <w:color w:val="374151"/>
          <w:spacing w:val="-2"/>
          <w:shd w:fill="F7F7F8" w:color="auto" w:val="clear"/>
        </w:rPr>
        <w:t> </w:t>
      </w:r>
      <w:r>
        <w:rPr>
          <w:color w:val="374151"/>
          <w:shd w:fill="F7F7F8" w:color="auto" w:val="clear"/>
        </w:rPr>
        <w:t>dysphoria</w:t>
      </w:r>
      <w:r>
        <w:rPr>
          <w:color w:val="374151"/>
          <w:spacing w:val="-3"/>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psychological</w:t>
      </w:r>
      <w:r>
        <w:rPr>
          <w:color w:val="374151"/>
          <w:spacing w:val="-2"/>
          <w:shd w:fill="F7F7F8" w:color="auto" w:val="clear"/>
        </w:rPr>
        <w:t> </w:t>
      </w:r>
      <w:r>
        <w:rPr>
          <w:color w:val="374151"/>
          <w:shd w:fill="F7F7F8" w:color="auto" w:val="clear"/>
        </w:rPr>
        <w:t>distress</w:t>
      </w:r>
      <w:r>
        <w:rPr>
          <w:color w:val="374151"/>
          <w:spacing w:val="-1"/>
          <w:shd w:fill="F7F7F8" w:color="auto" w:val="clear"/>
        </w:rPr>
        <w:t> </w:t>
      </w:r>
      <w:r>
        <w:rPr>
          <w:color w:val="374151"/>
          <w:shd w:fill="F7F7F8" w:color="auto" w:val="clear"/>
        </w:rPr>
        <w:t>experienced</w:t>
      </w:r>
      <w:r>
        <w:rPr>
          <w:color w:val="374151"/>
          <w:spacing w:val="-2"/>
          <w:shd w:fill="F7F7F8" w:color="auto" w:val="clear"/>
        </w:rPr>
        <w:t> </w:t>
      </w:r>
      <w:r>
        <w:rPr>
          <w:color w:val="374151"/>
          <w:shd w:fill="F7F7F8" w:color="auto" w:val="clear"/>
        </w:rPr>
        <w:t>by</w:t>
      </w:r>
      <w:r>
        <w:rPr>
          <w:color w:val="374151"/>
          <w:spacing w:val="-2"/>
          <w:shd w:fill="F7F7F8" w:color="auto" w:val="clear"/>
        </w:rPr>
        <w:t> </w:t>
      </w:r>
      <w:r>
        <w:rPr>
          <w:color w:val="374151"/>
          <w:shd w:fill="F7F7F8" w:color="auto" w:val="clear"/>
        </w:rPr>
        <w:t>individuals</w:t>
      </w:r>
      <w:r>
        <w:rPr>
          <w:color w:val="374151"/>
          <w:spacing w:val="-1"/>
          <w:shd w:fill="F7F7F8" w:color="auto" w:val="clear"/>
        </w:rPr>
        <w:t> </w:t>
      </w:r>
      <w:r>
        <w:rPr>
          <w:color w:val="374151"/>
          <w:spacing w:val="-2"/>
          <w:shd w:fill="F7F7F8" w:color="auto" w:val="clear"/>
        </w:rPr>
        <w:t>whose</w:t>
      </w:r>
    </w:p>
    <w:p>
      <w:pPr>
        <w:pStyle w:val="BodyText"/>
        <w:spacing w:after="3"/>
        <w:ind w:left="280" w:right="502"/>
      </w:pPr>
      <w:r>
        <w:rPr>
          <w:color w:val="374151"/>
          <w:shd w:fill="F7F7F8" w:color="auto" w:val="clear"/>
        </w:rPr>
        <w:t>gender identity does not align with the sex assigned at birth.</w:t>
      </w:r>
      <w:r>
        <w:rPr>
          <w:color w:val="374151"/>
          <w:spacing w:val="-1"/>
          <w:shd w:fill="F7F7F8" w:color="auto" w:val="clear"/>
        </w:rPr>
        <w:t> </w:t>
      </w:r>
      <w:r>
        <w:rPr>
          <w:color w:val="374151"/>
          <w:shd w:fill="F7F7F8" w:color="auto" w:val="clear"/>
        </w:rPr>
        <w:t>The Diagnostic </w:t>
      </w:r>
      <w:r>
        <w:rPr>
          <w:color w:val="374151"/>
        </w:rPr>
        <w:t> </w:t>
      </w:r>
      <w:r>
        <w:rPr>
          <w:color w:val="374151"/>
          <w:shd w:fill="F7F7F8" w:color="auto" w:val="clear"/>
        </w:rPr>
        <w:t>and Statistical Manual of Mental Disorders, 5th Edition (DSM-5), provides </w:t>
      </w:r>
      <w:r>
        <w:rPr>
          <w:color w:val="374151"/>
        </w:rPr>
        <w:t> </w:t>
      </w:r>
      <w:r>
        <w:rPr>
          <w:color w:val="374151"/>
          <w:shd w:fill="F7F7F8" w:color="auto" w:val="clear"/>
        </w:rPr>
        <w:t>diagnostic criteria for gender dysphoria, which include significant distress or </w:t>
      </w:r>
      <w:r>
        <w:rPr>
          <w:color w:val="374151"/>
        </w:rPr>
        <w:t> </w:t>
      </w:r>
      <w:r>
        <w:rPr>
          <w:color w:val="374151"/>
          <w:shd w:fill="F7F7F8" w:color="auto" w:val="clear"/>
        </w:rPr>
        <w:t>impairment in social, occupational, or other areas of functioning.</w:t>
      </w:r>
      <w:r>
        <w:rPr>
          <w:color w:val="374151"/>
          <w:spacing w:val="-2"/>
          <w:shd w:fill="F7F7F8" w:color="auto" w:val="clear"/>
        </w:rPr>
        <w:t> </w:t>
      </w:r>
      <w:r>
        <w:rPr>
          <w:color w:val="374151"/>
          <w:shd w:fill="F7F7F8" w:color="auto" w:val="clear"/>
        </w:rPr>
        <w:t>The DSM-5 </w:t>
      </w:r>
      <w:r>
        <w:rPr>
          <w:color w:val="374151"/>
        </w:rPr>
        <w:t> </w:t>
      </w:r>
      <w:r>
        <w:rPr>
          <w:color w:val="374151"/>
          <w:shd w:fill="F7F7F8" w:color="auto" w:val="clear"/>
        </w:rPr>
        <w:t>aims to facilitate access to healthcare and support for individuals experiencing</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185285" cy="393700"/>
                <wp:effectExtent l="0" t="0" r="0" b="0"/>
                <wp:docPr id="100" name="Textbox 100"/>
                <wp:cNvGraphicFramePr>
                  <a:graphicFrameLocks/>
                </wp:cNvGraphicFramePr>
                <a:graphic>
                  <a:graphicData uri="http://schemas.microsoft.com/office/word/2010/wordprocessingShape">
                    <wps:wsp>
                      <wps:cNvPr id="100" name="Textbox 100"/>
                      <wps:cNvSpPr txBox="1"/>
                      <wps:spPr>
                        <a:xfrm>
                          <a:off x="0" y="0"/>
                          <a:ext cx="4185285" cy="393700"/>
                        </a:xfrm>
                        <a:prstGeom prst="rect">
                          <a:avLst/>
                        </a:prstGeom>
                        <a:solidFill>
                          <a:srgbClr val="F7F7F8"/>
                        </a:solidFill>
                      </wps:spPr>
                      <wps:txbx>
                        <w:txbxContent>
                          <w:p>
                            <w:pPr>
                              <w:pStyle w:val="BodyText"/>
                              <w:spacing w:line="308" w:lineRule="exact"/>
                              <w:ind w:right="-15"/>
                              <w:rPr>
                                <w:color w:val="000000"/>
                              </w:rPr>
                            </w:pPr>
                            <w:r>
                              <w:rPr>
                                <w:color w:val="374151"/>
                              </w:rPr>
                              <w:t>gender</w:t>
                            </w:r>
                            <w:r>
                              <w:rPr>
                                <w:color w:val="374151"/>
                                <w:spacing w:val="-4"/>
                              </w:rPr>
                              <w:t> </w:t>
                            </w:r>
                            <w:r>
                              <w:rPr>
                                <w:color w:val="374151"/>
                              </w:rPr>
                              <w:t>dysphoria,</w:t>
                            </w:r>
                            <w:r>
                              <w:rPr>
                                <w:color w:val="374151"/>
                                <w:spacing w:val="-2"/>
                              </w:rPr>
                              <w:t> </w:t>
                            </w:r>
                            <w:r>
                              <w:rPr>
                                <w:color w:val="374151"/>
                              </w:rPr>
                              <w:t>rather</w:t>
                            </w:r>
                            <w:r>
                              <w:rPr>
                                <w:color w:val="374151"/>
                                <w:spacing w:val="-3"/>
                              </w:rPr>
                              <w:t> </w:t>
                            </w:r>
                            <w:r>
                              <w:rPr>
                                <w:color w:val="374151"/>
                              </w:rPr>
                              <w:t>than</w:t>
                            </w:r>
                            <w:r>
                              <w:rPr>
                                <w:color w:val="374151"/>
                                <w:spacing w:val="-2"/>
                              </w:rPr>
                              <w:t> </w:t>
                            </w:r>
                            <w:r>
                              <w:rPr>
                                <w:color w:val="374151"/>
                              </w:rPr>
                              <w:t>pathologize</w:t>
                            </w:r>
                            <w:r>
                              <w:rPr>
                                <w:color w:val="374151"/>
                                <w:spacing w:val="-2"/>
                              </w:rPr>
                              <w:t> </w:t>
                            </w:r>
                            <w:r>
                              <w:rPr>
                                <w:color w:val="374151"/>
                              </w:rPr>
                              <w:t>gender</w:t>
                            </w:r>
                            <w:r>
                              <w:rPr>
                                <w:color w:val="374151"/>
                                <w:spacing w:val="-2"/>
                              </w:rPr>
                              <w:t> diversity.</w:t>
                            </w:r>
                          </w:p>
                        </w:txbxContent>
                      </wps:txbx>
                      <wps:bodyPr wrap="square" lIns="0" tIns="0" rIns="0" bIns="0" rtlCol="0">
                        <a:noAutofit/>
                      </wps:bodyPr>
                    </wps:wsp>
                  </a:graphicData>
                </a:graphic>
              </wp:inline>
            </w:drawing>
          </mc:Choice>
          <mc:Fallback>
            <w:pict>
              <v:shape style="width:329.55pt;height:31pt;mso-position-horizontal-relative:char;mso-position-vertical-relative:line" type="#_x0000_t202" id="docshape99" filled="true" fillcolor="#f7f7f8" stroked="false">
                <w10:anchorlock/>
                <v:textbox inset="0,0,0,0">
                  <w:txbxContent>
                    <w:p>
                      <w:pPr>
                        <w:pStyle w:val="BodyText"/>
                        <w:spacing w:line="308" w:lineRule="exact"/>
                        <w:ind w:right="-15"/>
                        <w:rPr>
                          <w:color w:val="000000"/>
                        </w:rPr>
                      </w:pPr>
                      <w:r>
                        <w:rPr>
                          <w:color w:val="374151"/>
                        </w:rPr>
                        <w:t>gender</w:t>
                      </w:r>
                      <w:r>
                        <w:rPr>
                          <w:color w:val="374151"/>
                          <w:spacing w:val="-4"/>
                        </w:rPr>
                        <w:t> </w:t>
                      </w:r>
                      <w:r>
                        <w:rPr>
                          <w:color w:val="374151"/>
                        </w:rPr>
                        <w:t>dysphoria,</w:t>
                      </w:r>
                      <w:r>
                        <w:rPr>
                          <w:color w:val="374151"/>
                          <w:spacing w:val="-2"/>
                        </w:rPr>
                        <w:t> </w:t>
                      </w:r>
                      <w:r>
                        <w:rPr>
                          <w:color w:val="374151"/>
                        </w:rPr>
                        <w:t>rather</w:t>
                      </w:r>
                      <w:r>
                        <w:rPr>
                          <w:color w:val="374151"/>
                          <w:spacing w:val="-3"/>
                        </w:rPr>
                        <w:t> </w:t>
                      </w:r>
                      <w:r>
                        <w:rPr>
                          <w:color w:val="374151"/>
                        </w:rPr>
                        <w:t>than</w:t>
                      </w:r>
                      <w:r>
                        <w:rPr>
                          <w:color w:val="374151"/>
                          <w:spacing w:val="-2"/>
                        </w:rPr>
                        <w:t> </w:t>
                      </w:r>
                      <w:r>
                        <w:rPr>
                          <w:color w:val="374151"/>
                        </w:rPr>
                        <w:t>pathologize</w:t>
                      </w:r>
                      <w:r>
                        <w:rPr>
                          <w:color w:val="374151"/>
                          <w:spacing w:val="-2"/>
                        </w:rPr>
                        <w:t> </w:t>
                      </w:r>
                      <w:r>
                        <w:rPr>
                          <w:color w:val="374151"/>
                        </w:rPr>
                        <w:t>gender</w:t>
                      </w:r>
                      <w:r>
                        <w:rPr>
                          <w:color w:val="374151"/>
                          <w:spacing w:val="-2"/>
                        </w:rPr>
                        <w:t> diversity.</w:t>
                      </w:r>
                    </w:p>
                  </w:txbxContent>
                </v:textbox>
                <v:fill type="solid"/>
              </v:shape>
            </w:pict>
          </mc:Fallback>
        </mc:AlternateContent>
      </w:r>
      <w:r>
        <w:rPr>
          <w:sz w:val="20"/>
        </w:rPr>
      </w:r>
    </w:p>
    <w:p>
      <w:pPr>
        <w:pStyle w:val="BodyText"/>
        <w:spacing w:line="282" w:lineRule="exact"/>
        <w:ind w:left="280"/>
      </w:pPr>
      <w:r>
        <w:rPr/>
        <w:t>According</w:t>
      </w:r>
      <w:r>
        <w:rPr>
          <w:spacing w:val="-4"/>
        </w:rPr>
        <w:t> </w:t>
      </w:r>
      <w:r>
        <w:rPr/>
        <w:t>to</w:t>
      </w:r>
      <w:r>
        <w:rPr>
          <w:spacing w:val="-1"/>
        </w:rPr>
        <w:t> </w:t>
      </w:r>
      <w:r>
        <w:rPr/>
        <w:t>the</w:t>
      </w:r>
      <w:r>
        <w:rPr>
          <w:spacing w:val="-2"/>
        </w:rPr>
        <w:t> </w:t>
      </w:r>
      <w:r>
        <w:rPr/>
        <w:t>DSM-5,</w:t>
      </w:r>
      <w:r>
        <w:rPr>
          <w:spacing w:val="-2"/>
        </w:rPr>
        <w:t> </w:t>
      </w:r>
      <w:r>
        <w:rPr/>
        <w:t>gender</w:t>
      </w:r>
      <w:r>
        <w:rPr>
          <w:spacing w:val="-1"/>
        </w:rPr>
        <w:t> </w:t>
      </w:r>
      <w:r>
        <w:rPr/>
        <w:t>dysphoria</w:t>
      </w:r>
      <w:r>
        <w:rPr>
          <w:spacing w:val="-2"/>
        </w:rPr>
        <w:t> </w:t>
      </w:r>
      <w:r>
        <w:rPr/>
        <w:t>is</w:t>
      </w:r>
      <w:r>
        <w:rPr>
          <w:spacing w:val="-2"/>
        </w:rPr>
        <w:t> </w:t>
      </w:r>
      <w:r>
        <w:rPr/>
        <w:t>characterized</w:t>
      </w:r>
      <w:r>
        <w:rPr>
          <w:spacing w:val="-1"/>
        </w:rPr>
        <w:t> </w:t>
      </w:r>
      <w:r>
        <w:rPr/>
        <w:t>by</w:t>
      </w:r>
      <w:r>
        <w:rPr>
          <w:spacing w:val="-1"/>
        </w:rPr>
        <w:t> </w:t>
      </w:r>
      <w:r>
        <w:rPr/>
        <w:t>a</w:t>
      </w:r>
      <w:r>
        <w:rPr>
          <w:spacing w:val="-2"/>
        </w:rPr>
        <w:t> marked</w:t>
      </w:r>
    </w:p>
    <w:p>
      <w:pPr>
        <w:pStyle w:val="BodyText"/>
        <w:ind w:left="280" w:right="581"/>
      </w:pPr>
      <w:r>
        <w:rPr/>
        <w:t>difference between the individual's expressed gender and their assigned gender,</w:t>
      </w:r>
      <w:r>
        <w:rPr>
          <w:spacing w:val="-6"/>
        </w:rPr>
        <w:t> </w:t>
      </w:r>
      <w:r>
        <w:rPr/>
        <w:t>persistent</w:t>
      </w:r>
      <w:r>
        <w:rPr>
          <w:spacing w:val="-6"/>
        </w:rPr>
        <w:t> </w:t>
      </w:r>
      <w:r>
        <w:rPr/>
        <w:t>discomfort</w:t>
      </w:r>
      <w:r>
        <w:rPr>
          <w:spacing w:val="-6"/>
        </w:rPr>
        <w:t> </w:t>
      </w:r>
      <w:r>
        <w:rPr/>
        <w:t>or</w:t>
      </w:r>
      <w:r>
        <w:rPr>
          <w:spacing w:val="-6"/>
        </w:rPr>
        <w:t> </w:t>
      </w:r>
      <w:r>
        <w:rPr/>
        <w:t>distress</w:t>
      </w:r>
      <w:r>
        <w:rPr>
          <w:spacing w:val="-6"/>
        </w:rPr>
        <w:t> </w:t>
      </w:r>
      <w:r>
        <w:rPr/>
        <w:t>related</w:t>
      </w:r>
      <w:r>
        <w:rPr>
          <w:spacing w:val="-6"/>
        </w:rPr>
        <w:t> </w:t>
      </w:r>
      <w:r>
        <w:rPr/>
        <w:t>to</w:t>
      </w:r>
      <w:r>
        <w:rPr>
          <w:spacing w:val="-6"/>
        </w:rPr>
        <w:t> </w:t>
      </w:r>
      <w:r>
        <w:rPr/>
        <w:t>their</w:t>
      </w:r>
      <w:r>
        <w:rPr>
          <w:spacing w:val="-6"/>
        </w:rPr>
        <w:t> </w:t>
      </w:r>
      <w:r>
        <w:rPr/>
        <w:t>assigned</w:t>
      </w:r>
      <w:r>
        <w:rPr>
          <w:spacing w:val="-6"/>
        </w:rPr>
        <w:t> </w:t>
      </w:r>
      <w:r>
        <w:rPr/>
        <w:t>gender,</w:t>
      </w:r>
      <w:r>
        <w:rPr>
          <w:spacing w:val="-6"/>
        </w:rPr>
        <w:t> </w:t>
      </w:r>
      <w:r>
        <w:rPr/>
        <w:t>and</w:t>
      </w:r>
      <w:r>
        <w:rPr>
          <w:spacing w:val="-6"/>
        </w:rPr>
        <w:t> </w:t>
      </w:r>
      <w:r>
        <w:rPr/>
        <w:t>a desire to be rid of or treated as a different gender.</w:t>
      </w:r>
      <w:r>
        <w:rPr>
          <w:spacing w:val="-2"/>
        </w:rPr>
        <w:t> </w:t>
      </w:r>
      <w:r>
        <w:rPr/>
        <w:t>These feelings must persist for at least six months to meet the diagnostic criteria.</w:t>
      </w:r>
    </w:p>
    <w:p>
      <w:pPr>
        <w:pStyle w:val="BodyText"/>
        <w:rPr>
          <w:sz w:val="27"/>
        </w:rPr>
      </w:pPr>
    </w:p>
    <w:p>
      <w:pPr>
        <w:pStyle w:val="BodyText"/>
        <w:ind w:left="280" w:right="668"/>
      </w:pPr>
      <w:r>
        <w:rPr/>
        <w:t>It is important to note that the DSM-5 depathologized gender identity itself and</w:t>
      </w:r>
      <w:r>
        <w:rPr>
          <w:spacing w:val="-4"/>
        </w:rPr>
        <w:t> </w:t>
      </w:r>
      <w:r>
        <w:rPr/>
        <w:t>instead</w:t>
      </w:r>
      <w:r>
        <w:rPr>
          <w:spacing w:val="-4"/>
        </w:rPr>
        <w:t> </w:t>
      </w:r>
      <w:r>
        <w:rPr/>
        <w:t>focuses</w:t>
      </w:r>
      <w:r>
        <w:rPr>
          <w:spacing w:val="-4"/>
        </w:rPr>
        <w:t> </w:t>
      </w:r>
      <w:r>
        <w:rPr/>
        <w:t>on</w:t>
      </w:r>
      <w:r>
        <w:rPr>
          <w:spacing w:val="-4"/>
        </w:rPr>
        <w:t> </w:t>
      </w:r>
      <w:r>
        <w:rPr/>
        <w:t>the</w:t>
      </w:r>
      <w:r>
        <w:rPr>
          <w:spacing w:val="-5"/>
        </w:rPr>
        <w:t> </w:t>
      </w:r>
      <w:r>
        <w:rPr/>
        <w:t>distress</w:t>
      </w:r>
      <w:r>
        <w:rPr>
          <w:spacing w:val="-4"/>
        </w:rPr>
        <w:t> </w:t>
      </w:r>
      <w:r>
        <w:rPr/>
        <w:t>associated</w:t>
      </w:r>
      <w:r>
        <w:rPr>
          <w:spacing w:val="-4"/>
        </w:rPr>
        <w:t> </w:t>
      </w:r>
      <w:r>
        <w:rPr/>
        <w:t>with</w:t>
      </w:r>
      <w:r>
        <w:rPr>
          <w:spacing w:val="-4"/>
        </w:rPr>
        <w:t> </w:t>
      </w:r>
      <w:r>
        <w:rPr/>
        <w:t>the</w:t>
      </w:r>
      <w:r>
        <w:rPr>
          <w:spacing w:val="-5"/>
        </w:rPr>
        <w:t> </w:t>
      </w:r>
      <w:r>
        <w:rPr/>
        <w:t>incongruence</w:t>
      </w:r>
      <w:r>
        <w:rPr>
          <w:spacing w:val="-5"/>
        </w:rPr>
        <w:t> </w:t>
      </w:r>
      <w:r>
        <w:rPr/>
        <w:t>between gender identity and assigned sex. This change reflects a more nuanced understanding of gender diversity and aims to reduce stigma and discrimination against transgender individuals.</w:t>
      </w:r>
    </w:p>
    <w:p>
      <w:pPr>
        <w:pStyle w:val="BodyText"/>
        <w:rPr>
          <w:sz w:val="30"/>
        </w:rPr>
      </w:pPr>
    </w:p>
    <w:p>
      <w:pPr>
        <w:pStyle w:val="BodyText"/>
        <w:spacing w:before="9"/>
        <w:rPr>
          <w:sz w:val="24"/>
        </w:rPr>
      </w:pPr>
    </w:p>
    <w:p>
      <w:pPr>
        <w:pStyle w:val="BodyText"/>
        <w:spacing w:before="1"/>
        <w:ind w:left="280" w:right="505"/>
      </w:pPr>
      <w:r>
        <w:rPr/>
        <w:t>It is worth mentioning that the understanding and treatment of gender dysphoria have evolved over time. The DSM-5 revision marked a significant change</w:t>
      </w:r>
      <w:r>
        <w:rPr>
          <w:spacing w:val="-5"/>
        </w:rPr>
        <w:t> </w:t>
      </w:r>
      <w:r>
        <w:rPr/>
        <w:t>by</w:t>
      </w:r>
      <w:r>
        <w:rPr>
          <w:spacing w:val="-4"/>
        </w:rPr>
        <w:t> </w:t>
      </w:r>
      <w:r>
        <w:rPr/>
        <w:t>emphasizing</w:t>
      </w:r>
      <w:r>
        <w:rPr>
          <w:spacing w:val="-4"/>
        </w:rPr>
        <w:t> </w:t>
      </w:r>
      <w:r>
        <w:rPr/>
        <w:t>the</w:t>
      </w:r>
      <w:r>
        <w:rPr>
          <w:spacing w:val="-5"/>
        </w:rPr>
        <w:t> </w:t>
      </w:r>
      <w:r>
        <w:rPr/>
        <w:t>distress</w:t>
      </w:r>
      <w:r>
        <w:rPr>
          <w:spacing w:val="-4"/>
        </w:rPr>
        <w:t> </w:t>
      </w:r>
      <w:r>
        <w:rPr/>
        <w:t>and</w:t>
      </w:r>
      <w:r>
        <w:rPr>
          <w:spacing w:val="-4"/>
        </w:rPr>
        <w:t> </w:t>
      </w:r>
      <w:r>
        <w:rPr/>
        <w:t>impairment</w:t>
      </w:r>
      <w:r>
        <w:rPr>
          <w:spacing w:val="-4"/>
        </w:rPr>
        <w:t> </w:t>
      </w:r>
      <w:r>
        <w:rPr/>
        <w:t>experienced</w:t>
      </w:r>
      <w:r>
        <w:rPr>
          <w:spacing w:val="-4"/>
        </w:rPr>
        <w:t> </w:t>
      </w:r>
      <w:r>
        <w:rPr/>
        <w:t>by</w:t>
      </w:r>
      <w:r>
        <w:rPr>
          <w:spacing w:val="-4"/>
        </w:rPr>
        <w:t> </w:t>
      </w:r>
      <w:r>
        <w:rPr/>
        <w:t>individuals rather than pathologizing their identity. This shift reflects a more affirming approach that acknowledges and supports transgender individuals' rights and </w:t>
      </w:r>
      <w:r>
        <w:rPr>
          <w:spacing w:val="-2"/>
        </w:rPr>
        <w:t>well-being.</w:t>
      </w:r>
    </w:p>
    <w:p>
      <w:pPr>
        <w:spacing w:after="0"/>
        <w:sectPr>
          <w:pgSz w:w="12240" w:h="15840"/>
          <w:pgMar w:header="0" w:footer="765" w:top="1260" w:bottom="980" w:left="1400" w:right="1180"/>
        </w:sectPr>
      </w:pPr>
    </w:p>
    <w:p>
      <w:pPr>
        <w:pStyle w:val="Heading2"/>
        <w:spacing w:before="66"/>
      </w:pPr>
      <w:r>
        <w:rPr/>
        <w:t>The</w:t>
      </w:r>
      <w:r>
        <w:rPr>
          <w:spacing w:val="-5"/>
        </w:rPr>
        <w:t> </w:t>
      </w:r>
      <w:r>
        <w:rPr/>
        <w:t>DSM-5</w:t>
      </w:r>
      <w:r>
        <w:rPr>
          <w:spacing w:val="-1"/>
        </w:rPr>
        <w:t> </w:t>
      </w:r>
      <w:r>
        <w:rPr/>
        <w:t>Criteria</w:t>
      </w:r>
      <w:r>
        <w:rPr>
          <w:spacing w:val="-2"/>
        </w:rPr>
        <w:t> </w:t>
      </w:r>
      <w:r>
        <w:rPr/>
        <w:t>for</w:t>
      </w:r>
      <w:r>
        <w:rPr>
          <w:spacing w:val="-7"/>
        </w:rPr>
        <w:t> </w:t>
      </w:r>
      <w:r>
        <w:rPr/>
        <w:t>Gender</w:t>
      </w:r>
      <w:r>
        <w:rPr>
          <w:spacing w:val="-7"/>
        </w:rPr>
        <w:t> </w:t>
      </w:r>
      <w:r>
        <w:rPr>
          <w:spacing w:val="-2"/>
        </w:rPr>
        <w:t>Dysphoria</w:t>
      </w:r>
    </w:p>
    <w:p>
      <w:pPr>
        <w:pStyle w:val="BodyText"/>
        <w:spacing w:before="7"/>
        <w:rPr>
          <w:b/>
          <w:sz w:val="27"/>
        </w:rPr>
      </w:pPr>
    </w:p>
    <w:p>
      <w:pPr>
        <w:pStyle w:val="BodyText"/>
        <w:spacing w:after="4"/>
        <w:ind w:left="280" w:right="499"/>
      </w:pPr>
      <w:r>
        <w:rPr>
          <w:color w:val="374151"/>
          <w:shd w:fill="F7F7F8" w:color="auto" w:val="clear"/>
        </w:rPr>
        <w:t>The</w:t>
      </w:r>
      <w:r>
        <w:rPr>
          <w:color w:val="374151"/>
          <w:spacing w:val="-5"/>
          <w:shd w:fill="F7F7F8" w:color="auto" w:val="clear"/>
        </w:rPr>
        <w:t> </w:t>
      </w:r>
      <w:r>
        <w:rPr>
          <w:color w:val="374151"/>
          <w:shd w:fill="F7F7F8" w:color="auto" w:val="clear"/>
        </w:rPr>
        <w:t>DSM-5</w:t>
      </w:r>
      <w:r>
        <w:rPr>
          <w:color w:val="374151"/>
          <w:spacing w:val="-4"/>
          <w:shd w:fill="F7F7F8" w:color="auto" w:val="clear"/>
        </w:rPr>
        <w:t> </w:t>
      </w:r>
      <w:r>
        <w:rPr>
          <w:color w:val="374151"/>
          <w:shd w:fill="F7F7F8" w:color="auto" w:val="clear"/>
        </w:rPr>
        <w:t>outlines</w:t>
      </w:r>
      <w:r>
        <w:rPr>
          <w:color w:val="374151"/>
          <w:spacing w:val="-4"/>
          <w:shd w:fill="F7F7F8" w:color="auto" w:val="clear"/>
        </w:rPr>
        <w:t> </w:t>
      </w:r>
      <w:r>
        <w:rPr>
          <w:color w:val="374151"/>
          <w:shd w:fill="F7F7F8" w:color="auto" w:val="clear"/>
        </w:rPr>
        <w:t>specific</w:t>
      </w:r>
      <w:r>
        <w:rPr>
          <w:color w:val="374151"/>
          <w:spacing w:val="-5"/>
          <w:shd w:fill="F7F7F8" w:color="auto" w:val="clear"/>
        </w:rPr>
        <w:t> </w:t>
      </w:r>
      <w:r>
        <w:rPr>
          <w:color w:val="374151"/>
          <w:shd w:fill="F7F7F8" w:color="auto" w:val="clear"/>
        </w:rPr>
        <w:t>diagnostic</w:t>
      </w:r>
      <w:r>
        <w:rPr>
          <w:color w:val="374151"/>
          <w:spacing w:val="-5"/>
          <w:shd w:fill="F7F7F8" w:color="auto" w:val="clear"/>
        </w:rPr>
        <w:t> </w:t>
      </w:r>
      <w:r>
        <w:rPr>
          <w:color w:val="374151"/>
          <w:shd w:fill="F7F7F8" w:color="auto" w:val="clear"/>
        </w:rPr>
        <w:t>criteria</w:t>
      </w:r>
      <w:r>
        <w:rPr>
          <w:color w:val="374151"/>
          <w:spacing w:val="-5"/>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gender</w:t>
      </w:r>
      <w:r>
        <w:rPr>
          <w:color w:val="374151"/>
          <w:spacing w:val="-4"/>
          <w:shd w:fill="F7F7F8" w:color="auto" w:val="clear"/>
        </w:rPr>
        <w:t> </w:t>
      </w:r>
      <w:r>
        <w:rPr>
          <w:color w:val="374151"/>
          <w:shd w:fill="F7F7F8" w:color="auto" w:val="clear"/>
        </w:rPr>
        <w:t>dysphoria,</w:t>
      </w:r>
      <w:r>
        <w:rPr>
          <w:color w:val="374151"/>
          <w:spacing w:val="-4"/>
          <w:shd w:fill="F7F7F8" w:color="auto" w:val="clear"/>
        </w:rPr>
        <w:t> </w:t>
      </w:r>
      <w:r>
        <w:rPr>
          <w:color w:val="374151"/>
          <w:shd w:fill="F7F7F8" w:color="auto" w:val="clear"/>
        </w:rPr>
        <w:t>which</w:t>
      </w:r>
      <w:r>
        <w:rPr>
          <w:color w:val="374151"/>
          <w:spacing w:val="-5"/>
          <w:shd w:fill="F7F7F8" w:color="auto" w:val="clear"/>
        </w:rPr>
        <w:t> </w:t>
      </w:r>
      <w:r>
        <w:rPr>
          <w:color w:val="374151"/>
          <w:spacing w:val="-5"/>
        </w:rPr>
        <w:t> </w:t>
      </w:r>
      <w:r>
        <w:rPr>
          <w:color w:val="374151"/>
          <w:shd w:fill="F7F7F8" w:color="auto" w:val="clear"/>
        </w:rPr>
        <w:t>include the presence of a marked incongruence between one's experienced </w:t>
      </w:r>
      <w:r>
        <w:rPr>
          <w:color w:val="374151"/>
        </w:rPr>
        <w:t> </w:t>
      </w:r>
      <w:r>
        <w:rPr>
          <w:color w:val="374151"/>
          <w:shd w:fill="F7F7F8" w:color="auto" w:val="clear"/>
        </w:rPr>
        <w:t>gender and assigned gender, persistent discomfort or distress about one's </w:t>
      </w:r>
      <w:r>
        <w:rPr>
          <w:color w:val="374151"/>
        </w:rPr>
        <w:t> </w:t>
      </w:r>
      <w:r>
        <w:rPr>
          <w:color w:val="374151"/>
          <w:shd w:fill="F7F7F8" w:color="auto" w:val="clear"/>
        </w:rPr>
        <w:t>assigned</w:t>
      </w:r>
      <w:r>
        <w:rPr>
          <w:color w:val="374151"/>
          <w:spacing w:val="-2"/>
          <w:shd w:fill="F7F7F8" w:color="auto" w:val="clear"/>
        </w:rPr>
        <w:t> </w:t>
      </w:r>
      <w:r>
        <w:rPr>
          <w:color w:val="374151"/>
          <w:shd w:fill="F7F7F8" w:color="auto" w:val="clear"/>
        </w:rPr>
        <w:t>gender,</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strong</w:t>
      </w:r>
      <w:r>
        <w:rPr>
          <w:color w:val="374151"/>
          <w:spacing w:val="-2"/>
          <w:shd w:fill="F7F7F8" w:color="auto" w:val="clear"/>
        </w:rPr>
        <w:t> </w:t>
      </w:r>
      <w:r>
        <w:rPr>
          <w:color w:val="374151"/>
          <w:shd w:fill="F7F7F8" w:color="auto" w:val="clear"/>
        </w:rPr>
        <w:t>desire</w:t>
      </w:r>
      <w:r>
        <w:rPr>
          <w:color w:val="374151"/>
          <w:spacing w:val="-3"/>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be</w:t>
      </w:r>
      <w:r>
        <w:rPr>
          <w:color w:val="374151"/>
          <w:spacing w:val="-3"/>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other</w:t>
      </w:r>
      <w:r>
        <w:rPr>
          <w:color w:val="374151"/>
          <w:spacing w:val="-2"/>
          <w:shd w:fill="F7F7F8" w:color="auto" w:val="clear"/>
        </w:rPr>
        <w:t> </w:t>
      </w:r>
      <w:r>
        <w:rPr>
          <w:color w:val="374151"/>
          <w:shd w:fill="F7F7F8" w:color="auto" w:val="clear"/>
        </w:rPr>
        <w:t>gender.</w:t>
      </w:r>
      <w:r>
        <w:rPr>
          <w:color w:val="374151"/>
          <w:spacing w:val="-2"/>
          <w:shd w:fill="F7F7F8" w:color="auto" w:val="clear"/>
        </w:rPr>
        <w:t> </w:t>
      </w:r>
      <w:r>
        <w:rPr>
          <w:color w:val="374151"/>
          <w:shd w:fill="F7F7F8" w:color="auto" w:val="clear"/>
        </w:rPr>
        <w:t>Mental</w:t>
      </w:r>
      <w:r>
        <w:rPr>
          <w:color w:val="374151"/>
          <w:spacing w:val="-2"/>
          <w:shd w:fill="F7F7F8" w:color="auto" w:val="clear"/>
        </w:rPr>
        <w:t> </w:t>
      </w:r>
      <w:r>
        <w:rPr>
          <w:color w:val="374151"/>
          <w:shd w:fill="F7F7F8" w:color="auto" w:val="clear"/>
        </w:rPr>
        <w:t>health</w:t>
      </w:r>
      <w:r>
        <w:rPr>
          <w:color w:val="374151"/>
          <w:spacing w:val="-3"/>
          <w:shd w:fill="F7F7F8" w:color="auto" w:val="clear"/>
        </w:rPr>
        <w:t> </w:t>
      </w:r>
      <w:r>
        <w:rPr>
          <w:color w:val="374151"/>
          <w:spacing w:val="-3"/>
        </w:rPr>
        <w:t> </w:t>
      </w:r>
      <w:r>
        <w:rPr>
          <w:color w:val="374151"/>
          <w:shd w:fill="F7F7F8" w:color="auto" w:val="clear"/>
        </w:rPr>
        <w:t>professionals should be familiar with these criteria to accurately assess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047365" cy="393700"/>
                <wp:effectExtent l="0" t="0" r="0" b="0"/>
                <wp:docPr id="101" name="Textbox 101"/>
                <wp:cNvGraphicFramePr>
                  <a:graphicFrameLocks/>
                </wp:cNvGraphicFramePr>
                <a:graphic>
                  <a:graphicData uri="http://schemas.microsoft.com/office/word/2010/wordprocessingShape">
                    <wps:wsp>
                      <wps:cNvPr id="101" name="Textbox 101"/>
                      <wps:cNvSpPr txBox="1"/>
                      <wps:spPr>
                        <a:xfrm>
                          <a:off x="0" y="0"/>
                          <a:ext cx="3047365" cy="393700"/>
                        </a:xfrm>
                        <a:prstGeom prst="rect">
                          <a:avLst/>
                        </a:prstGeom>
                        <a:solidFill>
                          <a:srgbClr val="F7F7F8"/>
                        </a:solidFill>
                      </wps:spPr>
                      <wps:txbx>
                        <w:txbxContent>
                          <w:p>
                            <w:pPr>
                              <w:pStyle w:val="BodyText"/>
                              <w:spacing w:line="308" w:lineRule="exact"/>
                              <w:ind w:right="-15"/>
                              <w:rPr>
                                <w:color w:val="000000"/>
                              </w:rPr>
                            </w:pPr>
                            <w:r>
                              <w:rPr>
                                <w:color w:val="374151"/>
                              </w:rPr>
                              <w:t>support</w:t>
                            </w:r>
                            <w:r>
                              <w:rPr>
                                <w:color w:val="374151"/>
                                <w:spacing w:val="-1"/>
                              </w:rPr>
                              <w:t> </w:t>
                            </w:r>
                            <w:r>
                              <w:rPr>
                                <w:color w:val="374151"/>
                              </w:rPr>
                              <w:t>individuals</w:t>
                            </w:r>
                            <w:r>
                              <w:rPr>
                                <w:color w:val="374151"/>
                                <w:spacing w:val="-1"/>
                              </w:rPr>
                              <w:t> </w:t>
                            </w:r>
                            <w:r>
                              <w:rPr>
                                <w:color w:val="374151"/>
                              </w:rPr>
                              <w:t>with</w:t>
                            </w:r>
                            <w:r>
                              <w:rPr>
                                <w:color w:val="374151"/>
                                <w:spacing w:val="-1"/>
                              </w:rPr>
                              <w:t> </w:t>
                            </w:r>
                            <w:r>
                              <w:rPr>
                                <w:color w:val="374151"/>
                              </w:rPr>
                              <w:t>gender </w:t>
                            </w:r>
                            <w:r>
                              <w:rPr>
                                <w:color w:val="374151"/>
                                <w:spacing w:val="-2"/>
                              </w:rPr>
                              <w:t>dysphoria.</w:t>
                            </w:r>
                          </w:p>
                        </w:txbxContent>
                      </wps:txbx>
                      <wps:bodyPr wrap="square" lIns="0" tIns="0" rIns="0" bIns="0" rtlCol="0">
                        <a:noAutofit/>
                      </wps:bodyPr>
                    </wps:wsp>
                  </a:graphicData>
                </a:graphic>
              </wp:inline>
            </w:drawing>
          </mc:Choice>
          <mc:Fallback>
            <w:pict>
              <v:shape style="width:239.95pt;height:31pt;mso-position-horizontal-relative:char;mso-position-vertical-relative:line" type="#_x0000_t202" id="docshape100" filled="true" fillcolor="#f7f7f8" stroked="false">
                <w10:anchorlock/>
                <v:textbox inset="0,0,0,0">
                  <w:txbxContent>
                    <w:p>
                      <w:pPr>
                        <w:pStyle w:val="BodyText"/>
                        <w:spacing w:line="308" w:lineRule="exact"/>
                        <w:ind w:right="-15"/>
                        <w:rPr>
                          <w:color w:val="000000"/>
                        </w:rPr>
                      </w:pPr>
                      <w:r>
                        <w:rPr>
                          <w:color w:val="374151"/>
                        </w:rPr>
                        <w:t>support</w:t>
                      </w:r>
                      <w:r>
                        <w:rPr>
                          <w:color w:val="374151"/>
                          <w:spacing w:val="-1"/>
                        </w:rPr>
                        <w:t> </w:t>
                      </w:r>
                      <w:r>
                        <w:rPr>
                          <w:color w:val="374151"/>
                        </w:rPr>
                        <w:t>individuals</w:t>
                      </w:r>
                      <w:r>
                        <w:rPr>
                          <w:color w:val="374151"/>
                          <w:spacing w:val="-1"/>
                        </w:rPr>
                        <w:t> </w:t>
                      </w:r>
                      <w:r>
                        <w:rPr>
                          <w:color w:val="374151"/>
                        </w:rPr>
                        <w:t>with</w:t>
                      </w:r>
                      <w:r>
                        <w:rPr>
                          <w:color w:val="374151"/>
                          <w:spacing w:val="-1"/>
                        </w:rPr>
                        <w:t> </w:t>
                      </w:r>
                      <w:r>
                        <w:rPr>
                          <w:color w:val="374151"/>
                        </w:rPr>
                        <w:t>gender </w:t>
                      </w:r>
                      <w:r>
                        <w:rPr>
                          <w:color w:val="374151"/>
                          <w:spacing w:val="-2"/>
                        </w:rPr>
                        <w:t>dysphoria.</w:t>
                      </w:r>
                    </w:p>
                  </w:txbxContent>
                </v:textbox>
                <v:fill type="solid"/>
              </v:shape>
            </w:pict>
          </mc:Fallback>
        </mc:AlternateContent>
      </w:r>
      <w:r>
        <w:rPr>
          <w:sz w:val="20"/>
        </w:rPr>
      </w:r>
    </w:p>
    <w:p>
      <w:pPr>
        <w:pStyle w:val="BodyText"/>
        <w:spacing w:line="282" w:lineRule="exact"/>
        <w:ind w:left="280"/>
      </w:pPr>
      <w:r>
        <w:rPr/>
        <w:t>The</w:t>
      </w:r>
      <w:r>
        <w:rPr>
          <w:spacing w:val="-5"/>
        </w:rPr>
        <w:t> </w:t>
      </w:r>
      <w:r>
        <w:rPr/>
        <w:t>following</w:t>
      </w:r>
      <w:r>
        <w:rPr>
          <w:spacing w:val="-1"/>
        </w:rPr>
        <w:t> </w:t>
      </w:r>
      <w:r>
        <w:rPr/>
        <w:t>are</w:t>
      </w:r>
      <w:r>
        <w:rPr>
          <w:spacing w:val="-2"/>
        </w:rPr>
        <w:t> </w:t>
      </w:r>
      <w:r>
        <w:rPr/>
        <w:t>the</w:t>
      </w:r>
      <w:r>
        <w:rPr>
          <w:spacing w:val="-3"/>
        </w:rPr>
        <w:t> </w:t>
      </w:r>
      <w:r>
        <w:rPr/>
        <w:t>diagnostic</w:t>
      </w:r>
      <w:r>
        <w:rPr>
          <w:spacing w:val="-2"/>
        </w:rPr>
        <w:t> </w:t>
      </w:r>
      <w:r>
        <w:rPr/>
        <w:t>criteria</w:t>
      </w:r>
      <w:r>
        <w:rPr>
          <w:spacing w:val="-2"/>
        </w:rPr>
        <w:t> </w:t>
      </w:r>
      <w:r>
        <w:rPr/>
        <w:t>for</w:t>
      </w:r>
      <w:r>
        <w:rPr>
          <w:spacing w:val="-1"/>
        </w:rPr>
        <w:t> </w:t>
      </w:r>
      <w:r>
        <w:rPr/>
        <w:t>Gender</w:t>
      </w:r>
      <w:r>
        <w:rPr>
          <w:spacing w:val="-2"/>
        </w:rPr>
        <w:t> </w:t>
      </w:r>
      <w:r>
        <w:rPr/>
        <w:t>Dysphoria</w:t>
      </w:r>
      <w:r>
        <w:rPr>
          <w:spacing w:val="-2"/>
        </w:rPr>
        <w:t> </w:t>
      </w:r>
      <w:r>
        <w:rPr/>
        <w:t>as</w:t>
      </w:r>
      <w:r>
        <w:rPr>
          <w:spacing w:val="-1"/>
        </w:rPr>
        <w:t> </w:t>
      </w:r>
      <w:r>
        <w:rPr/>
        <w:t>outlined</w:t>
      </w:r>
      <w:r>
        <w:rPr>
          <w:spacing w:val="-1"/>
        </w:rPr>
        <w:t> </w:t>
      </w:r>
      <w:r>
        <w:rPr>
          <w:spacing w:val="-5"/>
        </w:rPr>
        <w:t>in</w:t>
      </w:r>
    </w:p>
    <w:p>
      <w:pPr>
        <w:pStyle w:val="BodyText"/>
        <w:spacing w:line="321" w:lineRule="exact"/>
        <w:ind w:left="280"/>
      </w:pPr>
      <w:r>
        <w:rPr/>
        <w:t>the</w:t>
      </w:r>
      <w:r>
        <w:rPr>
          <w:spacing w:val="-3"/>
        </w:rPr>
        <w:t> </w:t>
      </w:r>
      <w:r>
        <w:rPr/>
        <w:t>Diagnostic</w:t>
      </w:r>
      <w:r>
        <w:rPr>
          <w:spacing w:val="-3"/>
        </w:rPr>
        <w:t> </w:t>
      </w:r>
      <w:r>
        <w:rPr/>
        <w:t>and</w:t>
      </w:r>
      <w:r>
        <w:rPr>
          <w:spacing w:val="-2"/>
        </w:rPr>
        <w:t> </w:t>
      </w:r>
      <w:r>
        <w:rPr/>
        <w:t>Statistical</w:t>
      </w:r>
      <w:r>
        <w:rPr>
          <w:spacing w:val="-2"/>
        </w:rPr>
        <w:t> </w:t>
      </w:r>
      <w:r>
        <w:rPr/>
        <w:t>Manual</w:t>
      </w:r>
      <w:r>
        <w:rPr>
          <w:spacing w:val="-2"/>
        </w:rPr>
        <w:t> </w:t>
      </w:r>
      <w:r>
        <w:rPr/>
        <w:t>of</w:t>
      </w:r>
      <w:r>
        <w:rPr>
          <w:spacing w:val="-2"/>
        </w:rPr>
        <w:t> </w:t>
      </w:r>
      <w:r>
        <w:rPr/>
        <w:t>Mental</w:t>
      </w:r>
      <w:r>
        <w:rPr>
          <w:spacing w:val="-2"/>
        </w:rPr>
        <w:t> </w:t>
      </w:r>
      <w:r>
        <w:rPr/>
        <w:t>Disorders</w:t>
      </w:r>
      <w:r>
        <w:rPr>
          <w:spacing w:val="-1"/>
        </w:rPr>
        <w:t> </w:t>
      </w:r>
      <w:r>
        <w:rPr/>
        <w:t>(DSM-</w:t>
      </w:r>
      <w:r>
        <w:rPr>
          <w:spacing w:val="-5"/>
        </w:rPr>
        <w:t>5):</w:t>
      </w:r>
    </w:p>
    <w:p>
      <w:pPr>
        <w:pStyle w:val="BodyText"/>
        <w:spacing w:before="7"/>
        <w:rPr>
          <w:sz w:val="27"/>
        </w:rPr>
      </w:pPr>
    </w:p>
    <w:p>
      <w:pPr>
        <w:pStyle w:val="ListParagraph"/>
        <w:numPr>
          <w:ilvl w:val="0"/>
          <w:numId w:val="10"/>
        </w:numPr>
        <w:tabs>
          <w:tab w:pos="648" w:val="left" w:leader="none"/>
        </w:tabs>
        <w:spacing w:line="240" w:lineRule="auto" w:before="0" w:after="0"/>
        <w:ind w:left="648" w:right="787" w:hanging="369"/>
        <w:jc w:val="left"/>
        <w:rPr>
          <w:sz w:val="28"/>
        </w:rPr>
      </w:pPr>
      <w:r>
        <w:rPr>
          <w:sz w:val="28"/>
        </w:rPr>
        <w:t>A</w:t>
      </w:r>
      <w:r>
        <w:rPr>
          <w:spacing w:val="-18"/>
          <w:sz w:val="28"/>
        </w:rPr>
        <w:t> </w:t>
      </w:r>
      <w:r>
        <w:rPr>
          <w:sz w:val="28"/>
        </w:rPr>
        <w:t>marked</w:t>
      </w:r>
      <w:r>
        <w:rPr>
          <w:spacing w:val="-8"/>
          <w:sz w:val="28"/>
        </w:rPr>
        <w:t> </w:t>
      </w:r>
      <w:r>
        <w:rPr>
          <w:sz w:val="28"/>
        </w:rPr>
        <w:t>incongruence</w:t>
      </w:r>
      <w:r>
        <w:rPr>
          <w:spacing w:val="-7"/>
          <w:sz w:val="28"/>
        </w:rPr>
        <w:t> </w:t>
      </w:r>
      <w:r>
        <w:rPr>
          <w:sz w:val="28"/>
        </w:rPr>
        <w:t>between</w:t>
      </w:r>
      <w:r>
        <w:rPr>
          <w:spacing w:val="-6"/>
          <w:sz w:val="28"/>
        </w:rPr>
        <w:t> </w:t>
      </w:r>
      <w:r>
        <w:rPr>
          <w:sz w:val="28"/>
        </w:rPr>
        <w:t>one's</w:t>
      </w:r>
      <w:r>
        <w:rPr>
          <w:spacing w:val="-6"/>
          <w:sz w:val="28"/>
        </w:rPr>
        <w:t> </w:t>
      </w:r>
      <w:r>
        <w:rPr>
          <w:sz w:val="28"/>
        </w:rPr>
        <w:t>experienced/expressed</w:t>
      </w:r>
      <w:r>
        <w:rPr>
          <w:spacing w:val="-6"/>
          <w:sz w:val="28"/>
        </w:rPr>
        <w:t> </w:t>
      </w:r>
      <w:r>
        <w:rPr>
          <w:sz w:val="28"/>
        </w:rPr>
        <w:t>gender</w:t>
      </w:r>
      <w:r>
        <w:rPr>
          <w:spacing w:val="-6"/>
          <w:sz w:val="28"/>
        </w:rPr>
        <w:t> </w:t>
      </w:r>
      <w:r>
        <w:rPr>
          <w:sz w:val="28"/>
        </w:rPr>
        <w:t>and the assigned gender of at least six months' duration, as manifested by at least two of the following:</w:t>
      </w:r>
    </w:p>
    <w:p>
      <w:pPr>
        <w:pStyle w:val="BodyText"/>
        <w:spacing w:before="2"/>
        <w:rPr>
          <w:sz w:val="27"/>
        </w:rPr>
      </w:pPr>
    </w:p>
    <w:p>
      <w:pPr>
        <w:pStyle w:val="ListParagraph"/>
        <w:numPr>
          <w:ilvl w:val="1"/>
          <w:numId w:val="10"/>
        </w:numPr>
        <w:tabs>
          <w:tab w:pos="1406" w:val="left" w:leader="none"/>
        </w:tabs>
        <w:spacing w:line="240" w:lineRule="auto" w:before="1" w:after="0"/>
        <w:ind w:left="1406" w:right="768" w:hanging="560"/>
        <w:jc w:val="left"/>
        <w:rPr>
          <w:sz w:val="28"/>
        </w:rPr>
      </w:pPr>
      <w:r>
        <w:rPr>
          <w:sz w:val="28"/>
        </w:rPr>
        <w:t>A</w:t>
      </w:r>
      <w:r>
        <w:rPr>
          <w:spacing w:val="-18"/>
          <w:sz w:val="28"/>
        </w:rPr>
        <w:t> </w:t>
      </w:r>
      <w:r>
        <w:rPr>
          <w:sz w:val="28"/>
        </w:rPr>
        <w:t>strong</w:t>
      </w:r>
      <w:r>
        <w:rPr>
          <w:spacing w:val="-4"/>
          <w:sz w:val="28"/>
        </w:rPr>
        <w:t> </w:t>
      </w:r>
      <w:r>
        <w:rPr>
          <w:sz w:val="28"/>
        </w:rPr>
        <w:t>desire</w:t>
      </w:r>
      <w:r>
        <w:rPr>
          <w:spacing w:val="-4"/>
          <w:sz w:val="28"/>
        </w:rPr>
        <w:t> </w:t>
      </w:r>
      <w:r>
        <w:rPr>
          <w:sz w:val="28"/>
        </w:rPr>
        <w:t>to</w:t>
      </w:r>
      <w:r>
        <w:rPr>
          <w:spacing w:val="-3"/>
          <w:sz w:val="28"/>
        </w:rPr>
        <w:t> </w:t>
      </w:r>
      <w:r>
        <w:rPr>
          <w:sz w:val="28"/>
        </w:rPr>
        <w:t>be</w:t>
      </w:r>
      <w:r>
        <w:rPr>
          <w:spacing w:val="-4"/>
          <w:sz w:val="28"/>
        </w:rPr>
        <w:t> </w:t>
      </w:r>
      <w:r>
        <w:rPr>
          <w:sz w:val="28"/>
        </w:rPr>
        <w:t>of</w:t>
      </w:r>
      <w:r>
        <w:rPr>
          <w:spacing w:val="-3"/>
          <w:sz w:val="28"/>
        </w:rPr>
        <w:t> </w:t>
      </w:r>
      <w:r>
        <w:rPr>
          <w:sz w:val="28"/>
        </w:rPr>
        <w:t>a</w:t>
      </w:r>
      <w:r>
        <w:rPr>
          <w:spacing w:val="-4"/>
          <w:sz w:val="28"/>
        </w:rPr>
        <w:t> </w:t>
      </w:r>
      <w:r>
        <w:rPr>
          <w:sz w:val="28"/>
        </w:rPr>
        <w:t>gender</w:t>
      </w:r>
      <w:r>
        <w:rPr>
          <w:spacing w:val="-3"/>
          <w:sz w:val="28"/>
        </w:rPr>
        <w:t> </w:t>
      </w:r>
      <w:r>
        <w:rPr>
          <w:sz w:val="28"/>
        </w:rPr>
        <w:t>different</w:t>
      </w:r>
      <w:r>
        <w:rPr>
          <w:spacing w:val="-3"/>
          <w:sz w:val="28"/>
        </w:rPr>
        <w:t> </w:t>
      </w:r>
      <w:r>
        <w:rPr>
          <w:sz w:val="28"/>
        </w:rPr>
        <w:t>from</w:t>
      </w:r>
      <w:r>
        <w:rPr>
          <w:spacing w:val="-3"/>
          <w:sz w:val="28"/>
        </w:rPr>
        <w:t> </w:t>
      </w:r>
      <w:r>
        <w:rPr>
          <w:sz w:val="28"/>
        </w:rPr>
        <w:t>the</w:t>
      </w:r>
      <w:r>
        <w:rPr>
          <w:spacing w:val="-4"/>
          <w:sz w:val="28"/>
        </w:rPr>
        <w:t> </w:t>
      </w:r>
      <w:r>
        <w:rPr>
          <w:sz w:val="28"/>
        </w:rPr>
        <w:t>one</w:t>
      </w:r>
      <w:r>
        <w:rPr>
          <w:spacing w:val="-4"/>
          <w:sz w:val="28"/>
        </w:rPr>
        <w:t> </w:t>
      </w:r>
      <w:r>
        <w:rPr>
          <w:sz w:val="28"/>
        </w:rPr>
        <w:t>assigned</w:t>
      </w:r>
      <w:r>
        <w:rPr>
          <w:spacing w:val="-3"/>
          <w:sz w:val="28"/>
        </w:rPr>
        <w:t> </w:t>
      </w:r>
      <w:r>
        <w:rPr>
          <w:sz w:val="28"/>
        </w:rPr>
        <w:t>at </w:t>
      </w:r>
      <w:r>
        <w:rPr>
          <w:spacing w:val="-2"/>
          <w:sz w:val="28"/>
        </w:rPr>
        <w:t>birth.</w:t>
      </w:r>
    </w:p>
    <w:p>
      <w:pPr>
        <w:pStyle w:val="ListParagraph"/>
        <w:numPr>
          <w:ilvl w:val="1"/>
          <w:numId w:val="10"/>
        </w:numPr>
        <w:tabs>
          <w:tab w:pos="1406" w:val="left" w:leader="none"/>
        </w:tabs>
        <w:spacing w:line="237" w:lineRule="auto" w:before="0" w:after="0"/>
        <w:ind w:left="1406" w:right="1242" w:hanging="560"/>
        <w:jc w:val="left"/>
        <w:rPr>
          <w:sz w:val="28"/>
        </w:rPr>
      </w:pPr>
      <w:r>
        <w:rPr>
          <w:sz w:val="28"/>
        </w:rPr>
        <w:t>A</w:t>
      </w:r>
      <w:r>
        <w:rPr>
          <w:spacing w:val="-18"/>
          <w:sz w:val="28"/>
        </w:rPr>
        <w:t> </w:t>
      </w:r>
      <w:r>
        <w:rPr>
          <w:sz w:val="28"/>
        </w:rPr>
        <w:t>strong</w:t>
      </w:r>
      <w:r>
        <w:rPr>
          <w:spacing w:val="-4"/>
          <w:sz w:val="28"/>
        </w:rPr>
        <w:t> </w:t>
      </w:r>
      <w:r>
        <w:rPr>
          <w:sz w:val="28"/>
        </w:rPr>
        <w:t>desire</w:t>
      </w:r>
      <w:r>
        <w:rPr>
          <w:spacing w:val="-5"/>
          <w:sz w:val="28"/>
        </w:rPr>
        <w:t> </w:t>
      </w:r>
      <w:r>
        <w:rPr>
          <w:sz w:val="28"/>
        </w:rPr>
        <w:t>to</w:t>
      </w:r>
      <w:r>
        <w:rPr>
          <w:spacing w:val="-4"/>
          <w:sz w:val="28"/>
        </w:rPr>
        <w:t> </w:t>
      </w:r>
      <w:r>
        <w:rPr>
          <w:sz w:val="28"/>
        </w:rPr>
        <w:t>be</w:t>
      </w:r>
      <w:r>
        <w:rPr>
          <w:spacing w:val="-5"/>
          <w:sz w:val="28"/>
        </w:rPr>
        <w:t> </w:t>
      </w:r>
      <w:r>
        <w:rPr>
          <w:sz w:val="28"/>
        </w:rPr>
        <w:t>treated</w:t>
      </w:r>
      <w:r>
        <w:rPr>
          <w:spacing w:val="-4"/>
          <w:sz w:val="28"/>
        </w:rPr>
        <w:t> </w:t>
      </w:r>
      <w:r>
        <w:rPr>
          <w:sz w:val="28"/>
        </w:rPr>
        <w:t>as</w:t>
      </w:r>
      <w:r>
        <w:rPr>
          <w:spacing w:val="-4"/>
          <w:sz w:val="28"/>
        </w:rPr>
        <w:t> </w:t>
      </w:r>
      <w:r>
        <w:rPr>
          <w:sz w:val="28"/>
        </w:rPr>
        <w:t>a</w:t>
      </w:r>
      <w:r>
        <w:rPr>
          <w:spacing w:val="-5"/>
          <w:sz w:val="28"/>
        </w:rPr>
        <w:t> </w:t>
      </w:r>
      <w:r>
        <w:rPr>
          <w:sz w:val="28"/>
        </w:rPr>
        <w:t>gender</w:t>
      </w:r>
      <w:r>
        <w:rPr>
          <w:spacing w:val="-4"/>
          <w:sz w:val="28"/>
        </w:rPr>
        <w:t> </w:t>
      </w:r>
      <w:r>
        <w:rPr>
          <w:sz w:val="28"/>
        </w:rPr>
        <w:t>different</w:t>
      </w:r>
      <w:r>
        <w:rPr>
          <w:spacing w:val="-4"/>
          <w:sz w:val="28"/>
        </w:rPr>
        <w:t> </w:t>
      </w:r>
      <w:r>
        <w:rPr>
          <w:sz w:val="28"/>
        </w:rPr>
        <w:t>from</w:t>
      </w:r>
      <w:r>
        <w:rPr>
          <w:spacing w:val="-4"/>
          <w:sz w:val="28"/>
        </w:rPr>
        <w:t> </w:t>
      </w:r>
      <w:r>
        <w:rPr>
          <w:sz w:val="28"/>
        </w:rPr>
        <w:t>the</w:t>
      </w:r>
      <w:r>
        <w:rPr>
          <w:spacing w:val="-5"/>
          <w:sz w:val="28"/>
        </w:rPr>
        <w:t> </w:t>
      </w:r>
      <w:r>
        <w:rPr>
          <w:sz w:val="28"/>
        </w:rPr>
        <w:t>one assigned at birth.</w:t>
      </w:r>
    </w:p>
    <w:p>
      <w:pPr>
        <w:pStyle w:val="ListParagraph"/>
        <w:numPr>
          <w:ilvl w:val="1"/>
          <w:numId w:val="10"/>
        </w:numPr>
        <w:tabs>
          <w:tab w:pos="1406" w:val="left" w:leader="none"/>
        </w:tabs>
        <w:spacing w:line="240" w:lineRule="auto" w:before="0" w:after="0"/>
        <w:ind w:left="1406" w:right="576" w:hanging="560"/>
        <w:jc w:val="left"/>
        <w:rPr>
          <w:sz w:val="28"/>
        </w:rPr>
      </w:pPr>
      <w:r>
        <w:rPr>
          <w:sz w:val="28"/>
        </w:rPr>
        <w:t>A</w:t>
      </w:r>
      <w:r>
        <w:rPr>
          <w:spacing w:val="-18"/>
          <w:sz w:val="28"/>
        </w:rPr>
        <w:t> </w:t>
      </w:r>
      <w:r>
        <w:rPr>
          <w:sz w:val="28"/>
        </w:rPr>
        <w:t>strong</w:t>
      </w:r>
      <w:r>
        <w:rPr>
          <w:spacing w:val="-4"/>
          <w:sz w:val="28"/>
        </w:rPr>
        <w:t> </w:t>
      </w:r>
      <w:r>
        <w:rPr>
          <w:sz w:val="28"/>
        </w:rPr>
        <w:t>conviction</w:t>
      </w:r>
      <w:r>
        <w:rPr>
          <w:spacing w:val="-4"/>
          <w:sz w:val="28"/>
        </w:rPr>
        <w:t> </w:t>
      </w:r>
      <w:r>
        <w:rPr>
          <w:sz w:val="28"/>
        </w:rPr>
        <w:t>that</w:t>
      </w:r>
      <w:r>
        <w:rPr>
          <w:spacing w:val="-4"/>
          <w:sz w:val="28"/>
        </w:rPr>
        <w:t> </w:t>
      </w:r>
      <w:r>
        <w:rPr>
          <w:sz w:val="28"/>
        </w:rPr>
        <w:t>one</w:t>
      </w:r>
      <w:r>
        <w:rPr>
          <w:spacing w:val="-5"/>
          <w:sz w:val="28"/>
        </w:rPr>
        <w:t> </w:t>
      </w:r>
      <w:r>
        <w:rPr>
          <w:sz w:val="28"/>
        </w:rPr>
        <w:t>has</w:t>
      </w:r>
      <w:r>
        <w:rPr>
          <w:spacing w:val="-4"/>
          <w:sz w:val="28"/>
        </w:rPr>
        <w:t> </w:t>
      </w:r>
      <w:r>
        <w:rPr>
          <w:sz w:val="28"/>
        </w:rPr>
        <w:t>the</w:t>
      </w:r>
      <w:r>
        <w:rPr>
          <w:spacing w:val="-5"/>
          <w:sz w:val="28"/>
        </w:rPr>
        <w:t> </w:t>
      </w:r>
      <w:r>
        <w:rPr>
          <w:sz w:val="28"/>
        </w:rPr>
        <w:t>typical</w:t>
      </w:r>
      <w:r>
        <w:rPr>
          <w:spacing w:val="-4"/>
          <w:sz w:val="28"/>
        </w:rPr>
        <w:t> </w:t>
      </w:r>
      <w:r>
        <w:rPr>
          <w:sz w:val="28"/>
        </w:rPr>
        <w:t>feelings</w:t>
      </w:r>
      <w:r>
        <w:rPr>
          <w:spacing w:val="-4"/>
          <w:sz w:val="28"/>
        </w:rPr>
        <w:t> </w:t>
      </w:r>
      <w:r>
        <w:rPr>
          <w:sz w:val="28"/>
        </w:rPr>
        <w:t>and</w:t>
      </w:r>
      <w:r>
        <w:rPr>
          <w:spacing w:val="-4"/>
          <w:sz w:val="28"/>
        </w:rPr>
        <w:t> </w:t>
      </w:r>
      <w:r>
        <w:rPr>
          <w:sz w:val="28"/>
        </w:rPr>
        <w:t>reactions</w:t>
      </w:r>
      <w:r>
        <w:rPr>
          <w:spacing w:val="-4"/>
          <w:sz w:val="28"/>
        </w:rPr>
        <w:t> </w:t>
      </w:r>
      <w:r>
        <w:rPr>
          <w:sz w:val="28"/>
        </w:rPr>
        <w:t>of a gender different from the one assigned at birth.</w:t>
      </w:r>
    </w:p>
    <w:p>
      <w:pPr>
        <w:pStyle w:val="ListParagraph"/>
        <w:numPr>
          <w:ilvl w:val="1"/>
          <w:numId w:val="10"/>
        </w:numPr>
        <w:tabs>
          <w:tab w:pos="1406" w:val="left" w:leader="none"/>
        </w:tabs>
        <w:spacing w:line="237" w:lineRule="auto" w:before="0" w:after="0"/>
        <w:ind w:left="1406" w:right="1195" w:hanging="560"/>
        <w:jc w:val="left"/>
        <w:rPr>
          <w:sz w:val="28"/>
        </w:rPr>
      </w:pPr>
      <w:r>
        <w:rPr>
          <w:sz w:val="28"/>
        </w:rPr>
        <w:t>A</w:t>
      </w:r>
      <w:r>
        <w:rPr>
          <w:spacing w:val="-18"/>
          <w:sz w:val="28"/>
        </w:rPr>
        <w:t> </w:t>
      </w:r>
      <w:r>
        <w:rPr>
          <w:sz w:val="28"/>
        </w:rPr>
        <w:t>strong</w:t>
      </w:r>
      <w:r>
        <w:rPr>
          <w:spacing w:val="-5"/>
          <w:sz w:val="28"/>
        </w:rPr>
        <w:t> </w:t>
      </w:r>
      <w:r>
        <w:rPr>
          <w:sz w:val="28"/>
        </w:rPr>
        <w:t>desire</w:t>
      </w:r>
      <w:r>
        <w:rPr>
          <w:spacing w:val="-5"/>
          <w:sz w:val="28"/>
        </w:rPr>
        <w:t> </w:t>
      </w:r>
      <w:r>
        <w:rPr>
          <w:sz w:val="28"/>
        </w:rPr>
        <w:t>for</w:t>
      </w:r>
      <w:r>
        <w:rPr>
          <w:spacing w:val="-4"/>
          <w:sz w:val="28"/>
        </w:rPr>
        <w:t> </w:t>
      </w:r>
      <w:r>
        <w:rPr>
          <w:sz w:val="28"/>
        </w:rPr>
        <w:t>the</w:t>
      </w:r>
      <w:r>
        <w:rPr>
          <w:spacing w:val="-5"/>
          <w:sz w:val="28"/>
        </w:rPr>
        <w:t> </w:t>
      </w:r>
      <w:r>
        <w:rPr>
          <w:sz w:val="28"/>
        </w:rPr>
        <w:t>physical</w:t>
      </w:r>
      <w:r>
        <w:rPr>
          <w:spacing w:val="-4"/>
          <w:sz w:val="28"/>
        </w:rPr>
        <w:t> </w:t>
      </w:r>
      <w:r>
        <w:rPr>
          <w:sz w:val="28"/>
        </w:rPr>
        <w:t>characteristics</w:t>
      </w:r>
      <w:r>
        <w:rPr>
          <w:spacing w:val="-4"/>
          <w:sz w:val="28"/>
        </w:rPr>
        <w:t> </w:t>
      </w:r>
      <w:r>
        <w:rPr>
          <w:sz w:val="28"/>
        </w:rPr>
        <w:t>that</w:t>
      </w:r>
      <w:r>
        <w:rPr>
          <w:spacing w:val="-4"/>
          <w:sz w:val="28"/>
        </w:rPr>
        <w:t> </w:t>
      </w:r>
      <w:r>
        <w:rPr>
          <w:sz w:val="28"/>
        </w:rPr>
        <w:t>match</w:t>
      </w:r>
      <w:r>
        <w:rPr>
          <w:spacing w:val="-4"/>
          <w:sz w:val="28"/>
        </w:rPr>
        <w:t> </w:t>
      </w:r>
      <w:r>
        <w:rPr>
          <w:sz w:val="28"/>
        </w:rPr>
        <w:t>one's experienced gender.</w:t>
      </w:r>
    </w:p>
    <w:p>
      <w:pPr>
        <w:pStyle w:val="BodyText"/>
        <w:spacing w:before="2"/>
        <w:rPr>
          <w:sz w:val="27"/>
        </w:rPr>
      </w:pPr>
    </w:p>
    <w:p>
      <w:pPr>
        <w:pStyle w:val="ListParagraph"/>
        <w:numPr>
          <w:ilvl w:val="0"/>
          <w:numId w:val="10"/>
        </w:numPr>
        <w:tabs>
          <w:tab w:pos="600" w:val="left" w:leader="none"/>
        </w:tabs>
        <w:spacing w:line="240" w:lineRule="auto" w:before="1" w:after="0"/>
        <w:ind w:left="280" w:right="510" w:firstLine="0"/>
        <w:jc w:val="left"/>
        <w:rPr>
          <w:sz w:val="28"/>
        </w:rPr>
      </w:pPr>
      <w:r>
        <w:rPr>
          <w:sz w:val="28"/>
        </w:rPr>
        <w:t>The</w:t>
      </w:r>
      <w:r>
        <w:rPr>
          <w:spacing w:val="-5"/>
          <w:sz w:val="28"/>
        </w:rPr>
        <w:t> </w:t>
      </w:r>
      <w:r>
        <w:rPr>
          <w:sz w:val="28"/>
        </w:rPr>
        <w:t>condition</w:t>
      </w:r>
      <w:r>
        <w:rPr>
          <w:spacing w:val="-4"/>
          <w:sz w:val="28"/>
        </w:rPr>
        <w:t> </w:t>
      </w:r>
      <w:r>
        <w:rPr>
          <w:sz w:val="28"/>
        </w:rPr>
        <w:t>is</w:t>
      </w:r>
      <w:r>
        <w:rPr>
          <w:spacing w:val="-4"/>
          <w:sz w:val="28"/>
        </w:rPr>
        <w:t> </w:t>
      </w:r>
      <w:r>
        <w:rPr>
          <w:sz w:val="28"/>
        </w:rPr>
        <w:t>associated</w:t>
      </w:r>
      <w:r>
        <w:rPr>
          <w:spacing w:val="-4"/>
          <w:sz w:val="28"/>
        </w:rPr>
        <w:t> </w:t>
      </w:r>
      <w:r>
        <w:rPr>
          <w:sz w:val="28"/>
        </w:rPr>
        <w:t>with</w:t>
      </w:r>
      <w:r>
        <w:rPr>
          <w:spacing w:val="-4"/>
          <w:sz w:val="28"/>
        </w:rPr>
        <w:t> </w:t>
      </w:r>
      <w:r>
        <w:rPr>
          <w:sz w:val="28"/>
        </w:rPr>
        <w:t>clinically</w:t>
      </w:r>
      <w:r>
        <w:rPr>
          <w:spacing w:val="-4"/>
          <w:sz w:val="28"/>
        </w:rPr>
        <w:t> </w:t>
      </w:r>
      <w:r>
        <w:rPr>
          <w:sz w:val="28"/>
        </w:rPr>
        <w:t>significant</w:t>
      </w:r>
      <w:r>
        <w:rPr>
          <w:spacing w:val="-4"/>
          <w:sz w:val="28"/>
        </w:rPr>
        <w:t> </w:t>
      </w:r>
      <w:r>
        <w:rPr>
          <w:sz w:val="28"/>
        </w:rPr>
        <w:t>distress</w:t>
      </w:r>
      <w:r>
        <w:rPr>
          <w:spacing w:val="-4"/>
          <w:sz w:val="28"/>
        </w:rPr>
        <w:t> </w:t>
      </w:r>
      <w:r>
        <w:rPr>
          <w:sz w:val="28"/>
        </w:rPr>
        <w:t>or</w:t>
      </w:r>
      <w:r>
        <w:rPr>
          <w:spacing w:val="-4"/>
          <w:sz w:val="28"/>
        </w:rPr>
        <w:t> </w:t>
      </w:r>
      <w:r>
        <w:rPr>
          <w:sz w:val="28"/>
        </w:rPr>
        <w:t>impairment in social, occupational, or other important areas of functioning.</w:t>
      </w:r>
    </w:p>
    <w:p>
      <w:pPr>
        <w:pStyle w:val="BodyText"/>
        <w:spacing w:before="5"/>
        <w:rPr>
          <w:sz w:val="27"/>
        </w:rPr>
      </w:pPr>
    </w:p>
    <w:p>
      <w:pPr>
        <w:pStyle w:val="ListParagraph"/>
        <w:numPr>
          <w:ilvl w:val="0"/>
          <w:numId w:val="10"/>
        </w:numPr>
        <w:tabs>
          <w:tab w:pos="600" w:val="left" w:leader="none"/>
        </w:tabs>
        <w:spacing w:line="240" w:lineRule="auto" w:before="0" w:after="0"/>
        <w:ind w:left="280" w:right="602" w:firstLine="0"/>
        <w:jc w:val="left"/>
        <w:rPr>
          <w:rFonts w:ascii="Arial"/>
          <w:sz w:val="26"/>
        </w:rPr>
      </w:pPr>
      <w:r>
        <w:rPr>
          <w:sz w:val="28"/>
        </w:rPr>
        <w:t>The condition is not better explained by a concurrent intersex condition.</w:t>
      </w:r>
      <w:r>
        <w:rPr>
          <w:spacing w:val="40"/>
          <w:sz w:val="28"/>
        </w:rPr>
        <w:t> </w:t>
      </w:r>
      <w:r>
        <w:rPr>
          <w:sz w:val="28"/>
        </w:rPr>
        <w:t>It's</w:t>
      </w:r>
      <w:r>
        <w:rPr>
          <w:spacing w:val="-3"/>
          <w:sz w:val="28"/>
        </w:rPr>
        <w:t> </w:t>
      </w:r>
      <w:r>
        <w:rPr>
          <w:sz w:val="28"/>
        </w:rPr>
        <w:t>important</w:t>
      </w:r>
      <w:r>
        <w:rPr>
          <w:spacing w:val="-3"/>
          <w:sz w:val="28"/>
        </w:rPr>
        <w:t> </w:t>
      </w:r>
      <w:r>
        <w:rPr>
          <w:sz w:val="28"/>
        </w:rPr>
        <w:t>to</w:t>
      </w:r>
      <w:r>
        <w:rPr>
          <w:spacing w:val="-3"/>
          <w:sz w:val="28"/>
        </w:rPr>
        <w:t> </w:t>
      </w:r>
      <w:r>
        <w:rPr>
          <w:sz w:val="28"/>
        </w:rPr>
        <w:t>note</w:t>
      </w:r>
      <w:r>
        <w:rPr>
          <w:spacing w:val="-4"/>
          <w:sz w:val="28"/>
        </w:rPr>
        <w:t> </w:t>
      </w:r>
      <w:r>
        <w:rPr>
          <w:sz w:val="28"/>
        </w:rPr>
        <w:t>that</w:t>
      </w:r>
      <w:r>
        <w:rPr>
          <w:spacing w:val="-3"/>
          <w:sz w:val="28"/>
        </w:rPr>
        <w:t> </w:t>
      </w:r>
      <w:r>
        <w:rPr>
          <w:sz w:val="28"/>
        </w:rPr>
        <w:t>the</w:t>
      </w:r>
      <w:r>
        <w:rPr>
          <w:spacing w:val="-4"/>
          <w:sz w:val="28"/>
        </w:rPr>
        <w:t> </w:t>
      </w:r>
      <w:r>
        <w:rPr>
          <w:sz w:val="28"/>
        </w:rPr>
        <w:t>DSM-5</w:t>
      </w:r>
      <w:r>
        <w:rPr>
          <w:spacing w:val="-3"/>
          <w:sz w:val="28"/>
        </w:rPr>
        <w:t> </w:t>
      </w:r>
      <w:r>
        <w:rPr>
          <w:sz w:val="28"/>
        </w:rPr>
        <w:t>criteria</w:t>
      </w:r>
      <w:r>
        <w:rPr>
          <w:spacing w:val="-4"/>
          <w:sz w:val="28"/>
        </w:rPr>
        <w:t> </w:t>
      </w:r>
      <w:r>
        <w:rPr>
          <w:sz w:val="28"/>
        </w:rPr>
        <w:t>reflect</w:t>
      </w:r>
      <w:r>
        <w:rPr>
          <w:spacing w:val="-3"/>
          <w:sz w:val="28"/>
        </w:rPr>
        <w:t> </w:t>
      </w:r>
      <w:r>
        <w:rPr>
          <w:sz w:val="28"/>
        </w:rPr>
        <w:t>a</w:t>
      </w:r>
      <w:r>
        <w:rPr>
          <w:spacing w:val="-4"/>
          <w:sz w:val="28"/>
        </w:rPr>
        <w:t> </w:t>
      </w:r>
      <w:r>
        <w:rPr>
          <w:sz w:val="28"/>
        </w:rPr>
        <w:t>shift</w:t>
      </w:r>
      <w:r>
        <w:rPr>
          <w:spacing w:val="-3"/>
          <w:sz w:val="28"/>
        </w:rPr>
        <w:t> </w:t>
      </w:r>
      <w:r>
        <w:rPr>
          <w:sz w:val="28"/>
        </w:rPr>
        <w:t>from</w:t>
      </w:r>
      <w:r>
        <w:rPr>
          <w:spacing w:val="-3"/>
          <w:sz w:val="28"/>
        </w:rPr>
        <w:t> </w:t>
      </w:r>
      <w:r>
        <w:rPr>
          <w:sz w:val="28"/>
        </w:rPr>
        <w:t>pathologizing gender identity to focusing on the distress and impairment caused by the incongruence between gender identity and assigned gender. The criteria emphasize the individual's experiences </w:t>
      </w:r>
      <w:r>
        <w:rPr>
          <w:rFonts w:ascii="Arial"/>
          <w:sz w:val="26"/>
        </w:rPr>
        <w:t>and desires rather than classifying gender diversity as a mental disorder.</w:t>
      </w:r>
    </w:p>
    <w:p>
      <w:pPr>
        <w:pStyle w:val="BodyText"/>
        <w:spacing w:before="5"/>
        <w:rPr>
          <w:rFonts w:ascii="Arial"/>
          <w:sz w:val="24"/>
        </w:rPr>
      </w:pPr>
      <w:r>
        <w:rPr/>
        <mc:AlternateContent>
          <mc:Choice Requires="wps">
            <w:drawing>
              <wp:anchor distT="0" distB="0" distL="0" distR="0" allowOverlap="1" layoutInCell="1" locked="0" behindDoc="1" simplePos="0" relativeHeight="487614464">
                <wp:simplePos x="0" y="0"/>
                <wp:positionH relativeFrom="page">
                  <wp:posOffset>1066800</wp:posOffset>
                </wp:positionH>
                <wp:positionV relativeFrom="paragraph">
                  <wp:posOffset>193660</wp:posOffset>
                </wp:positionV>
                <wp:extent cx="2747010" cy="393700"/>
                <wp:effectExtent l="0" t="0" r="0" b="0"/>
                <wp:wrapTopAndBottom/>
                <wp:docPr id="102" name="Textbox 102"/>
                <wp:cNvGraphicFramePr>
                  <a:graphicFrameLocks/>
                </wp:cNvGraphicFramePr>
                <a:graphic>
                  <a:graphicData uri="http://schemas.microsoft.com/office/word/2010/wordprocessingShape">
                    <wps:wsp>
                      <wps:cNvPr id="102" name="Textbox 102"/>
                      <wps:cNvSpPr txBox="1"/>
                      <wps:spPr>
                        <a:xfrm>
                          <a:off x="0" y="0"/>
                          <a:ext cx="274701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Mental</w:t>
                            </w:r>
                            <w:r>
                              <w:rPr>
                                <w:b/>
                                <w:color w:val="374151"/>
                                <w:spacing w:val="-4"/>
                                <w:sz w:val="28"/>
                              </w:rPr>
                              <w:t> </w:t>
                            </w:r>
                            <w:r>
                              <w:rPr>
                                <w:b/>
                                <w:color w:val="374151"/>
                                <w:sz w:val="28"/>
                              </w:rPr>
                              <w:t>Health</w:t>
                            </w:r>
                            <w:r>
                              <w:rPr>
                                <w:b/>
                                <w:color w:val="374151"/>
                                <w:spacing w:val="-1"/>
                                <w:sz w:val="28"/>
                              </w:rPr>
                              <w:t> </w:t>
                            </w:r>
                            <w:r>
                              <w:rPr>
                                <w:b/>
                                <w:color w:val="374151"/>
                                <w:sz w:val="28"/>
                              </w:rPr>
                              <w:t>Risks</w:t>
                            </w:r>
                            <w:r>
                              <w:rPr>
                                <w:b/>
                                <w:color w:val="374151"/>
                                <w:spacing w:val="-1"/>
                                <w:sz w:val="28"/>
                              </w:rPr>
                              <w:t> </w:t>
                            </w:r>
                            <w:r>
                              <w:rPr>
                                <w:b/>
                                <w:color w:val="374151"/>
                                <w:sz w:val="28"/>
                              </w:rPr>
                              <w:t>and</w:t>
                            </w:r>
                            <w:r>
                              <w:rPr>
                                <w:b/>
                                <w:color w:val="374151"/>
                                <w:spacing w:val="-1"/>
                                <w:sz w:val="28"/>
                              </w:rPr>
                              <w:t> </w:t>
                            </w:r>
                            <w:r>
                              <w:rPr>
                                <w:b/>
                                <w:color w:val="374151"/>
                                <w:spacing w:val="-2"/>
                                <w:sz w:val="28"/>
                              </w:rPr>
                              <w:t>Suicidality</w:t>
                            </w:r>
                          </w:p>
                        </w:txbxContent>
                      </wps:txbx>
                      <wps:bodyPr wrap="square" lIns="0" tIns="0" rIns="0" bIns="0" rtlCol="0">
                        <a:noAutofit/>
                      </wps:bodyPr>
                    </wps:wsp>
                  </a:graphicData>
                </a:graphic>
              </wp:anchor>
            </w:drawing>
          </mc:Choice>
          <mc:Fallback>
            <w:pict>
              <v:shape style="position:absolute;margin-left:84pt;margin-top:15.248828pt;width:216.3pt;height:31pt;mso-position-horizontal-relative:page;mso-position-vertical-relative:paragraph;z-index:-15702016;mso-wrap-distance-left:0;mso-wrap-distance-right:0" type="#_x0000_t202" id="docshape101" filled="true" fillcolor="#f7f7f8" stroked="false">
                <v:textbox inset="0,0,0,0">
                  <w:txbxContent>
                    <w:p>
                      <w:pPr>
                        <w:spacing w:line="308" w:lineRule="exact" w:before="0"/>
                        <w:ind w:left="0" w:right="-15" w:firstLine="0"/>
                        <w:jc w:val="left"/>
                        <w:rPr>
                          <w:b/>
                          <w:color w:val="000000"/>
                          <w:sz w:val="28"/>
                        </w:rPr>
                      </w:pPr>
                      <w:r>
                        <w:rPr>
                          <w:b/>
                          <w:color w:val="374151"/>
                          <w:sz w:val="28"/>
                        </w:rPr>
                        <w:t>Mental</w:t>
                      </w:r>
                      <w:r>
                        <w:rPr>
                          <w:b/>
                          <w:color w:val="374151"/>
                          <w:spacing w:val="-4"/>
                          <w:sz w:val="28"/>
                        </w:rPr>
                        <w:t> </w:t>
                      </w:r>
                      <w:r>
                        <w:rPr>
                          <w:b/>
                          <w:color w:val="374151"/>
                          <w:sz w:val="28"/>
                        </w:rPr>
                        <w:t>Health</w:t>
                      </w:r>
                      <w:r>
                        <w:rPr>
                          <w:b/>
                          <w:color w:val="374151"/>
                          <w:spacing w:val="-1"/>
                          <w:sz w:val="28"/>
                        </w:rPr>
                        <w:t> </w:t>
                      </w:r>
                      <w:r>
                        <w:rPr>
                          <w:b/>
                          <w:color w:val="374151"/>
                          <w:sz w:val="28"/>
                        </w:rPr>
                        <w:t>Risks</w:t>
                      </w:r>
                      <w:r>
                        <w:rPr>
                          <w:b/>
                          <w:color w:val="374151"/>
                          <w:spacing w:val="-1"/>
                          <w:sz w:val="28"/>
                        </w:rPr>
                        <w:t> </w:t>
                      </w:r>
                      <w:r>
                        <w:rPr>
                          <w:b/>
                          <w:color w:val="374151"/>
                          <w:sz w:val="28"/>
                        </w:rPr>
                        <w:t>and</w:t>
                      </w:r>
                      <w:r>
                        <w:rPr>
                          <w:b/>
                          <w:color w:val="374151"/>
                          <w:spacing w:val="-1"/>
                          <w:sz w:val="28"/>
                        </w:rPr>
                        <w:t> </w:t>
                      </w:r>
                      <w:r>
                        <w:rPr>
                          <w:b/>
                          <w:color w:val="374151"/>
                          <w:spacing w:val="-2"/>
                          <w:sz w:val="28"/>
                        </w:rPr>
                        <w:t>Suicidality</w:t>
                      </w:r>
                    </w:p>
                  </w:txbxContent>
                </v:textbox>
                <v:fill type="solid"/>
                <w10:wrap type="topAndBottom"/>
              </v:shape>
            </w:pict>
          </mc:Fallback>
        </mc:AlternateContent>
      </w:r>
    </w:p>
    <w:p>
      <w:pPr>
        <w:pStyle w:val="BodyText"/>
        <w:spacing w:line="237" w:lineRule="auto"/>
        <w:ind w:left="280" w:right="515"/>
      </w:pPr>
      <w:r>
        <w:rPr>
          <w:color w:val="374151"/>
          <w:shd w:fill="F7F7F8" w:color="auto" w:val="clear"/>
        </w:rPr>
        <w:t>It</w:t>
      </w:r>
      <w:r>
        <w:rPr>
          <w:color w:val="374151"/>
          <w:spacing w:val="-2"/>
          <w:shd w:fill="F7F7F8" w:color="auto" w:val="clear"/>
        </w:rPr>
        <w:t> </w:t>
      </w:r>
      <w:r>
        <w:rPr>
          <w:color w:val="374151"/>
          <w:shd w:fill="F7F7F8" w:color="auto" w:val="clear"/>
        </w:rPr>
        <w:t>is</w:t>
      </w:r>
      <w:r>
        <w:rPr>
          <w:color w:val="374151"/>
          <w:spacing w:val="-2"/>
          <w:shd w:fill="F7F7F8" w:color="auto" w:val="clear"/>
        </w:rPr>
        <w:t> </w:t>
      </w:r>
      <w:r>
        <w:rPr>
          <w:color w:val="374151"/>
          <w:shd w:fill="F7F7F8" w:color="auto" w:val="clear"/>
        </w:rPr>
        <w:t>crucial</w:t>
      </w:r>
      <w:r>
        <w:rPr>
          <w:color w:val="374151"/>
          <w:spacing w:val="-2"/>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recognize</w:t>
      </w:r>
      <w:r>
        <w:rPr>
          <w:color w:val="374151"/>
          <w:spacing w:val="-3"/>
          <w:shd w:fill="F7F7F8" w:color="auto" w:val="clear"/>
        </w:rPr>
        <w:t> </w:t>
      </w:r>
      <w:r>
        <w:rPr>
          <w:color w:val="374151"/>
          <w:shd w:fill="F7F7F8" w:color="auto" w:val="clear"/>
        </w:rPr>
        <w:t>that</w:t>
      </w:r>
      <w:r>
        <w:rPr>
          <w:color w:val="374151"/>
          <w:spacing w:val="-2"/>
          <w:shd w:fill="F7F7F8" w:color="auto" w:val="clear"/>
        </w:rPr>
        <w:t> </w:t>
      </w:r>
      <w:r>
        <w:rPr>
          <w:color w:val="374151"/>
          <w:shd w:fill="F7F7F8" w:color="auto" w:val="clear"/>
        </w:rPr>
        <w:t>individuals</w:t>
      </w:r>
      <w:r>
        <w:rPr>
          <w:color w:val="374151"/>
          <w:spacing w:val="-2"/>
          <w:shd w:fill="F7F7F8" w:color="auto" w:val="clear"/>
        </w:rPr>
        <w:t> </w:t>
      </w:r>
      <w:r>
        <w:rPr>
          <w:color w:val="374151"/>
          <w:shd w:fill="F7F7F8" w:color="auto" w:val="clear"/>
        </w:rPr>
        <w:t>experiencing</w:t>
      </w:r>
      <w:r>
        <w:rPr>
          <w:color w:val="374151"/>
          <w:spacing w:val="-2"/>
          <w:shd w:fill="F7F7F8" w:color="auto" w:val="clear"/>
        </w:rPr>
        <w:t> </w:t>
      </w:r>
      <w:r>
        <w:rPr>
          <w:color w:val="374151"/>
          <w:shd w:fill="F7F7F8" w:color="auto" w:val="clear"/>
        </w:rPr>
        <w:t>gender</w:t>
      </w:r>
      <w:r>
        <w:rPr>
          <w:color w:val="374151"/>
          <w:spacing w:val="-2"/>
          <w:shd w:fill="F7F7F8" w:color="auto" w:val="clear"/>
        </w:rPr>
        <w:t> </w:t>
      </w:r>
      <w:r>
        <w:rPr>
          <w:color w:val="374151"/>
          <w:shd w:fill="F7F7F8" w:color="auto" w:val="clear"/>
        </w:rPr>
        <w:t>dysphoria</w:t>
      </w:r>
      <w:r>
        <w:rPr>
          <w:color w:val="374151"/>
          <w:spacing w:val="-3"/>
          <w:shd w:fill="F7F7F8" w:color="auto" w:val="clear"/>
        </w:rPr>
        <w:t> </w:t>
      </w:r>
      <w:r>
        <w:rPr>
          <w:color w:val="374151"/>
          <w:shd w:fill="F7F7F8" w:color="auto" w:val="clear"/>
        </w:rPr>
        <w:t>often</w:t>
      </w:r>
      <w:r>
        <w:rPr>
          <w:color w:val="374151"/>
          <w:spacing w:val="-3"/>
          <w:shd w:fill="F7F7F8" w:color="auto" w:val="clear"/>
        </w:rPr>
        <w:t> </w:t>
      </w:r>
      <w:r>
        <w:rPr>
          <w:color w:val="374151"/>
          <w:spacing w:val="-3"/>
        </w:rPr>
        <w:t> </w:t>
      </w:r>
      <w:r>
        <w:rPr>
          <w:color w:val="374151"/>
          <w:shd w:fill="F7F7F8" w:color="auto" w:val="clear"/>
        </w:rPr>
        <w:t>face higher rates of mental health challenges and suicidality compared to the </w:t>
      </w:r>
      <w:r>
        <w:rPr>
          <w:color w:val="374151"/>
        </w:rPr>
        <w:t> </w:t>
      </w:r>
      <w:r>
        <w:rPr>
          <w:color w:val="374151"/>
          <w:shd w:fill="F7F7F8" w:color="auto" w:val="clear"/>
        </w:rPr>
        <w:t>general</w:t>
      </w:r>
      <w:r>
        <w:rPr>
          <w:color w:val="374151"/>
          <w:spacing w:val="-2"/>
          <w:shd w:fill="F7F7F8" w:color="auto" w:val="clear"/>
        </w:rPr>
        <w:t> </w:t>
      </w:r>
      <w:r>
        <w:rPr>
          <w:color w:val="374151"/>
          <w:shd w:fill="F7F7F8" w:color="auto" w:val="clear"/>
        </w:rPr>
        <w:t>population.</w:t>
      </w:r>
      <w:r>
        <w:rPr>
          <w:color w:val="374151"/>
          <w:spacing w:val="-2"/>
          <w:shd w:fill="F7F7F8" w:color="auto" w:val="clear"/>
        </w:rPr>
        <w:t> </w:t>
      </w:r>
      <w:r>
        <w:rPr>
          <w:color w:val="374151"/>
          <w:shd w:fill="F7F7F8" w:color="auto" w:val="clear"/>
        </w:rPr>
        <w:t>Research</w:t>
      </w:r>
      <w:r>
        <w:rPr>
          <w:color w:val="374151"/>
          <w:spacing w:val="-2"/>
          <w:shd w:fill="F7F7F8" w:color="auto" w:val="clear"/>
        </w:rPr>
        <w:t> </w:t>
      </w:r>
      <w:r>
        <w:rPr>
          <w:color w:val="374151"/>
          <w:shd w:fill="F7F7F8" w:color="auto" w:val="clear"/>
        </w:rPr>
        <w:t>suggests</w:t>
      </w:r>
      <w:r>
        <w:rPr>
          <w:color w:val="374151"/>
          <w:spacing w:val="-2"/>
          <w:shd w:fill="F7F7F8" w:color="auto" w:val="clear"/>
        </w:rPr>
        <w:t> </w:t>
      </w:r>
      <w:r>
        <w:rPr>
          <w:color w:val="374151"/>
          <w:shd w:fill="F7F7F8" w:color="auto" w:val="clear"/>
        </w:rPr>
        <w:t>that</w:t>
      </w:r>
      <w:r>
        <w:rPr>
          <w:color w:val="374151"/>
          <w:spacing w:val="-2"/>
          <w:shd w:fill="F7F7F8" w:color="auto" w:val="clear"/>
        </w:rPr>
        <w:t> </w:t>
      </w:r>
      <w:r>
        <w:rPr>
          <w:color w:val="374151"/>
          <w:shd w:fill="F7F7F8" w:color="auto" w:val="clear"/>
        </w:rPr>
        <w:t>social</w:t>
      </w:r>
      <w:r>
        <w:rPr>
          <w:color w:val="374151"/>
          <w:spacing w:val="-2"/>
          <w:shd w:fill="F7F7F8" w:color="auto" w:val="clear"/>
        </w:rPr>
        <w:t> </w:t>
      </w:r>
      <w:r>
        <w:rPr>
          <w:color w:val="374151"/>
          <w:shd w:fill="F7F7F8" w:color="auto" w:val="clear"/>
        </w:rPr>
        <w:t>stigma,</w:t>
      </w:r>
      <w:r>
        <w:rPr>
          <w:color w:val="374151"/>
          <w:spacing w:val="-2"/>
          <w:shd w:fill="F7F7F8" w:color="auto" w:val="clear"/>
        </w:rPr>
        <w:t> </w:t>
      </w:r>
      <w:r>
        <w:rPr>
          <w:color w:val="374151"/>
          <w:shd w:fill="F7F7F8" w:color="auto" w:val="clear"/>
        </w:rPr>
        <w:t>discrimination,</w:t>
      </w:r>
      <w:r>
        <w:rPr>
          <w:color w:val="374151"/>
          <w:spacing w:val="-2"/>
          <w:shd w:fill="F7F7F8" w:color="auto" w:val="clear"/>
        </w:rPr>
        <w:t> </w:t>
      </w:r>
      <w:r>
        <w:rPr>
          <w:color w:val="374151"/>
          <w:shd w:fill="F7F7F8" w:color="auto" w:val="clear"/>
        </w:rPr>
        <w:t>lack</w:t>
      </w:r>
      <w:r>
        <w:rPr>
          <w:color w:val="374151"/>
          <w:spacing w:val="-3"/>
          <w:shd w:fill="F7F7F8" w:color="auto" w:val="clear"/>
        </w:rPr>
        <w:t> </w:t>
      </w:r>
      <w:r>
        <w:rPr>
          <w:color w:val="374151"/>
          <w:spacing w:val="-3"/>
        </w:rPr>
        <w:t> </w:t>
      </w:r>
      <w:r>
        <w:rPr>
          <w:color w:val="374151"/>
          <w:shd w:fill="F7F7F8" w:color="auto" w:val="clear"/>
        </w:rPr>
        <w:t>of</w:t>
      </w:r>
      <w:r>
        <w:rPr>
          <w:color w:val="374151"/>
          <w:spacing w:val="-3"/>
          <w:shd w:fill="F7F7F8" w:color="auto" w:val="clear"/>
        </w:rPr>
        <w:t> </w:t>
      </w:r>
      <w:r>
        <w:rPr>
          <w:color w:val="374151"/>
          <w:shd w:fill="F7F7F8" w:color="auto" w:val="clear"/>
        </w:rPr>
        <w:t>acceptance,</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lack</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access</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appropriate</w:t>
      </w:r>
      <w:r>
        <w:rPr>
          <w:color w:val="374151"/>
          <w:spacing w:val="-4"/>
          <w:shd w:fill="F7F7F8" w:color="auto" w:val="clear"/>
        </w:rPr>
        <w:t> </w:t>
      </w:r>
      <w:r>
        <w:rPr>
          <w:color w:val="374151"/>
          <w:shd w:fill="F7F7F8" w:color="auto" w:val="clear"/>
        </w:rPr>
        <w:t>healthcare</w:t>
      </w:r>
      <w:r>
        <w:rPr>
          <w:color w:val="374151"/>
          <w:spacing w:val="-4"/>
          <w:shd w:fill="F7F7F8" w:color="auto" w:val="clear"/>
        </w:rPr>
        <w:t> </w:t>
      </w:r>
      <w:r>
        <w:rPr>
          <w:color w:val="374151"/>
          <w:shd w:fill="F7F7F8" w:color="auto" w:val="clear"/>
        </w:rPr>
        <w:t>contribute</w:t>
      </w:r>
      <w:r>
        <w:rPr>
          <w:color w:val="374151"/>
          <w:spacing w:val="-4"/>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these</w:t>
      </w:r>
      <w:r>
        <w:rPr>
          <w:color w:val="374151"/>
          <w:spacing w:val="-4"/>
          <w:shd w:fill="F7F7F8" w:color="auto" w:val="clear"/>
        </w:rPr>
        <w:t> </w:t>
      </w:r>
      <w:r>
        <w:rPr>
          <w:color w:val="374151"/>
          <w:spacing w:val="-4"/>
        </w:rPr>
        <w:t> </w:t>
      </w:r>
      <w:r>
        <w:rPr>
          <w:color w:val="374151"/>
          <w:shd w:fill="F7F7F8" w:color="auto" w:val="clear"/>
        </w:rPr>
        <w:t>elevated risks. Mental health professionals should prioritize the assessment</w:t>
      </w:r>
      <w:r>
        <w:rPr>
          <w:color w:val="374151"/>
          <w:spacing w:val="40"/>
          <w:shd w:fill="F7F7F8" w:color="auto" w:val="clear"/>
        </w:rPr>
        <w:t> </w:t>
      </w:r>
    </w:p>
    <w:p>
      <w:pPr>
        <w:spacing w:after="0" w:line="237" w:lineRule="auto"/>
        <w:sectPr>
          <w:pgSz w:w="12240" w:h="15840"/>
          <w:pgMar w:header="0" w:footer="765" w:top="1260" w:bottom="980" w:left="1400" w:right="1180"/>
        </w:sectPr>
      </w:pPr>
    </w:p>
    <w:p>
      <w:pPr>
        <w:pStyle w:val="BodyText"/>
        <w:rPr>
          <w:sz w:val="20"/>
        </w:rPr>
      </w:pPr>
    </w:p>
    <w:p>
      <w:pPr>
        <w:pStyle w:val="BodyText"/>
        <w:rPr>
          <w:sz w:val="20"/>
        </w:rPr>
      </w:pPr>
    </w:p>
    <w:p>
      <w:pPr>
        <w:pStyle w:val="BodyText"/>
        <w:rPr>
          <w:sz w:val="20"/>
        </w:rPr>
      </w:pPr>
    </w:p>
    <w:p>
      <w:pPr>
        <w:pStyle w:val="BodyText"/>
        <w:spacing w:before="236"/>
        <w:ind w:left="280" w:right="502"/>
      </w:pPr>
      <w:r>
        <w:rPr/>
        <mc:AlternateContent>
          <mc:Choice Requires="wps">
            <w:drawing>
              <wp:anchor distT="0" distB="0" distL="0" distR="0" allowOverlap="1" layoutInCell="1" locked="0" behindDoc="0" simplePos="0" relativeHeight="15755776">
                <wp:simplePos x="0" y="0"/>
                <wp:positionH relativeFrom="page">
                  <wp:posOffset>1066800</wp:posOffset>
                </wp:positionH>
                <wp:positionV relativeFrom="paragraph">
                  <wp:posOffset>-438235</wp:posOffset>
                </wp:positionV>
                <wp:extent cx="5426710" cy="5969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5426710" cy="596900"/>
                        </a:xfrm>
                        <a:prstGeom prst="rect">
                          <a:avLst/>
                        </a:prstGeom>
                        <a:solidFill>
                          <a:srgbClr val="F7F7F8"/>
                        </a:solidFill>
                      </wps:spPr>
                      <wps:txbx>
                        <w:txbxContent>
                          <w:p>
                            <w:pPr>
                              <w:pStyle w:val="BodyText"/>
                              <w:spacing w:line="237" w:lineRule="auto"/>
                              <w:ind w:right="-13"/>
                              <w:rPr>
                                <w:color w:val="000000"/>
                              </w:rPr>
                            </w:pPr>
                            <w:r>
                              <w:rPr>
                                <w:color w:val="374151"/>
                              </w:rPr>
                              <w:t>and management of suicidality when working with gender dysphoric individuals</w:t>
                            </w:r>
                            <w:r>
                              <w:rPr>
                                <w:color w:val="374151"/>
                                <w:spacing w:val="-2"/>
                              </w:rPr>
                              <w:t> </w:t>
                            </w:r>
                            <w:r>
                              <w:rPr>
                                <w:color w:val="374151"/>
                              </w:rPr>
                              <w:t>and</w:t>
                            </w:r>
                            <w:r>
                              <w:rPr>
                                <w:color w:val="374151"/>
                                <w:spacing w:val="-3"/>
                              </w:rPr>
                              <w:t> </w:t>
                            </w:r>
                            <w:r>
                              <w:rPr>
                                <w:color w:val="374151"/>
                              </w:rPr>
                              <w:t>provide</w:t>
                            </w:r>
                            <w:r>
                              <w:rPr>
                                <w:color w:val="374151"/>
                                <w:spacing w:val="-3"/>
                              </w:rPr>
                              <w:t> </w:t>
                            </w:r>
                            <w:r>
                              <w:rPr>
                                <w:color w:val="374151"/>
                              </w:rPr>
                              <w:t>a</w:t>
                            </w:r>
                            <w:r>
                              <w:rPr>
                                <w:color w:val="374151"/>
                                <w:spacing w:val="-3"/>
                              </w:rPr>
                              <w:t> </w:t>
                            </w:r>
                            <w:r>
                              <w:rPr>
                                <w:color w:val="374151"/>
                              </w:rPr>
                              <w:t>supportive</w:t>
                            </w:r>
                            <w:r>
                              <w:rPr>
                                <w:color w:val="374151"/>
                                <w:spacing w:val="-3"/>
                              </w:rPr>
                              <w:t> </w:t>
                            </w:r>
                            <w:r>
                              <w:rPr>
                                <w:color w:val="374151"/>
                              </w:rPr>
                              <w:t>environment</w:t>
                            </w:r>
                            <w:r>
                              <w:rPr>
                                <w:color w:val="374151"/>
                                <w:spacing w:val="-2"/>
                              </w:rPr>
                              <w:t> </w:t>
                            </w:r>
                            <w:r>
                              <w:rPr>
                                <w:color w:val="374151"/>
                              </w:rPr>
                              <w:t>to</w:t>
                            </w:r>
                            <w:r>
                              <w:rPr>
                                <w:color w:val="374151"/>
                                <w:spacing w:val="-3"/>
                              </w:rPr>
                              <w:t> </w:t>
                            </w:r>
                            <w:r>
                              <w:rPr>
                                <w:color w:val="374151"/>
                              </w:rPr>
                              <w:t>help</w:t>
                            </w:r>
                            <w:r>
                              <w:rPr>
                                <w:color w:val="374151"/>
                                <w:spacing w:val="-2"/>
                              </w:rPr>
                              <w:t> </w:t>
                            </w:r>
                            <w:r>
                              <w:rPr>
                                <w:color w:val="374151"/>
                              </w:rPr>
                              <w:t>reduce</w:t>
                            </w:r>
                            <w:r>
                              <w:rPr>
                                <w:color w:val="374151"/>
                                <w:spacing w:val="-3"/>
                              </w:rPr>
                              <w:t> </w:t>
                            </w:r>
                            <w:r>
                              <w:rPr>
                                <w:color w:val="374151"/>
                              </w:rPr>
                              <w:t>these</w:t>
                            </w:r>
                            <w:r>
                              <w:rPr>
                                <w:color w:val="374151"/>
                                <w:spacing w:val="-3"/>
                              </w:rPr>
                              <w:t> </w:t>
                            </w:r>
                            <w:r>
                              <w:rPr>
                                <w:color w:val="374151"/>
                              </w:rPr>
                              <w:t>risks.</w:t>
                            </w:r>
                          </w:p>
                        </w:txbxContent>
                      </wps:txbx>
                      <wps:bodyPr wrap="square" lIns="0" tIns="0" rIns="0" bIns="0" rtlCol="0">
                        <a:noAutofit/>
                      </wps:bodyPr>
                    </wps:wsp>
                  </a:graphicData>
                </a:graphic>
              </wp:anchor>
            </w:drawing>
          </mc:Choice>
          <mc:Fallback>
            <w:pict>
              <v:shape style="position:absolute;margin-left:84pt;margin-top:-34.506702pt;width:427.3pt;height:47pt;mso-position-horizontal-relative:page;mso-position-vertical-relative:paragraph;z-index:15755776" type="#_x0000_t202" id="docshape102" filled="true" fillcolor="#f7f7f8" stroked="false">
                <v:textbox inset="0,0,0,0">
                  <w:txbxContent>
                    <w:p>
                      <w:pPr>
                        <w:pStyle w:val="BodyText"/>
                        <w:spacing w:line="237" w:lineRule="auto"/>
                        <w:ind w:right="-13"/>
                        <w:rPr>
                          <w:color w:val="000000"/>
                        </w:rPr>
                      </w:pPr>
                      <w:r>
                        <w:rPr>
                          <w:color w:val="374151"/>
                        </w:rPr>
                        <w:t>and management of suicidality when working with gender dysphoric individuals</w:t>
                      </w:r>
                      <w:r>
                        <w:rPr>
                          <w:color w:val="374151"/>
                          <w:spacing w:val="-2"/>
                        </w:rPr>
                        <w:t> </w:t>
                      </w:r>
                      <w:r>
                        <w:rPr>
                          <w:color w:val="374151"/>
                        </w:rPr>
                        <w:t>and</w:t>
                      </w:r>
                      <w:r>
                        <w:rPr>
                          <w:color w:val="374151"/>
                          <w:spacing w:val="-3"/>
                        </w:rPr>
                        <w:t> </w:t>
                      </w:r>
                      <w:r>
                        <w:rPr>
                          <w:color w:val="374151"/>
                        </w:rPr>
                        <w:t>provide</w:t>
                      </w:r>
                      <w:r>
                        <w:rPr>
                          <w:color w:val="374151"/>
                          <w:spacing w:val="-3"/>
                        </w:rPr>
                        <w:t> </w:t>
                      </w:r>
                      <w:r>
                        <w:rPr>
                          <w:color w:val="374151"/>
                        </w:rPr>
                        <w:t>a</w:t>
                      </w:r>
                      <w:r>
                        <w:rPr>
                          <w:color w:val="374151"/>
                          <w:spacing w:val="-3"/>
                        </w:rPr>
                        <w:t> </w:t>
                      </w:r>
                      <w:r>
                        <w:rPr>
                          <w:color w:val="374151"/>
                        </w:rPr>
                        <w:t>supportive</w:t>
                      </w:r>
                      <w:r>
                        <w:rPr>
                          <w:color w:val="374151"/>
                          <w:spacing w:val="-3"/>
                        </w:rPr>
                        <w:t> </w:t>
                      </w:r>
                      <w:r>
                        <w:rPr>
                          <w:color w:val="374151"/>
                        </w:rPr>
                        <w:t>environment</w:t>
                      </w:r>
                      <w:r>
                        <w:rPr>
                          <w:color w:val="374151"/>
                          <w:spacing w:val="-2"/>
                        </w:rPr>
                        <w:t> </w:t>
                      </w:r>
                      <w:r>
                        <w:rPr>
                          <w:color w:val="374151"/>
                        </w:rPr>
                        <w:t>to</w:t>
                      </w:r>
                      <w:r>
                        <w:rPr>
                          <w:color w:val="374151"/>
                          <w:spacing w:val="-3"/>
                        </w:rPr>
                        <w:t> </w:t>
                      </w:r>
                      <w:r>
                        <w:rPr>
                          <w:color w:val="374151"/>
                        </w:rPr>
                        <w:t>help</w:t>
                      </w:r>
                      <w:r>
                        <w:rPr>
                          <w:color w:val="374151"/>
                          <w:spacing w:val="-2"/>
                        </w:rPr>
                        <w:t> </w:t>
                      </w:r>
                      <w:r>
                        <w:rPr>
                          <w:color w:val="374151"/>
                        </w:rPr>
                        <w:t>reduce</w:t>
                      </w:r>
                      <w:r>
                        <w:rPr>
                          <w:color w:val="374151"/>
                          <w:spacing w:val="-3"/>
                        </w:rPr>
                        <w:t> </w:t>
                      </w:r>
                      <w:r>
                        <w:rPr>
                          <w:color w:val="374151"/>
                        </w:rPr>
                        <w:t>these</w:t>
                      </w:r>
                      <w:r>
                        <w:rPr>
                          <w:color w:val="374151"/>
                          <w:spacing w:val="-3"/>
                        </w:rPr>
                        <w:t> </w:t>
                      </w:r>
                      <w:r>
                        <w:rPr>
                          <w:color w:val="374151"/>
                        </w:rPr>
                        <w:t>risks.</w:t>
                      </w:r>
                    </w:p>
                  </w:txbxContent>
                </v:textbox>
                <v:fill type="solid"/>
                <w10:wrap type="none"/>
              </v:shape>
            </w:pict>
          </mc:Fallback>
        </mc:AlternateContent>
      </w:r>
      <w:r>
        <w:rPr/>
        <w:t>Suicide is a serious concern when discussing gender dysphoria. Research has consistently shown that individuals with gender dysphoria are at a higher risk of experiencing mental health challenges, including an increased risk of suicidal ideation and suicide attempts. It is essential to address this topic with sensitivity</w:t>
      </w:r>
      <w:r>
        <w:rPr>
          <w:spacing w:val="-4"/>
        </w:rPr>
        <w:t> </w:t>
      </w:r>
      <w:r>
        <w:rPr/>
        <w:t>and</w:t>
      </w:r>
      <w:r>
        <w:rPr>
          <w:spacing w:val="-4"/>
        </w:rPr>
        <w:t> </w:t>
      </w:r>
      <w:r>
        <w:rPr/>
        <w:t>emphasize</w:t>
      </w:r>
      <w:r>
        <w:rPr>
          <w:spacing w:val="-5"/>
        </w:rPr>
        <w:t> </w:t>
      </w:r>
      <w:r>
        <w:rPr/>
        <w:t>the</w:t>
      </w:r>
      <w:r>
        <w:rPr>
          <w:spacing w:val="-5"/>
        </w:rPr>
        <w:t> </w:t>
      </w:r>
      <w:r>
        <w:rPr/>
        <w:t>importance</w:t>
      </w:r>
      <w:r>
        <w:rPr>
          <w:spacing w:val="-5"/>
        </w:rPr>
        <w:t> </w:t>
      </w:r>
      <w:r>
        <w:rPr/>
        <w:t>of</w:t>
      </w:r>
      <w:r>
        <w:rPr>
          <w:spacing w:val="-4"/>
        </w:rPr>
        <w:t> </w:t>
      </w:r>
      <w:r>
        <w:rPr/>
        <w:t>providing</w:t>
      </w:r>
      <w:r>
        <w:rPr>
          <w:spacing w:val="-4"/>
        </w:rPr>
        <w:t> </w:t>
      </w:r>
      <w:r>
        <w:rPr/>
        <w:t>appropriate</w:t>
      </w:r>
      <w:r>
        <w:rPr>
          <w:spacing w:val="-5"/>
        </w:rPr>
        <w:t> </w:t>
      </w:r>
      <w:r>
        <w:rPr/>
        <w:t>support</w:t>
      </w:r>
      <w:r>
        <w:rPr>
          <w:spacing w:val="-4"/>
        </w:rPr>
        <w:t> </w:t>
      </w:r>
      <w:r>
        <w:rPr/>
        <w:t>and care for individuals who are transgender or experiencing gender dysphoria.</w:t>
      </w:r>
    </w:p>
    <w:p>
      <w:pPr>
        <w:pStyle w:val="BodyText"/>
        <w:spacing w:line="237" w:lineRule="auto"/>
        <w:ind w:left="280" w:right="515"/>
      </w:pPr>
      <w:r>
        <w:rPr/>
        <w:t>Several studies have documented the elevated risk of suicide among transgender individuals.</w:t>
      </w:r>
      <w:r>
        <w:rPr>
          <w:spacing w:val="-2"/>
        </w:rPr>
        <w:t> </w:t>
      </w:r>
      <w:r>
        <w:rPr/>
        <w:t>A</w:t>
      </w:r>
      <w:r>
        <w:rPr>
          <w:spacing w:val="-2"/>
        </w:rPr>
        <w:t> </w:t>
      </w:r>
      <w:r>
        <w:rPr/>
        <w:t>systematic review published in JAMA</w:t>
      </w:r>
      <w:r>
        <w:rPr>
          <w:spacing w:val="-2"/>
        </w:rPr>
        <w:t> </w:t>
      </w:r>
      <w:r>
        <w:rPr/>
        <w:t>Surgery examined 28 studies and found that transgender individuals were approximately</w:t>
      </w:r>
      <w:r>
        <w:rPr>
          <w:spacing w:val="-4"/>
        </w:rPr>
        <w:t> </w:t>
      </w:r>
      <w:r>
        <w:rPr/>
        <w:t>22</w:t>
      </w:r>
      <w:r>
        <w:rPr>
          <w:spacing w:val="-4"/>
        </w:rPr>
        <w:t> </w:t>
      </w:r>
      <w:r>
        <w:rPr/>
        <w:t>times</w:t>
      </w:r>
      <w:r>
        <w:rPr>
          <w:spacing w:val="-4"/>
        </w:rPr>
        <w:t> </w:t>
      </w:r>
      <w:r>
        <w:rPr/>
        <w:t>more</w:t>
      </w:r>
      <w:r>
        <w:rPr>
          <w:spacing w:val="-5"/>
        </w:rPr>
        <w:t> </w:t>
      </w:r>
      <w:r>
        <w:rPr/>
        <w:t>likely</w:t>
      </w:r>
      <w:r>
        <w:rPr>
          <w:spacing w:val="-4"/>
        </w:rPr>
        <w:t> </w:t>
      </w:r>
      <w:r>
        <w:rPr/>
        <w:t>to</w:t>
      </w:r>
      <w:r>
        <w:rPr>
          <w:spacing w:val="-4"/>
        </w:rPr>
        <w:t> </w:t>
      </w:r>
      <w:r>
        <w:rPr/>
        <w:t>attempt</w:t>
      </w:r>
      <w:r>
        <w:rPr>
          <w:spacing w:val="-4"/>
        </w:rPr>
        <w:t> </w:t>
      </w:r>
      <w:r>
        <w:rPr/>
        <w:t>suicide</w:t>
      </w:r>
      <w:r>
        <w:rPr>
          <w:spacing w:val="-5"/>
        </w:rPr>
        <w:t> </w:t>
      </w:r>
      <w:r>
        <w:rPr/>
        <w:t>compared</w:t>
      </w:r>
      <w:r>
        <w:rPr>
          <w:spacing w:val="-4"/>
        </w:rPr>
        <w:t> </w:t>
      </w:r>
      <w:r>
        <w:rPr/>
        <w:t>to</w:t>
      </w:r>
      <w:r>
        <w:rPr>
          <w:spacing w:val="-4"/>
        </w:rPr>
        <w:t> </w:t>
      </w:r>
      <w:r>
        <w:rPr/>
        <w:t>the</w:t>
      </w:r>
      <w:r>
        <w:rPr>
          <w:spacing w:val="-5"/>
        </w:rPr>
        <w:t> </w:t>
      </w:r>
      <w:r>
        <w:rPr/>
        <w:t>general population.</w:t>
      </w:r>
      <w:r>
        <w:rPr>
          <w:spacing w:val="-12"/>
        </w:rPr>
        <w:t> </w:t>
      </w:r>
      <w:r>
        <w:rPr/>
        <w:t>Another study published in the</w:t>
      </w:r>
      <w:r>
        <w:rPr>
          <w:spacing w:val="-12"/>
        </w:rPr>
        <w:t> </w:t>
      </w:r>
      <w:r>
        <w:rPr/>
        <w:t>American Journal of Public Health in indicated that transgender adults had a higher prevalence of lifetime suicide attempts compared to cisgender adults.</w:t>
      </w:r>
    </w:p>
    <w:p>
      <w:pPr>
        <w:pStyle w:val="BodyText"/>
        <w:spacing w:before="6"/>
        <w:rPr>
          <w:sz w:val="27"/>
        </w:rPr>
      </w:pPr>
    </w:p>
    <w:p>
      <w:pPr>
        <w:pStyle w:val="BodyText"/>
        <w:ind w:left="280" w:right="581"/>
      </w:pPr>
      <w:r>
        <w:rPr/>
        <w:t>Several factors contribute to the increased risk of suicide among individuals with gender dysphoria. These factors can include societal discrimination, social rejection, lack of access to appropriate healthcare, and high levels of distress related to gender incongruence. Gender dysphoria itself can cause significant</w:t>
      </w:r>
      <w:r>
        <w:rPr>
          <w:spacing w:val="-6"/>
        </w:rPr>
        <w:t> </w:t>
      </w:r>
      <w:r>
        <w:rPr/>
        <w:t>psychological</w:t>
      </w:r>
      <w:r>
        <w:rPr>
          <w:spacing w:val="-6"/>
        </w:rPr>
        <w:t> </w:t>
      </w:r>
      <w:r>
        <w:rPr/>
        <w:t>distress,</w:t>
      </w:r>
      <w:r>
        <w:rPr>
          <w:spacing w:val="-6"/>
        </w:rPr>
        <w:t> </w:t>
      </w:r>
      <w:r>
        <w:rPr/>
        <w:t>especially</w:t>
      </w:r>
      <w:r>
        <w:rPr>
          <w:spacing w:val="-6"/>
        </w:rPr>
        <w:t> </w:t>
      </w:r>
      <w:r>
        <w:rPr/>
        <w:t>when</w:t>
      </w:r>
      <w:r>
        <w:rPr>
          <w:spacing w:val="-6"/>
        </w:rPr>
        <w:t> </w:t>
      </w:r>
      <w:r>
        <w:rPr/>
        <w:t>individuals</w:t>
      </w:r>
      <w:r>
        <w:rPr>
          <w:spacing w:val="-6"/>
        </w:rPr>
        <w:t> </w:t>
      </w:r>
      <w:r>
        <w:rPr/>
        <w:t>face</w:t>
      </w:r>
      <w:r>
        <w:rPr>
          <w:spacing w:val="-7"/>
        </w:rPr>
        <w:t> </w:t>
      </w:r>
      <w:r>
        <w:rPr/>
        <w:t>challenges in expressing their gender identity or accessing affirming treatments and </w:t>
      </w:r>
      <w:r>
        <w:rPr>
          <w:spacing w:val="-2"/>
        </w:rPr>
        <w:t>support.</w:t>
      </w:r>
    </w:p>
    <w:p>
      <w:pPr>
        <w:pStyle w:val="BodyText"/>
        <w:spacing w:before="7"/>
        <w:rPr>
          <w:sz w:val="26"/>
        </w:rPr>
      </w:pPr>
    </w:p>
    <w:p>
      <w:pPr>
        <w:pStyle w:val="BodyText"/>
        <w:spacing w:before="1"/>
        <w:ind w:left="280" w:right="628"/>
      </w:pPr>
      <w:r>
        <w:rPr/>
        <w:t>To</w:t>
      </w:r>
      <w:r>
        <w:rPr>
          <w:spacing w:val="-6"/>
        </w:rPr>
        <w:t> </w:t>
      </w:r>
      <w:r>
        <w:rPr/>
        <w:t>address</w:t>
      </w:r>
      <w:r>
        <w:rPr>
          <w:spacing w:val="-6"/>
        </w:rPr>
        <w:t> </w:t>
      </w:r>
      <w:r>
        <w:rPr/>
        <w:t>the</w:t>
      </w:r>
      <w:r>
        <w:rPr>
          <w:spacing w:val="-6"/>
        </w:rPr>
        <w:t> </w:t>
      </w:r>
      <w:r>
        <w:rPr/>
        <w:t>high</w:t>
      </w:r>
      <w:r>
        <w:rPr>
          <w:spacing w:val="-6"/>
        </w:rPr>
        <w:t> </w:t>
      </w:r>
      <w:r>
        <w:rPr/>
        <w:t>rates</w:t>
      </w:r>
      <w:r>
        <w:rPr>
          <w:spacing w:val="-6"/>
        </w:rPr>
        <w:t> </w:t>
      </w:r>
      <w:r>
        <w:rPr/>
        <w:t>of</w:t>
      </w:r>
      <w:r>
        <w:rPr>
          <w:spacing w:val="-6"/>
        </w:rPr>
        <w:t> </w:t>
      </w:r>
      <w:r>
        <w:rPr/>
        <w:t>suicide</w:t>
      </w:r>
      <w:r>
        <w:rPr>
          <w:spacing w:val="-6"/>
        </w:rPr>
        <w:t> </w:t>
      </w:r>
      <w:r>
        <w:rPr/>
        <w:t>among</w:t>
      </w:r>
      <w:r>
        <w:rPr>
          <w:spacing w:val="-6"/>
        </w:rPr>
        <w:t> </w:t>
      </w:r>
      <w:r>
        <w:rPr/>
        <w:t>individuals</w:t>
      </w:r>
      <w:r>
        <w:rPr>
          <w:spacing w:val="-6"/>
        </w:rPr>
        <w:t> </w:t>
      </w:r>
      <w:r>
        <w:rPr/>
        <w:t>with</w:t>
      </w:r>
      <w:r>
        <w:rPr>
          <w:spacing w:val="-6"/>
        </w:rPr>
        <w:t> </w:t>
      </w:r>
      <w:r>
        <w:rPr/>
        <w:t>gender</w:t>
      </w:r>
      <w:r>
        <w:rPr>
          <w:spacing w:val="-6"/>
        </w:rPr>
        <w:t> </w:t>
      </w:r>
      <w:r>
        <w:rPr/>
        <w:t>dysphoria, it is crucial to provide comprehensive and compassionate care. This includes access to mental health support and social support networks. Creating inclusive and supportive environments, reducing discrimination and stigma, and promoting acceptance of transgender individuals are also important steps toward improving mental health outcomes and reducing the risk of suicide.</w:t>
      </w:r>
    </w:p>
    <w:p>
      <w:pPr>
        <w:pStyle w:val="BodyText"/>
        <w:spacing w:before="9"/>
        <w:rPr>
          <w:sz w:val="26"/>
        </w:rPr>
      </w:pPr>
    </w:p>
    <w:p>
      <w:pPr>
        <w:pStyle w:val="BodyText"/>
        <w:ind w:left="280" w:right="502"/>
      </w:pPr>
      <w:r>
        <w:rPr/>
        <w:t>Resources</w:t>
      </w:r>
      <w:r>
        <w:rPr>
          <w:spacing w:val="-5"/>
        </w:rPr>
        <w:t> </w:t>
      </w:r>
      <w:r>
        <w:rPr/>
        <w:t>that</w:t>
      </w:r>
      <w:r>
        <w:rPr>
          <w:spacing w:val="-5"/>
        </w:rPr>
        <w:t> </w:t>
      </w:r>
      <w:r>
        <w:rPr/>
        <w:t>provide</w:t>
      </w:r>
      <w:r>
        <w:rPr>
          <w:spacing w:val="-6"/>
        </w:rPr>
        <w:t> </w:t>
      </w:r>
      <w:r>
        <w:rPr/>
        <w:t>information</w:t>
      </w:r>
      <w:r>
        <w:rPr>
          <w:spacing w:val="-5"/>
        </w:rPr>
        <w:t> </w:t>
      </w:r>
      <w:r>
        <w:rPr/>
        <w:t>and</w:t>
      </w:r>
      <w:r>
        <w:rPr>
          <w:spacing w:val="-5"/>
        </w:rPr>
        <w:t> </w:t>
      </w:r>
      <w:r>
        <w:rPr/>
        <w:t>support</w:t>
      </w:r>
      <w:r>
        <w:rPr>
          <w:spacing w:val="-5"/>
        </w:rPr>
        <w:t> </w:t>
      </w:r>
      <w:r>
        <w:rPr/>
        <w:t>regarding</w:t>
      </w:r>
      <w:r>
        <w:rPr>
          <w:spacing w:val="-5"/>
        </w:rPr>
        <w:t> </w:t>
      </w:r>
      <w:r>
        <w:rPr/>
        <w:t>gender</w:t>
      </w:r>
      <w:r>
        <w:rPr>
          <w:spacing w:val="-5"/>
        </w:rPr>
        <w:t> </w:t>
      </w:r>
      <w:r>
        <w:rPr/>
        <w:t>dysphoria, mental health, and suicide prevention:</w:t>
      </w:r>
    </w:p>
    <w:p>
      <w:pPr>
        <w:pStyle w:val="ListParagraph"/>
        <w:numPr>
          <w:ilvl w:val="0"/>
          <w:numId w:val="11"/>
        </w:numPr>
        <w:tabs>
          <w:tab w:pos="840" w:val="left" w:leader="none"/>
        </w:tabs>
        <w:spacing w:line="237" w:lineRule="auto" w:before="0" w:after="0"/>
        <w:ind w:left="840" w:right="802" w:hanging="560"/>
        <w:jc w:val="left"/>
        <w:rPr>
          <w:sz w:val="28"/>
        </w:rPr>
      </w:pPr>
      <w:r>
        <w:rPr>
          <w:sz w:val="28"/>
        </w:rPr>
        <w:t>Trans</w:t>
      </w:r>
      <w:r>
        <w:rPr>
          <w:spacing w:val="-13"/>
          <w:sz w:val="28"/>
        </w:rPr>
        <w:t> </w:t>
      </w:r>
      <w:r>
        <w:rPr>
          <w:sz w:val="28"/>
        </w:rPr>
        <w:t>Lifeline:</w:t>
      </w:r>
      <w:r>
        <w:rPr>
          <w:spacing w:val="-18"/>
          <w:sz w:val="28"/>
        </w:rPr>
        <w:t> </w:t>
      </w:r>
      <w:r>
        <w:rPr>
          <w:sz w:val="28"/>
        </w:rPr>
        <w:t>A</w:t>
      </w:r>
      <w:r>
        <w:rPr>
          <w:spacing w:val="-17"/>
          <w:sz w:val="28"/>
        </w:rPr>
        <w:t> </w:t>
      </w:r>
      <w:r>
        <w:rPr>
          <w:sz w:val="28"/>
        </w:rPr>
        <w:t>helpline</w:t>
      </w:r>
      <w:r>
        <w:rPr>
          <w:spacing w:val="-7"/>
          <w:sz w:val="28"/>
        </w:rPr>
        <w:t> </w:t>
      </w:r>
      <w:r>
        <w:rPr>
          <w:sz w:val="28"/>
        </w:rPr>
        <w:t>staffed</w:t>
      </w:r>
      <w:r>
        <w:rPr>
          <w:spacing w:val="-6"/>
          <w:sz w:val="28"/>
        </w:rPr>
        <w:t> </w:t>
      </w:r>
      <w:r>
        <w:rPr>
          <w:sz w:val="28"/>
        </w:rPr>
        <w:t>by</w:t>
      </w:r>
      <w:r>
        <w:rPr>
          <w:spacing w:val="-6"/>
          <w:sz w:val="28"/>
        </w:rPr>
        <w:t> </w:t>
      </w:r>
      <w:r>
        <w:rPr>
          <w:sz w:val="28"/>
        </w:rPr>
        <w:t>transgender</w:t>
      </w:r>
      <w:r>
        <w:rPr>
          <w:spacing w:val="-6"/>
          <w:sz w:val="28"/>
        </w:rPr>
        <w:t> </w:t>
      </w:r>
      <w:r>
        <w:rPr>
          <w:sz w:val="28"/>
        </w:rPr>
        <w:t>people</w:t>
      </w:r>
      <w:r>
        <w:rPr>
          <w:spacing w:val="-7"/>
          <w:sz w:val="28"/>
        </w:rPr>
        <w:t> </w:t>
      </w:r>
      <w:r>
        <w:rPr>
          <w:sz w:val="28"/>
        </w:rPr>
        <w:t>for</w:t>
      </w:r>
      <w:r>
        <w:rPr>
          <w:spacing w:val="-6"/>
          <w:sz w:val="28"/>
        </w:rPr>
        <w:t> </w:t>
      </w:r>
      <w:r>
        <w:rPr>
          <w:sz w:val="28"/>
        </w:rPr>
        <w:t>transgender individuals in crisis. Website: </w:t>
      </w:r>
      <w:r>
        <w:rPr>
          <w:color w:val="E4AF0A"/>
          <w:sz w:val="28"/>
          <w:u w:val="single" w:color="E4AF0A"/>
        </w:rPr>
        <w:t>https://</w:t>
      </w:r>
      <w:hyperlink r:id="rId20">
        <w:r>
          <w:rPr>
            <w:color w:val="E4AF0A"/>
            <w:sz w:val="28"/>
            <w:u w:val="single" w:color="E4AF0A"/>
          </w:rPr>
          <w:t>www.translifeline.org/</w:t>
        </w:r>
      </w:hyperlink>
    </w:p>
    <w:p>
      <w:pPr>
        <w:pStyle w:val="ListParagraph"/>
        <w:numPr>
          <w:ilvl w:val="0"/>
          <w:numId w:val="11"/>
        </w:numPr>
        <w:tabs>
          <w:tab w:pos="840" w:val="left" w:leader="none"/>
        </w:tabs>
        <w:spacing w:line="240" w:lineRule="auto" w:before="0" w:after="0"/>
        <w:ind w:left="840" w:right="781" w:hanging="560"/>
        <w:jc w:val="left"/>
        <w:rPr>
          <w:sz w:val="28"/>
        </w:rPr>
      </w:pPr>
      <w:r>
        <w:rPr>
          <w:sz w:val="28"/>
        </w:rPr>
        <w:t>The</w:t>
      </w:r>
      <w:r>
        <w:rPr>
          <w:spacing w:val="-18"/>
          <w:sz w:val="28"/>
        </w:rPr>
        <w:t> </w:t>
      </w:r>
      <w:r>
        <w:rPr>
          <w:sz w:val="28"/>
        </w:rPr>
        <w:t>Trevor</w:t>
      </w:r>
      <w:r>
        <w:rPr>
          <w:spacing w:val="-9"/>
          <w:sz w:val="28"/>
        </w:rPr>
        <w:t> </w:t>
      </w:r>
      <w:r>
        <w:rPr>
          <w:sz w:val="28"/>
        </w:rPr>
        <w:t>Project:</w:t>
      </w:r>
      <w:r>
        <w:rPr>
          <w:spacing w:val="-18"/>
          <w:sz w:val="28"/>
        </w:rPr>
        <w:t> </w:t>
      </w:r>
      <w:r>
        <w:rPr>
          <w:sz w:val="28"/>
        </w:rPr>
        <w:t>A</w:t>
      </w:r>
      <w:r>
        <w:rPr>
          <w:spacing w:val="-17"/>
          <w:sz w:val="28"/>
        </w:rPr>
        <w:t> </w:t>
      </w:r>
      <w:r>
        <w:rPr>
          <w:sz w:val="28"/>
        </w:rPr>
        <w:t>leading</w:t>
      </w:r>
      <w:r>
        <w:rPr>
          <w:spacing w:val="-7"/>
          <w:sz w:val="28"/>
        </w:rPr>
        <w:t> </w:t>
      </w:r>
      <w:r>
        <w:rPr>
          <w:sz w:val="28"/>
        </w:rPr>
        <w:t>organization</w:t>
      </w:r>
      <w:r>
        <w:rPr>
          <w:spacing w:val="-7"/>
          <w:sz w:val="28"/>
        </w:rPr>
        <w:t> </w:t>
      </w:r>
      <w:r>
        <w:rPr>
          <w:sz w:val="28"/>
        </w:rPr>
        <w:t>providing</w:t>
      </w:r>
      <w:r>
        <w:rPr>
          <w:spacing w:val="-7"/>
          <w:sz w:val="28"/>
        </w:rPr>
        <w:t> </w:t>
      </w:r>
      <w:r>
        <w:rPr>
          <w:sz w:val="28"/>
        </w:rPr>
        <w:t>crisis</w:t>
      </w:r>
      <w:r>
        <w:rPr>
          <w:spacing w:val="-7"/>
          <w:sz w:val="28"/>
        </w:rPr>
        <w:t> </w:t>
      </w:r>
      <w:r>
        <w:rPr>
          <w:sz w:val="28"/>
        </w:rPr>
        <w:t>intervention and suicide prevention services for LGBTQ+ youth. Website: </w:t>
      </w:r>
      <w:r>
        <w:rPr>
          <w:color w:val="E4AF0A"/>
          <w:sz w:val="28"/>
          <w:u w:val="single" w:color="E4AF0A"/>
        </w:rPr>
        <w:t>https://</w:t>
      </w:r>
      <w:r>
        <w:rPr>
          <w:color w:val="E4AF0A"/>
          <w:sz w:val="28"/>
        </w:rPr>
        <w:t> </w:t>
      </w:r>
      <w:hyperlink r:id="rId21">
        <w:r>
          <w:rPr>
            <w:color w:val="E4AF0A"/>
            <w:spacing w:val="-2"/>
            <w:sz w:val="28"/>
            <w:u w:val="single" w:color="E4AF0A"/>
          </w:rPr>
          <w:t>www.thetrevorproject.org/</w:t>
        </w:r>
      </w:hyperlink>
    </w:p>
    <w:p>
      <w:pPr>
        <w:pStyle w:val="ListParagraph"/>
        <w:numPr>
          <w:ilvl w:val="0"/>
          <w:numId w:val="11"/>
        </w:numPr>
        <w:tabs>
          <w:tab w:pos="840" w:val="left" w:leader="none"/>
        </w:tabs>
        <w:spacing w:line="237" w:lineRule="auto" w:before="0" w:after="0"/>
        <w:ind w:left="840" w:right="1185" w:hanging="560"/>
        <w:jc w:val="left"/>
        <w:rPr>
          <w:sz w:val="28"/>
        </w:rPr>
      </w:pPr>
      <w:r>
        <w:rPr>
          <w:sz w:val="28"/>
        </w:rPr>
        <w:t>National Suicide Prevention Lifeline (USA):</w:t>
      </w:r>
      <w:r>
        <w:rPr>
          <w:spacing w:val="-1"/>
          <w:sz w:val="28"/>
        </w:rPr>
        <w:t> </w:t>
      </w:r>
      <w:r>
        <w:rPr>
          <w:sz w:val="28"/>
        </w:rPr>
        <w:t>A</w:t>
      </w:r>
      <w:r>
        <w:rPr>
          <w:spacing w:val="-1"/>
          <w:sz w:val="28"/>
        </w:rPr>
        <w:t> </w:t>
      </w:r>
      <w:r>
        <w:rPr>
          <w:sz w:val="28"/>
        </w:rPr>
        <w:t>24/7 helpline for individuals</w:t>
      </w:r>
      <w:r>
        <w:rPr>
          <w:spacing w:val="-5"/>
          <w:sz w:val="28"/>
        </w:rPr>
        <w:t> </w:t>
      </w:r>
      <w:r>
        <w:rPr>
          <w:sz w:val="28"/>
        </w:rPr>
        <w:t>in</w:t>
      </w:r>
      <w:r>
        <w:rPr>
          <w:spacing w:val="-5"/>
          <w:sz w:val="28"/>
        </w:rPr>
        <w:t> </w:t>
      </w:r>
      <w:r>
        <w:rPr>
          <w:sz w:val="28"/>
        </w:rPr>
        <w:t>crisis</w:t>
      </w:r>
      <w:r>
        <w:rPr>
          <w:spacing w:val="-5"/>
          <w:sz w:val="28"/>
        </w:rPr>
        <w:t> </w:t>
      </w:r>
      <w:r>
        <w:rPr>
          <w:sz w:val="28"/>
        </w:rPr>
        <w:t>or</w:t>
      </w:r>
      <w:r>
        <w:rPr>
          <w:spacing w:val="-5"/>
          <w:sz w:val="28"/>
        </w:rPr>
        <w:t> </w:t>
      </w:r>
      <w:r>
        <w:rPr>
          <w:sz w:val="28"/>
        </w:rPr>
        <w:t>those</w:t>
      </w:r>
      <w:r>
        <w:rPr>
          <w:spacing w:val="-6"/>
          <w:sz w:val="28"/>
        </w:rPr>
        <w:t> </w:t>
      </w:r>
      <w:r>
        <w:rPr>
          <w:sz w:val="28"/>
        </w:rPr>
        <w:t>concerned</w:t>
      </w:r>
      <w:r>
        <w:rPr>
          <w:spacing w:val="-5"/>
          <w:sz w:val="28"/>
        </w:rPr>
        <w:t> </w:t>
      </w:r>
      <w:r>
        <w:rPr>
          <w:sz w:val="28"/>
        </w:rPr>
        <w:t>about</w:t>
      </w:r>
      <w:r>
        <w:rPr>
          <w:spacing w:val="-5"/>
          <w:sz w:val="28"/>
        </w:rPr>
        <w:t> </w:t>
      </w:r>
      <w:r>
        <w:rPr>
          <w:sz w:val="28"/>
        </w:rPr>
        <w:t>someone's</w:t>
      </w:r>
      <w:r>
        <w:rPr>
          <w:spacing w:val="-5"/>
          <w:sz w:val="28"/>
        </w:rPr>
        <w:t> </w:t>
      </w:r>
      <w:r>
        <w:rPr>
          <w:sz w:val="28"/>
        </w:rPr>
        <w:t>well-being. Website: </w:t>
      </w:r>
      <w:r>
        <w:rPr>
          <w:color w:val="E4AF0A"/>
          <w:sz w:val="28"/>
          <w:u w:val="single" w:color="E4AF0A"/>
        </w:rPr>
        <w:t>https://suicidepreventionlifeline.org/</w:t>
      </w:r>
    </w:p>
    <w:p>
      <w:pPr>
        <w:spacing w:after="0" w:line="237" w:lineRule="auto"/>
        <w:jc w:val="left"/>
        <w:rPr>
          <w:sz w:val="28"/>
        </w:rPr>
        <w:sectPr>
          <w:pgSz w:w="12240" w:h="15840"/>
          <w:pgMar w:header="0" w:footer="765" w:top="1340" w:bottom="980" w:left="1400" w:right="1180"/>
        </w:sectPr>
      </w:pPr>
    </w:p>
    <w:p>
      <w:pPr>
        <w:pStyle w:val="ListParagraph"/>
        <w:numPr>
          <w:ilvl w:val="0"/>
          <w:numId w:val="11"/>
        </w:numPr>
        <w:tabs>
          <w:tab w:pos="840" w:val="left" w:leader="none"/>
        </w:tabs>
        <w:spacing w:line="240" w:lineRule="auto" w:before="85" w:after="0"/>
        <w:ind w:left="840" w:right="714" w:hanging="560"/>
        <w:jc w:val="both"/>
        <w:rPr>
          <w:sz w:val="28"/>
        </w:rPr>
      </w:pPr>
      <w:r>
        <w:rPr>
          <w:sz w:val="28"/>
        </w:rPr>
        <w:t>International</w:t>
      </w:r>
      <w:r>
        <w:rPr>
          <w:spacing w:val="-9"/>
          <w:sz w:val="28"/>
        </w:rPr>
        <w:t> </w:t>
      </w:r>
      <w:r>
        <w:rPr>
          <w:sz w:val="28"/>
        </w:rPr>
        <w:t>Suicide</w:t>
      </w:r>
      <w:r>
        <w:rPr>
          <w:spacing w:val="-6"/>
          <w:sz w:val="28"/>
        </w:rPr>
        <w:t> </w:t>
      </w:r>
      <w:r>
        <w:rPr>
          <w:sz w:val="28"/>
        </w:rPr>
        <w:t>Hotlines:</w:t>
      </w:r>
      <w:r>
        <w:rPr>
          <w:spacing w:val="-18"/>
          <w:sz w:val="28"/>
        </w:rPr>
        <w:t> </w:t>
      </w:r>
      <w:r>
        <w:rPr>
          <w:sz w:val="28"/>
        </w:rPr>
        <w:t>A</w:t>
      </w:r>
      <w:r>
        <w:rPr>
          <w:spacing w:val="-17"/>
          <w:sz w:val="28"/>
        </w:rPr>
        <w:t> </w:t>
      </w:r>
      <w:r>
        <w:rPr>
          <w:sz w:val="28"/>
        </w:rPr>
        <w:t>comprehensive</w:t>
      </w:r>
      <w:r>
        <w:rPr>
          <w:spacing w:val="-6"/>
          <w:sz w:val="28"/>
        </w:rPr>
        <w:t> </w:t>
      </w:r>
      <w:r>
        <w:rPr>
          <w:sz w:val="28"/>
        </w:rPr>
        <w:t>list</w:t>
      </w:r>
      <w:r>
        <w:rPr>
          <w:spacing w:val="-5"/>
          <w:sz w:val="28"/>
        </w:rPr>
        <w:t> </w:t>
      </w:r>
      <w:r>
        <w:rPr>
          <w:sz w:val="28"/>
        </w:rPr>
        <w:t>of</w:t>
      </w:r>
      <w:r>
        <w:rPr>
          <w:spacing w:val="-5"/>
          <w:sz w:val="28"/>
        </w:rPr>
        <w:t> </w:t>
      </w:r>
      <w:r>
        <w:rPr>
          <w:sz w:val="28"/>
        </w:rPr>
        <w:t>suicide</w:t>
      </w:r>
      <w:r>
        <w:rPr>
          <w:spacing w:val="-6"/>
          <w:sz w:val="28"/>
        </w:rPr>
        <w:t> </w:t>
      </w:r>
      <w:r>
        <w:rPr>
          <w:sz w:val="28"/>
        </w:rPr>
        <w:t>helplines worldwide. Website: </w:t>
      </w:r>
      <w:r>
        <w:rPr>
          <w:color w:val="E4AF0A"/>
          <w:sz w:val="28"/>
          <w:u w:val="single" w:color="E4AF0A"/>
        </w:rPr>
        <w:t>https://</w:t>
      </w:r>
      <w:hyperlink r:id="rId22">
        <w:r>
          <w:rPr>
            <w:color w:val="E4AF0A"/>
            <w:sz w:val="28"/>
            <w:u w:val="single" w:color="E4AF0A"/>
          </w:rPr>
          <w:t>www.suicidestop.com/call_a_hotline.html</w:t>
        </w:r>
      </w:hyperlink>
    </w:p>
    <w:p>
      <w:pPr>
        <w:pStyle w:val="ListParagraph"/>
        <w:numPr>
          <w:ilvl w:val="0"/>
          <w:numId w:val="11"/>
        </w:numPr>
        <w:tabs>
          <w:tab w:pos="840" w:val="left" w:leader="none"/>
        </w:tabs>
        <w:spacing w:line="237" w:lineRule="auto" w:before="0" w:after="0"/>
        <w:ind w:left="840" w:right="1332" w:hanging="560"/>
        <w:jc w:val="both"/>
        <w:rPr>
          <w:sz w:val="28"/>
        </w:rPr>
      </w:pPr>
      <w:r>
        <w:rPr>
          <w:sz w:val="28"/>
        </w:rPr>
        <w:t>GLAAD:</w:t>
      </w:r>
      <w:r>
        <w:rPr>
          <w:spacing w:val="-18"/>
          <w:sz w:val="28"/>
        </w:rPr>
        <w:t> </w:t>
      </w:r>
      <w:r>
        <w:rPr>
          <w:sz w:val="28"/>
        </w:rPr>
        <w:t>An</w:t>
      </w:r>
      <w:r>
        <w:rPr>
          <w:spacing w:val="-9"/>
          <w:sz w:val="28"/>
        </w:rPr>
        <w:t> </w:t>
      </w:r>
      <w:r>
        <w:rPr>
          <w:sz w:val="28"/>
        </w:rPr>
        <w:t>LGBTQ+</w:t>
      </w:r>
      <w:r>
        <w:rPr>
          <w:spacing w:val="-7"/>
          <w:sz w:val="28"/>
        </w:rPr>
        <w:t> </w:t>
      </w:r>
      <w:r>
        <w:rPr>
          <w:sz w:val="28"/>
        </w:rPr>
        <w:t>media</w:t>
      </w:r>
      <w:r>
        <w:rPr>
          <w:spacing w:val="-7"/>
          <w:sz w:val="28"/>
        </w:rPr>
        <w:t> </w:t>
      </w:r>
      <w:r>
        <w:rPr>
          <w:sz w:val="28"/>
        </w:rPr>
        <w:t>advocacy</w:t>
      </w:r>
      <w:r>
        <w:rPr>
          <w:spacing w:val="-7"/>
          <w:sz w:val="28"/>
        </w:rPr>
        <w:t> </w:t>
      </w:r>
      <w:r>
        <w:rPr>
          <w:sz w:val="28"/>
        </w:rPr>
        <w:t>organization</w:t>
      </w:r>
      <w:r>
        <w:rPr>
          <w:spacing w:val="-7"/>
          <w:sz w:val="28"/>
        </w:rPr>
        <w:t> </w:t>
      </w:r>
      <w:r>
        <w:rPr>
          <w:sz w:val="28"/>
        </w:rPr>
        <w:t>that</w:t>
      </w:r>
      <w:r>
        <w:rPr>
          <w:spacing w:val="-7"/>
          <w:sz w:val="28"/>
        </w:rPr>
        <w:t> </w:t>
      </w:r>
      <w:r>
        <w:rPr>
          <w:sz w:val="28"/>
        </w:rPr>
        <w:t>provides resources</w:t>
      </w:r>
      <w:r>
        <w:rPr>
          <w:spacing w:val="-9"/>
          <w:sz w:val="28"/>
        </w:rPr>
        <w:t> </w:t>
      </w:r>
      <w:r>
        <w:rPr>
          <w:sz w:val="28"/>
        </w:rPr>
        <w:t>and</w:t>
      </w:r>
      <w:r>
        <w:rPr>
          <w:spacing w:val="-9"/>
          <w:sz w:val="28"/>
        </w:rPr>
        <w:t> </w:t>
      </w:r>
      <w:r>
        <w:rPr>
          <w:sz w:val="28"/>
        </w:rPr>
        <w:t>support</w:t>
      </w:r>
      <w:r>
        <w:rPr>
          <w:spacing w:val="-9"/>
          <w:sz w:val="28"/>
        </w:rPr>
        <w:t> </w:t>
      </w:r>
      <w:r>
        <w:rPr>
          <w:sz w:val="28"/>
        </w:rPr>
        <w:t>for</w:t>
      </w:r>
      <w:r>
        <w:rPr>
          <w:spacing w:val="-9"/>
          <w:sz w:val="28"/>
        </w:rPr>
        <w:t> </w:t>
      </w:r>
      <w:r>
        <w:rPr>
          <w:sz w:val="28"/>
        </w:rPr>
        <w:t>transgender</w:t>
      </w:r>
      <w:r>
        <w:rPr>
          <w:spacing w:val="-9"/>
          <w:sz w:val="28"/>
        </w:rPr>
        <w:t> </w:t>
      </w:r>
      <w:r>
        <w:rPr>
          <w:sz w:val="28"/>
        </w:rPr>
        <w:t>individuals.</w:t>
      </w:r>
      <w:r>
        <w:rPr>
          <w:spacing w:val="-14"/>
          <w:sz w:val="28"/>
        </w:rPr>
        <w:t> </w:t>
      </w:r>
      <w:r>
        <w:rPr>
          <w:sz w:val="28"/>
        </w:rPr>
        <w:t>Website:</w:t>
      </w:r>
      <w:r>
        <w:rPr>
          <w:spacing w:val="-10"/>
          <w:sz w:val="28"/>
        </w:rPr>
        <w:t> </w:t>
      </w:r>
      <w:r>
        <w:rPr>
          <w:color w:val="E4AF0A"/>
          <w:sz w:val="28"/>
          <w:u w:val="single" w:color="E4AF0A"/>
        </w:rPr>
        <w:t>https://</w:t>
      </w:r>
      <w:r>
        <w:rPr>
          <w:color w:val="E4AF0A"/>
          <w:sz w:val="28"/>
        </w:rPr>
        <w:t> </w:t>
      </w:r>
      <w:hyperlink r:id="rId23">
        <w:r>
          <w:rPr>
            <w:color w:val="E4AF0A"/>
            <w:spacing w:val="-2"/>
            <w:sz w:val="28"/>
            <w:u w:val="single" w:color="E4AF0A"/>
          </w:rPr>
          <w:t>www.glaad.org/</w:t>
        </w:r>
      </w:hyperlink>
    </w:p>
    <w:p>
      <w:pPr>
        <w:pStyle w:val="ListParagraph"/>
        <w:numPr>
          <w:ilvl w:val="0"/>
          <w:numId w:val="11"/>
        </w:numPr>
        <w:tabs>
          <w:tab w:pos="840" w:val="left" w:leader="none"/>
        </w:tabs>
        <w:spacing w:line="240" w:lineRule="auto" w:before="0" w:after="0"/>
        <w:ind w:left="840" w:right="691" w:hanging="560"/>
        <w:jc w:val="both"/>
        <w:rPr>
          <w:sz w:val="28"/>
        </w:rPr>
      </w:pPr>
      <w:r>
        <w:rPr>
          <w:sz w:val="28"/>
        </w:rPr>
        <w:t>National</w:t>
      </w:r>
      <w:r>
        <w:rPr>
          <w:spacing w:val="-17"/>
          <w:sz w:val="28"/>
        </w:rPr>
        <w:t> </w:t>
      </w:r>
      <w:r>
        <w:rPr>
          <w:sz w:val="28"/>
        </w:rPr>
        <w:t>Alliance</w:t>
      </w:r>
      <w:r>
        <w:rPr>
          <w:spacing w:val="-2"/>
          <w:sz w:val="28"/>
        </w:rPr>
        <w:t> </w:t>
      </w:r>
      <w:r>
        <w:rPr>
          <w:sz w:val="28"/>
        </w:rPr>
        <w:t>on</w:t>
      </w:r>
      <w:r>
        <w:rPr>
          <w:spacing w:val="-1"/>
          <w:sz w:val="28"/>
        </w:rPr>
        <w:t> </w:t>
      </w:r>
      <w:r>
        <w:rPr>
          <w:sz w:val="28"/>
        </w:rPr>
        <w:t>Mental</w:t>
      </w:r>
      <w:r>
        <w:rPr>
          <w:spacing w:val="-1"/>
          <w:sz w:val="28"/>
        </w:rPr>
        <w:t> </w:t>
      </w:r>
      <w:r>
        <w:rPr>
          <w:sz w:val="28"/>
        </w:rPr>
        <w:t>Illness</w:t>
      </w:r>
      <w:r>
        <w:rPr>
          <w:spacing w:val="-1"/>
          <w:sz w:val="28"/>
        </w:rPr>
        <w:t> </w:t>
      </w:r>
      <w:r>
        <w:rPr>
          <w:sz w:val="28"/>
        </w:rPr>
        <w:t>(NAMI):</w:t>
      </w:r>
      <w:r>
        <w:rPr>
          <w:spacing w:val="-17"/>
          <w:sz w:val="28"/>
        </w:rPr>
        <w:t> </w:t>
      </w:r>
      <w:r>
        <w:rPr>
          <w:sz w:val="28"/>
        </w:rPr>
        <w:t>A</w:t>
      </w:r>
      <w:r>
        <w:rPr>
          <w:spacing w:val="-17"/>
          <w:sz w:val="28"/>
        </w:rPr>
        <w:t> </w:t>
      </w:r>
      <w:r>
        <w:rPr>
          <w:sz w:val="28"/>
        </w:rPr>
        <w:t>grassroots</w:t>
      </w:r>
      <w:r>
        <w:rPr>
          <w:spacing w:val="-1"/>
          <w:sz w:val="28"/>
        </w:rPr>
        <w:t> </w:t>
      </w:r>
      <w:r>
        <w:rPr>
          <w:sz w:val="28"/>
        </w:rPr>
        <w:t>mental</w:t>
      </w:r>
      <w:r>
        <w:rPr>
          <w:spacing w:val="-1"/>
          <w:sz w:val="28"/>
        </w:rPr>
        <w:t> </w:t>
      </w:r>
      <w:r>
        <w:rPr>
          <w:sz w:val="28"/>
        </w:rPr>
        <w:t>health organization</w:t>
      </w:r>
      <w:r>
        <w:rPr>
          <w:spacing w:val="-10"/>
          <w:sz w:val="28"/>
        </w:rPr>
        <w:t> </w:t>
      </w:r>
      <w:r>
        <w:rPr>
          <w:sz w:val="28"/>
        </w:rPr>
        <w:t>offering</w:t>
      </w:r>
      <w:r>
        <w:rPr>
          <w:spacing w:val="-10"/>
          <w:sz w:val="28"/>
        </w:rPr>
        <w:t> </w:t>
      </w:r>
      <w:r>
        <w:rPr>
          <w:sz w:val="28"/>
        </w:rPr>
        <w:t>support,</w:t>
      </w:r>
      <w:r>
        <w:rPr>
          <w:spacing w:val="-10"/>
          <w:sz w:val="28"/>
        </w:rPr>
        <w:t> </w:t>
      </w:r>
      <w:r>
        <w:rPr>
          <w:sz w:val="28"/>
        </w:rPr>
        <w:t>education,</w:t>
      </w:r>
      <w:r>
        <w:rPr>
          <w:spacing w:val="-10"/>
          <w:sz w:val="28"/>
        </w:rPr>
        <w:t> </w:t>
      </w:r>
      <w:r>
        <w:rPr>
          <w:sz w:val="28"/>
        </w:rPr>
        <w:t>and</w:t>
      </w:r>
      <w:r>
        <w:rPr>
          <w:spacing w:val="-10"/>
          <w:sz w:val="28"/>
        </w:rPr>
        <w:t> </w:t>
      </w:r>
      <w:r>
        <w:rPr>
          <w:sz w:val="28"/>
        </w:rPr>
        <w:t>resources.</w:t>
      </w:r>
      <w:r>
        <w:rPr>
          <w:spacing w:val="-16"/>
          <w:sz w:val="28"/>
        </w:rPr>
        <w:t> </w:t>
      </w:r>
      <w:r>
        <w:rPr>
          <w:sz w:val="28"/>
        </w:rPr>
        <w:t>Website:</w:t>
      </w:r>
      <w:r>
        <w:rPr>
          <w:spacing w:val="-11"/>
          <w:sz w:val="28"/>
        </w:rPr>
        <w:t> </w:t>
      </w:r>
      <w:r>
        <w:rPr>
          <w:color w:val="E4AF0A"/>
          <w:sz w:val="28"/>
          <w:u w:val="single" w:color="E4AF0A"/>
        </w:rPr>
        <w:t>https://</w:t>
      </w:r>
      <w:r>
        <w:rPr>
          <w:color w:val="E4AF0A"/>
          <w:sz w:val="28"/>
        </w:rPr>
        <w:t> </w:t>
      </w:r>
      <w:hyperlink r:id="rId24">
        <w:r>
          <w:rPr>
            <w:color w:val="E4AF0A"/>
            <w:spacing w:val="-2"/>
            <w:sz w:val="28"/>
            <w:u w:val="single" w:color="E4AF0A"/>
          </w:rPr>
          <w:t>www.nami.org/</w:t>
        </w:r>
      </w:hyperlink>
    </w:p>
    <w:p>
      <w:pPr>
        <w:pStyle w:val="ListParagraph"/>
        <w:numPr>
          <w:ilvl w:val="0"/>
          <w:numId w:val="11"/>
        </w:numPr>
        <w:tabs>
          <w:tab w:pos="840" w:val="left" w:leader="none"/>
        </w:tabs>
        <w:spacing w:line="237" w:lineRule="auto" w:before="0" w:after="0"/>
        <w:ind w:left="840" w:right="1046" w:hanging="560"/>
        <w:jc w:val="left"/>
        <w:rPr>
          <w:sz w:val="28"/>
        </w:rPr>
      </w:pPr>
      <w:r>
        <w:rPr>
          <w:sz w:val="28"/>
        </w:rPr>
        <w:t>Gender Spectrum: An organization supporting and advocating for transgender</w:t>
      </w:r>
      <w:r>
        <w:rPr>
          <w:spacing w:val="-8"/>
          <w:sz w:val="28"/>
        </w:rPr>
        <w:t> </w:t>
      </w:r>
      <w:r>
        <w:rPr>
          <w:sz w:val="28"/>
        </w:rPr>
        <w:t>and</w:t>
      </w:r>
      <w:r>
        <w:rPr>
          <w:spacing w:val="-8"/>
          <w:sz w:val="28"/>
        </w:rPr>
        <w:t> </w:t>
      </w:r>
      <w:r>
        <w:rPr>
          <w:sz w:val="28"/>
        </w:rPr>
        <w:t>non-binary</w:t>
      </w:r>
      <w:r>
        <w:rPr>
          <w:spacing w:val="-8"/>
          <w:sz w:val="28"/>
        </w:rPr>
        <w:t> </w:t>
      </w:r>
      <w:r>
        <w:rPr>
          <w:sz w:val="28"/>
        </w:rPr>
        <w:t>youth</w:t>
      </w:r>
      <w:r>
        <w:rPr>
          <w:spacing w:val="-8"/>
          <w:sz w:val="28"/>
        </w:rPr>
        <w:t> </w:t>
      </w:r>
      <w:r>
        <w:rPr>
          <w:sz w:val="28"/>
        </w:rPr>
        <w:t>and</w:t>
      </w:r>
      <w:r>
        <w:rPr>
          <w:spacing w:val="-8"/>
          <w:sz w:val="28"/>
        </w:rPr>
        <w:t> </w:t>
      </w:r>
      <w:r>
        <w:rPr>
          <w:sz w:val="28"/>
        </w:rPr>
        <w:t>their</w:t>
      </w:r>
      <w:r>
        <w:rPr>
          <w:spacing w:val="-8"/>
          <w:sz w:val="28"/>
        </w:rPr>
        <w:t> </w:t>
      </w:r>
      <w:r>
        <w:rPr>
          <w:sz w:val="28"/>
        </w:rPr>
        <w:t>families.</w:t>
      </w:r>
      <w:r>
        <w:rPr>
          <w:spacing w:val="-13"/>
          <w:sz w:val="28"/>
        </w:rPr>
        <w:t> </w:t>
      </w:r>
      <w:r>
        <w:rPr>
          <w:sz w:val="28"/>
        </w:rPr>
        <w:t>Website:</w:t>
      </w:r>
      <w:r>
        <w:rPr>
          <w:spacing w:val="-9"/>
          <w:sz w:val="28"/>
        </w:rPr>
        <w:t> </w:t>
      </w:r>
      <w:r>
        <w:rPr>
          <w:color w:val="E4AF0A"/>
          <w:sz w:val="28"/>
          <w:u w:val="single" w:color="E4AF0A"/>
        </w:rPr>
        <w:t>https://</w:t>
      </w:r>
      <w:r>
        <w:rPr>
          <w:color w:val="E4AF0A"/>
          <w:sz w:val="28"/>
        </w:rPr>
        <w:t> </w:t>
      </w:r>
      <w:hyperlink r:id="rId25">
        <w:r>
          <w:rPr>
            <w:color w:val="E4AF0A"/>
            <w:spacing w:val="-2"/>
            <w:sz w:val="28"/>
            <w:u w:val="single" w:color="E4AF0A"/>
          </w:rPr>
          <w:t>www.genderspectrum.org/</w:t>
        </w:r>
      </w:hyperlink>
    </w:p>
    <w:p>
      <w:pPr>
        <w:pStyle w:val="ListParagraph"/>
        <w:numPr>
          <w:ilvl w:val="0"/>
          <w:numId w:val="11"/>
        </w:numPr>
        <w:tabs>
          <w:tab w:pos="840" w:val="left" w:leader="none"/>
        </w:tabs>
        <w:spacing w:line="240" w:lineRule="auto" w:before="0" w:after="0"/>
        <w:ind w:left="840" w:right="705" w:hanging="560"/>
        <w:jc w:val="left"/>
        <w:rPr>
          <w:sz w:val="28"/>
        </w:rPr>
      </w:pPr>
      <w:r>
        <w:rPr>
          <w:sz w:val="28"/>
        </w:rPr>
        <w:t>World Professional</w:t>
      </w:r>
      <w:r>
        <w:rPr>
          <w:spacing w:val="-10"/>
          <w:sz w:val="28"/>
        </w:rPr>
        <w:t> </w:t>
      </w:r>
      <w:r>
        <w:rPr>
          <w:sz w:val="28"/>
        </w:rPr>
        <w:t>Association for Transgender Health (WPATH):</w:t>
      </w:r>
      <w:r>
        <w:rPr>
          <w:spacing w:val="-10"/>
          <w:sz w:val="28"/>
        </w:rPr>
        <w:t> </w:t>
      </w:r>
      <w:r>
        <w:rPr>
          <w:sz w:val="28"/>
        </w:rPr>
        <w:t>An international</w:t>
      </w:r>
      <w:r>
        <w:rPr>
          <w:spacing w:val="-7"/>
          <w:sz w:val="28"/>
        </w:rPr>
        <w:t> </w:t>
      </w:r>
      <w:r>
        <w:rPr>
          <w:sz w:val="28"/>
        </w:rPr>
        <w:t>organization</w:t>
      </w:r>
      <w:r>
        <w:rPr>
          <w:spacing w:val="-7"/>
          <w:sz w:val="28"/>
        </w:rPr>
        <w:t> </w:t>
      </w:r>
      <w:r>
        <w:rPr>
          <w:sz w:val="28"/>
        </w:rPr>
        <w:t>that</w:t>
      </w:r>
      <w:r>
        <w:rPr>
          <w:spacing w:val="-7"/>
          <w:sz w:val="28"/>
        </w:rPr>
        <w:t> </w:t>
      </w:r>
      <w:r>
        <w:rPr>
          <w:sz w:val="28"/>
        </w:rPr>
        <w:t>promotes</w:t>
      </w:r>
      <w:r>
        <w:rPr>
          <w:spacing w:val="-7"/>
          <w:sz w:val="28"/>
        </w:rPr>
        <w:t> </w:t>
      </w:r>
      <w:r>
        <w:rPr>
          <w:sz w:val="28"/>
        </w:rPr>
        <w:t>evidence-based</w:t>
      </w:r>
      <w:r>
        <w:rPr>
          <w:spacing w:val="-7"/>
          <w:sz w:val="28"/>
        </w:rPr>
        <w:t> </w:t>
      </w:r>
      <w:r>
        <w:rPr>
          <w:sz w:val="28"/>
        </w:rPr>
        <w:t>care,</w:t>
      </w:r>
      <w:r>
        <w:rPr>
          <w:spacing w:val="-7"/>
          <w:sz w:val="28"/>
        </w:rPr>
        <w:t> </w:t>
      </w:r>
      <w:r>
        <w:rPr>
          <w:sz w:val="28"/>
        </w:rPr>
        <w:t>education, research, and advocacy for transgender health. Website: </w:t>
      </w:r>
      <w:r>
        <w:rPr>
          <w:color w:val="E4AF0A"/>
          <w:sz w:val="28"/>
          <w:u w:val="single" w:color="E4AF0A"/>
        </w:rPr>
        <w:t>https://</w:t>
      </w:r>
      <w:r>
        <w:rPr>
          <w:color w:val="E4AF0A"/>
          <w:sz w:val="28"/>
        </w:rPr>
        <w:t> </w:t>
      </w:r>
      <w:hyperlink r:id="rId26">
        <w:r>
          <w:rPr>
            <w:color w:val="E4AF0A"/>
            <w:spacing w:val="-2"/>
            <w:sz w:val="28"/>
            <w:u w:val="single" w:color="E4AF0A"/>
          </w:rPr>
          <w:t>www.wpath.org/</w:t>
        </w:r>
      </w:hyperlink>
    </w:p>
    <w:p>
      <w:pPr>
        <w:pStyle w:val="ListParagraph"/>
        <w:numPr>
          <w:ilvl w:val="0"/>
          <w:numId w:val="11"/>
        </w:numPr>
        <w:tabs>
          <w:tab w:pos="840" w:val="left" w:leader="none"/>
        </w:tabs>
        <w:spacing w:line="237" w:lineRule="auto" w:before="0" w:after="0"/>
        <w:ind w:left="840" w:right="790" w:hanging="560"/>
        <w:jc w:val="left"/>
        <w:rPr>
          <w:sz w:val="28"/>
        </w:rPr>
      </w:pPr>
      <w:r>
        <w:rPr>
          <w:sz w:val="28"/>
        </w:rPr>
        <w:t>American Foundation for Suicide Prevention (AFSP): A nonprofit organization</w:t>
      </w:r>
      <w:r>
        <w:rPr>
          <w:spacing w:val="-6"/>
          <w:sz w:val="28"/>
        </w:rPr>
        <w:t> </w:t>
      </w:r>
      <w:r>
        <w:rPr>
          <w:sz w:val="28"/>
        </w:rPr>
        <w:t>dedicated</w:t>
      </w:r>
      <w:r>
        <w:rPr>
          <w:spacing w:val="-6"/>
          <w:sz w:val="28"/>
        </w:rPr>
        <w:t> </w:t>
      </w:r>
      <w:r>
        <w:rPr>
          <w:sz w:val="28"/>
        </w:rPr>
        <w:t>to</w:t>
      </w:r>
      <w:r>
        <w:rPr>
          <w:spacing w:val="-6"/>
          <w:sz w:val="28"/>
        </w:rPr>
        <w:t> </w:t>
      </w:r>
      <w:r>
        <w:rPr>
          <w:sz w:val="28"/>
        </w:rPr>
        <w:t>understanding</w:t>
      </w:r>
      <w:r>
        <w:rPr>
          <w:spacing w:val="-6"/>
          <w:sz w:val="28"/>
        </w:rPr>
        <w:t> </w:t>
      </w:r>
      <w:r>
        <w:rPr>
          <w:sz w:val="28"/>
        </w:rPr>
        <w:t>and</w:t>
      </w:r>
      <w:r>
        <w:rPr>
          <w:spacing w:val="-6"/>
          <w:sz w:val="28"/>
        </w:rPr>
        <w:t> </w:t>
      </w:r>
      <w:r>
        <w:rPr>
          <w:sz w:val="28"/>
        </w:rPr>
        <w:t>preventing</w:t>
      </w:r>
      <w:r>
        <w:rPr>
          <w:spacing w:val="-6"/>
          <w:sz w:val="28"/>
        </w:rPr>
        <w:t> </w:t>
      </w:r>
      <w:r>
        <w:rPr>
          <w:sz w:val="28"/>
        </w:rPr>
        <w:t>suicide</w:t>
      </w:r>
      <w:r>
        <w:rPr>
          <w:spacing w:val="-7"/>
          <w:sz w:val="28"/>
        </w:rPr>
        <w:t> </w:t>
      </w:r>
      <w:r>
        <w:rPr>
          <w:sz w:val="28"/>
        </w:rPr>
        <w:t>through research, education, and advocacy. Website: </w:t>
      </w:r>
      <w:r>
        <w:rPr>
          <w:color w:val="E4AF0A"/>
          <w:sz w:val="28"/>
          <w:u w:val="single" w:color="E4AF0A"/>
        </w:rPr>
        <w:t>https://afsp.org/</w:t>
      </w:r>
    </w:p>
    <w:p>
      <w:pPr>
        <w:pStyle w:val="BodyText"/>
        <w:spacing w:before="8"/>
        <w:rPr>
          <w:sz w:val="26"/>
        </w:rPr>
      </w:pPr>
    </w:p>
    <w:p>
      <w:pPr>
        <w:pStyle w:val="BodyText"/>
        <w:ind w:left="280" w:right="502"/>
      </w:pPr>
      <w:r>
        <w:rPr/>
        <w:t>These</w:t>
      </w:r>
      <w:r>
        <w:rPr>
          <w:spacing w:val="-5"/>
        </w:rPr>
        <w:t> </w:t>
      </w:r>
      <w:r>
        <w:rPr/>
        <w:t>resources</w:t>
      </w:r>
      <w:r>
        <w:rPr>
          <w:spacing w:val="-4"/>
        </w:rPr>
        <w:t> </w:t>
      </w:r>
      <w:r>
        <w:rPr/>
        <w:t>can</w:t>
      </w:r>
      <w:r>
        <w:rPr>
          <w:spacing w:val="-4"/>
        </w:rPr>
        <w:t> </w:t>
      </w:r>
      <w:r>
        <w:rPr/>
        <w:t>provide</w:t>
      </w:r>
      <w:r>
        <w:rPr>
          <w:spacing w:val="-5"/>
        </w:rPr>
        <w:t> </w:t>
      </w:r>
      <w:r>
        <w:rPr/>
        <w:t>valuable</w:t>
      </w:r>
      <w:r>
        <w:rPr>
          <w:spacing w:val="-5"/>
        </w:rPr>
        <w:t> </w:t>
      </w:r>
      <w:r>
        <w:rPr/>
        <w:t>information,</w:t>
      </w:r>
      <w:r>
        <w:rPr>
          <w:spacing w:val="-4"/>
        </w:rPr>
        <w:t> </w:t>
      </w:r>
      <w:r>
        <w:rPr/>
        <w:t>support,</w:t>
      </w:r>
      <w:r>
        <w:rPr>
          <w:spacing w:val="-4"/>
        </w:rPr>
        <w:t> </w:t>
      </w:r>
      <w:r>
        <w:rPr/>
        <w:t>and</w:t>
      </w:r>
      <w:r>
        <w:rPr>
          <w:spacing w:val="-4"/>
        </w:rPr>
        <w:t> </w:t>
      </w:r>
      <w:r>
        <w:rPr/>
        <w:t>assistance</w:t>
      </w:r>
      <w:r>
        <w:rPr>
          <w:spacing w:val="-5"/>
        </w:rPr>
        <w:t> </w:t>
      </w:r>
      <w:r>
        <w:rPr/>
        <w:t>for individuals experiencing gender dysphoria or anyone concerned about the mental health and well-being of transgender individuals</w:t>
      </w:r>
    </w:p>
    <w:p>
      <w:pPr>
        <w:pStyle w:val="BodyText"/>
        <w:spacing w:before="8"/>
        <w:rPr>
          <w:sz w:val="24"/>
        </w:rPr>
      </w:pPr>
      <w:r>
        <w:rPr/>
        <mc:AlternateContent>
          <mc:Choice Requires="wps">
            <w:drawing>
              <wp:anchor distT="0" distB="0" distL="0" distR="0" allowOverlap="1" layoutInCell="1" locked="0" behindDoc="1" simplePos="0" relativeHeight="487615488">
                <wp:simplePos x="0" y="0"/>
                <wp:positionH relativeFrom="page">
                  <wp:posOffset>1066800</wp:posOffset>
                </wp:positionH>
                <wp:positionV relativeFrom="paragraph">
                  <wp:posOffset>195565</wp:posOffset>
                </wp:positionV>
                <wp:extent cx="1753870" cy="393700"/>
                <wp:effectExtent l="0" t="0" r="0" b="0"/>
                <wp:wrapTopAndBottom/>
                <wp:docPr id="104" name="Textbox 104"/>
                <wp:cNvGraphicFramePr>
                  <a:graphicFrameLocks/>
                </wp:cNvGraphicFramePr>
                <a:graphic>
                  <a:graphicData uri="http://schemas.microsoft.com/office/word/2010/wordprocessingShape">
                    <wps:wsp>
                      <wps:cNvPr id="104" name="Textbox 104"/>
                      <wps:cNvSpPr txBox="1"/>
                      <wps:spPr>
                        <a:xfrm>
                          <a:off x="0" y="0"/>
                          <a:ext cx="175387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STDs</w:t>
                            </w:r>
                            <w:r>
                              <w:rPr>
                                <w:b/>
                                <w:color w:val="374151"/>
                                <w:spacing w:val="-1"/>
                                <w:sz w:val="28"/>
                              </w:rPr>
                              <w:t> </w:t>
                            </w:r>
                            <w:r>
                              <w:rPr>
                                <w:b/>
                                <w:color w:val="374151"/>
                                <w:sz w:val="28"/>
                              </w:rPr>
                              <w:t>and</w:t>
                            </w:r>
                            <w:r>
                              <w:rPr>
                                <w:b/>
                                <w:color w:val="374151"/>
                                <w:spacing w:val="-1"/>
                                <w:sz w:val="28"/>
                              </w:rPr>
                              <w:t> </w:t>
                            </w:r>
                            <w:r>
                              <w:rPr>
                                <w:b/>
                                <w:color w:val="374151"/>
                                <w:sz w:val="28"/>
                              </w:rPr>
                              <w:t>Risk </w:t>
                            </w:r>
                            <w:r>
                              <w:rPr>
                                <w:b/>
                                <w:color w:val="374151"/>
                                <w:spacing w:val="-2"/>
                                <w:sz w:val="28"/>
                              </w:rPr>
                              <w:t>Factors</w:t>
                            </w:r>
                          </w:p>
                        </w:txbxContent>
                      </wps:txbx>
                      <wps:bodyPr wrap="square" lIns="0" tIns="0" rIns="0" bIns="0" rtlCol="0">
                        <a:noAutofit/>
                      </wps:bodyPr>
                    </wps:wsp>
                  </a:graphicData>
                </a:graphic>
              </wp:anchor>
            </w:drawing>
          </mc:Choice>
          <mc:Fallback>
            <w:pict>
              <v:shape style="position:absolute;margin-left:84pt;margin-top:15.398829pt;width:138.1pt;height:31pt;mso-position-horizontal-relative:page;mso-position-vertical-relative:paragraph;z-index:-15700992;mso-wrap-distance-left:0;mso-wrap-distance-right:0" type="#_x0000_t202" id="docshape103" filled="true" fillcolor="#f7f7f8" stroked="false">
                <v:textbox inset="0,0,0,0">
                  <w:txbxContent>
                    <w:p>
                      <w:pPr>
                        <w:spacing w:line="308" w:lineRule="exact" w:before="0"/>
                        <w:ind w:left="0" w:right="-15" w:firstLine="0"/>
                        <w:jc w:val="left"/>
                        <w:rPr>
                          <w:b/>
                          <w:color w:val="000000"/>
                          <w:sz w:val="28"/>
                        </w:rPr>
                      </w:pPr>
                      <w:r>
                        <w:rPr>
                          <w:b/>
                          <w:color w:val="374151"/>
                          <w:sz w:val="28"/>
                        </w:rPr>
                        <w:t>STDs</w:t>
                      </w:r>
                      <w:r>
                        <w:rPr>
                          <w:b/>
                          <w:color w:val="374151"/>
                          <w:spacing w:val="-1"/>
                          <w:sz w:val="28"/>
                        </w:rPr>
                        <w:t> </w:t>
                      </w:r>
                      <w:r>
                        <w:rPr>
                          <w:b/>
                          <w:color w:val="374151"/>
                          <w:sz w:val="28"/>
                        </w:rPr>
                        <w:t>and</w:t>
                      </w:r>
                      <w:r>
                        <w:rPr>
                          <w:b/>
                          <w:color w:val="374151"/>
                          <w:spacing w:val="-1"/>
                          <w:sz w:val="28"/>
                        </w:rPr>
                        <w:t> </w:t>
                      </w:r>
                      <w:r>
                        <w:rPr>
                          <w:b/>
                          <w:color w:val="374151"/>
                          <w:sz w:val="28"/>
                        </w:rPr>
                        <w:t>Risk </w:t>
                      </w:r>
                      <w:r>
                        <w:rPr>
                          <w:b/>
                          <w:color w:val="374151"/>
                          <w:spacing w:val="-2"/>
                          <w:sz w:val="28"/>
                        </w:rPr>
                        <w:t>Factors</w:t>
                      </w:r>
                    </w:p>
                  </w:txbxContent>
                </v:textbox>
                <v:fill type="solid"/>
                <w10:wrap type="topAndBottom"/>
              </v:shape>
            </w:pict>
          </mc:Fallback>
        </mc:AlternateContent>
      </w:r>
    </w:p>
    <w:p>
      <w:pPr>
        <w:pStyle w:val="BodyText"/>
        <w:spacing w:line="237" w:lineRule="auto" w:after="9"/>
        <w:ind w:left="280" w:right="668"/>
      </w:pPr>
      <w:r>
        <w:rPr>
          <w:color w:val="374151"/>
          <w:shd w:fill="F7F7F8" w:color="auto" w:val="clear"/>
        </w:rPr>
        <w:t>Studies</w:t>
      </w:r>
      <w:r>
        <w:rPr>
          <w:color w:val="374151"/>
          <w:spacing w:val="-3"/>
          <w:shd w:fill="F7F7F8" w:color="auto" w:val="clear"/>
        </w:rPr>
        <w:t> </w:t>
      </w:r>
      <w:r>
        <w:rPr>
          <w:color w:val="374151"/>
          <w:shd w:fill="F7F7F8" w:color="auto" w:val="clear"/>
        </w:rPr>
        <w:t>have</w:t>
      </w:r>
      <w:r>
        <w:rPr>
          <w:color w:val="374151"/>
          <w:spacing w:val="-4"/>
          <w:shd w:fill="F7F7F8" w:color="auto" w:val="clear"/>
        </w:rPr>
        <w:t> </w:t>
      </w:r>
      <w:r>
        <w:rPr>
          <w:color w:val="374151"/>
          <w:shd w:fill="F7F7F8" w:color="auto" w:val="clear"/>
        </w:rPr>
        <w:t>shown</w:t>
      </w:r>
      <w:r>
        <w:rPr>
          <w:color w:val="374151"/>
          <w:spacing w:val="-3"/>
          <w:shd w:fill="F7F7F8" w:color="auto" w:val="clear"/>
        </w:rPr>
        <w:t> </w:t>
      </w:r>
      <w:r>
        <w:rPr>
          <w:color w:val="374151"/>
          <w:shd w:fill="F7F7F8" w:color="auto" w:val="clear"/>
        </w:rPr>
        <w:t>that</w:t>
      </w:r>
      <w:r>
        <w:rPr>
          <w:color w:val="374151"/>
          <w:spacing w:val="-3"/>
          <w:shd w:fill="F7F7F8" w:color="auto" w:val="clear"/>
        </w:rPr>
        <w:t> </w:t>
      </w:r>
      <w:r>
        <w:rPr>
          <w:color w:val="374151"/>
          <w:shd w:fill="F7F7F8" w:color="auto" w:val="clear"/>
        </w:rPr>
        <w:t>transgender</w:t>
      </w:r>
      <w:r>
        <w:rPr>
          <w:color w:val="374151"/>
          <w:spacing w:val="-3"/>
          <w:shd w:fill="F7F7F8" w:color="auto" w:val="clear"/>
        </w:rPr>
        <w:t> </w:t>
      </w:r>
      <w:r>
        <w:rPr>
          <w:color w:val="374151"/>
          <w:shd w:fill="F7F7F8" w:color="auto" w:val="clear"/>
        </w:rPr>
        <w:t>individuals,</w:t>
      </w:r>
      <w:r>
        <w:rPr>
          <w:color w:val="374151"/>
          <w:spacing w:val="-3"/>
          <w:shd w:fill="F7F7F8" w:color="auto" w:val="clear"/>
        </w:rPr>
        <w:t> </w:t>
      </w:r>
      <w:r>
        <w:rPr>
          <w:color w:val="374151"/>
          <w:shd w:fill="F7F7F8" w:color="auto" w:val="clear"/>
        </w:rPr>
        <w:t>particularly</w:t>
      </w:r>
      <w:r>
        <w:rPr>
          <w:color w:val="374151"/>
          <w:spacing w:val="-3"/>
          <w:shd w:fill="F7F7F8" w:color="auto" w:val="clear"/>
        </w:rPr>
        <w:t> </w:t>
      </w:r>
      <w:r>
        <w:rPr>
          <w:color w:val="374151"/>
          <w:shd w:fill="F7F7F8" w:color="auto" w:val="clear"/>
        </w:rPr>
        <w:t>transgender</w:t>
      </w:r>
      <w:r>
        <w:rPr>
          <w:color w:val="374151"/>
          <w:spacing w:val="-4"/>
          <w:shd w:fill="F7F7F8" w:color="auto" w:val="clear"/>
        </w:rPr>
        <w:t> </w:t>
      </w:r>
      <w:r>
        <w:rPr>
          <w:color w:val="374151"/>
          <w:spacing w:val="-4"/>
        </w:rPr>
        <w:t> </w:t>
      </w:r>
      <w:r>
        <w:rPr>
          <w:color w:val="374151"/>
          <w:shd w:fill="F7F7F8" w:color="auto" w:val="clear"/>
        </w:rPr>
        <w:t>women, are disproportionately affected by sexually transmitted diseases </w:t>
      </w:r>
      <w:r>
        <w:rPr>
          <w:color w:val="374151"/>
        </w:rPr>
        <w:t> </w:t>
      </w:r>
      <w:r>
        <w:rPr>
          <w:color w:val="374151"/>
          <w:shd w:fill="F7F7F8" w:color="auto" w:val="clear"/>
        </w:rPr>
        <w:t>(STDs). Factors contributing to this disparity include limited access to </w:t>
      </w:r>
      <w:r>
        <w:rPr>
          <w:color w:val="374151"/>
        </w:rPr>
        <w:t> </w:t>
      </w:r>
      <w:r>
        <w:rPr>
          <w:color w:val="374151"/>
          <w:shd w:fill="F7F7F8" w:color="auto" w:val="clear"/>
        </w:rPr>
        <w:t>healthcare, discrimination, and social marginalization. Mental health and </w:t>
      </w:r>
      <w:r>
        <w:rPr>
          <w:color w:val="374151"/>
        </w:rPr>
        <w:t> </w:t>
      </w:r>
      <w:r>
        <w:rPr>
          <w:color w:val="374151"/>
          <w:shd w:fill="F7F7F8" w:color="auto" w:val="clear"/>
        </w:rPr>
        <w:t>social</w:t>
      </w:r>
      <w:r>
        <w:rPr>
          <w:color w:val="374151"/>
          <w:spacing w:val="-4"/>
          <w:shd w:fill="F7F7F8" w:color="auto" w:val="clear"/>
        </w:rPr>
        <w:t> </w:t>
      </w:r>
      <w:r>
        <w:rPr>
          <w:color w:val="374151"/>
          <w:shd w:fill="F7F7F8" w:color="auto" w:val="clear"/>
        </w:rPr>
        <w:t>work</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play</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hd w:fill="F7F7F8" w:color="auto" w:val="clear"/>
        </w:rPr>
        <w:t>critical</w:t>
      </w:r>
      <w:r>
        <w:rPr>
          <w:color w:val="374151"/>
          <w:spacing w:val="-4"/>
          <w:shd w:fill="F7F7F8" w:color="auto" w:val="clear"/>
        </w:rPr>
        <w:t> </w:t>
      </w:r>
      <w:r>
        <w:rPr>
          <w:color w:val="374151"/>
          <w:shd w:fill="F7F7F8" w:color="auto" w:val="clear"/>
        </w:rPr>
        <w:t>role</w:t>
      </w:r>
      <w:r>
        <w:rPr>
          <w:color w:val="374151"/>
          <w:spacing w:val="-5"/>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educating</w:t>
      </w:r>
      <w:r>
        <w:rPr>
          <w:color w:val="374151"/>
          <w:spacing w:val="-4"/>
          <w:shd w:fill="F7F7F8" w:color="auto" w:val="clear"/>
        </w:rPr>
        <w:t> </w:t>
      </w:r>
      <w:r>
        <w:rPr>
          <w:color w:val="374151"/>
          <w:shd w:fill="F7F7F8" w:color="auto" w:val="clear"/>
        </w:rPr>
        <w:t>transgender</w:t>
      </w:r>
      <w:r>
        <w:rPr>
          <w:color w:val="374151"/>
          <w:spacing w:val="-5"/>
          <w:shd w:fill="F7F7F8" w:color="auto" w:val="clear"/>
        </w:rPr>
        <w:t> </w:t>
      </w:r>
      <w:r>
        <w:rPr>
          <w:color w:val="374151"/>
          <w:spacing w:val="-5"/>
        </w:rPr>
        <w:t> </w:t>
      </w:r>
      <w:r>
        <w:rPr>
          <w:color w:val="374151"/>
          <w:shd w:fill="F7F7F8" w:color="auto" w:val="clear"/>
        </w:rPr>
        <w:t>individuals about safe sex practices, providing resources for accessing </w:t>
      </w:r>
      <w:r>
        <w:rPr>
          <w:color w:val="374151"/>
        </w:rPr>
        <w:t> </w:t>
      </w:r>
      <w:r>
        <w:rPr>
          <w:color w:val="374151"/>
          <w:shd w:fill="F7F7F8" w:color="auto" w:val="clear"/>
        </w:rPr>
        <w:t>healthcare, and addressing the psychosocial factors that may increase</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1585595" cy="787400"/>
                <wp:effectExtent l="0" t="0" r="0" b="3175"/>
                <wp:docPr id="105" name="Group 105"/>
                <wp:cNvGraphicFramePr>
                  <a:graphicFrameLocks/>
                </wp:cNvGraphicFramePr>
                <a:graphic>
                  <a:graphicData uri="http://schemas.microsoft.com/office/word/2010/wordprocessingGroup">
                    <wpg:wgp>
                      <wpg:cNvPr id="105" name="Group 105"/>
                      <wpg:cNvGrpSpPr/>
                      <wpg:grpSpPr>
                        <a:xfrm>
                          <a:off x="0" y="0"/>
                          <a:ext cx="1585595" cy="787400"/>
                          <a:chExt cx="1585595" cy="787400"/>
                        </a:xfrm>
                      </wpg:grpSpPr>
                      <wps:wsp>
                        <wps:cNvPr id="106" name="Textbox 106"/>
                        <wps:cNvSpPr txBox="1"/>
                        <wps:spPr>
                          <a:xfrm>
                            <a:off x="0" y="393700"/>
                            <a:ext cx="839469"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pacing w:val="-2"/>
                                  <w:sz w:val="28"/>
                                </w:rPr>
                                <w:t>References:</w:t>
                              </w:r>
                            </w:p>
                          </w:txbxContent>
                        </wps:txbx>
                        <wps:bodyPr wrap="square" lIns="0" tIns="0" rIns="0" bIns="0" rtlCol="0">
                          <a:noAutofit/>
                        </wps:bodyPr>
                      </wps:wsp>
                      <wps:wsp>
                        <wps:cNvPr id="107" name="Textbox 107"/>
                        <wps:cNvSpPr txBox="1"/>
                        <wps:spPr>
                          <a:xfrm>
                            <a:off x="0" y="0"/>
                            <a:ext cx="158559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vulnerability</w:t>
                              </w:r>
                              <w:r>
                                <w:rPr>
                                  <w:color w:val="374151"/>
                                  <w:spacing w:val="-1"/>
                                  <w:sz w:val="28"/>
                                </w:rPr>
                                <w:t> </w:t>
                              </w:r>
                              <w:r>
                                <w:rPr>
                                  <w:color w:val="374151"/>
                                  <w:sz w:val="28"/>
                                </w:rPr>
                                <w:t>to</w:t>
                              </w:r>
                              <w:r>
                                <w:rPr>
                                  <w:color w:val="374151"/>
                                  <w:spacing w:val="-1"/>
                                  <w:sz w:val="28"/>
                                </w:rPr>
                                <w:t> </w:t>
                              </w:r>
                              <w:r>
                                <w:rPr>
                                  <w:color w:val="374151"/>
                                  <w:spacing w:val="-2"/>
                                  <w:sz w:val="28"/>
                                </w:rPr>
                                <w:t>STDs.</w:t>
                              </w:r>
                            </w:p>
                          </w:txbxContent>
                        </wps:txbx>
                        <wps:bodyPr wrap="square" lIns="0" tIns="0" rIns="0" bIns="0" rtlCol="0">
                          <a:noAutofit/>
                        </wps:bodyPr>
                      </wps:wsp>
                    </wpg:wgp>
                  </a:graphicData>
                </a:graphic>
              </wp:inline>
            </w:drawing>
          </mc:Choice>
          <mc:Fallback>
            <w:pict>
              <v:group style="width:124.85pt;height:62pt;mso-position-horizontal-relative:char;mso-position-vertical-relative:line" id="docshapegroup104" coordorigin="0,0" coordsize="2497,1240">
                <v:shape style="position:absolute;left:0;top:620;width:1322;height:620" type="#_x0000_t202" id="docshape105" filled="true" fillcolor="#f7f7f8" stroked="false">
                  <v:textbox inset="0,0,0,0">
                    <w:txbxContent>
                      <w:p>
                        <w:pPr>
                          <w:spacing w:line="308" w:lineRule="exact" w:before="0"/>
                          <w:ind w:left="0" w:right="-15" w:firstLine="0"/>
                          <w:jc w:val="left"/>
                          <w:rPr>
                            <w:color w:val="000000"/>
                            <w:sz w:val="28"/>
                          </w:rPr>
                        </w:pPr>
                        <w:r>
                          <w:rPr>
                            <w:color w:val="374151"/>
                            <w:spacing w:val="-2"/>
                            <w:sz w:val="28"/>
                          </w:rPr>
                          <w:t>References:</w:t>
                        </w:r>
                      </w:p>
                    </w:txbxContent>
                  </v:textbox>
                  <v:fill type="solid"/>
                  <w10:wrap type="none"/>
                </v:shape>
                <v:shape style="position:absolute;left:0;top:0;width:2497;height:620" type="#_x0000_t202" id="docshape106" filled="true" fillcolor="#f7f7f8" stroked="false">
                  <v:textbox inset="0,0,0,0">
                    <w:txbxContent>
                      <w:p>
                        <w:pPr>
                          <w:spacing w:line="308" w:lineRule="exact" w:before="0"/>
                          <w:ind w:left="0" w:right="-15" w:firstLine="0"/>
                          <w:jc w:val="left"/>
                          <w:rPr>
                            <w:color w:val="000000"/>
                            <w:sz w:val="28"/>
                          </w:rPr>
                        </w:pPr>
                        <w:r>
                          <w:rPr>
                            <w:color w:val="374151"/>
                            <w:sz w:val="28"/>
                          </w:rPr>
                          <w:t>vulnerability</w:t>
                        </w:r>
                        <w:r>
                          <w:rPr>
                            <w:color w:val="374151"/>
                            <w:spacing w:val="-1"/>
                            <w:sz w:val="28"/>
                          </w:rPr>
                          <w:t> </w:t>
                        </w:r>
                        <w:r>
                          <w:rPr>
                            <w:color w:val="374151"/>
                            <w:sz w:val="28"/>
                          </w:rPr>
                          <w:t>to</w:t>
                        </w:r>
                        <w:r>
                          <w:rPr>
                            <w:color w:val="374151"/>
                            <w:spacing w:val="-1"/>
                            <w:sz w:val="28"/>
                          </w:rPr>
                          <w:t> </w:t>
                        </w:r>
                        <w:r>
                          <w:rPr>
                            <w:color w:val="374151"/>
                            <w:spacing w:val="-2"/>
                            <w:sz w:val="28"/>
                          </w:rPr>
                          <w:t>STDs.</w:t>
                        </w:r>
                      </w:p>
                    </w:txbxContent>
                  </v:textbox>
                  <v:fill type="solid"/>
                  <w10:wrap type="none"/>
                </v:shape>
              </v:group>
            </w:pict>
          </mc:Fallback>
        </mc:AlternateContent>
      </w:r>
      <w:r>
        <w:rPr>
          <w:sz w:val="20"/>
        </w:rPr>
      </w:r>
    </w:p>
    <w:p>
      <w:pPr>
        <w:pStyle w:val="BodyText"/>
        <w:spacing w:line="297" w:lineRule="exact"/>
        <w:ind w:left="280"/>
      </w:pPr>
      <w:r>
        <w:rPr/>
        <w:t>"Gender</w:t>
      </w:r>
      <w:r>
        <w:rPr>
          <w:spacing w:val="-6"/>
        </w:rPr>
        <w:t> </w:t>
      </w:r>
      <w:r>
        <w:rPr/>
        <w:t>Dysphoria:</w:t>
      </w:r>
      <w:r>
        <w:rPr>
          <w:spacing w:val="-4"/>
        </w:rPr>
        <w:t> </w:t>
      </w:r>
      <w:r>
        <w:rPr/>
        <w:t>Diagnosis,</w:t>
      </w:r>
      <w:r>
        <w:rPr>
          <w:spacing w:val="-3"/>
        </w:rPr>
        <w:t> </w:t>
      </w:r>
      <w:r>
        <w:rPr/>
        <w:t>Management,</w:t>
      </w:r>
      <w:r>
        <w:rPr>
          <w:spacing w:val="-4"/>
        </w:rPr>
        <w:t> </w:t>
      </w:r>
      <w:r>
        <w:rPr/>
        <w:t>and</w:t>
      </w:r>
      <w:r>
        <w:rPr>
          <w:spacing w:val="-9"/>
        </w:rPr>
        <w:t> </w:t>
      </w:r>
      <w:r>
        <w:rPr/>
        <w:t>Treatment"</w:t>
      </w:r>
      <w:r>
        <w:rPr>
          <w:spacing w:val="-3"/>
        </w:rPr>
        <w:t> </w:t>
      </w:r>
      <w:r>
        <w:rPr/>
        <w:t>by</w:t>
      </w:r>
      <w:r>
        <w:rPr>
          <w:spacing w:val="-4"/>
        </w:rPr>
        <w:t> </w:t>
      </w:r>
      <w:r>
        <w:rPr/>
        <w:t>Kailey</w:t>
      </w:r>
      <w:r>
        <w:rPr>
          <w:spacing w:val="-3"/>
        </w:rPr>
        <w:t> </w:t>
      </w:r>
      <w:r>
        <w:rPr>
          <w:spacing w:val="-4"/>
        </w:rPr>
        <w:t>Cox,</w:t>
      </w:r>
    </w:p>
    <w:p>
      <w:pPr>
        <w:pStyle w:val="BodyText"/>
        <w:ind w:left="280" w:right="502"/>
      </w:pPr>
      <w:r>
        <w:rPr/>
        <w:t>Kristina</w:t>
      </w:r>
      <w:r>
        <w:rPr>
          <w:spacing w:val="-13"/>
        </w:rPr>
        <w:t> </w:t>
      </w:r>
      <w:r>
        <w:rPr/>
        <w:t>Reitz-Krueger,</w:t>
      </w:r>
      <w:r>
        <w:rPr>
          <w:spacing w:val="-12"/>
        </w:rPr>
        <w:t> </w:t>
      </w:r>
      <w:r>
        <w:rPr/>
        <w:t>and</w:t>
      </w:r>
      <w:r>
        <w:rPr>
          <w:spacing w:val="-12"/>
        </w:rPr>
        <w:t> </w:t>
      </w:r>
      <w:r>
        <w:rPr/>
        <w:t>J.</w:t>
      </w:r>
      <w:r>
        <w:rPr>
          <w:spacing w:val="-12"/>
        </w:rPr>
        <w:t> </w:t>
      </w:r>
      <w:r>
        <w:rPr/>
        <w:t>Javier</w:t>
      </w:r>
      <w:r>
        <w:rPr>
          <w:spacing w:val="-12"/>
        </w:rPr>
        <w:t> </w:t>
      </w:r>
      <w:r>
        <w:rPr/>
        <w:t>Provencio-Vasquez,</w:t>
      </w:r>
      <w:r>
        <w:rPr>
          <w:spacing w:val="-12"/>
        </w:rPr>
        <w:t> </w:t>
      </w:r>
      <w:r>
        <w:rPr/>
        <w:t>published</w:t>
      </w:r>
      <w:r>
        <w:rPr>
          <w:spacing w:val="-12"/>
        </w:rPr>
        <w:t> </w:t>
      </w:r>
      <w:r>
        <w:rPr/>
        <w:t>in American Family Physician in January 2022.</w:t>
      </w:r>
    </w:p>
    <w:p>
      <w:pPr>
        <w:pStyle w:val="BodyText"/>
        <w:spacing w:before="4"/>
        <w:rPr>
          <w:sz w:val="27"/>
        </w:rPr>
      </w:pPr>
    </w:p>
    <w:p>
      <w:pPr>
        <w:pStyle w:val="BodyText"/>
        <w:ind w:left="280" w:right="502"/>
      </w:pPr>
      <w:r>
        <w:rPr/>
        <w:t>"Gender dysphoria in children and adolescents:</w:t>
      </w:r>
      <w:r>
        <w:rPr>
          <w:spacing w:val="-4"/>
        </w:rPr>
        <w:t> </w:t>
      </w:r>
      <w:r>
        <w:rPr/>
        <w:t>An overview of research, clinical</w:t>
      </w:r>
      <w:r>
        <w:rPr>
          <w:spacing w:val="-14"/>
        </w:rPr>
        <w:t> </w:t>
      </w:r>
      <w:r>
        <w:rPr/>
        <w:t>care,</w:t>
      </w:r>
      <w:r>
        <w:rPr>
          <w:spacing w:val="-9"/>
        </w:rPr>
        <w:t> </w:t>
      </w:r>
      <w:r>
        <w:rPr/>
        <w:t>and</w:t>
      </w:r>
      <w:r>
        <w:rPr>
          <w:spacing w:val="-9"/>
        </w:rPr>
        <w:t> </w:t>
      </w:r>
      <w:r>
        <w:rPr/>
        <w:t>emerging</w:t>
      </w:r>
      <w:r>
        <w:rPr>
          <w:spacing w:val="-9"/>
        </w:rPr>
        <w:t> </w:t>
      </w:r>
      <w:r>
        <w:rPr/>
        <w:t>practice"</w:t>
      </w:r>
      <w:r>
        <w:rPr>
          <w:spacing w:val="-9"/>
        </w:rPr>
        <w:t> </w:t>
      </w:r>
      <w:r>
        <w:rPr/>
        <w:t>by</w:t>
      </w:r>
      <w:r>
        <w:rPr>
          <w:spacing w:val="-9"/>
        </w:rPr>
        <w:t> </w:t>
      </w:r>
      <w:r>
        <w:rPr/>
        <w:t>Norman</w:t>
      </w:r>
      <w:r>
        <w:rPr>
          <w:spacing w:val="-9"/>
        </w:rPr>
        <w:t> </w:t>
      </w:r>
      <w:r>
        <w:rPr/>
        <w:t>P.</w:t>
      </w:r>
      <w:r>
        <w:rPr>
          <w:spacing w:val="-9"/>
        </w:rPr>
        <w:t> </w:t>
      </w:r>
      <w:r>
        <w:rPr/>
        <w:t>Spack,</w:t>
      </w:r>
      <w:r>
        <w:rPr>
          <w:spacing w:val="-18"/>
        </w:rPr>
        <w:t> </w:t>
      </w:r>
      <w:r>
        <w:rPr/>
        <w:t>Amy</w:t>
      </w:r>
      <w:r>
        <w:rPr>
          <w:spacing w:val="-14"/>
        </w:rPr>
        <w:t> </w:t>
      </w:r>
      <w:r>
        <w:rPr/>
        <w:t>Tishelman,</w:t>
      </w:r>
    </w:p>
    <w:p>
      <w:pPr>
        <w:spacing w:after="0"/>
        <w:sectPr>
          <w:pgSz w:w="12240" w:h="15840"/>
          <w:pgMar w:header="0" w:footer="765" w:top="1240" w:bottom="980" w:left="1400" w:right="1180"/>
        </w:sectPr>
      </w:pPr>
    </w:p>
    <w:p>
      <w:pPr>
        <w:pStyle w:val="BodyText"/>
        <w:spacing w:before="66"/>
        <w:ind w:left="280" w:right="502"/>
      </w:pPr>
      <w:r>
        <w:rPr/>
        <w:t>and</w:t>
      </w:r>
      <w:r>
        <w:rPr>
          <w:spacing w:val="-5"/>
        </w:rPr>
        <w:t> </w:t>
      </w:r>
      <w:r>
        <w:rPr/>
        <w:t>Scott</w:t>
      </w:r>
      <w:r>
        <w:rPr>
          <w:spacing w:val="-4"/>
        </w:rPr>
        <w:t> </w:t>
      </w:r>
      <w:r>
        <w:rPr/>
        <w:t>Leibowitz,</w:t>
      </w:r>
      <w:r>
        <w:rPr>
          <w:spacing w:val="-4"/>
        </w:rPr>
        <w:t> </w:t>
      </w:r>
      <w:r>
        <w:rPr/>
        <w:t>published</w:t>
      </w:r>
      <w:r>
        <w:rPr>
          <w:spacing w:val="-4"/>
        </w:rPr>
        <w:t> </w:t>
      </w:r>
      <w:r>
        <w:rPr/>
        <w:t>in</w:t>
      </w:r>
      <w:r>
        <w:rPr>
          <w:spacing w:val="-4"/>
        </w:rPr>
        <w:t> </w:t>
      </w:r>
      <w:r>
        <w:rPr/>
        <w:t>the</w:t>
      </w:r>
      <w:r>
        <w:rPr>
          <w:spacing w:val="-5"/>
        </w:rPr>
        <w:t> </w:t>
      </w:r>
      <w:r>
        <w:rPr/>
        <w:t>Journal</w:t>
      </w:r>
      <w:r>
        <w:rPr>
          <w:spacing w:val="-4"/>
        </w:rPr>
        <w:t> </w:t>
      </w:r>
      <w:r>
        <w:rPr/>
        <w:t>of</w:t>
      </w:r>
      <w:r>
        <w:rPr>
          <w:spacing w:val="-18"/>
        </w:rPr>
        <w:t> </w:t>
      </w:r>
      <w:r>
        <w:rPr/>
        <w:t>Adolescent</w:t>
      </w:r>
      <w:r>
        <w:rPr>
          <w:spacing w:val="-3"/>
        </w:rPr>
        <w:t> </w:t>
      </w:r>
      <w:r>
        <w:rPr/>
        <w:t>Health</w:t>
      </w:r>
      <w:r>
        <w:rPr>
          <w:spacing w:val="-4"/>
        </w:rPr>
        <w:t> </w:t>
      </w:r>
      <w:r>
        <w:rPr/>
        <w:t>in</w:t>
      </w:r>
      <w:r>
        <w:rPr>
          <w:spacing w:val="-4"/>
        </w:rPr>
        <w:t> </w:t>
      </w:r>
      <w:r>
        <w:rPr/>
        <w:t>June </w:t>
      </w:r>
      <w:r>
        <w:rPr>
          <w:spacing w:val="-2"/>
        </w:rPr>
        <w:t>2021.</w:t>
      </w:r>
    </w:p>
    <w:p>
      <w:pPr>
        <w:pStyle w:val="BodyText"/>
        <w:spacing w:before="5"/>
        <w:rPr>
          <w:sz w:val="27"/>
        </w:rPr>
      </w:pPr>
    </w:p>
    <w:p>
      <w:pPr>
        <w:pStyle w:val="BodyText"/>
        <w:ind w:left="280" w:right="668"/>
      </w:pPr>
      <w:r>
        <w:rPr/>
        <w:t>"A</w:t>
      </w:r>
      <w:r>
        <w:rPr>
          <w:spacing w:val="-18"/>
        </w:rPr>
        <w:t> </w:t>
      </w:r>
      <w:r>
        <w:rPr/>
        <w:t>Review</w:t>
      </w:r>
      <w:r>
        <w:rPr>
          <w:spacing w:val="-9"/>
        </w:rPr>
        <w:t> </w:t>
      </w:r>
      <w:r>
        <w:rPr/>
        <w:t>of</w:t>
      </w:r>
      <w:r>
        <w:rPr>
          <w:spacing w:val="-5"/>
        </w:rPr>
        <w:t> </w:t>
      </w:r>
      <w:r>
        <w:rPr/>
        <w:t>Gender</w:t>
      </w:r>
      <w:r>
        <w:rPr>
          <w:spacing w:val="-5"/>
        </w:rPr>
        <w:t> </w:t>
      </w:r>
      <w:r>
        <w:rPr/>
        <w:t>Dysphoria</w:t>
      </w:r>
      <w:r>
        <w:rPr>
          <w:spacing w:val="-6"/>
        </w:rPr>
        <w:t> </w:t>
      </w:r>
      <w:r>
        <w:rPr/>
        <w:t>Diagnosis</w:t>
      </w:r>
      <w:r>
        <w:rPr>
          <w:spacing w:val="-5"/>
        </w:rPr>
        <w:t> </w:t>
      </w:r>
      <w:r>
        <w:rPr/>
        <w:t>and</w:t>
      </w:r>
      <w:r>
        <w:rPr>
          <w:spacing w:val="-11"/>
        </w:rPr>
        <w:t> </w:t>
      </w:r>
      <w:r>
        <w:rPr/>
        <w:t>Treatment"</w:t>
      </w:r>
      <w:r>
        <w:rPr>
          <w:spacing w:val="-5"/>
        </w:rPr>
        <w:t> </w:t>
      </w:r>
      <w:r>
        <w:rPr/>
        <w:t>by</w:t>
      </w:r>
      <w:r>
        <w:rPr>
          <w:spacing w:val="-18"/>
        </w:rPr>
        <w:t> </w:t>
      </w:r>
      <w:r>
        <w:rPr/>
        <w:t>Az</w:t>
      </w:r>
      <w:r>
        <w:rPr>
          <w:spacing w:val="-5"/>
        </w:rPr>
        <w:t> </w:t>
      </w:r>
      <w:r>
        <w:rPr/>
        <w:t>Hakeem, Kristin Hinnant, and</w:t>
      </w:r>
      <w:r>
        <w:rPr>
          <w:spacing w:val="-3"/>
        </w:rPr>
        <w:t> </w:t>
      </w:r>
      <w:r>
        <w:rPr/>
        <w:t>Amrita Bhowmick, published in the Journal of Psychiatric Practice in March 2021.</w:t>
      </w:r>
    </w:p>
    <w:p>
      <w:pPr>
        <w:pStyle w:val="BodyText"/>
        <w:spacing w:before="4"/>
        <w:rPr>
          <w:sz w:val="27"/>
        </w:rPr>
      </w:pPr>
    </w:p>
    <w:p>
      <w:pPr>
        <w:pStyle w:val="BodyText"/>
        <w:ind w:left="280" w:right="502"/>
      </w:pPr>
      <w:r>
        <w:rPr>
          <w:color w:val="374151"/>
          <w:shd w:fill="F7F7F8" w:color="auto" w:val="clear"/>
        </w:rPr>
        <w:t>Arcelus,</w:t>
      </w:r>
      <w:r>
        <w:rPr>
          <w:color w:val="374151"/>
          <w:spacing w:val="-12"/>
          <w:shd w:fill="F7F7F8" w:color="auto" w:val="clear"/>
        </w:rPr>
        <w:t> </w:t>
      </w:r>
      <w:r>
        <w:rPr>
          <w:color w:val="374151"/>
          <w:shd w:fill="F7F7F8" w:color="auto" w:val="clear"/>
        </w:rPr>
        <w:t>J.,</w:t>
      </w:r>
      <w:r>
        <w:rPr>
          <w:color w:val="374151"/>
          <w:spacing w:val="-12"/>
          <w:shd w:fill="F7F7F8" w:color="auto" w:val="clear"/>
        </w:rPr>
        <w:t> </w:t>
      </w:r>
      <w:r>
        <w:rPr>
          <w:color w:val="374151"/>
          <w:shd w:fill="F7F7F8" w:color="auto" w:val="clear"/>
        </w:rPr>
        <w:t>Bouman,</w:t>
      </w:r>
      <w:r>
        <w:rPr>
          <w:color w:val="374151"/>
          <w:spacing w:val="-17"/>
          <w:shd w:fill="F7F7F8" w:color="auto" w:val="clear"/>
        </w:rPr>
        <w:t> </w:t>
      </w:r>
      <w:r>
        <w:rPr>
          <w:color w:val="374151"/>
          <w:shd w:fill="F7F7F8" w:color="auto" w:val="clear"/>
        </w:rPr>
        <w:t>W.</w:t>
      </w:r>
      <w:r>
        <w:rPr>
          <w:color w:val="374151"/>
          <w:spacing w:val="-12"/>
          <w:shd w:fill="F7F7F8" w:color="auto" w:val="clear"/>
        </w:rPr>
        <w:t> </w:t>
      </w:r>
      <w:r>
        <w:rPr>
          <w:color w:val="374151"/>
          <w:shd w:fill="F7F7F8" w:color="auto" w:val="clear"/>
        </w:rPr>
        <w:t>P.,</w:t>
      </w:r>
      <w:r>
        <w:rPr>
          <w:color w:val="374151"/>
          <w:spacing w:val="-17"/>
          <w:shd w:fill="F7F7F8" w:color="auto" w:val="clear"/>
        </w:rPr>
        <w:t> </w:t>
      </w:r>
      <w:r>
        <w:rPr>
          <w:color w:val="374151"/>
          <w:shd w:fill="F7F7F8" w:color="auto" w:val="clear"/>
        </w:rPr>
        <w:t>Van</w:t>
      </w:r>
      <w:r>
        <w:rPr>
          <w:color w:val="374151"/>
          <w:spacing w:val="-12"/>
          <w:shd w:fill="F7F7F8" w:color="auto" w:val="clear"/>
        </w:rPr>
        <w:t> </w:t>
      </w:r>
      <w:r>
        <w:rPr>
          <w:color w:val="374151"/>
          <w:shd w:fill="F7F7F8" w:color="auto" w:val="clear"/>
        </w:rPr>
        <w:t>Den</w:t>
      </w:r>
      <w:r>
        <w:rPr>
          <w:color w:val="374151"/>
          <w:spacing w:val="-12"/>
          <w:shd w:fill="F7F7F8" w:color="auto" w:val="clear"/>
        </w:rPr>
        <w:t> </w:t>
      </w:r>
      <w:r>
        <w:rPr>
          <w:color w:val="374151"/>
          <w:shd w:fill="F7F7F8" w:color="auto" w:val="clear"/>
        </w:rPr>
        <w:t>Noortgate,</w:t>
      </w:r>
      <w:r>
        <w:rPr>
          <w:color w:val="374151"/>
          <w:spacing w:val="-17"/>
          <w:shd w:fill="F7F7F8" w:color="auto" w:val="clear"/>
        </w:rPr>
        <w:t> </w:t>
      </w:r>
      <w:r>
        <w:rPr>
          <w:color w:val="374151"/>
          <w:shd w:fill="F7F7F8" w:color="auto" w:val="clear"/>
        </w:rPr>
        <w:t>W.,</w:t>
      </w:r>
      <w:r>
        <w:rPr>
          <w:color w:val="374151"/>
          <w:spacing w:val="-12"/>
          <w:shd w:fill="F7F7F8" w:color="auto" w:val="clear"/>
        </w:rPr>
        <w:t> </w:t>
      </w:r>
      <w:r>
        <w:rPr>
          <w:color w:val="374151"/>
          <w:shd w:fill="F7F7F8" w:color="auto" w:val="clear"/>
        </w:rPr>
        <w:t>Claes,</w:t>
      </w:r>
      <w:r>
        <w:rPr>
          <w:color w:val="374151"/>
          <w:spacing w:val="-12"/>
          <w:shd w:fill="F7F7F8" w:color="auto" w:val="clear"/>
        </w:rPr>
        <w:t> </w:t>
      </w:r>
      <w:r>
        <w:rPr>
          <w:color w:val="374151"/>
          <w:shd w:fill="F7F7F8" w:color="auto" w:val="clear"/>
        </w:rPr>
        <w:t>L.,</w:t>
      </w:r>
      <w:r>
        <w:rPr>
          <w:color w:val="374151"/>
          <w:spacing w:val="-17"/>
          <w:shd w:fill="F7F7F8" w:color="auto" w:val="clear"/>
        </w:rPr>
        <w:t> </w:t>
      </w:r>
      <w:r>
        <w:rPr>
          <w:color w:val="374151"/>
          <w:shd w:fill="F7F7F8" w:color="auto" w:val="clear"/>
        </w:rPr>
        <w:t>Witcomb,</w:t>
      </w:r>
      <w:r>
        <w:rPr>
          <w:color w:val="374151"/>
          <w:spacing w:val="-12"/>
          <w:shd w:fill="F7F7F8" w:color="auto" w:val="clear"/>
        </w:rPr>
        <w:t> </w:t>
      </w:r>
      <w:r>
        <w:rPr>
          <w:color w:val="374151"/>
          <w:shd w:fill="F7F7F8" w:color="auto" w:val="clear"/>
        </w:rPr>
        <w:t>G.,</w:t>
      </w:r>
      <w:r>
        <w:rPr>
          <w:color w:val="374151"/>
          <w:spacing w:val="-12"/>
          <w:shd w:fill="F7F7F8" w:color="auto" w:val="clear"/>
        </w:rPr>
        <w:t> </w:t>
      </w:r>
      <w:r>
        <w:rPr>
          <w:color w:val="374151"/>
          <w:shd w:fill="F7F7F8" w:color="auto" w:val="clear"/>
        </w:rPr>
        <w:t>&amp;</w:t>
      </w:r>
      <w:r>
        <w:rPr>
          <w:color w:val="374151"/>
          <w:spacing w:val="-13"/>
          <w:shd w:fill="F7F7F8" w:color="auto" w:val="clear"/>
        </w:rPr>
        <w:t> </w:t>
      </w:r>
      <w:r>
        <w:rPr>
          <w:color w:val="374151"/>
          <w:spacing w:val="-13"/>
        </w:rPr>
        <w:t> </w:t>
      </w:r>
      <w:r>
        <w:rPr>
          <w:color w:val="374151"/>
          <w:shd w:fill="F7F7F8" w:color="auto" w:val="clear"/>
        </w:rPr>
        <w:t>Fernandez-Aranda, F. (2020). Systematic review and meta-analysis of </w:t>
      </w:r>
      <w:r>
        <w:rPr>
          <w:color w:val="374151"/>
        </w:rPr>
        <w:t> </w:t>
      </w:r>
      <w:r>
        <w:rPr>
          <w:color w:val="374151"/>
          <w:shd w:fill="F7F7F8" w:color="auto" w:val="clear"/>
        </w:rPr>
        <w:t>prevalence studies in transsexualism. European Psychiatry, 59, 30-38.</w:t>
      </w:r>
    </w:p>
    <w:p>
      <w:pPr>
        <w:pStyle w:val="BodyText"/>
        <w:spacing w:before="3"/>
        <w:rPr>
          <w:sz w:val="27"/>
        </w:rPr>
      </w:pPr>
    </w:p>
    <w:p>
      <w:pPr>
        <w:pStyle w:val="BodyText"/>
        <w:spacing w:before="1"/>
        <w:ind w:left="280"/>
      </w:pPr>
      <w:r>
        <w:rPr>
          <w:color w:val="374151"/>
          <w:shd w:fill="F7F7F8" w:color="auto" w:val="clear"/>
        </w:rPr>
        <w:t>Grossoehme, D. H., DeSocio, J. E., Dixon, C.</w:t>
      </w:r>
      <w:r>
        <w:rPr>
          <w:color w:val="374151"/>
          <w:spacing w:val="-12"/>
          <w:shd w:fill="F7F7F8" w:color="auto" w:val="clear"/>
        </w:rPr>
        <w:t> </w:t>
      </w:r>
      <w:r>
        <w:rPr>
          <w:color w:val="374151"/>
          <w:shd w:fill="F7F7F8" w:color="auto" w:val="clear"/>
        </w:rPr>
        <w:t>A., &amp; Miller,</w:t>
      </w:r>
      <w:r>
        <w:rPr>
          <w:color w:val="374151"/>
          <w:spacing w:val="-12"/>
          <w:shd w:fill="F7F7F8" w:color="auto" w:val="clear"/>
        </w:rPr>
        <w:t> </w:t>
      </w:r>
      <w:r>
        <w:rPr>
          <w:color w:val="374151"/>
          <w:shd w:fill="F7F7F8" w:color="auto" w:val="clear"/>
        </w:rPr>
        <w:t>A. B. (2021). </w:t>
      </w:r>
      <w:r>
        <w:rPr>
          <w:color w:val="374151"/>
        </w:rPr>
        <w:t> </w:t>
      </w:r>
      <w:r>
        <w:rPr>
          <w:color w:val="374151"/>
          <w:shd w:fill="F7F7F8" w:color="auto" w:val="clear"/>
        </w:rPr>
        <w:t>Healthcare</w:t>
      </w:r>
      <w:r>
        <w:rPr>
          <w:color w:val="374151"/>
          <w:spacing w:val="-5"/>
          <w:shd w:fill="F7F7F8" w:color="auto" w:val="clear"/>
        </w:rPr>
        <w:t> </w:t>
      </w:r>
      <w:r>
        <w:rPr>
          <w:color w:val="374151"/>
          <w:shd w:fill="F7F7F8" w:color="auto" w:val="clear"/>
        </w:rPr>
        <w:t>disparities</w:t>
      </w:r>
      <w:r>
        <w:rPr>
          <w:color w:val="374151"/>
          <w:spacing w:val="-4"/>
          <w:shd w:fill="F7F7F8" w:color="auto" w:val="clear"/>
        </w:rPr>
        <w:t> </w:t>
      </w:r>
      <w:r>
        <w:rPr>
          <w:color w:val="374151"/>
          <w:shd w:fill="F7F7F8" w:color="auto" w:val="clear"/>
        </w:rPr>
        <w:t>experienced</w:t>
      </w:r>
      <w:r>
        <w:rPr>
          <w:color w:val="374151"/>
          <w:spacing w:val="-4"/>
          <w:shd w:fill="F7F7F8" w:color="auto" w:val="clear"/>
        </w:rPr>
        <w:t> </w:t>
      </w:r>
      <w:r>
        <w:rPr>
          <w:color w:val="374151"/>
          <w:shd w:fill="F7F7F8" w:color="auto" w:val="clear"/>
        </w:rPr>
        <w:t>by</w:t>
      </w:r>
      <w:r>
        <w:rPr>
          <w:color w:val="374151"/>
          <w:spacing w:val="-4"/>
          <w:shd w:fill="F7F7F8" w:color="auto" w:val="clear"/>
        </w:rPr>
        <w:t> </w:t>
      </w:r>
      <w:r>
        <w:rPr>
          <w:color w:val="374151"/>
          <w:shd w:fill="F7F7F8" w:color="auto" w:val="clear"/>
        </w:rPr>
        <w:t>transgender</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gender</w:t>
      </w:r>
      <w:r>
        <w:rPr>
          <w:color w:val="374151"/>
          <w:spacing w:val="-4"/>
          <w:shd w:fill="F7F7F8" w:color="auto" w:val="clear"/>
        </w:rPr>
        <w:t> </w:t>
      </w:r>
      <w:r>
        <w:rPr>
          <w:color w:val="374151"/>
          <w:shd w:fill="F7F7F8" w:color="auto" w:val="clear"/>
        </w:rPr>
        <w:t>diverse</w:t>
      </w:r>
      <w:r>
        <w:rPr>
          <w:color w:val="374151"/>
          <w:spacing w:val="-5"/>
          <w:shd w:fill="F7F7F8" w:color="auto" w:val="clear"/>
        </w:rPr>
        <w:t> </w:t>
      </w:r>
      <w:r>
        <w:rPr>
          <w:color w:val="374151"/>
          <w:shd w:fill="F7F7F8" w:color="auto" w:val="clear"/>
        </w:rPr>
        <w:t>youth:</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pacing w:val="-5"/>
        </w:rPr>
        <w:t> </w:t>
      </w:r>
      <w:r>
        <w:rPr>
          <w:color w:val="374151"/>
          <w:shd w:fill="F7F7F8" w:color="auto" w:val="clear"/>
        </w:rPr>
        <w:t>scoping review. Journal of Pediatric Nursing, 57, 132-141.</w:t>
      </w:r>
    </w:p>
    <w:p>
      <w:pPr>
        <w:pStyle w:val="BodyText"/>
        <w:spacing w:before="3"/>
        <w:rPr>
          <w:sz w:val="27"/>
        </w:rPr>
      </w:pPr>
    </w:p>
    <w:p>
      <w:pPr>
        <w:pStyle w:val="BodyText"/>
        <w:ind w:left="280" w:right="502"/>
      </w:pPr>
      <w:r>
        <w:rPr>
          <w:color w:val="374151"/>
          <w:shd w:fill="F7F7F8" w:color="auto" w:val="clear"/>
        </w:rPr>
        <w:t>Johns, M. M., Lowry, R.,</w:t>
      </w:r>
      <w:r>
        <w:rPr>
          <w:color w:val="374151"/>
          <w:spacing w:val="-14"/>
          <w:shd w:fill="F7F7F8" w:color="auto" w:val="clear"/>
        </w:rPr>
        <w:t> </w:t>
      </w:r>
      <w:r>
        <w:rPr>
          <w:color w:val="374151"/>
          <w:shd w:fill="F7F7F8" w:color="auto" w:val="clear"/>
        </w:rPr>
        <w:t>Andrew, E. J., Barrios, L. C., Demissie, Z., </w:t>
      </w:r>
      <w:r>
        <w:rPr>
          <w:color w:val="374151"/>
        </w:rPr>
        <w:t> </w:t>
      </w:r>
      <w:r>
        <w:rPr>
          <w:color w:val="374151"/>
          <w:shd w:fill="F7F7F8" w:color="auto" w:val="clear"/>
        </w:rPr>
        <w:t>McManus,</w:t>
      </w:r>
      <w:r>
        <w:rPr>
          <w:color w:val="374151"/>
          <w:spacing w:val="-13"/>
          <w:shd w:fill="F7F7F8" w:color="auto" w:val="clear"/>
        </w:rPr>
        <w:t> </w:t>
      </w:r>
      <w:r>
        <w:rPr>
          <w:color w:val="374151"/>
          <w:shd w:fill="F7F7F8" w:color="auto" w:val="clear"/>
        </w:rPr>
        <w:t>T.,</w:t>
      </w:r>
      <w:r>
        <w:rPr>
          <w:color w:val="374151"/>
          <w:spacing w:val="-7"/>
          <w:shd w:fill="F7F7F8" w:color="auto" w:val="clear"/>
        </w:rPr>
        <w:t> </w:t>
      </w:r>
      <w:r>
        <w:rPr>
          <w:color w:val="374151"/>
          <w:shd w:fill="F7F7F8" w:color="auto" w:val="clear"/>
        </w:rPr>
        <w:t>&amp;</w:t>
      </w:r>
      <w:r>
        <w:rPr>
          <w:color w:val="374151"/>
          <w:spacing w:val="-7"/>
          <w:shd w:fill="F7F7F8" w:color="auto" w:val="clear"/>
        </w:rPr>
        <w:t> </w:t>
      </w:r>
      <w:r>
        <w:rPr>
          <w:color w:val="374151"/>
          <w:shd w:fill="F7F7F8" w:color="auto" w:val="clear"/>
        </w:rPr>
        <w:t>Rasberry,</w:t>
      </w:r>
      <w:r>
        <w:rPr>
          <w:color w:val="374151"/>
          <w:spacing w:val="-7"/>
          <w:shd w:fill="F7F7F8" w:color="auto" w:val="clear"/>
        </w:rPr>
        <w:t> </w:t>
      </w:r>
      <w:r>
        <w:rPr>
          <w:color w:val="374151"/>
          <w:shd w:fill="F7F7F8" w:color="auto" w:val="clear"/>
        </w:rPr>
        <w:t>C.</w:t>
      </w:r>
      <w:r>
        <w:rPr>
          <w:color w:val="374151"/>
          <w:spacing w:val="-7"/>
          <w:shd w:fill="F7F7F8" w:color="auto" w:val="clear"/>
        </w:rPr>
        <w:t> </w:t>
      </w:r>
      <w:r>
        <w:rPr>
          <w:color w:val="374151"/>
          <w:shd w:fill="F7F7F8" w:color="auto" w:val="clear"/>
        </w:rPr>
        <w:t>N.</w:t>
      </w:r>
      <w:r>
        <w:rPr>
          <w:color w:val="374151"/>
          <w:spacing w:val="-7"/>
          <w:shd w:fill="F7F7F8" w:color="auto" w:val="clear"/>
        </w:rPr>
        <w:t> </w:t>
      </w:r>
      <w:r>
        <w:rPr>
          <w:color w:val="374151"/>
          <w:shd w:fill="F7F7F8" w:color="auto" w:val="clear"/>
        </w:rPr>
        <w:t>(2021).</w:t>
      </w:r>
      <w:r>
        <w:rPr>
          <w:color w:val="374151"/>
          <w:spacing w:val="-13"/>
          <w:shd w:fill="F7F7F8" w:color="auto" w:val="clear"/>
        </w:rPr>
        <w:t> </w:t>
      </w:r>
      <w:r>
        <w:rPr>
          <w:color w:val="374151"/>
          <w:shd w:fill="F7F7F8" w:color="auto" w:val="clear"/>
        </w:rPr>
        <w:t>Transgender</w:t>
      </w:r>
      <w:r>
        <w:rPr>
          <w:color w:val="374151"/>
          <w:spacing w:val="-7"/>
          <w:shd w:fill="F7F7F8" w:color="auto" w:val="clear"/>
        </w:rPr>
        <w:t> </w:t>
      </w:r>
      <w:r>
        <w:rPr>
          <w:color w:val="374151"/>
          <w:shd w:fill="F7F7F8" w:color="auto" w:val="clear"/>
        </w:rPr>
        <w:t>Identity</w:t>
      </w:r>
      <w:r>
        <w:rPr>
          <w:color w:val="374151"/>
          <w:spacing w:val="-7"/>
          <w:shd w:fill="F7F7F8" w:color="auto" w:val="clear"/>
        </w:rPr>
        <w:t> </w:t>
      </w:r>
      <w:r>
        <w:rPr>
          <w:color w:val="374151"/>
          <w:shd w:fill="F7F7F8" w:color="auto" w:val="clear"/>
        </w:rPr>
        <w:t>and</w:t>
      </w:r>
      <w:r>
        <w:rPr>
          <w:color w:val="374151"/>
          <w:spacing w:val="-7"/>
          <w:shd w:fill="F7F7F8" w:color="auto" w:val="clear"/>
        </w:rPr>
        <w:t> </w:t>
      </w:r>
      <w:r>
        <w:rPr>
          <w:color w:val="374151"/>
          <w:shd w:fill="F7F7F8" w:color="auto" w:val="clear"/>
        </w:rPr>
        <w:t>Experiences</w:t>
      </w:r>
      <w:r>
        <w:rPr>
          <w:color w:val="374151"/>
        </w:rPr>
        <w:t> </w:t>
      </w:r>
      <w:r>
        <w:rPr>
          <w:color w:val="374151"/>
          <w:shd w:fill="F7F7F8" w:color="auto" w:val="clear"/>
        </w:rPr>
        <w:t>of</w:t>
      </w:r>
      <w:r>
        <w:rPr>
          <w:color w:val="374151"/>
          <w:spacing w:val="-2"/>
          <w:shd w:fill="F7F7F8" w:color="auto" w:val="clear"/>
        </w:rPr>
        <w:t> </w:t>
      </w:r>
      <w:r>
        <w:rPr>
          <w:color w:val="374151"/>
          <w:shd w:fill="F7F7F8" w:color="auto" w:val="clear"/>
        </w:rPr>
        <w:t>Violence</w:t>
      </w:r>
      <w:r>
        <w:rPr>
          <w:color w:val="374151"/>
          <w:spacing w:val="-2"/>
          <w:shd w:fill="F7F7F8" w:color="auto" w:val="clear"/>
        </w:rPr>
        <w:t> </w:t>
      </w:r>
      <w:r>
        <w:rPr>
          <w:color w:val="374151"/>
          <w:shd w:fill="F7F7F8" w:color="auto" w:val="clear"/>
        </w:rPr>
        <w:t>Victimization, Substance Use, Suicide Risk, and Sexual Risk </w:t>
      </w:r>
      <w:r>
        <w:rPr>
          <w:color w:val="374151"/>
        </w:rPr>
        <w:t> </w:t>
      </w:r>
      <w:r>
        <w:rPr>
          <w:color w:val="374151"/>
          <w:shd w:fill="F7F7F8" w:color="auto" w:val="clear"/>
        </w:rPr>
        <w:t>Behaviors</w:t>
      </w:r>
      <w:r>
        <w:rPr>
          <w:color w:val="374151"/>
          <w:spacing w:val="-18"/>
          <w:shd w:fill="F7F7F8" w:color="auto" w:val="clear"/>
        </w:rPr>
        <w:t> </w:t>
      </w:r>
      <w:r>
        <w:rPr>
          <w:color w:val="374151"/>
          <w:shd w:fill="F7F7F8" w:color="auto" w:val="clear"/>
        </w:rPr>
        <w:t>Among</w:t>
      </w:r>
      <w:r>
        <w:rPr>
          <w:color w:val="374151"/>
          <w:spacing w:val="-5"/>
          <w:shd w:fill="F7F7F8" w:color="auto" w:val="clear"/>
        </w:rPr>
        <w:t> </w:t>
      </w:r>
      <w:r>
        <w:rPr>
          <w:color w:val="374151"/>
          <w:shd w:fill="F7F7F8" w:color="auto" w:val="clear"/>
        </w:rPr>
        <w:t>High</w:t>
      </w:r>
      <w:r>
        <w:rPr>
          <w:color w:val="374151"/>
          <w:spacing w:val="-4"/>
          <w:shd w:fill="F7F7F8" w:color="auto" w:val="clear"/>
        </w:rPr>
        <w:t> </w:t>
      </w:r>
      <w:r>
        <w:rPr>
          <w:color w:val="374151"/>
          <w:shd w:fill="F7F7F8" w:color="auto" w:val="clear"/>
        </w:rPr>
        <w:t>School</w:t>
      </w:r>
      <w:r>
        <w:rPr>
          <w:color w:val="374151"/>
          <w:spacing w:val="-4"/>
          <w:shd w:fill="F7F7F8" w:color="auto" w:val="clear"/>
        </w:rPr>
        <w:t> </w:t>
      </w:r>
      <w:r>
        <w:rPr>
          <w:color w:val="374151"/>
          <w:shd w:fill="F7F7F8" w:color="auto" w:val="clear"/>
        </w:rPr>
        <w:t>Students</w:t>
      </w:r>
      <w:r>
        <w:rPr>
          <w:color w:val="374151"/>
          <w:spacing w:val="-4"/>
          <w:shd w:fill="F7F7F8" w:color="auto" w:val="clear"/>
        </w:rPr>
        <w:t> </w:t>
      </w:r>
      <w:r>
        <w:rPr>
          <w:color w:val="374151"/>
          <w:shd w:fill="F7F7F8" w:color="auto" w:val="clear"/>
        </w:rPr>
        <w:t>—</w:t>
      </w:r>
      <w:r>
        <w:rPr>
          <w:color w:val="374151"/>
          <w:spacing w:val="-4"/>
          <w:shd w:fill="F7F7F8" w:color="auto" w:val="clear"/>
        </w:rPr>
        <w:t> </w:t>
      </w:r>
      <w:r>
        <w:rPr>
          <w:color w:val="374151"/>
          <w:shd w:fill="F7F7F8" w:color="auto" w:val="clear"/>
        </w:rPr>
        <w:t>19</w:t>
      </w:r>
      <w:r>
        <w:rPr>
          <w:color w:val="374151"/>
          <w:spacing w:val="-4"/>
          <w:shd w:fill="F7F7F8" w:color="auto" w:val="clear"/>
        </w:rPr>
        <w:t> </w:t>
      </w:r>
      <w:r>
        <w:rPr>
          <w:color w:val="374151"/>
          <w:shd w:fill="F7F7F8" w:color="auto" w:val="clear"/>
        </w:rPr>
        <w:t>States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Large</w:t>
      </w:r>
      <w:r>
        <w:rPr>
          <w:color w:val="374151"/>
          <w:spacing w:val="-5"/>
          <w:shd w:fill="F7F7F8" w:color="auto" w:val="clear"/>
        </w:rPr>
        <w:t> </w:t>
      </w:r>
      <w:r>
        <w:rPr>
          <w:color w:val="374151"/>
          <w:shd w:fill="F7F7F8" w:color="auto" w:val="clear"/>
        </w:rPr>
        <w:t>Urban</w:t>
      </w:r>
      <w:r>
        <w:rPr>
          <w:color w:val="374151"/>
          <w:spacing w:val="-4"/>
          <w:shd w:fill="F7F7F8" w:color="auto" w:val="clear"/>
        </w:rPr>
        <w:t> </w:t>
      </w:r>
      <w:r>
        <w:rPr>
          <w:color w:val="374151"/>
          <w:shd w:fill="F7F7F8" w:color="auto" w:val="clear"/>
        </w:rPr>
        <w:t>School</w:t>
      </w:r>
      <w:r>
        <w:rPr>
          <w:color w:val="374151"/>
          <w:spacing w:val="-5"/>
          <w:shd w:fill="F7F7F8" w:color="auto" w:val="clear"/>
        </w:rPr>
        <w:t> </w:t>
      </w:r>
      <w:r>
        <w:rPr>
          <w:color w:val="374151"/>
          <w:spacing w:val="-5"/>
        </w:rPr>
        <w:t> </w:t>
      </w:r>
      <w:r>
        <w:rPr>
          <w:color w:val="374151"/>
          <w:shd w:fill="F7F7F8" w:color="auto" w:val="clear"/>
        </w:rPr>
        <w:t>Districts, 2017–2019. MMWR. Morbidity and Mortality Weekly Report, </w:t>
      </w:r>
      <w:r>
        <w:rPr>
          <w:color w:val="374151"/>
        </w:rPr>
        <w:t> </w:t>
      </w:r>
      <w:r>
        <w:rPr>
          <w:color w:val="374151"/>
          <w:shd w:fill="F7F7F8" w:color="auto" w:val="clear"/>
        </w:rPr>
        <w:t>70(21), 779-784.</w:t>
      </w:r>
    </w:p>
    <w:p>
      <w:pPr>
        <w:pStyle w:val="BodyText"/>
        <w:spacing w:before="9"/>
        <w:rPr>
          <w:sz w:val="26"/>
        </w:rPr>
      </w:pPr>
    </w:p>
    <w:p>
      <w:pPr>
        <w:pStyle w:val="BodyText"/>
        <w:ind w:left="280" w:right="502"/>
      </w:pPr>
      <w:r>
        <w:rPr>
          <w:color w:val="374151"/>
          <w:shd w:fill="F7F7F8" w:color="auto" w:val="clear"/>
        </w:rPr>
        <w:t>Reisner,</w:t>
      </w:r>
      <w:r>
        <w:rPr>
          <w:color w:val="374151"/>
          <w:spacing w:val="-11"/>
          <w:shd w:fill="F7F7F8" w:color="auto" w:val="clear"/>
        </w:rPr>
        <w:t> </w:t>
      </w:r>
      <w:r>
        <w:rPr>
          <w:color w:val="374151"/>
          <w:shd w:fill="F7F7F8" w:color="auto" w:val="clear"/>
        </w:rPr>
        <w:t>S.</w:t>
      </w:r>
      <w:r>
        <w:rPr>
          <w:color w:val="374151"/>
          <w:spacing w:val="-11"/>
          <w:shd w:fill="F7F7F8" w:color="auto" w:val="clear"/>
        </w:rPr>
        <w:t> </w:t>
      </w:r>
      <w:r>
        <w:rPr>
          <w:color w:val="374151"/>
          <w:shd w:fill="F7F7F8" w:color="auto" w:val="clear"/>
        </w:rPr>
        <w:t>L.,</w:t>
      </w:r>
      <w:r>
        <w:rPr>
          <w:color w:val="374151"/>
          <w:spacing w:val="-16"/>
          <w:shd w:fill="F7F7F8" w:color="auto" w:val="clear"/>
        </w:rPr>
        <w:t> </w:t>
      </w:r>
      <w:r>
        <w:rPr>
          <w:color w:val="374151"/>
          <w:shd w:fill="F7F7F8" w:color="auto" w:val="clear"/>
        </w:rPr>
        <w:t>Vetters,</w:t>
      </w:r>
      <w:r>
        <w:rPr>
          <w:color w:val="374151"/>
          <w:spacing w:val="-11"/>
          <w:shd w:fill="F7F7F8" w:color="auto" w:val="clear"/>
        </w:rPr>
        <w:t> </w:t>
      </w:r>
      <w:r>
        <w:rPr>
          <w:color w:val="374151"/>
          <w:shd w:fill="F7F7F8" w:color="auto" w:val="clear"/>
        </w:rPr>
        <w:t>R.,</w:t>
      </w:r>
      <w:r>
        <w:rPr>
          <w:color w:val="374151"/>
          <w:spacing w:val="-11"/>
          <w:shd w:fill="F7F7F8" w:color="auto" w:val="clear"/>
        </w:rPr>
        <w:t> </w:t>
      </w:r>
      <w:r>
        <w:rPr>
          <w:color w:val="374151"/>
          <w:shd w:fill="F7F7F8" w:color="auto" w:val="clear"/>
        </w:rPr>
        <w:t>Leclerc,</w:t>
      </w:r>
      <w:r>
        <w:rPr>
          <w:color w:val="374151"/>
          <w:spacing w:val="-11"/>
          <w:shd w:fill="F7F7F8" w:color="auto" w:val="clear"/>
        </w:rPr>
        <w:t> </w:t>
      </w:r>
      <w:r>
        <w:rPr>
          <w:color w:val="374151"/>
          <w:shd w:fill="F7F7F8" w:color="auto" w:val="clear"/>
        </w:rPr>
        <w:t>M.,</w:t>
      </w:r>
      <w:r>
        <w:rPr>
          <w:color w:val="374151"/>
          <w:spacing w:val="-11"/>
          <w:shd w:fill="F7F7F8" w:color="auto" w:val="clear"/>
        </w:rPr>
        <w:t> </w:t>
      </w:r>
      <w:r>
        <w:rPr>
          <w:color w:val="374151"/>
          <w:shd w:fill="F7F7F8" w:color="auto" w:val="clear"/>
        </w:rPr>
        <w:t>Zaslow,</w:t>
      </w:r>
      <w:r>
        <w:rPr>
          <w:color w:val="374151"/>
          <w:spacing w:val="-11"/>
          <w:shd w:fill="F7F7F8" w:color="auto" w:val="clear"/>
        </w:rPr>
        <w:t> </w:t>
      </w:r>
      <w:r>
        <w:rPr>
          <w:color w:val="374151"/>
          <w:shd w:fill="F7F7F8" w:color="auto" w:val="clear"/>
        </w:rPr>
        <w:t>S.,</w:t>
      </w:r>
      <w:r>
        <w:rPr>
          <w:color w:val="374151"/>
          <w:spacing w:val="-16"/>
          <w:shd w:fill="F7F7F8" w:color="auto" w:val="clear"/>
        </w:rPr>
        <w:t> </w:t>
      </w:r>
      <w:r>
        <w:rPr>
          <w:color w:val="374151"/>
          <w:shd w:fill="F7F7F8" w:color="auto" w:val="clear"/>
        </w:rPr>
        <w:t>Wolfrum,</w:t>
      </w:r>
      <w:r>
        <w:rPr>
          <w:color w:val="374151"/>
          <w:spacing w:val="-11"/>
          <w:shd w:fill="F7F7F8" w:color="auto" w:val="clear"/>
        </w:rPr>
        <w:t> </w:t>
      </w:r>
      <w:r>
        <w:rPr>
          <w:color w:val="374151"/>
          <w:shd w:fill="F7F7F8" w:color="auto" w:val="clear"/>
        </w:rPr>
        <w:t>S.,</w:t>
      </w:r>
      <w:r>
        <w:rPr>
          <w:color w:val="374151"/>
          <w:spacing w:val="-11"/>
          <w:shd w:fill="F7F7F8" w:color="auto" w:val="clear"/>
        </w:rPr>
        <w:t> </w:t>
      </w:r>
      <w:r>
        <w:rPr>
          <w:color w:val="374151"/>
          <w:shd w:fill="F7F7F8" w:color="auto" w:val="clear"/>
        </w:rPr>
        <w:t>Shumer,</w:t>
      </w:r>
      <w:r>
        <w:rPr>
          <w:color w:val="374151"/>
          <w:spacing w:val="-11"/>
          <w:shd w:fill="F7F7F8" w:color="auto" w:val="clear"/>
        </w:rPr>
        <w:t> </w:t>
      </w:r>
      <w:r>
        <w:rPr>
          <w:color w:val="374151"/>
          <w:shd w:fill="F7F7F8" w:color="auto" w:val="clear"/>
        </w:rPr>
        <w:t>D.,</w:t>
      </w:r>
      <w:r>
        <w:rPr>
          <w:color w:val="374151"/>
          <w:spacing w:val="-11"/>
          <w:shd w:fill="F7F7F8" w:color="auto" w:val="clear"/>
        </w:rPr>
        <w:t> </w:t>
      </w:r>
      <w:r>
        <w:rPr>
          <w:color w:val="374151"/>
          <w:shd w:fill="F7F7F8" w:color="auto" w:val="clear"/>
        </w:rPr>
        <w:t>&amp;</w:t>
      </w:r>
      <w:r>
        <w:rPr>
          <w:color w:val="374151"/>
        </w:rPr>
        <w:t> </w:t>
      </w:r>
      <w:r>
        <w:rPr>
          <w:color w:val="374151"/>
          <w:shd w:fill="F7F7F8" w:color="auto" w:val="clear"/>
        </w:rPr>
        <w:t>Mimiaga, M. J. (2020). Mental health of transgender youth in care at an </w:t>
      </w:r>
      <w:r>
        <w:rPr>
          <w:color w:val="374151"/>
        </w:rPr>
        <w:t> </w:t>
      </w:r>
      <w:r>
        <w:rPr>
          <w:color w:val="374151"/>
          <w:shd w:fill="F7F7F8" w:color="auto" w:val="clear"/>
        </w:rPr>
        <w:t>adolescent urban community health center: a matched retrospective cohort </w:t>
      </w:r>
      <w:r>
        <w:rPr>
          <w:color w:val="374151"/>
        </w:rPr>
        <w:t> </w:t>
      </w:r>
      <w:r>
        <w:rPr>
          <w:color w:val="374151"/>
          <w:shd w:fill="F7F7F8" w:color="auto" w:val="clear"/>
        </w:rPr>
        <w:t>study. Journal of Adolescent Health, 66(6), 678-685.</w:t>
      </w:r>
    </w:p>
    <w:p>
      <w:pPr>
        <w:pStyle w:val="BodyText"/>
        <w:spacing w:before="2"/>
        <w:rPr>
          <w:sz w:val="27"/>
        </w:rPr>
      </w:pPr>
    </w:p>
    <w:p>
      <w:pPr>
        <w:pStyle w:val="BodyText"/>
        <w:ind w:left="280" w:right="668"/>
      </w:pPr>
      <w:r>
        <w:rPr>
          <w:color w:val="374151"/>
          <w:shd w:fill="F7F7F8" w:color="auto" w:val="clear"/>
        </w:rPr>
        <w:t>Tatangelo, G., McCabe, M., Mellor, D., &amp; Meade,</w:t>
      </w:r>
      <w:r>
        <w:rPr>
          <w:color w:val="374151"/>
          <w:spacing w:val="-4"/>
          <w:shd w:fill="F7F7F8" w:color="auto" w:val="clear"/>
        </w:rPr>
        <w:t> </w:t>
      </w:r>
      <w:r>
        <w:rPr>
          <w:color w:val="374151"/>
          <w:shd w:fill="F7F7F8" w:color="auto" w:val="clear"/>
        </w:rPr>
        <w:t>T. (2021). Discrimination </w:t>
      </w:r>
      <w:r>
        <w:rPr>
          <w:color w:val="374151"/>
        </w:rPr>
        <w:t> </w:t>
      </w:r>
      <w:r>
        <w:rPr>
          <w:color w:val="374151"/>
          <w:shd w:fill="F7F7F8" w:color="auto" w:val="clear"/>
        </w:rPr>
        <w:t>and</w:t>
      </w:r>
      <w:r>
        <w:rPr>
          <w:color w:val="374151"/>
          <w:spacing w:val="-6"/>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among</w:t>
      </w:r>
      <w:r>
        <w:rPr>
          <w:color w:val="374151"/>
          <w:spacing w:val="-4"/>
          <w:shd w:fill="F7F7F8" w:color="auto" w:val="clear"/>
        </w:rPr>
        <w:t> </w:t>
      </w:r>
      <w:r>
        <w:rPr>
          <w:color w:val="374151"/>
          <w:shd w:fill="F7F7F8" w:color="auto" w:val="clear"/>
        </w:rPr>
        <w:t>transgender</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gender</w:t>
      </w:r>
      <w:r>
        <w:rPr>
          <w:color w:val="374151"/>
          <w:spacing w:val="-4"/>
          <w:shd w:fill="F7F7F8" w:color="auto" w:val="clear"/>
        </w:rPr>
        <w:t> </w:t>
      </w:r>
      <w:r>
        <w:rPr>
          <w:color w:val="374151"/>
          <w:shd w:fill="F7F7F8" w:color="auto" w:val="clear"/>
        </w:rPr>
        <w:t>diverse</w:t>
      </w:r>
      <w:r>
        <w:rPr>
          <w:color w:val="374151"/>
          <w:spacing w:val="-5"/>
          <w:shd w:fill="F7F7F8" w:color="auto" w:val="clear"/>
        </w:rPr>
        <w:t> </w:t>
      </w:r>
      <w:r>
        <w:rPr>
          <w:color w:val="374151"/>
          <w:shd w:fill="F7F7F8" w:color="auto" w:val="clear"/>
        </w:rPr>
        <w:t>adults:</w:t>
      </w:r>
      <w:r>
        <w:rPr>
          <w:color w:val="374151"/>
          <w:spacing w:val="-18"/>
          <w:shd w:fill="F7F7F8" w:color="auto" w:val="clear"/>
        </w:rPr>
        <w:t> </w:t>
      </w:r>
      <w:r>
        <w:rPr>
          <w:color w:val="374151"/>
          <w:shd w:fill="F7F7F8" w:color="auto" w:val="clear"/>
        </w:rPr>
        <w:t>A</w:t>
      </w:r>
      <w:r>
        <w:rPr>
          <w:color w:val="374151"/>
          <w:spacing w:val="-17"/>
          <w:shd w:fill="F7F7F8" w:color="auto" w:val="clear"/>
        </w:rPr>
        <w:t> </w:t>
      </w:r>
      <w:r>
        <w:rPr>
          <w:color w:val="374151"/>
          <w:shd w:fill="F7F7F8" w:color="auto" w:val="clear"/>
        </w:rPr>
        <w:t>systematic</w:t>
      </w:r>
      <w:r>
        <w:rPr>
          <w:color w:val="374151"/>
          <w:spacing w:val="-5"/>
          <w:shd w:fill="F7F7F8" w:color="auto" w:val="clear"/>
        </w:rPr>
        <w:t> </w:t>
      </w:r>
      <w:r>
        <w:rPr>
          <w:color w:val="374151"/>
          <w:spacing w:val="-5"/>
        </w:rPr>
        <w:t> </w:t>
      </w:r>
      <w:r>
        <w:rPr>
          <w:color w:val="374151"/>
          <w:shd w:fill="F7F7F8" w:color="auto" w:val="clear"/>
        </w:rPr>
        <w:t>review and meta-analysis. International Journal of Environmental Research </w:t>
      </w:r>
      <w:r>
        <w:rPr>
          <w:color w:val="374151"/>
        </w:rPr>
        <w:t> </w:t>
      </w:r>
      <w:r>
        <w:rPr>
          <w:color w:val="374151"/>
          <w:shd w:fill="F7F7F8" w:color="auto" w:val="clear"/>
        </w:rPr>
        <w:t>and Public Health, 18(3), 1187.</w:t>
      </w:r>
    </w:p>
    <w:p>
      <w:pPr>
        <w:pStyle w:val="BodyText"/>
        <w:rPr>
          <w:sz w:val="20"/>
        </w:rPr>
      </w:pPr>
    </w:p>
    <w:p>
      <w:pPr>
        <w:pStyle w:val="BodyText"/>
        <w:rPr>
          <w:sz w:val="20"/>
        </w:rPr>
      </w:pPr>
    </w:p>
    <w:p>
      <w:pPr>
        <w:pStyle w:val="BodyText"/>
        <w:spacing w:before="4"/>
        <w:rPr>
          <w:sz w:val="12"/>
        </w:rPr>
      </w:pPr>
      <w:r>
        <w:rPr/>
        <mc:AlternateContent>
          <mc:Choice Requires="wps">
            <w:drawing>
              <wp:anchor distT="0" distB="0" distL="0" distR="0" allowOverlap="1" layoutInCell="1" locked="0" behindDoc="1" simplePos="0" relativeHeight="487616512">
                <wp:simplePos x="0" y="0"/>
                <wp:positionH relativeFrom="page">
                  <wp:posOffset>1066800</wp:posOffset>
                </wp:positionH>
                <wp:positionV relativeFrom="paragraph">
                  <wp:posOffset>105402</wp:posOffset>
                </wp:positionV>
                <wp:extent cx="1783714" cy="393700"/>
                <wp:effectExtent l="0" t="0" r="0" b="0"/>
                <wp:wrapTopAndBottom/>
                <wp:docPr id="108" name="Textbox 108"/>
                <wp:cNvGraphicFramePr>
                  <a:graphicFrameLocks/>
                </wp:cNvGraphicFramePr>
                <a:graphic>
                  <a:graphicData uri="http://schemas.microsoft.com/office/word/2010/wordprocessingShape">
                    <wps:wsp>
                      <wps:cNvPr id="108" name="Textbox 108"/>
                      <wps:cNvSpPr txBox="1"/>
                      <wps:spPr>
                        <a:xfrm>
                          <a:off x="0" y="0"/>
                          <a:ext cx="1783714"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Additional</w:t>
                            </w:r>
                            <w:r>
                              <w:rPr>
                                <w:b/>
                                <w:color w:val="374151"/>
                                <w:spacing w:val="-1"/>
                                <w:sz w:val="28"/>
                              </w:rPr>
                              <w:t> </w:t>
                            </w:r>
                            <w:r>
                              <w:rPr>
                                <w:b/>
                                <w:color w:val="374151"/>
                                <w:spacing w:val="-2"/>
                                <w:sz w:val="28"/>
                              </w:rPr>
                              <w:t>Information</w:t>
                            </w:r>
                          </w:p>
                        </w:txbxContent>
                      </wps:txbx>
                      <wps:bodyPr wrap="square" lIns="0" tIns="0" rIns="0" bIns="0" rtlCol="0">
                        <a:noAutofit/>
                      </wps:bodyPr>
                    </wps:wsp>
                  </a:graphicData>
                </a:graphic>
              </wp:anchor>
            </w:drawing>
          </mc:Choice>
          <mc:Fallback>
            <w:pict>
              <v:shape style="position:absolute;margin-left:84pt;margin-top:8.299414pt;width:140.450pt;height:31pt;mso-position-horizontal-relative:page;mso-position-vertical-relative:paragraph;z-index:-15699968;mso-wrap-distance-left:0;mso-wrap-distance-right:0" type="#_x0000_t202" id="docshape107" filled="true" fillcolor="#f7f7f8" stroked="false">
                <v:textbox inset="0,0,0,0">
                  <w:txbxContent>
                    <w:p>
                      <w:pPr>
                        <w:spacing w:line="308" w:lineRule="exact" w:before="0"/>
                        <w:ind w:left="0" w:right="-15" w:firstLine="0"/>
                        <w:jc w:val="left"/>
                        <w:rPr>
                          <w:b/>
                          <w:color w:val="000000"/>
                          <w:sz w:val="28"/>
                        </w:rPr>
                      </w:pPr>
                      <w:r>
                        <w:rPr>
                          <w:b/>
                          <w:color w:val="374151"/>
                          <w:sz w:val="28"/>
                        </w:rPr>
                        <w:t>Additional</w:t>
                      </w:r>
                      <w:r>
                        <w:rPr>
                          <w:b/>
                          <w:color w:val="374151"/>
                          <w:spacing w:val="-1"/>
                          <w:sz w:val="28"/>
                        </w:rPr>
                        <w:t> </w:t>
                      </w:r>
                      <w:r>
                        <w:rPr>
                          <w:b/>
                          <w:color w:val="374151"/>
                          <w:spacing w:val="-2"/>
                          <w:sz w:val="28"/>
                        </w:rPr>
                        <w:t>Information</w:t>
                      </w:r>
                    </w:p>
                  </w:txbxContent>
                </v:textbox>
                <v:fill type="solid"/>
                <w10:wrap type="topAndBottom"/>
              </v:shape>
            </w:pict>
          </mc:Fallback>
        </mc:AlternateContent>
      </w:r>
    </w:p>
    <w:p>
      <w:pPr>
        <w:pStyle w:val="BodyText"/>
        <w:spacing w:line="237" w:lineRule="auto"/>
        <w:ind w:left="280" w:right="604"/>
      </w:pPr>
      <w:r>
        <w:rPr>
          <w:color w:val="374151"/>
          <w:shd w:fill="F7F7F8" w:color="auto" w:val="clear"/>
        </w:rPr>
        <w:t>It</w:t>
      </w:r>
      <w:r>
        <w:rPr>
          <w:color w:val="374151"/>
          <w:spacing w:val="-3"/>
          <w:shd w:fill="F7F7F8" w:color="auto" w:val="clear"/>
        </w:rPr>
        <w:t> </w:t>
      </w:r>
      <w:r>
        <w:rPr>
          <w:color w:val="374151"/>
          <w:shd w:fill="F7F7F8" w:color="auto" w:val="clear"/>
        </w:rPr>
        <w:t>is</w:t>
      </w:r>
      <w:r>
        <w:rPr>
          <w:color w:val="374151"/>
          <w:spacing w:val="-3"/>
          <w:shd w:fill="F7F7F8" w:color="auto" w:val="clear"/>
        </w:rPr>
        <w:t> </w:t>
      </w:r>
      <w:r>
        <w:rPr>
          <w:color w:val="374151"/>
          <w:shd w:fill="F7F7F8" w:color="auto" w:val="clear"/>
        </w:rPr>
        <w:t>important</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note</w:t>
      </w:r>
      <w:r>
        <w:rPr>
          <w:color w:val="374151"/>
          <w:spacing w:val="-4"/>
          <w:shd w:fill="F7F7F8" w:color="auto" w:val="clear"/>
        </w:rPr>
        <w:t> </w:t>
      </w:r>
      <w:r>
        <w:rPr>
          <w:color w:val="374151"/>
          <w:shd w:fill="F7F7F8" w:color="auto" w:val="clear"/>
        </w:rPr>
        <w:t>that</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field</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gender</w:t>
      </w:r>
      <w:r>
        <w:rPr>
          <w:color w:val="374151"/>
          <w:spacing w:val="-3"/>
          <w:shd w:fill="F7F7F8" w:color="auto" w:val="clear"/>
        </w:rPr>
        <w:t> </w:t>
      </w:r>
      <w:r>
        <w:rPr>
          <w:color w:val="374151"/>
          <w:shd w:fill="F7F7F8" w:color="auto" w:val="clear"/>
        </w:rPr>
        <w:t>identity</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gender</w:t>
      </w:r>
      <w:r>
        <w:rPr>
          <w:color w:val="374151"/>
          <w:spacing w:val="-3"/>
          <w:shd w:fill="F7F7F8" w:color="auto" w:val="clear"/>
        </w:rPr>
        <w:t> </w:t>
      </w:r>
      <w:r>
        <w:rPr>
          <w:color w:val="374151"/>
          <w:shd w:fill="F7F7F8" w:color="auto" w:val="clear"/>
        </w:rPr>
        <w:t>dysphoria</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pacing w:val="-4"/>
        </w:rPr>
        <w:t> </w:t>
      </w:r>
      <w:r>
        <w:rPr>
          <w:color w:val="374151"/>
          <w:shd w:fill="F7F7F8" w:color="auto" w:val="clear"/>
        </w:rPr>
        <w:t>constantly</w:t>
      </w:r>
      <w:r>
        <w:rPr>
          <w:color w:val="374151"/>
          <w:spacing w:val="-3"/>
          <w:shd w:fill="F7F7F8" w:color="auto" w:val="clear"/>
        </w:rPr>
        <w:t> </w:t>
      </w:r>
      <w:r>
        <w:rPr>
          <w:color w:val="374151"/>
          <w:shd w:fill="F7F7F8" w:color="auto" w:val="clear"/>
        </w:rPr>
        <w:t>evolving,</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new</w:t>
      </w:r>
      <w:r>
        <w:rPr>
          <w:color w:val="374151"/>
          <w:spacing w:val="-3"/>
          <w:shd w:fill="F7F7F8" w:color="auto" w:val="clear"/>
        </w:rPr>
        <w:t> </w:t>
      </w:r>
      <w:r>
        <w:rPr>
          <w:color w:val="374151"/>
          <w:shd w:fill="F7F7F8" w:color="auto" w:val="clear"/>
        </w:rPr>
        <w:t>research</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understanding</w:t>
      </w:r>
      <w:r>
        <w:rPr>
          <w:color w:val="374151"/>
          <w:spacing w:val="-3"/>
          <w:shd w:fill="F7F7F8" w:color="auto" w:val="clear"/>
        </w:rPr>
        <w:t> </w:t>
      </w:r>
      <w:r>
        <w:rPr>
          <w:color w:val="374151"/>
          <w:shd w:fill="F7F7F8" w:color="auto" w:val="clear"/>
        </w:rPr>
        <w:t>continue</w:t>
      </w:r>
      <w:r>
        <w:rPr>
          <w:color w:val="374151"/>
          <w:spacing w:val="-4"/>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emerge.</w:t>
      </w:r>
      <w:r>
        <w:rPr>
          <w:color w:val="374151"/>
          <w:spacing w:val="-4"/>
          <w:shd w:fill="F7F7F8" w:color="auto" w:val="clear"/>
        </w:rPr>
        <w:t> </w:t>
      </w:r>
      <w:r>
        <w:rPr>
          <w:color w:val="374151"/>
          <w:spacing w:val="-4"/>
        </w:rPr>
        <w:t> </w:t>
      </w:r>
      <w:r>
        <w:rPr>
          <w:color w:val="374151"/>
          <w:shd w:fill="F7F7F8" w:color="auto" w:val="clear"/>
        </w:rPr>
        <w:t>Mental health and social work professionals should stay informed about the </w:t>
      </w:r>
      <w:r>
        <w:rPr>
          <w:color w:val="374151"/>
        </w:rPr>
        <w:t> </w:t>
      </w:r>
      <w:r>
        <w:rPr>
          <w:color w:val="374151"/>
          <w:shd w:fill="F7F7F8" w:color="auto" w:val="clear"/>
        </w:rPr>
        <w:t>latest developments in this field to provide the best possible care to their </w:t>
      </w:r>
      <w:r>
        <w:rPr>
          <w:color w:val="374151"/>
        </w:rPr>
        <w:t> </w:t>
      </w:r>
      <w:r>
        <w:rPr>
          <w:color w:val="374151"/>
          <w:shd w:fill="F7F7F8" w:color="auto" w:val="clear"/>
        </w:rPr>
        <w:t>clients.</w:t>
      </w:r>
      <w:r>
        <w:rPr>
          <w:color w:val="374151"/>
          <w:spacing w:val="-11"/>
          <w:shd w:fill="F7F7F8" w:color="auto" w:val="clear"/>
        </w:rPr>
        <w:t> </w:t>
      </w:r>
      <w:r>
        <w:rPr>
          <w:color w:val="374151"/>
          <w:shd w:fill="F7F7F8" w:color="auto" w:val="clear"/>
        </w:rPr>
        <w:t>Additionally, seeking specialized training and consultation from </w:t>
      </w:r>
      <w:r>
        <w:rPr>
          <w:color w:val="374151"/>
        </w:rPr>
        <w:t> </w:t>
      </w:r>
      <w:r>
        <w:rPr>
          <w:color w:val="374151"/>
          <w:shd w:fill="F7F7F8" w:color="auto" w:val="clear"/>
        </w:rPr>
        <w:t>experts in transgender health can enhance professionals' competence and </w:t>
      </w:r>
      <w:r>
        <w:rPr>
          <w:color w:val="374151"/>
        </w:rPr>
        <w:t> </w:t>
      </w:r>
      <w:r>
        <w:rPr>
          <w:color w:val="374151"/>
          <w:shd w:fill="F7F7F8" w:color="auto" w:val="clear"/>
        </w:rPr>
        <w:t>confidence in working with gender diverse populations.</w:t>
      </w:r>
    </w:p>
    <w:p>
      <w:pPr>
        <w:spacing w:after="0" w:line="237" w:lineRule="auto"/>
        <w:sectPr>
          <w:pgSz w:w="12240" w:h="15840"/>
          <w:pgMar w:header="0" w:footer="765" w:top="1260" w:bottom="980" w:left="1400" w:right="1180"/>
        </w:sectPr>
      </w:pPr>
    </w:p>
    <w:p>
      <w:pPr>
        <w:pStyle w:val="BodyText"/>
        <w:spacing w:before="66"/>
        <w:ind w:left="280" w:right="502"/>
      </w:pPr>
      <w:r>
        <w:rPr>
          <w:color w:val="374151"/>
          <w:shd w:fill="F7F7F8" w:color="auto" w:val="clear"/>
        </w:rPr>
        <w:t>Beyond the DSM-5, it is crucial to recognize that not all individuals who </w:t>
      </w:r>
      <w:r>
        <w:rPr>
          <w:color w:val="374151"/>
        </w:rPr>
        <w:t> </w:t>
      </w:r>
      <w:r>
        <w:rPr>
          <w:color w:val="374151"/>
          <w:shd w:fill="F7F7F8" w:color="auto" w:val="clear"/>
        </w:rPr>
        <w:t>identify as transgender or non-binary experience distress or dysphoria. Some </w:t>
      </w:r>
      <w:r>
        <w:rPr>
          <w:color w:val="374151"/>
        </w:rPr>
        <w:t> </w:t>
      </w:r>
      <w:r>
        <w:rPr>
          <w:color w:val="374151"/>
          <w:shd w:fill="F7F7F8" w:color="auto" w:val="clear"/>
        </w:rPr>
        <w:t>individuals may undergo gender-affirming interventions, such as hormone </w:t>
      </w:r>
      <w:r>
        <w:rPr>
          <w:color w:val="374151"/>
        </w:rPr>
        <w:t> </w:t>
      </w:r>
      <w:r>
        <w:rPr>
          <w:color w:val="374151"/>
          <w:shd w:fill="F7F7F8" w:color="auto" w:val="clear"/>
        </w:rPr>
        <w:t>therapy or surgeries, to align their physical appearance with their gender </w:t>
      </w:r>
      <w:r>
        <w:rPr>
          <w:color w:val="374151"/>
        </w:rPr>
        <w:t> </w:t>
      </w:r>
      <w:r>
        <w:rPr>
          <w:color w:val="374151"/>
          <w:shd w:fill="F7F7F8" w:color="auto" w:val="clear"/>
        </w:rPr>
        <w:t>identity.</w:t>
      </w:r>
      <w:r>
        <w:rPr>
          <w:color w:val="374151"/>
          <w:spacing w:val="-11"/>
          <w:shd w:fill="F7F7F8" w:color="auto" w:val="clear"/>
        </w:rPr>
        <w:t> </w:t>
      </w:r>
      <w:r>
        <w:rPr>
          <w:color w:val="374151"/>
          <w:shd w:fill="F7F7F8" w:color="auto" w:val="clear"/>
        </w:rPr>
        <w:t>These</w:t>
      </w:r>
      <w:r>
        <w:rPr>
          <w:color w:val="374151"/>
          <w:spacing w:val="-6"/>
          <w:shd w:fill="F7F7F8" w:color="auto" w:val="clear"/>
        </w:rPr>
        <w:t> </w:t>
      </w:r>
      <w:r>
        <w:rPr>
          <w:color w:val="374151"/>
          <w:shd w:fill="F7F7F8" w:color="auto" w:val="clear"/>
        </w:rPr>
        <w:t>interventions</w:t>
      </w:r>
      <w:r>
        <w:rPr>
          <w:color w:val="374151"/>
          <w:spacing w:val="-5"/>
          <w:shd w:fill="F7F7F8" w:color="auto" w:val="clear"/>
        </w:rPr>
        <w:t> </w:t>
      </w:r>
      <w:r>
        <w:rPr>
          <w:color w:val="374151"/>
          <w:shd w:fill="F7F7F8" w:color="auto" w:val="clear"/>
        </w:rPr>
        <w:t>can</w:t>
      </w:r>
      <w:r>
        <w:rPr>
          <w:color w:val="374151"/>
          <w:spacing w:val="-5"/>
          <w:shd w:fill="F7F7F8" w:color="auto" w:val="clear"/>
        </w:rPr>
        <w:t> </w:t>
      </w:r>
      <w:r>
        <w:rPr>
          <w:color w:val="374151"/>
          <w:shd w:fill="F7F7F8" w:color="auto" w:val="clear"/>
        </w:rPr>
        <w:t>be</w:t>
      </w:r>
      <w:r>
        <w:rPr>
          <w:color w:val="374151"/>
          <w:spacing w:val="-6"/>
          <w:shd w:fill="F7F7F8" w:color="auto" w:val="clear"/>
        </w:rPr>
        <w:t> </w:t>
      </w:r>
      <w:r>
        <w:rPr>
          <w:color w:val="374151"/>
          <w:shd w:fill="F7F7F8" w:color="auto" w:val="clear"/>
        </w:rPr>
        <w:t>essential</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alleviating</w:t>
      </w:r>
      <w:r>
        <w:rPr>
          <w:color w:val="374151"/>
          <w:spacing w:val="-5"/>
          <w:shd w:fill="F7F7F8" w:color="auto" w:val="clear"/>
        </w:rPr>
        <w:t> </w:t>
      </w:r>
      <w:r>
        <w:rPr>
          <w:color w:val="374151"/>
          <w:shd w:fill="F7F7F8" w:color="auto" w:val="clear"/>
        </w:rPr>
        <w:t>dysphoria</w:t>
      </w:r>
      <w:r>
        <w:rPr>
          <w:color w:val="374151"/>
          <w:spacing w:val="-6"/>
          <w:shd w:fill="F7F7F8" w:color="auto" w:val="clear"/>
        </w:rPr>
        <w:t> </w:t>
      </w:r>
      <w:r>
        <w:rPr>
          <w:color w:val="374151"/>
          <w:shd w:fill="F7F7F8" w:color="auto" w:val="clear"/>
        </w:rPr>
        <w:t>for</w:t>
      </w:r>
      <w:r>
        <w:rPr>
          <w:color w:val="374151"/>
          <w:spacing w:val="-5"/>
          <w:shd w:fill="F7F7F8" w:color="auto" w:val="clear"/>
        </w:rPr>
        <w:t> </w:t>
      </w:r>
      <w:r>
        <w:rPr>
          <w:color w:val="374151"/>
          <w:shd w:fill="F7F7F8" w:color="auto" w:val="clear"/>
        </w:rPr>
        <w:t>some</w:t>
      </w:r>
      <w:r>
        <w:rPr>
          <w:color w:val="374151"/>
          <w:spacing w:val="-6"/>
          <w:shd w:fill="F7F7F8" w:color="auto" w:val="clear"/>
        </w:rPr>
        <w:t> </w:t>
      </w:r>
      <w:r>
        <w:rPr>
          <w:color w:val="374151"/>
          <w:spacing w:val="-6"/>
        </w:rPr>
        <w:t> </w:t>
      </w:r>
      <w:r>
        <w:rPr>
          <w:color w:val="374151"/>
          <w:shd w:fill="F7F7F8" w:color="auto" w:val="clear"/>
        </w:rPr>
        <w:t>individuals. Mental health professionals should adopt a holistic and affirming </w:t>
      </w:r>
      <w:r>
        <w:rPr>
          <w:color w:val="374151"/>
        </w:rPr>
        <w:t> </w:t>
      </w:r>
      <w:r>
        <w:rPr>
          <w:color w:val="374151"/>
          <w:shd w:fill="F7F7F8" w:color="auto" w:val="clear"/>
        </w:rPr>
        <w:t>approach, recognizing the unique needs and preferences of each individual</w:t>
      </w:r>
      <w:r>
        <w:rPr>
          <w:color w:val="374151"/>
          <w:spacing w:val="40"/>
          <w:shd w:fill="F7F7F8" w:color="auto" w:val="clear"/>
        </w:rPr>
        <w:t> </w:t>
      </w:r>
    </w:p>
    <w:p>
      <w:pPr>
        <w:pStyle w:val="BodyText"/>
        <w:rPr>
          <w:sz w:val="20"/>
        </w:rPr>
      </w:pPr>
    </w:p>
    <w:p>
      <w:pPr>
        <w:pStyle w:val="BodyText"/>
        <w:rPr>
          <w:sz w:val="25"/>
        </w:rPr>
      </w:pPr>
    </w:p>
    <w:p>
      <w:pPr>
        <w:pStyle w:val="BodyText"/>
        <w:spacing w:before="89"/>
        <w:ind w:left="280" w:right="581"/>
      </w:pPr>
      <w:r>
        <w:rPr/>
        <mc:AlternateContent>
          <mc:Choice Requires="wps">
            <w:drawing>
              <wp:anchor distT="0" distB="0" distL="0" distR="0" allowOverlap="1" layoutInCell="1" locked="0" behindDoc="0" simplePos="0" relativeHeight="15759360">
                <wp:simplePos x="0" y="0"/>
                <wp:positionH relativeFrom="page">
                  <wp:posOffset>1066800</wp:posOffset>
                </wp:positionH>
                <wp:positionV relativeFrom="paragraph">
                  <wp:posOffset>-328380</wp:posOffset>
                </wp:positionV>
                <wp:extent cx="1121410" cy="3937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121410" cy="393700"/>
                        </a:xfrm>
                        <a:prstGeom prst="rect">
                          <a:avLst/>
                        </a:prstGeom>
                        <a:solidFill>
                          <a:srgbClr val="F7F7F8"/>
                        </a:solidFill>
                      </wps:spPr>
                      <wps:txbx>
                        <w:txbxContent>
                          <w:p>
                            <w:pPr>
                              <w:pStyle w:val="BodyText"/>
                              <w:spacing w:line="308" w:lineRule="exact"/>
                              <w:ind w:right="-15"/>
                              <w:rPr>
                                <w:color w:val="000000"/>
                              </w:rPr>
                            </w:pPr>
                            <w:r>
                              <w:rPr>
                                <w:color w:val="374151"/>
                              </w:rPr>
                              <w:t>they</w:t>
                            </w:r>
                            <w:r>
                              <w:rPr>
                                <w:color w:val="374151"/>
                                <w:spacing w:val="-1"/>
                              </w:rPr>
                              <w:t> </w:t>
                            </w:r>
                            <w:r>
                              <w:rPr>
                                <w:color w:val="374151"/>
                              </w:rPr>
                              <w:t>work </w:t>
                            </w:r>
                            <w:r>
                              <w:rPr>
                                <w:color w:val="374151"/>
                                <w:spacing w:val="-2"/>
                              </w:rPr>
                              <w:t>with.</w:t>
                            </w:r>
                          </w:p>
                        </w:txbxContent>
                      </wps:txbx>
                      <wps:bodyPr wrap="square" lIns="0" tIns="0" rIns="0" bIns="0" rtlCol="0">
                        <a:noAutofit/>
                      </wps:bodyPr>
                    </wps:wsp>
                  </a:graphicData>
                </a:graphic>
              </wp:anchor>
            </w:drawing>
          </mc:Choice>
          <mc:Fallback>
            <w:pict>
              <v:shape style="position:absolute;margin-left:84pt;margin-top:-25.856701pt;width:88.3pt;height:31pt;mso-position-horizontal-relative:page;mso-position-vertical-relative:paragraph;z-index:15759360" type="#_x0000_t202" id="docshape108" filled="true" fillcolor="#f7f7f8" stroked="false">
                <v:textbox inset="0,0,0,0">
                  <w:txbxContent>
                    <w:p>
                      <w:pPr>
                        <w:pStyle w:val="BodyText"/>
                        <w:spacing w:line="308" w:lineRule="exact"/>
                        <w:ind w:right="-15"/>
                        <w:rPr>
                          <w:color w:val="000000"/>
                        </w:rPr>
                      </w:pPr>
                      <w:r>
                        <w:rPr>
                          <w:color w:val="374151"/>
                        </w:rPr>
                        <w:t>they</w:t>
                      </w:r>
                      <w:r>
                        <w:rPr>
                          <w:color w:val="374151"/>
                          <w:spacing w:val="-1"/>
                        </w:rPr>
                        <w:t> </w:t>
                      </w:r>
                      <w:r>
                        <w:rPr>
                          <w:color w:val="374151"/>
                        </w:rPr>
                        <w:t>work </w:t>
                      </w:r>
                      <w:r>
                        <w:rPr>
                          <w:color w:val="374151"/>
                          <w:spacing w:val="-2"/>
                        </w:rPr>
                        <w:t>with.</w:t>
                      </w:r>
                    </w:p>
                  </w:txbxContent>
                </v:textbox>
                <v:fill type="solid"/>
                <w10:wrap type="none"/>
              </v:shape>
            </w:pict>
          </mc:Fallback>
        </mc:AlternateContent>
      </w:r>
      <w:r>
        <w:rPr>
          <w:color w:val="374151"/>
          <w:shd w:fill="F7F7F8" w:color="auto" w:val="clear"/>
        </w:rPr>
        <w:t>In providing support to individuals with gender dysphoria, mental health and </w:t>
      </w:r>
      <w:r>
        <w:rPr>
          <w:color w:val="374151"/>
        </w:rPr>
        <w:t> </w:t>
      </w:r>
      <w:r>
        <w:rPr>
          <w:color w:val="374151"/>
          <w:shd w:fill="F7F7F8" w:color="auto" w:val="clear"/>
        </w:rPr>
        <w:t>social</w:t>
      </w:r>
      <w:r>
        <w:rPr>
          <w:color w:val="374151"/>
          <w:spacing w:val="-4"/>
          <w:shd w:fill="F7F7F8" w:color="auto" w:val="clear"/>
        </w:rPr>
        <w:t> </w:t>
      </w:r>
      <w:r>
        <w:rPr>
          <w:color w:val="374151"/>
          <w:shd w:fill="F7F7F8" w:color="auto" w:val="clear"/>
        </w:rPr>
        <w:t>work</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should</w:t>
      </w:r>
      <w:r>
        <w:rPr>
          <w:color w:val="374151"/>
          <w:spacing w:val="-4"/>
          <w:shd w:fill="F7F7F8" w:color="auto" w:val="clear"/>
        </w:rPr>
        <w:t> </w:t>
      </w:r>
      <w:r>
        <w:rPr>
          <w:color w:val="374151"/>
          <w:shd w:fill="F7F7F8" w:color="auto" w:val="clear"/>
        </w:rPr>
        <w:t>prioritize</w:t>
      </w:r>
      <w:r>
        <w:rPr>
          <w:color w:val="374151"/>
          <w:spacing w:val="-5"/>
          <w:shd w:fill="F7F7F8" w:color="auto" w:val="clear"/>
        </w:rPr>
        <w:t> </w:t>
      </w:r>
      <w:r>
        <w:rPr>
          <w:color w:val="374151"/>
          <w:shd w:fill="F7F7F8" w:color="auto" w:val="clear"/>
        </w:rPr>
        <w:t>creating</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hd w:fill="F7F7F8" w:color="auto" w:val="clear"/>
        </w:rPr>
        <w:t>safe</w:t>
      </w:r>
      <w:r>
        <w:rPr>
          <w:color w:val="374151"/>
          <w:spacing w:val="-5"/>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non-judgmental</w:t>
      </w:r>
      <w:r>
        <w:rPr>
          <w:color w:val="374151"/>
          <w:spacing w:val="-5"/>
          <w:shd w:fill="F7F7F8" w:color="auto" w:val="clear"/>
        </w:rPr>
        <w:t> </w:t>
      </w:r>
      <w:r>
        <w:rPr>
          <w:color w:val="374151"/>
          <w:spacing w:val="-5"/>
        </w:rPr>
        <w:t> </w:t>
      </w:r>
      <w:r>
        <w:rPr>
          <w:color w:val="374151"/>
          <w:shd w:fill="F7F7F8" w:color="auto" w:val="clear"/>
        </w:rPr>
        <w:t>space for individuals to explore their gender identity.</w:t>
      </w:r>
      <w:r>
        <w:rPr>
          <w:color w:val="374151"/>
          <w:spacing w:val="-12"/>
          <w:shd w:fill="F7F7F8" w:color="auto" w:val="clear"/>
        </w:rPr>
        <w:t> </w:t>
      </w:r>
      <w:r>
        <w:rPr>
          <w:color w:val="374151"/>
          <w:shd w:fill="F7F7F8" w:color="auto" w:val="clear"/>
        </w:rPr>
        <w:t>Active listening, </w:t>
      </w:r>
      <w:r>
        <w:rPr>
          <w:color w:val="374151"/>
        </w:rPr>
        <w:t> </w:t>
      </w:r>
      <w:r>
        <w:rPr>
          <w:color w:val="374151"/>
          <w:shd w:fill="F7F7F8" w:color="auto" w:val="clear"/>
        </w:rPr>
        <w:t>empathy,</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validation</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their</w:t>
      </w:r>
      <w:r>
        <w:rPr>
          <w:color w:val="374151"/>
          <w:spacing w:val="-4"/>
          <w:shd w:fill="F7F7F8" w:color="auto" w:val="clear"/>
        </w:rPr>
        <w:t> </w:t>
      </w:r>
      <w:r>
        <w:rPr>
          <w:color w:val="374151"/>
          <w:shd w:fill="F7F7F8" w:color="auto" w:val="clear"/>
        </w:rPr>
        <w:t>experiences</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go</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hd w:fill="F7F7F8" w:color="auto" w:val="clear"/>
        </w:rPr>
        <w:t>long</w:t>
      </w:r>
      <w:r>
        <w:rPr>
          <w:color w:val="374151"/>
          <w:spacing w:val="-4"/>
          <w:shd w:fill="F7F7F8" w:color="auto" w:val="clear"/>
        </w:rPr>
        <w:t> </w:t>
      </w:r>
      <w:r>
        <w:rPr>
          <w:color w:val="374151"/>
          <w:shd w:fill="F7F7F8" w:color="auto" w:val="clear"/>
        </w:rPr>
        <w:t>way</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establishing</w:t>
      </w:r>
      <w:r>
        <w:rPr>
          <w:color w:val="374151"/>
          <w:spacing w:val="-5"/>
          <w:shd w:fill="F7F7F8" w:color="auto" w:val="clear"/>
        </w:rPr>
        <w:t> </w:t>
      </w:r>
      <w:r>
        <w:rPr>
          <w:color w:val="374151"/>
          <w:spacing w:val="-5"/>
        </w:rPr>
        <w:t> </w:t>
      </w:r>
      <w:r>
        <w:rPr>
          <w:color w:val="374151"/>
          <w:shd w:fill="F7F7F8" w:color="auto" w:val="clear"/>
        </w:rPr>
        <w:t>trust and rapport. Professionals should also be aware of local resources, </w:t>
      </w:r>
      <w:r>
        <w:rPr>
          <w:color w:val="374151"/>
        </w:rPr>
        <w:t> </w:t>
      </w:r>
      <w:r>
        <w:rPr>
          <w:color w:val="374151"/>
          <w:shd w:fill="F7F7F8" w:color="auto" w:val="clear"/>
        </w:rPr>
        <w:t>support groups, and organizations that can provide additional assistance and</w:t>
      </w:r>
      <w:r>
        <w:rPr>
          <w:color w:val="374151"/>
          <w:spacing w:val="40"/>
          <w:shd w:fill="F7F7F8" w:color="auto" w:val="clear"/>
        </w:rPr>
        <w:t> </w:t>
      </w:r>
    </w:p>
    <w:p>
      <w:pPr>
        <w:pStyle w:val="BodyText"/>
        <w:rPr>
          <w:sz w:val="20"/>
        </w:rPr>
      </w:pPr>
    </w:p>
    <w:p>
      <w:pPr>
        <w:pStyle w:val="BodyText"/>
        <w:spacing w:before="2"/>
        <w:rPr>
          <w:sz w:val="25"/>
        </w:rPr>
      </w:pPr>
    </w:p>
    <w:p>
      <w:pPr>
        <w:pStyle w:val="BodyText"/>
        <w:spacing w:before="88" w:after="7"/>
        <w:ind w:left="280" w:right="502"/>
      </w:pPr>
      <w:r>
        <w:rPr/>
        <mc:AlternateContent>
          <mc:Choice Requires="wps">
            <w:drawing>
              <wp:anchor distT="0" distB="0" distL="0" distR="0" allowOverlap="1" layoutInCell="1" locked="0" behindDoc="0" simplePos="0" relativeHeight="15758848">
                <wp:simplePos x="0" y="0"/>
                <wp:positionH relativeFrom="page">
                  <wp:posOffset>1066800</wp:posOffset>
                </wp:positionH>
                <wp:positionV relativeFrom="paragraph">
                  <wp:posOffset>-329015</wp:posOffset>
                </wp:positionV>
                <wp:extent cx="2879090" cy="39370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879090" cy="393700"/>
                        </a:xfrm>
                        <a:prstGeom prst="rect">
                          <a:avLst/>
                        </a:prstGeom>
                        <a:solidFill>
                          <a:srgbClr val="F7F7F8"/>
                        </a:solidFill>
                      </wps:spPr>
                      <wps:txbx>
                        <w:txbxContent>
                          <w:p>
                            <w:pPr>
                              <w:pStyle w:val="BodyText"/>
                              <w:spacing w:line="308" w:lineRule="exact"/>
                              <w:ind w:right="-15"/>
                              <w:rPr>
                                <w:color w:val="000000"/>
                              </w:rPr>
                            </w:pPr>
                            <w:r>
                              <w:rPr>
                                <w:color w:val="374151"/>
                              </w:rPr>
                              <w:t>community</w:t>
                            </w:r>
                            <w:r>
                              <w:rPr>
                                <w:color w:val="374151"/>
                                <w:spacing w:val="-2"/>
                              </w:rPr>
                              <w:t> </w:t>
                            </w:r>
                            <w:r>
                              <w:rPr>
                                <w:color w:val="374151"/>
                              </w:rPr>
                              <w:t>connections</w:t>
                            </w:r>
                            <w:r>
                              <w:rPr>
                                <w:color w:val="374151"/>
                                <w:spacing w:val="-2"/>
                              </w:rPr>
                              <w:t> </w:t>
                            </w:r>
                            <w:r>
                              <w:rPr>
                                <w:color w:val="374151"/>
                              </w:rPr>
                              <w:t>for</w:t>
                            </w:r>
                            <w:r>
                              <w:rPr>
                                <w:color w:val="374151"/>
                                <w:spacing w:val="-2"/>
                              </w:rPr>
                              <w:t> </w:t>
                            </w:r>
                            <w:r>
                              <w:rPr>
                                <w:color w:val="374151"/>
                              </w:rPr>
                              <w:t>their</w:t>
                            </w:r>
                            <w:r>
                              <w:rPr>
                                <w:color w:val="374151"/>
                                <w:spacing w:val="-1"/>
                              </w:rPr>
                              <w:t> </w:t>
                            </w:r>
                            <w:r>
                              <w:rPr>
                                <w:color w:val="374151"/>
                                <w:spacing w:val="-2"/>
                              </w:rPr>
                              <w:t>clients.</w:t>
                            </w:r>
                          </w:p>
                        </w:txbxContent>
                      </wps:txbx>
                      <wps:bodyPr wrap="square" lIns="0" tIns="0" rIns="0" bIns="0" rtlCol="0">
                        <a:noAutofit/>
                      </wps:bodyPr>
                    </wps:wsp>
                  </a:graphicData>
                </a:graphic>
              </wp:anchor>
            </w:drawing>
          </mc:Choice>
          <mc:Fallback>
            <w:pict>
              <v:shape style="position:absolute;margin-left:84pt;margin-top:-25.906702pt;width:226.7pt;height:31pt;mso-position-horizontal-relative:page;mso-position-vertical-relative:paragraph;z-index:15758848" type="#_x0000_t202" id="docshape109" filled="true" fillcolor="#f7f7f8" stroked="false">
                <v:textbox inset="0,0,0,0">
                  <w:txbxContent>
                    <w:p>
                      <w:pPr>
                        <w:pStyle w:val="BodyText"/>
                        <w:spacing w:line="308" w:lineRule="exact"/>
                        <w:ind w:right="-15"/>
                        <w:rPr>
                          <w:color w:val="000000"/>
                        </w:rPr>
                      </w:pPr>
                      <w:r>
                        <w:rPr>
                          <w:color w:val="374151"/>
                        </w:rPr>
                        <w:t>community</w:t>
                      </w:r>
                      <w:r>
                        <w:rPr>
                          <w:color w:val="374151"/>
                          <w:spacing w:val="-2"/>
                        </w:rPr>
                        <w:t> </w:t>
                      </w:r>
                      <w:r>
                        <w:rPr>
                          <w:color w:val="374151"/>
                        </w:rPr>
                        <w:t>connections</w:t>
                      </w:r>
                      <w:r>
                        <w:rPr>
                          <w:color w:val="374151"/>
                          <w:spacing w:val="-2"/>
                        </w:rPr>
                        <w:t> </w:t>
                      </w:r>
                      <w:r>
                        <w:rPr>
                          <w:color w:val="374151"/>
                        </w:rPr>
                        <w:t>for</w:t>
                      </w:r>
                      <w:r>
                        <w:rPr>
                          <w:color w:val="374151"/>
                          <w:spacing w:val="-2"/>
                        </w:rPr>
                        <w:t> </w:t>
                      </w:r>
                      <w:r>
                        <w:rPr>
                          <w:color w:val="374151"/>
                        </w:rPr>
                        <w:t>their</w:t>
                      </w:r>
                      <w:r>
                        <w:rPr>
                          <w:color w:val="374151"/>
                          <w:spacing w:val="-1"/>
                        </w:rPr>
                        <w:t> </w:t>
                      </w:r>
                      <w:r>
                        <w:rPr>
                          <w:color w:val="374151"/>
                          <w:spacing w:val="-2"/>
                        </w:rPr>
                        <w:t>clients.</w:t>
                      </w:r>
                    </w:p>
                  </w:txbxContent>
                </v:textbox>
                <v:fill type="solid"/>
                <w10:wrap type="none"/>
              </v:shape>
            </w:pict>
          </mc:Fallback>
        </mc:AlternateContent>
      </w:r>
      <w:r>
        <w:rPr>
          <w:color w:val="374151"/>
          <w:shd w:fill="F7F7F8" w:color="auto" w:val="clear"/>
        </w:rPr>
        <w:t>Furthermore, it is essential to address the social determinants of health that </w:t>
      </w:r>
      <w:r>
        <w:rPr>
          <w:color w:val="374151"/>
        </w:rPr>
        <w:t> </w:t>
      </w:r>
      <w:r>
        <w:rPr>
          <w:color w:val="374151"/>
          <w:shd w:fill="F7F7F8" w:color="auto" w:val="clear"/>
        </w:rPr>
        <w:t>impact</w:t>
      </w:r>
      <w:r>
        <w:rPr>
          <w:color w:val="374151"/>
          <w:spacing w:val="-1"/>
          <w:shd w:fill="F7F7F8" w:color="auto" w:val="clear"/>
        </w:rPr>
        <w:t> </w:t>
      </w:r>
      <w:r>
        <w:rPr>
          <w:color w:val="374151"/>
          <w:shd w:fill="F7F7F8" w:color="auto" w:val="clear"/>
        </w:rPr>
        <w:t>transgender</w:t>
      </w:r>
      <w:r>
        <w:rPr>
          <w:color w:val="374151"/>
          <w:spacing w:val="-1"/>
          <w:shd w:fill="F7F7F8" w:color="auto" w:val="clear"/>
        </w:rPr>
        <w:t> </w:t>
      </w:r>
      <w:r>
        <w:rPr>
          <w:color w:val="374151"/>
          <w:shd w:fill="F7F7F8" w:color="auto" w:val="clear"/>
        </w:rPr>
        <w:t>individuals,</w:t>
      </w:r>
      <w:r>
        <w:rPr>
          <w:color w:val="374151"/>
          <w:spacing w:val="-1"/>
          <w:shd w:fill="F7F7F8" w:color="auto" w:val="clear"/>
        </w:rPr>
        <w:t> </w:t>
      </w:r>
      <w:r>
        <w:rPr>
          <w:color w:val="374151"/>
          <w:shd w:fill="F7F7F8" w:color="auto" w:val="clear"/>
        </w:rPr>
        <w:t>such</w:t>
      </w:r>
      <w:r>
        <w:rPr>
          <w:color w:val="374151"/>
          <w:spacing w:val="-1"/>
          <w:shd w:fill="F7F7F8" w:color="auto" w:val="clear"/>
        </w:rPr>
        <w:t> </w:t>
      </w:r>
      <w:r>
        <w:rPr>
          <w:color w:val="374151"/>
          <w:shd w:fill="F7F7F8" w:color="auto" w:val="clear"/>
        </w:rPr>
        <w:t>as</w:t>
      </w:r>
      <w:r>
        <w:rPr>
          <w:color w:val="374151"/>
          <w:spacing w:val="-1"/>
          <w:shd w:fill="F7F7F8" w:color="auto" w:val="clear"/>
        </w:rPr>
        <w:t> </w:t>
      </w:r>
      <w:r>
        <w:rPr>
          <w:color w:val="374151"/>
          <w:shd w:fill="F7F7F8" w:color="auto" w:val="clear"/>
        </w:rPr>
        <w:t>discrimination,</w:t>
      </w:r>
      <w:r>
        <w:rPr>
          <w:color w:val="374151"/>
          <w:spacing w:val="-1"/>
          <w:shd w:fill="F7F7F8" w:color="auto" w:val="clear"/>
        </w:rPr>
        <w:t> </w:t>
      </w:r>
      <w:r>
        <w:rPr>
          <w:color w:val="374151"/>
          <w:shd w:fill="F7F7F8" w:color="auto" w:val="clear"/>
        </w:rPr>
        <w:t>stigma,</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access</w:t>
      </w:r>
      <w:r>
        <w:rPr>
          <w:color w:val="374151"/>
          <w:spacing w:val="-1"/>
          <w:shd w:fill="F7F7F8" w:color="auto" w:val="clear"/>
        </w:rPr>
        <w:t> </w:t>
      </w:r>
      <w:r>
        <w:rPr>
          <w:color w:val="374151"/>
          <w:shd w:fill="F7F7F8" w:color="auto" w:val="clear"/>
        </w:rPr>
        <w:t>to</w:t>
      </w:r>
      <w:r>
        <w:rPr>
          <w:color w:val="374151"/>
          <w:spacing w:val="-2"/>
          <w:shd w:fill="F7F7F8" w:color="auto" w:val="clear"/>
        </w:rPr>
        <w:t> </w:t>
      </w:r>
      <w:r>
        <w:rPr>
          <w:color w:val="374151"/>
          <w:spacing w:val="-2"/>
        </w:rPr>
        <w:t> </w:t>
      </w:r>
      <w:r>
        <w:rPr>
          <w:color w:val="374151"/>
          <w:shd w:fill="F7F7F8" w:color="auto" w:val="clear"/>
        </w:rPr>
        <w:t>healthcare.</w:t>
      </w:r>
      <w:r>
        <w:rPr>
          <w:color w:val="374151"/>
          <w:spacing w:val="-10"/>
          <w:shd w:fill="F7F7F8" w:color="auto" w:val="clear"/>
        </w:rPr>
        <w:t> </w:t>
      </w:r>
      <w:r>
        <w:rPr>
          <w:color w:val="374151"/>
          <w:shd w:fill="F7F7F8" w:color="auto" w:val="clear"/>
        </w:rPr>
        <w:t>Advocating for transgender rights and inclusive policies can </w:t>
      </w:r>
      <w:r>
        <w:rPr>
          <w:color w:val="374151"/>
        </w:rPr>
        <w:t> </w:t>
      </w:r>
      <w:r>
        <w:rPr>
          <w:color w:val="374151"/>
          <w:shd w:fill="F7F7F8" w:color="auto" w:val="clear"/>
        </w:rPr>
        <w:t>contribute to creating a more equitable and supportive society for individuals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1639570" cy="393700"/>
                <wp:effectExtent l="0" t="0" r="0" b="0"/>
                <wp:docPr id="111" name="Textbox 111"/>
                <wp:cNvGraphicFramePr>
                  <a:graphicFrameLocks/>
                </wp:cNvGraphicFramePr>
                <a:graphic>
                  <a:graphicData uri="http://schemas.microsoft.com/office/word/2010/wordprocessingShape">
                    <wps:wsp>
                      <wps:cNvPr id="111" name="Textbox 111"/>
                      <wps:cNvSpPr txBox="1"/>
                      <wps:spPr>
                        <a:xfrm>
                          <a:off x="0" y="0"/>
                          <a:ext cx="1639570" cy="393700"/>
                        </a:xfrm>
                        <a:prstGeom prst="rect">
                          <a:avLst/>
                        </a:prstGeom>
                        <a:solidFill>
                          <a:srgbClr val="F7F7F8"/>
                        </a:solidFill>
                      </wps:spPr>
                      <wps:txbx>
                        <w:txbxContent>
                          <w:p>
                            <w:pPr>
                              <w:pStyle w:val="BodyText"/>
                              <w:spacing w:line="308" w:lineRule="exact"/>
                              <w:ind w:right="-15"/>
                              <w:rPr>
                                <w:color w:val="000000"/>
                              </w:rPr>
                            </w:pPr>
                            <w:r>
                              <w:rPr>
                                <w:color w:val="374151"/>
                              </w:rPr>
                              <w:t>of</w:t>
                            </w:r>
                            <w:r>
                              <w:rPr>
                                <w:color w:val="374151"/>
                                <w:spacing w:val="-1"/>
                              </w:rPr>
                              <w:t> </w:t>
                            </w:r>
                            <w:r>
                              <w:rPr>
                                <w:color w:val="374151"/>
                              </w:rPr>
                              <w:t>all</w:t>
                            </w:r>
                            <w:r>
                              <w:rPr>
                                <w:color w:val="374151"/>
                                <w:spacing w:val="-1"/>
                              </w:rPr>
                              <w:t> </w:t>
                            </w:r>
                            <w:r>
                              <w:rPr>
                                <w:color w:val="374151"/>
                              </w:rPr>
                              <w:t>gender</w:t>
                            </w:r>
                            <w:r>
                              <w:rPr>
                                <w:color w:val="374151"/>
                                <w:spacing w:val="-1"/>
                              </w:rPr>
                              <w:t> </w:t>
                            </w:r>
                            <w:r>
                              <w:rPr>
                                <w:color w:val="374151"/>
                                <w:spacing w:val="-2"/>
                              </w:rPr>
                              <w:t>identities.</w:t>
                            </w:r>
                          </w:p>
                        </w:txbxContent>
                      </wps:txbx>
                      <wps:bodyPr wrap="square" lIns="0" tIns="0" rIns="0" bIns="0" rtlCol="0">
                        <a:noAutofit/>
                      </wps:bodyPr>
                    </wps:wsp>
                  </a:graphicData>
                </a:graphic>
              </wp:inline>
            </w:drawing>
          </mc:Choice>
          <mc:Fallback>
            <w:pict>
              <v:shape style="width:129.1pt;height:31pt;mso-position-horizontal-relative:char;mso-position-vertical-relative:line" type="#_x0000_t202" id="docshape110" filled="true" fillcolor="#f7f7f8" stroked="false">
                <w10:anchorlock/>
                <v:textbox inset="0,0,0,0">
                  <w:txbxContent>
                    <w:p>
                      <w:pPr>
                        <w:pStyle w:val="BodyText"/>
                        <w:spacing w:line="308" w:lineRule="exact"/>
                        <w:ind w:right="-15"/>
                        <w:rPr>
                          <w:color w:val="000000"/>
                        </w:rPr>
                      </w:pPr>
                      <w:r>
                        <w:rPr>
                          <w:color w:val="374151"/>
                        </w:rPr>
                        <w:t>of</w:t>
                      </w:r>
                      <w:r>
                        <w:rPr>
                          <w:color w:val="374151"/>
                          <w:spacing w:val="-1"/>
                        </w:rPr>
                        <w:t> </w:t>
                      </w:r>
                      <w:r>
                        <w:rPr>
                          <w:color w:val="374151"/>
                        </w:rPr>
                        <w:t>all</w:t>
                      </w:r>
                      <w:r>
                        <w:rPr>
                          <w:color w:val="374151"/>
                          <w:spacing w:val="-1"/>
                        </w:rPr>
                        <w:t> </w:t>
                      </w:r>
                      <w:r>
                        <w:rPr>
                          <w:color w:val="374151"/>
                        </w:rPr>
                        <w:t>gender</w:t>
                      </w:r>
                      <w:r>
                        <w:rPr>
                          <w:color w:val="374151"/>
                          <w:spacing w:val="-1"/>
                        </w:rPr>
                        <w:t> </w:t>
                      </w:r>
                      <w:r>
                        <w:rPr>
                          <w:color w:val="374151"/>
                          <w:spacing w:val="-2"/>
                        </w:rPr>
                        <w:t>identities.</w:t>
                      </w:r>
                    </w:p>
                  </w:txbxContent>
                </v:textbox>
                <v:fill type="solid"/>
              </v:shape>
            </w:pict>
          </mc:Fallback>
        </mc:AlternateContent>
      </w:r>
      <w:r>
        <w:rPr>
          <w:sz w:val="20"/>
        </w:rPr>
      </w:r>
    </w:p>
    <w:p>
      <w:pPr>
        <w:pStyle w:val="BodyText"/>
        <w:spacing w:line="282" w:lineRule="exact"/>
        <w:ind w:left="280"/>
      </w:pPr>
      <w:r>
        <w:rPr>
          <w:color w:val="374151"/>
          <w:shd w:fill="F7F7F8" w:color="auto" w:val="clear"/>
        </w:rPr>
        <w:t>In</w:t>
      </w:r>
      <w:r>
        <w:rPr>
          <w:color w:val="374151"/>
          <w:spacing w:val="-4"/>
          <w:shd w:fill="F7F7F8" w:color="auto" w:val="clear"/>
        </w:rPr>
        <w:t> </w:t>
      </w:r>
      <w:r>
        <w:rPr>
          <w:color w:val="374151"/>
          <w:shd w:fill="F7F7F8" w:color="auto" w:val="clear"/>
        </w:rPr>
        <w:t>conclusion,</w:t>
      </w:r>
      <w:r>
        <w:rPr>
          <w:color w:val="374151"/>
          <w:spacing w:val="-1"/>
          <w:shd w:fill="F7F7F8" w:color="auto" w:val="clear"/>
        </w:rPr>
        <w:t> </w:t>
      </w:r>
      <w:r>
        <w:rPr>
          <w:color w:val="374151"/>
          <w:shd w:fill="F7F7F8" w:color="auto" w:val="clear"/>
        </w:rPr>
        <w:t>mental</w:t>
      </w:r>
      <w:r>
        <w:rPr>
          <w:color w:val="374151"/>
          <w:spacing w:val="-2"/>
          <w:shd w:fill="F7F7F8" w:color="auto" w:val="clear"/>
        </w:rPr>
        <w:t> </w:t>
      </w:r>
      <w:r>
        <w:rPr>
          <w:color w:val="374151"/>
          <w:shd w:fill="F7F7F8" w:color="auto" w:val="clear"/>
        </w:rPr>
        <w:t>health</w:t>
      </w:r>
      <w:r>
        <w:rPr>
          <w:color w:val="374151"/>
          <w:spacing w:val="-1"/>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social</w:t>
      </w:r>
      <w:r>
        <w:rPr>
          <w:color w:val="374151"/>
          <w:spacing w:val="-1"/>
          <w:shd w:fill="F7F7F8" w:color="auto" w:val="clear"/>
        </w:rPr>
        <w:t> </w:t>
      </w:r>
      <w:r>
        <w:rPr>
          <w:color w:val="374151"/>
          <w:shd w:fill="F7F7F8" w:color="auto" w:val="clear"/>
        </w:rPr>
        <w:t>work</w:t>
      </w:r>
      <w:r>
        <w:rPr>
          <w:color w:val="374151"/>
          <w:spacing w:val="-2"/>
          <w:shd w:fill="F7F7F8" w:color="auto" w:val="clear"/>
        </w:rPr>
        <w:t> </w:t>
      </w:r>
      <w:r>
        <w:rPr>
          <w:color w:val="374151"/>
          <w:shd w:fill="F7F7F8" w:color="auto" w:val="clear"/>
        </w:rPr>
        <w:t>professionals</w:t>
      </w:r>
      <w:r>
        <w:rPr>
          <w:color w:val="374151"/>
          <w:spacing w:val="-1"/>
          <w:shd w:fill="F7F7F8" w:color="auto" w:val="clear"/>
        </w:rPr>
        <w:t> </w:t>
      </w:r>
      <w:r>
        <w:rPr>
          <w:color w:val="374151"/>
          <w:shd w:fill="F7F7F8" w:color="auto" w:val="clear"/>
        </w:rPr>
        <w:t>have</w:t>
      </w:r>
      <w:r>
        <w:rPr>
          <w:color w:val="374151"/>
          <w:spacing w:val="-3"/>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crucial</w:t>
      </w:r>
      <w:r>
        <w:rPr>
          <w:color w:val="374151"/>
          <w:spacing w:val="-1"/>
          <w:shd w:fill="F7F7F8" w:color="auto" w:val="clear"/>
        </w:rPr>
        <w:t> </w:t>
      </w:r>
      <w:r>
        <w:rPr>
          <w:color w:val="374151"/>
          <w:spacing w:val="-4"/>
          <w:shd w:fill="F7F7F8" w:color="auto" w:val="clear"/>
        </w:rPr>
        <w:t>role</w:t>
      </w:r>
      <w:r>
        <w:rPr>
          <w:color w:val="374151"/>
          <w:spacing w:val="40"/>
          <w:shd w:fill="F7F7F8" w:color="auto" w:val="clear"/>
        </w:rPr>
        <w:t> </w:t>
      </w:r>
    </w:p>
    <w:p>
      <w:pPr>
        <w:pStyle w:val="BodyText"/>
        <w:ind w:left="280" w:right="499"/>
      </w:pPr>
      <w:r>
        <w:rPr>
          <w:color w:val="374151"/>
          <w:shd w:fill="F7F7F8" w:color="auto" w:val="clear"/>
        </w:rPr>
        <w:t>in</w:t>
      </w:r>
      <w:r>
        <w:rPr>
          <w:color w:val="374151"/>
          <w:spacing w:val="-1"/>
          <w:shd w:fill="F7F7F8" w:color="auto" w:val="clear"/>
        </w:rPr>
        <w:t> </w:t>
      </w:r>
      <w:r>
        <w:rPr>
          <w:color w:val="374151"/>
          <w:shd w:fill="F7F7F8" w:color="auto" w:val="clear"/>
        </w:rPr>
        <w:t>supporting</w:t>
      </w:r>
      <w:r>
        <w:rPr>
          <w:color w:val="374151"/>
          <w:spacing w:val="-1"/>
          <w:shd w:fill="F7F7F8" w:color="auto" w:val="clear"/>
        </w:rPr>
        <w:t> </w:t>
      </w:r>
      <w:r>
        <w:rPr>
          <w:color w:val="374151"/>
          <w:shd w:fill="F7F7F8" w:color="auto" w:val="clear"/>
        </w:rPr>
        <w:t>individuals</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gender</w:t>
      </w:r>
      <w:r>
        <w:rPr>
          <w:color w:val="374151"/>
          <w:spacing w:val="-1"/>
          <w:shd w:fill="F7F7F8" w:color="auto" w:val="clear"/>
        </w:rPr>
        <w:t> </w:t>
      </w:r>
      <w:r>
        <w:rPr>
          <w:color w:val="374151"/>
          <w:shd w:fill="F7F7F8" w:color="auto" w:val="clear"/>
        </w:rPr>
        <w:t>identity</w:t>
      </w:r>
      <w:r>
        <w:rPr>
          <w:color w:val="374151"/>
          <w:spacing w:val="-1"/>
          <w:shd w:fill="F7F7F8" w:color="auto" w:val="clear"/>
        </w:rPr>
        <w:t> </w:t>
      </w:r>
      <w:r>
        <w:rPr>
          <w:color w:val="374151"/>
          <w:shd w:fill="F7F7F8" w:color="auto" w:val="clear"/>
        </w:rPr>
        <w:t>concerns</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gender</w:t>
      </w:r>
      <w:r>
        <w:rPr>
          <w:color w:val="374151"/>
          <w:spacing w:val="-1"/>
          <w:shd w:fill="F7F7F8" w:color="auto" w:val="clear"/>
        </w:rPr>
        <w:t> </w:t>
      </w:r>
      <w:r>
        <w:rPr>
          <w:color w:val="374151"/>
          <w:shd w:fill="F7F7F8" w:color="auto" w:val="clear"/>
        </w:rPr>
        <w:t>dysphoria.</w:t>
      </w:r>
      <w:r>
        <w:rPr>
          <w:color w:val="374151"/>
          <w:spacing w:val="-2"/>
          <w:shd w:fill="F7F7F8" w:color="auto" w:val="clear"/>
        </w:rPr>
        <w:t> </w:t>
      </w:r>
      <w:r>
        <w:rPr>
          <w:color w:val="374151"/>
          <w:spacing w:val="-2"/>
        </w:rPr>
        <w:t> </w:t>
      </w:r>
      <w:r>
        <w:rPr>
          <w:color w:val="374151"/>
          <w:shd w:fill="F7F7F8" w:color="auto" w:val="clear"/>
        </w:rPr>
        <w:t>By</w:t>
      </w:r>
      <w:r>
        <w:rPr>
          <w:color w:val="374151"/>
          <w:spacing w:val="-7"/>
          <w:shd w:fill="F7F7F8" w:color="auto" w:val="clear"/>
        </w:rPr>
        <w:t> </w:t>
      </w:r>
      <w:r>
        <w:rPr>
          <w:color w:val="374151"/>
          <w:shd w:fill="F7F7F8" w:color="auto" w:val="clear"/>
        </w:rPr>
        <w:t>understanding</w:t>
      </w:r>
      <w:r>
        <w:rPr>
          <w:color w:val="374151"/>
          <w:spacing w:val="-7"/>
          <w:shd w:fill="F7F7F8" w:color="auto" w:val="clear"/>
        </w:rPr>
        <w:t> </w:t>
      </w:r>
      <w:r>
        <w:rPr>
          <w:color w:val="374151"/>
          <w:shd w:fill="F7F7F8" w:color="auto" w:val="clear"/>
        </w:rPr>
        <w:t>the</w:t>
      </w:r>
      <w:r>
        <w:rPr>
          <w:color w:val="374151"/>
          <w:spacing w:val="-8"/>
          <w:shd w:fill="F7F7F8" w:color="auto" w:val="clear"/>
        </w:rPr>
        <w:t> </w:t>
      </w:r>
      <w:r>
        <w:rPr>
          <w:color w:val="374151"/>
          <w:shd w:fill="F7F7F8" w:color="auto" w:val="clear"/>
        </w:rPr>
        <w:t>complexities</w:t>
      </w:r>
      <w:r>
        <w:rPr>
          <w:color w:val="374151"/>
          <w:spacing w:val="-7"/>
          <w:shd w:fill="F7F7F8" w:color="auto" w:val="clear"/>
        </w:rPr>
        <w:t> </w:t>
      </w:r>
      <w:r>
        <w:rPr>
          <w:color w:val="374151"/>
          <w:shd w:fill="F7F7F8" w:color="auto" w:val="clear"/>
        </w:rPr>
        <w:t>of</w:t>
      </w:r>
      <w:r>
        <w:rPr>
          <w:color w:val="374151"/>
          <w:spacing w:val="-7"/>
          <w:shd w:fill="F7F7F8" w:color="auto" w:val="clear"/>
        </w:rPr>
        <w:t> </w:t>
      </w:r>
      <w:r>
        <w:rPr>
          <w:color w:val="374151"/>
          <w:shd w:fill="F7F7F8" w:color="auto" w:val="clear"/>
        </w:rPr>
        <w:t>gender</w:t>
      </w:r>
      <w:r>
        <w:rPr>
          <w:color w:val="374151"/>
          <w:spacing w:val="-7"/>
          <w:shd w:fill="F7F7F8" w:color="auto" w:val="clear"/>
        </w:rPr>
        <w:t> </w:t>
      </w:r>
      <w:r>
        <w:rPr>
          <w:color w:val="374151"/>
          <w:shd w:fill="F7F7F8" w:color="auto" w:val="clear"/>
        </w:rPr>
        <w:t>identity,</w:t>
      </w:r>
      <w:r>
        <w:rPr>
          <w:color w:val="374151"/>
          <w:spacing w:val="-7"/>
          <w:shd w:fill="F7F7F8" w:color="auto" w:val="clear"/>
        </w:rPr>
        <w:t> </w:t>
      </w:r>
      <w:r>
        <w:rPr>
          <w:color w:val="374151"/>
          <w:shd w:fill="F7F7F8" w:color="auto" w:val="clear"/>
        </w:rPr>
        <w:t>familiarizing</w:t>
      </w:r>
      <w:r>
        <w:rPr>
          <w:color w:val="374151"/>
          <w:spacing w:val="-7"/>
          <w:shd w:fill="F7F7F8" w:color="auto" w:val="clear"/>
        </w:rPr>
        <w:t> </w:t>
      </w:r>
      <w:r>
        <w:rPr>
          <w:color w:val="374151"/>
          <w:shd w:fill="F7F7F8" w:color="auto" w:val="clear"/>
        </w:rPr>
        <w:t>themselves</w:t>
      </w:r>
      <w:r>
        <w:rPr>
          <w:color w:val="374151"/>
        </w:rPr>
        <w:t> </w:t>
      </w:r>
      <w:r>
        <w:rPr>
          <w:color w:val="374151"/>
          <w:shd w:fill="F7F7F8" w:color="auto" w:val="clear"/>
        </w:rPr>
        <w:t>with the DSM-5 criteria, and staying up-to-date with current research, </w:t>
      </w:r>
      <w:r>
        <w:rPr>
          <w:color w:val="374151"/>
        </w:rPr>
        <w:t> </w:t>
      </w:r>
      <w:r>
        <w:rPr>
          <w:color w:val="374151"/>
          <w:shd w:fill="F7F7F8" w:color="auto" w:val="clear"/>
        </w:rPr>
        <w:t>professionals can provide affirming and effective care. By addressing the </w:t>
      </w:r>
      <w:r>
        <w:rPr>
          <w:color w:val="374151"/>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risks,</w:t>
      </w:r>
      <w:r>
        <w:rPr>
          <w:color w:val="374151"/>
          <w:spacing w:val="-4"/>
          <w:shd w:fill="F7F7F8" w:color="auto" w:val="clear"/>
        </w:rPr>
        <w:t> </w:t>
      </w:r>
      <w:r>
        <w:rPr>
          <w:color w:val="374151"/>
          <w:shd w:fill="F7F7F8" w:color="auto" w:val="clear"/>
        </w:rPr>
        <w:t>including</w:t>
      </w:r>
      <w:r>
        <w:rPr>
          <w:color w:val="374151"/>
          <w:spacing w:val="-4"/>
          <w:shd w:fill="F7F7F8" w:color="auto" w:val="clear"/>
        </w:rPr>
        <w:t> </w:t>
      </w:r>
      <w:r>
        <w:rPr>
          <w:color w:val="374151"/>
          <w:shd w:fill="F7F7F8" w:color="auto" w:val="clear"/>
        </w:rPr>
        <w:t>suicidality,</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advocating</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well-being</w:t>
      </w:r>
      <w:r>
        <w:rPr>
          <w:color w:val="374151"/>
          <w:spacing w:val="-4"/>
          <w:shd w:fill="F7F7F8" w:color="auto" w:val="clear"/>
        </w:rPr>
        <w:t> </w:t>
      </w:r>
      <w:r>
        <w:rPr>
          <w:color w:val="374151"/>
          <w:shd w:fill="F7F7F8" w:color="auto" w:val="clear"/>
        </w:rPr>
        <w:t>of</w:t>
      </w:r>
      <w:r>
        <w:rPr>
          <w:color w:val="374151"/>
          <w:spacing w:val="-5"/>
          <w:shd w:fill="F7F7F8" w:color="auto" w:val="clear"/>
        </w:rPr>
        <w:t> </w:t>
      </w:r>
      <w:r>
        <w:rPr>
          <w:color w:val="374151"/>
          <w:spacing w:val="-5"/>
        </w:rPr>
        <w:t> </w:t>
      </w:r>
      <w:r>
        <w:rPr>
          <w:color w:val="374151"/>
          <w:shd w:fill="F7F7F8" w:color="auto" w:val="clear"/>
        </w:rPr>
        <w:t>transgender individuals, professionals can contribute to a more inclusive and </w:t>
      </w:r>
      <w:r>
        <w:rPr>
          <w:color w:val="374151"/>
        </w:rPr>
        <w:t> </w:t>
      </w:r>
      <w:r>
        <w:rPr>
          <w:color w:val="374151"/>
          <w:shd w:fill="F7F7F8" w:color="auto" w:val="clear"/>
        </w:rPr>
        <w:t>accepting society where all individuals can live authentically and thrive.</w:t>
      </w:r>
    </w:p>
    <w:p>
      <w:pPr>
        <w:pStyle w:val="BodyText"/>
        <w:rPr>
          <w:sz w:val="20"/>
        </w:rPr>
      </w:pPr>
    </w:p>
    <w:p>
      <w:pPr>
        <w:pStyle w:val="BodyText"/>
        <w:rPr>
          <w:sz w:val="20"/>
        </w:rPr>
      </w:pPr>
    </w:p>
    <w:p>
      <w:pPr>
        <w:pStyle w:val="BodyText"/>
        <w:spacing w:before="8"/>
        <w:rPr>
          <w:sz w:val="11"/>
        </w:rPr>
      </w:pPr>
      <w:r>
        <w:rPr/>
        <mc:AlternateContent>
          <mc:Choice Requires="wps">
            <w:drawing>
              <wp:anchor distT="0" distB="0" distL="0" distR="0" allowOverlap="1" layoutInCell="1" locked="0" behindDoc="1" simplePos="0" relativeHeight="487617536">
                <wp:simplePos x="0" y="0"/>
                <wp:positionH relativeFrom="page">
                  <wp:posOffset>1066800</wp:posOffset>
                </wp:positionH>
                <wp:positionV relativeFrom="paragraph">
                  <wp:posOffset>100640</wp:posOffset>
                </wp:positionV>
                <wp:extent cx="839469" cy="393700"/>
                <wp:effectExtent l="0" t="0" r="0" b="0"/>
                <wp:wrapTopAndBottom/>
                <wp:docPr id="112" name="Textbox 112"/>
                <wp:cNvGraphicFramePr>
                  <a:graphicFrameLocks/>
                </wp:cNvGraphicFramePr>
                <a:graphic>
                  <a:graphicData uri="http://schemas.microsoft.com/office/word/2010/wordprocessingShape">
                    <wps:wsp>
                      <wps:cNvPr id="112" name="Textbox 112"/>
                      <wps:cNvSpPr txBox="1"/>
                      <wps:spPr>
                        <a:xfrm>
                          <a:off x="0" y="0"/>
                          <a:ext cx="839469" cy="393700"/>
                        </a:xfrm>
                        <a:prstGeom prst="rect">
                          <a:avLst/>
                        </a:prstGeom>
                        <a:solidFill>
                          <a:srgbClr val="F7F7F8"/>
                        </a:solidFill>
                      </wps:spPr>
                      <wps:txbx>
                        <w:txbxContent>
                          <w:p>
                            <w:pPr>
                              <w:pStyle w:val="BodyText"/>
                              <w:spacing w:line="308" w:lineRule="exact"/>
                              <w:ind w:right="-15"/>
                              <w:rPr>
                                <w:color w:val="000000"/>
                              </w:rPr>
                            </w:pPr>
                            <w:r>
                              <w:rPr>
                                <w:color w:val="374151"/>
                                <w:spacing w:val="-2"/>
                              </w:rPr>
                              <w:t>References:</w:t>
                            </w:r>
                          </w:p>
                        </w:txbxContent>
                      </wps:txbx>
                      <wps:bodyPr wrap="square" lIns="0" tIns="0" rIns="0" bIns="0" rtlCol="0">
                        <a:noAutofit/>
                      </wps:bodyPr>
                    </wps:wsp>
                  </a:graphicData>
                </a:graphic>
              </wp:anchor>
            </w:drawing>
          </mc:Choice>
          <mc:Fallback>
            <w:pict>
              <v:shape style="position:absolute;margin-left:84pt;margin-top:7.924463pt;width:66.1pt;height:31pt;mso-position-horizontal-relative:page;mso-position-vertical-relative:paragraph;z-index:-15698944;mso-wrap-distance-left:0;mso-wrap-distance-right:0" type="#_x0000_t202" id="docshape111" filled="true" fillcolor="#f7f7f8" stroked="false">
                <v:textbox inset="0,0,0,0">
                  <w:txbxContent>
                    <w:p>
                      <w:pPr>
                        <w:pStyle w:val="BodyText"/>
                        <w:spacing w:line="308" w:lineRule="exact"/>
                        <w:ind w:right="-15"/>
                        <w:rPr>
                          <w:color w:val="000000"/>
                        </w:rPr>
                      </w:pPr>
                      <w:r>
                        <w:rPr>
                          <w:color w:val="374151"/>
                          <w:spacing w:val="-2"/>
                        </w:rPr>
                        <w:t>References:</w:t>
                      </w:r>
                    </w:p>
                  </w:txbxContent>
                </v:textbox>
                <v:fill type="solid"/>
                <w10:wrap type="topAndBottom"/>
              </v:shape>
            </w:pict>
          </mc:Fallback>
        </mc:AlternateContent>
      </w:r>
    </w:p>
    <w:p>
      <w:pPr>
        <w:pStyle w:val="BodyText"/>
        <w:spacing w:line="237" w:lineRule="auto"/>
        <w:ind w:left="280" w:right="502"/>
      </w:pPr>
      <w:r>
        <w:rPr>
          <w:color w:val="374151"/>
          <w:shd w:fill="F7F7F8" w:color="auto" w:val="clear"/>
        </w:rPr>
        <w:t>Arcelus,</w:t>
      </w:r>
      <w:r>
        <w:rPr>
          <w:color w:val="374151"/>
          <w:spacing w:val="-12"/>
          <w:shd w:fill="F7F7F8" w:color="auto" w:val="clear"/>
        </w:rPr>
        <w:t> </w:t>
      </w:r>
      <w:r>
        <w:rPr>
          <w:color w:val="374151"/>
          <w:shd w:fill="F7F7F8" w:color="auto" w:val="clear"/>
        </w:rPr>
        <w:t>J.,</w:t>
      </w:r>
      <w:r>
        <w:rPr>
          <w:color w:val="374151"/>
          <w:spacing w:val="-12"/>
          <w:shd w:fill="F7F7F8" w:color="auto" w:val="clear"/>
        </w:rPr>
        <w:t> </w:t>
      </w:r>
      <w:r>
        <w:rPr>
          <w:color w:val="374151"/>
          <w:shd w:fill="F7F7F8" w:color="auto" w:val="clear"/>
        </w:rPr>
        <w:t>Bouman,</w:t>
      </w:r>
      <w:r>
        <w:rPr>
          <w:color w:val="374151"/>
          <w:spacing w:val="-17"/>
          <w:shd w:fill="F7F7F8" w:color="auto" w:val="clear"/>
        </w:rPr>
        <w:t> </w:t>
      </w:r>
      <w:r>
        <w:rPr>
          <w:color w:val="374151"/>
          <w:shd w:fill="F7F7F8" w:color="auto" w:val="clear"/>
        </w:rPr>
        <w:t>W.</w:t>
      </w:r>
      <w:r>
        <w:rPr>
          <w:color w:val="374151"/>
          <w:spacing w:val="-12"/>
          <w:shd w:fill="F7F7F8" w:color="auto" w:val="clear"/>
        </w:rPr>
        <w:t> </w:t>
      </w:r>
      <w:r>
        <w:rPr>
          <w:color w:val="374151"/>
          <w:shd w:fill="F7F7F8" w:color="auto" w:val="clear"/>
        </w:rPr>
        <w:t>P.,</w:t>
      </w:r>
      <w:r>
        <w:rPr>
          <w:color w:val="374151"/>
          <w:spacing w:val="-17"/>
          <w:shd w:fill="F7F7F8" w:color="auto" w:val="clear"/>
        </w:rPr>
        <w:t> </w:t>
      </w:r>
      <w:r>
        <w:rPr>
          <w:color w:val="374151"/>
          <w:shd w:fill="F7F7F8" w:color="auto" w:val="clear"/>
        </w:rPr>
        <w:t>Van</w:t>
      </w:r>
      <w:r>
        <w:rPr>
          <w:color w:val="374151"/>
          <w:spacing w:val="-12"/>
          <w:shd w:fill="F7F7F8" w:color="auto" w:val="clear"/>
        </w:rPr>
        <w:t> </w:t>
      </w:r>
      <w:r>
        <w:rPr>
          <w:color w:val="374151"/>
          <w:shd w:fill="F7F7F8" w:color="auto" w:val="clear"/>
        </w:rPr>
        <w:t>Den</w:t>
      </w:r>
      <w:r>
        <w:rPr>
          <w:color w:val="374151"/>
          <w:spacing w:val="-12"/>
          <w:shd w:fill="F7F7F8" w:color="auto" w:val="clear"/>
        </w:rPr>
        <w:t> </w:t>
      </w:r>
      <w:r>
        <w:rPr>
          <w:color w:val="374151"/>
          <w:shd w:fill="F7F7F8" w:color="auto" w:val="clear"/>
        </w:rPr>
        <w:t>Noortgate,</w:t>
      </w:r>
      <w:r>
        <w:rPr>
          <w:color w:val="374151"/>
          <w:spacing w:val="-17"/>
          <w:shd w:fill="F7F7F8" w:color="auto" w:val="clear"/>
        </w:rPr>
        <w:t> </w:t>
      </w:r>
      <w:r>
        <w:rPr>
          <w:color w:val="374151"/>
          <w:shd w:fill="F7F7F8" w:color="auto" w:val="clear"/>
        </w:rPr>
        <w:t>W.,</w:t>
      </w:r>
      <w:r>
        <w:rPr>
          <w:color w:val="374151"/>
          <w:spacing w:val="-12"/>
          <w:shd w:fill="F7F7F8" w:color="auto" w:val="clear"/>
        </w:rPr>
        <w:t> </w:t>
      </w:r>
      <w:r>
        <w:rPr>
          <w:color w:val="374151"/>
          <w:shd w:fill="F7F7F8" w:color="auto" w:val="clear"/>
        </w:rPr>
        <w:t>Claes,</w:t>
      </w:r>
      <w:r>
        <w:rPr>
          <w:color w:val="374151"/>
          <w:spacing w:val="-12"/>
          <w:shd w:fill="F7F7F8" w:color="auto" w:val="clear"/>
        </w:rPr>
        <w:t> </w:t>
      </w:r>
      <w:r>
        <w:rPr>
          <w:color w:val="374151"/>
          <w:shd w:fill="F7F7F8" w:color="auto" w:val="clear"/>
        </w:rPr>
        <w:t>L.,</w:t>
      </w:r>
      <w:r>
        <w:rPr>
          <w:color w:val="374151"/>
          <w:spacing w:val="-17"/>
          <w:shd w:fill="F7F7F8" w:color="auto" w:val="clear"/>
        </w:rPr>
        <w:t> </w:t>
      </w:r>
      <w:r>
        <w:rPr>
          <w:color w:val="374151"/>
          <w:shd w:fill="F7F7F8" w:color="auto" w:val="clear"/>
        </w:rPr>
        <w:t>Witcomb,</w:t>
      </w:r>
      <w:r>
        <w:rPr>
          <w:color w:val="374151"/>
          <w:spacing w:val="-12"/>
          <w:shd w:fill="F7F7F8" w:color="auto" w:val="clear"/>
        </w:rPr>
        <w:t> </w:t>
      </w:r>
      <w:r>
        <w:rPr>
          <w:color w:val="374151"/>
          <w:shd w:fill="F7F7F8" w:color="auto" w:val="clear"/>
        </w:rPr>
        <w:t>G.,</w:t>
      </w:r>
      <w:r>
        <w:rPr>
          <w:color w:val="374151"/>
          <w:spacing w:val="-12"/>
          <w:shd w:fill="F7F7F8" w:color="auto" w:val="clear"/>
        </w:rPr>
        <w:t> </w:t>
      </w:r>
      <w:r>
        <w:rPr>
          <w:color w:val="374151"/>
          <w:shd w:fill="F7F7F8" w:color="auto" w:val="clear"/>
        </w:rPr>
        <w:t>&amp;</w:t>
      </w:r>
      <w:r>
        <w:rPr>
          <w:color w:val="374151"/>
          <w:spacing w:val="-13"/>
          <w:shd w:fill="F7F7F8" w:color="auto" w:val="clear"/>
        </w:rPr>
        <w:t> </w:t>
      </w:r>
      <w:r>
        <w:rPr>
          <w:color w:val="374151"/>
          <w:spacing w:val="-13"/>
        </w:rPr>
        <w:t> </w:t>
      </w:r>
      <w:r>
        <w:rPr>
          <w:color w:val="374151"/>
          <w:shd w:fill="F7F7F8" w:color="auto" w:val="clear"/>
        </w:rPr>
        <w:t>Fernandez-Aranda, F. (2020). Systematic review and meta-analysis of </w:t>
      </w:r>
      <w:r>
        <w:rPr>
          <w:color w:val="374151"/>
        </w:rPr>
        <w:t> </w:t>
      </w:r>
      <w:r>
        <w:rPr>
          <w:color w:val="374151"/>
          <w:shd w:fill="F7F7F8" w:color="auto" w:val="clear"/>
        </w:rPr>
        <w:t>prevalence studies in transsexualism. European Psychiatry, 59, 30-38.</w:t>
      </w:r>
    </w:p>
    <w:p>
      <w:pPr>
        <w:pStyle w:val="BodyText"/>
        <w:rPr>
          <w:sz w:val="27"/>
        </w:rPr>
      </w:pPr>
    </w:p>
    <w:p>
      <w:pPr>
        <w:pStyle w:val="BodyText"/>
        <w:ind w:left="280"/>
      </w:pPr>
      <w:r>
        <w:rPr>
          <w:color w:val="374151"/>
          <w:shd w:fill="F7F7F8" w:color="auto" w:val="clear"/>
        </w:rPr>
        <w:t>Grossoehme, D. H., DeSocio, J. E., Dixon, C.</w:t>
      </w:r>
      <w:r>
        <w:rPr>
          <w:color w:val="374151"/>
          <w:spacing w:val="-12"/>
          <w:shd w:fill="F7F7F8" w:color="auto" w:val="clear"/>
        </w:rPr>
        <w:t> </w:t>
      </w:r>
      <w:r>
        <w:rPr>
          <w:color w:val="374151"/>
          <w:shd w:fill="F7F7F8" w:color="auto" w:val="clear"/>
        </w:rPr>
        <w:t>A., &amp; Miller,</w:t>
      </w:r>
      <w:r>
        <w:rPr>
          <w:color w:val="374151"/>
          <w:spacing w:val="-12"/>
          <w:shd w:fill="F7F7F8" w:color="auto" w:val="clear"/>
        </w:rPr>
        <w:t> </w:t>
      </w:r>
      <w:r>
        <w:rPr>
          <w:color w:val="374151"/>
          <w:shd w:fill="F7F7F8" w:color="auto" w:val="clear"/>
        </w:rPr>
        <w:t>A. B. (2021). </w:t>
      </w:r>
      <w:r>
        <w:rPr>
          <w:color w:val="374151"/>
        </w:rPr>
        <w:t> </w:t>
      </w:r>
      <w:r>
        <w:rPr>
          <w:color w:val="374151"/>
          <w:shd w:fill="F7F7F8" w:color="auto" w:val="clear"/>
        </w:rPr>
        <w:t>Healthcare</w:t>
      </w:r>
      <w:r>
        <w:rPr>
          <w:color w:val="374151"/>
          <w:spacing w:val="-5"/>
          <w:shd w:fill="F7F7F8" w:color="auto" w:val="clear"/>
        </w:rPr>
        <w:t> </w:t>
      </w:r>
      <w:r>
        <w:rPr>
          <w:color w:val="374151"/>
          <w:shd w:fill="F7F7F8" w:color="auto" w:val="clear"/>
        </w:rPr>
        <w:t>disparities</w:t>
      </w:r>
      <w:r>
        <w:rPr>
          <w:color w:val="374151"/>
          <w:spacing w:val="-4"/>
          <w:shd w:fill="F7F7F8" w:color="auto" w:val="clear"/>
        </w:rPr>
        <w:t> </w:t>
      </w:r>
      <w:r>
        <w:rPr>
          <w:color w:val="374151"/>
          <w:shd w:fill="F7F7F8" w:color="auto" w:val="clear"/>
        </w:rPr>
        <w:t>experienced</w:t>
      </w:r>
      <w:r>
        <w:rPr>
          <w:color w:val="374151"/>
          <w:spacing w:val="-4"/>
          <w:shd w:fill="F7F7F8" w:color="auto" w:val="clear"/>
        </w:rPr>
        <w:t> </w:t>
      </w:r>
      <w:r>
        <w:rPr>
          <w:color w:val="374151"/>
          <w:shd w:fill="F7F7F8" w:color="auto" w:val="clear"/>
        </w:rPr>
        <w:t>by</w:t>
      </w:r>
      <w:r>
        <w:rPr>
          <w:color w:val="374151"/>
          <w:spacing w:val="-4"/>
          <w:shd w:fill="F7F7F8" w:color="auto" w:val="clear"/>
        </w:rPr>
        <w:t> </w:t>
      </w:r>
      <w:r>
        <w:rPr>
          <w:color w:val="374151"/>
          <w:shd w:fill="F7F7F8" w:color="auto" w:val="clear"/>
        </w:rPr>
        <w:t>transgender</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gender</w:t>
      </w:r>
      <w:r>
        <w:rPr>
          <w:color w:val="374151"/>
          <w:spacing w:val="-4"/>
          <w:shd w:fill="F7F7F8" w:color="auto" w:val="clear"/>
        </w:rPr>
        <w:t> </w:t>
      </w:r>
      <w:r>
        <w:rPr>
          <w:color w:val="374151"/>
          <w:shd w:fill="F7F7F8" w:color="auto" w:val="clear"/>
        </w:rPr>
        <w:t>diverse</w:t>
      </w:r>
      <w:r>
        <w:rPr>
          <w:color w:val="374151"/>
          <w:spacing w:val="-5"/>
          <w:shd w:fill="F7F7F8" w:color="auto" w:val="clear"/>
        </w:rPr>
        <w:t> </w:t>
      </w:r>
      <w:r>
        <w:rPr>
          <w:color w:val="374151"/>
          <w:shd w:fill="F7F7F8" w:color="auto" w:val="clear"/>
        </w:rPr>
        <w:t>youth:</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pacing w:val="-5"/>
        </w:rPr>
        <w:t> </w:t>
      </w:r>
      <w:r>
        <w:rPr>
          <w:color w:val="374151"/>
          <w:shd w:fill="F7F7F8" w:color="auto" w:val="clear"/>
        </w:rPr>
        <w:t>scoping review. Journal of Pediatric Nursing, 57, 132-141.</w:t>
      </w:r>
    </w:p>
    <w:p>
      <w:pPr>
        <w:spacing w:after="0"/>
        <w:sectPr>
          <w:pgSz w:w="12240" w:h="15840"/>
          <w:pgMar w:header="0" w:footer="765" w:top="1260" w:bottom="980" w:left="1400" w:right="1180"/>
        </w:sectPr>
      </w:pPr>
    </w:p>
    <w:p>
      <w:pPr>
        <w:pStyle w:val="BodyText"/>
        <w:spacing w:before="66"/>
        <w:ind w:left="280" w:right="502"/>
      </w:pPr>
      <w:r>
        <w:rPr>
          <w:color w:val="374151"/>
          <w:shd w:fill="F7F7F8" w:color="auto" w:val="clear"/>
        </w:rPr>
        <w:t>Johns, M. M., Lowry, R.,</w:t>
      </w:r>
      <w:r>
        <w:rPr>
          <w:color w:val="374151"/>
          <w:spacing w:val="-13"/>
          <w:shd w:fill="F7F7F8" w:color="auto" w:val="clear"/>
        </w:rPr>
        <w:t> </w:t>
      </w:r>
      <w:r>
        <w:rPr>
          <w:color w:val="374151"/>
          <w:shd w:fill="F7F7F8" w:color="auto" w:val="clear"/>
        </w:rPr>
        <w:t>Andrzejewski, J., Barrios, L. C., Demissie, Z., </w:t>
      </w:r>
      <w:r>
        <w:rPr>
          <w:color w:val="374151"/>
        </w:rPr>
        <w:t> </w:t>
      </w:r>
      <w:r>
        <w:rPr>
          <w:color w:val="374151"/>
          <w:shd w:fill="F7F7F8" w:color="auto" w:val="clear"/>
        </w:rPr>
        <w:t>McManus,</w:t>
      </w:r>
      <w:r>
        <w:rPr>
          <w:color w:val="374151"/>
          <w:spacing w:val="-13"/>
          <w:shd w:fill="F7F7F8" w:color="auto" w:val="clear"/>
        </w:rPr>
        <w:t> </w:t>
      </w:r>
      <w:r>
        <w:rPr>
          <w:color w:val="374151"/>
          <w:shd w:fill="F7F7F8" w:color="auto" w:val="clear"/>
        </w:rPr>
        <w:t>T.,</w:t>
      </w:r>
      <w:r>
        <w:rPr>
          <w:color w:val="374151"/>
          <w:spacing w:val="-7"/>
          <w:shd w:fill="F7F7F8" w:color="auto" w:val="clear"/>
        </w:rPr>
        <w:t> </w:t>
      </w:r>
      <w:r>
        <w:rPr>
          <w:color w:val="374151"/>
          <w:shd w:fill="F7F7F8" w:color="auto" w:val="clear"/>
        </w:rPr>
        <w:t>&amp;</w:t>
      </w:r>
      <w:r>
        <w:rPr>
          <w:color w:val="374151"/>
          <w:spacing w:val="-7"/>
          <w:shd w:fill="F7F7F8" w:color="auto" w:val="clear"/>
        </w:rPr>
        <w:t> </w:t>
      </w:r>
      <w:r>
        <w:rPr>
          <w:color w:val="374151"/>
          <w:shd w:fill="F7F7F8" w:color="auto" w:val="clear"/>
        </w:rPr>
        <w:t>Rasberry,</w:t>
      </w:r>
      <w:r>
        <w:rPr>
          <w:color w:val="374151"/>
          <w:spacing w:val="-7"/>
          <w:shd w:fill="F7F7F8" w:color="auto" w:val="clear"/>
        </w:rPr>
        <w:t> </w:t>
      </w:r>
      <w:r>
        <w:rPr>
          <w:color w:val="374151"/>
          <w:shd w:fill="F7F7F8" w:color="auto" w:val="clear"/>
        </w:rPr>
        <w:t>C.</w:t>
      </w:r>
      <w:r>
        <w:rPr>
          <w:color w:val="374151"/>
          <w:spacing w:val="-7"/>
          <w:shd w:fill="F7F7F8" w:color="auto" w:val="clear"/>
        </w:rPr>
        <w:t> </w:t>
      </w:r>
      <w:r>
        <w:rPr>
          <w:color w:val="374151"/>
          <w:shd w:fill="F7F7F8" w:color="auto" w:val="clear"/>
        </w:rPr>
        <w:t>N.</w:t>
      </w:r>
      <w:r>
        <w:rPr>
          <w:color w:val="374151"/>
          <w:spacing w:val="-7"/>
          <w:shd w:fill="F7F7F8" w:color="auto" w:val="clear"/>
        </w:rPr>
        <w:t> </w:t>
      </w:r>
      <w:r>
        <w:rPr>
          <w:color w:val="374151"/>
          <w:shd w:fill="F7F7F8" w:color="auto" w:val="clear"/>
        </w:rPr>
        <w:t>(2021).</w:t>
      </w:r>
      <w:r>
        <w:rPr>
          <w:color w:val="374151"/>
          <w:spacing w:val="-13"/>
          <w:shd w:fill="F7F7F8" w:color="auto" w:val="clear"/>
        </w:rPr>
        <w:t> </w:t>
      </w:r>
      <w:r>
        <w:rPr>
          <w:color w:val="374151"/>
          <w:shd w:fill="F7F7F8" w:color="auto" w:val="clear"/>
        </w:rPr>
        <w:t>Transgender</w:t>
      </w:r>
      <w:r>
        <w:rPr>
          <w:color w:val="374151"/>
          <w:spacing w:val="-7"/>
          <w:shd w:fill="F7F7F8" w:color="auto" w:val="clear"/>
        </w:rPr>
        <w:t> </w:t>
      </w:r>
      <w:r>
        <w:rPr>
          <w:color w:val="374151"/>
          <w:shd w:fill="F7F7F8" w:color="auto" w:val="clear"/>
        </w:rPr>
        <w:t>Identity</w:t>
      </w:r>
      <w:r>
        <w:rPr>
          <w:color w:val="374151"/>
          <w:spacing w:val="-7"/>
          <w:shd w:fill="F7F7F8" w:color="auto" w:val="clear"/>
        </w:rPr>
        <w:t> </w:t>
      </w:r>
      <w:r>
        <w:rPr>
          <w:color w:val="374151"/>
          <w:shd w:fill="F7F7F8" w:color="auto" w:val="clear"/>
        </w:rPr>
        <w:t>and</w:t>
      </w:r>
      <w:r>
        <w:rPr>
          <w:color w:val="374151"/>
          <w:spacing w:val="-7"/>
          <w:shd w:fill="F7F7F8" w:color="auto" w:val="clear"/>
        </w:rPr>
        <w:t> </w:t>
      </w:r>
      <w:r>
        <w:rPr>
          <w:color w:val="374151"/>
          <w:shd w:fill="F7F7F8" w:color="auto" w:val="clear"/>
        </w:rPr>
        <w:t>Experiences</w:t>
      </w:r>
      <w:r>
        <w:rPr>
          <w:color w:val="374151"/>
        </w:rPr>
        <w:t> </w:t>
      </w:r>
      <w:r>
        <w:rPr>
          <w:color w:val="374151"/>
          <w:shd w:fill="F7F7F8" w:color="auto" w:val="clear"/>
        </w:rPr>
        <w:t>of</w:t>
      </w:r>
      <w:r>
        <w:rPr>
          <w:color w:val="374151"/>
          <w:spacing w:val="-2"/>
          <w:shd w:fill="F7F7F8" w:color="auto" w:val="clear"/>
        </w:rPr>
        <w:t> </w:t>
      </w:r>
      <w:r>
        <w:rPr>
          <w:color w:val="374151"/>
          <w:shd w:fill="F7F7F8" w:color="auto" w:val="clear"/>
        </w:rPr>
        <w:t>Violence</w:t>
      </w:r>
      <w:r>
        <w:rPr>
          <w:color w:val="374151"/>
          <w:spacing w:val="-2"/>
          <w:shd w:fill="F7F7F8" w:color="auto" w:val="clear"/>
        </w:rPr>
        <w:t> </w:t>
      </w:r>
      <w:r>
        <w:rPr>
          <w:color w:val="374151"/>
          <w:shd w:fill="F7F7F8" w:color="auto" w:val="clear"/>
        </w:rPr>
        <w:t>Victimization, Substance Use, Suicide Risk, and Sexual Risk </w:t>
      </w:r>
      <w:r>
        <w:rPr>
          <w:color w:val="374151"/>
        </w:rPr>
        <w:t> </w:t>
      </w:r>
      <w:r>
        <w:rPr>
          <w:color w:val="374151"/>
          <w:shd w:fill="F7F7F8" w:color="auto" w:val="clear"/>
        </w:rPr>
        <w:t>Behaviors</w:t>
      </w:r>
      <w:r>
        <w:rPr>
          <w:color w:val="374151"/>
          <w:spacing w:val="-18"/>
          <w:shd w:fill="F7F7F8" w:color="auto" w:val="clear"/>
        </w:rPr>
        <w:t> </w:t>
      </w:r>
      <w:r>
        <w:rPr>
          <w:color w:val="374151"/>
          <w:shd w:fill="F7F7F8" w:color="auto" w:val="clear"/>
        </w:rPr>
        <w:t>Among</w:t>
      </w:r>
      <w:r>
        <w:rPr>
          <w:color w:val="374151"/>
          <w:spacing w:val="-5"/>
          <w:shd w:fill="F7F7F8" w:color="auto" w:val="clear"/>
        </w:rPr>
        <w:t> </w:t>
      </w:r>
      <w:r>
        <w:rPr>
          <w:color w:val="374151"/>
          <w:shd w:fill="F7F7F8" w:color="auto" w:val="clear"/>
        </w:rPr>
        <w:t>High</w:t>
      </w:r>
      <w:r>
        <w:rPr>
          <w:color w:val="374151"/>
          <w:spacing w:val="-4"/>
          <w:shd w:fill="F7F7F8" w:color="auto" w:val="clear"/>
        </w:rPr>
        <w:t> </w:t>
      </w:r>
      <w:r>
        <w:rPr>
          <w:color w:val="374151"/>
          <w:shd w:fill="F7F7F8" w:color="auto" w:val="clear"/>
        </w:rPr>
        <w:t>School</w:t>
      </w:r>
      <w:r>
        <w:rPr>
          <w:color w:val="374151"/>
          <w:spacing w:val="-4"/>
          <w:shd w:fill="F7F7F8" w:color="auto" w:val="clear"/>
        </w:rPr>
        <w:t> </w:t>
      </w:r>
      <w:r>
        <w:rPr>
          <w:color w:val="374151"/>
          <w:shd w:fill="F7F7F8" w:color="auto" w:val="clear"/>
        </w:rPr>
        <w:t>Students</w:t>
      </w:r>
      <w:r>
        <w:rPr>
          <w:color w:val="374151"/>
          <w:spacing w:val="-4"/>
          <w:shd w:fill="F7F7F8" w:color="auto" w:val="clear"/>
        </w:rPr>
        <w:t> </w:t>
      </w:r>
      <w:r>
        <w:rPr>
          <w:color w:val="374151"/>
          <w:shd w:fill="F7F7F8" w:color="auto" w:val="clear"/>
        </w:rPr>
        <w:t>—</w:t>
      </w:r>
      <w:r>
        <w:rPr>
          <w:color w:val="374151"/>
          <w:spacing w:val="-4"/>
          <w:shd w:fill="F7F7F8" w:color="auto" w:val="clear"/>
        </w:rPr>
        <w:t> </w:t>
      </w:r>
      <w:r>
        <w:rPr>
          <w:color w:val="374151"/>
          <w:shd w:fill="F7F7F8" w:color="auto" w:val="clear"/>
        </w:rPr>
        <w:t>19</w:t>
      </w:r>
      <w:r>
        <w:rPr>
          <w:color w:val="374151"/>
          <w:spacing w:val="-4"/>
          <w:shd w:fill="F7F7F8" w:color="auto" w:val="clear"/>
        </w:rPr>
        <w:t> </w:t>
      </w:r>
      <w:r>
        <w:rPr>
          <w:color w:val="374151"/>
          <w:shd w:fill="F7F7F8" w:color="auto" w:val="clear"/>
        </w:rPr>
        <w:t>States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Large</w:t>
      </w:r>
      <w:r>
        <w:rPr>
          <w:color w:val="374151"/>
          <w:spacing w:val="-5"/>
          <w:shd w:fill="F7F7F8" w:color="auto" w:val="clear"/>
        </w:rPr>
        <w:t> </w:t>
      </w:r>
      <w:r>
        <w:rPr>
          <w:color w:val="374151"/>
          <w:shd w:fill="F7F7F8" w:color="auto" w:val="clear"/>
        </w:rPr>
        <w:t>Urban</w:t>
      </w:r>
      <w:r>
        <w:rPr>
          <w:color w:val="374151"/>
          <w:spacing w:val="-4"/>
          <w:shd w:fill="F7F7F8" w:color="auto" w:val="clear"/>
        </w:rPr>
        <w:t> </w:t>
      </w:r>
      <w:r>
        <w:rPr>
          <w:color w:val="374151"/>
          <w:shd w:fill="F7F7F8" w:color="auto" w:val="clear"/>
        </w:rPr>
        <w:t>School</w:t>
      </w:r>
      <w:r>
        <w:rPr>
          <w:color w:val="374151"/>
          <w:spacing w:val="-5"/>
          <w:shd w:fill="F7F7F8" w:color="auto" w:val="clear"/>
        </w:rPr>
        <w:t> </w:t>
      </w:r>
      <w:r>
        <w:rPr>
          <w:color w:val="374151"/>
          <w:spacing w:val="-5"/>
        </w:rPr>
        <w:t> </w:t>
      </w:r>
      <w:r>
        <w:rPr>
          <w:color w:val="374151"/>
          <w:shd w:fill="F7F7F8" w:color="auto" w:val="clear"/>
        </w:rPr>
        <w:t>Districts, 2017–2019. MMWR. Morbidity and Mortality Weekly Report, </w:t>
      </w:r>
      <w:r>
        <w:rPr>
          <w:color w:val="374151"/>
        </w:rPr>
        <w:t> </w:t>
      </w:r>
      <w:r>
        <w:rPr>
          <w:color w:val="374151"/>
          <w:shd w:fill="F7F7F8" w:color="auto" w:val="clear"/>
        </w:rPr>
        <w:t>70(21), 779-784.</w:t>
      </w:r>
    </w:p>
    <w:p>
      <w:pPr>
        <w:pStyle w:val="BodyText"/>
        <w:spacing w:before="9"/>
        <w:rPr>
          <w:sz w:val="26"/>
        </w:rPr>
      </w:pPr>
    </w:p>
    <w:p>
      <w:pPr>
        <w:pStyle w:val="BodyText"/>
        <w:ind w:left="280" w:right="502"/>
      </w:pPr>
      <w:r>
        <w:rPr>
          <w:color w:val="374151"/>
          <w:shd w:fill="F7F7F8" w:color="auto" w:val="clear"/>
        </w:rPr>
        <w:t>Reisner,</w:t>
      </w:r>
      <w:r>
        <w:rPr>
          <w:color w:val="374151"/>
          <w:spacing w:val="-11"/>
          <w:shd w:fill="F7F7F8" w:color="auto" w:val="clear"/>
        </w:rPr>
        <w:t> </w:t>
      </w:r>
      <w:r>
        <w:rPr>
          <w:color w:val="374151"/>
          <w:shd w:fill="F7F7F8" w:color="auto" w:val="clear"/>
        </w:rPr>
        <w:t>S.</w:t>
      </w:r>
      <w:r>
        <w:rPr>
          <w:color w:val="374151"/>
          <w:spacing w:val="-11"/>
          <w:shd w:fill="F7F7F8" w:color="auto" w:val="clear"/>
        </w:rPr>
        <w:t> </w:t>
      </w:r>
      <w:r>
        <w:rPr>
          <w:color w:val="374151"/>
          <w:shd w:fill="F7F7F8" w:color="auto" w:val="clear"/>
        </w:rPr>
        <w:t>L.,</w:t>
      </w:r>
      <w:r>
        <w:rPr>
          <w:color w:val="374151"/>
          <w:spacing w:val="-16"/>
          <w:shd w:fill="F7F7F8" w:color="auto" w:val="clear"/>
        </w:rPr>
        <w:t> </w:t>
      </w:r>
      <w:r>
        <w:rPr>
          <w:color w:val="374151"/>
          <w:shd w:fill="F7F7F8" w:color="auto" w:val="clear"/>
        </w:rPr>
        <w:t>Vetters,</w:t>
      </w:r>
      <w:r>
        <w:rPr>
          <w:color w:val="374151"/>
          <w:spacing w:val="-11"/>
          <w:shd w:fill="F7F7F8" w:color="auto" w:val="clear"/>
        </w:rPr>
        <w:t> </w:t>
      </w:r>
      <w:r>
        <w:rPr>
          <w:color w:val="374151"/>
          <w:shd w:fill="F7F7F8" w:color="auto" w:val="clear"/>
        </w:rPr>
        <w:t>R.,</w:t>
      </w:r>
      <w:r>
        <w:rPr>
          <w:color w:val="374151"/>
          <w:spacing w:val="-11"/>
          <w:shd w:fill="F7F7F8" w:color="auto" w:val="clear"/>
        </w:rPr>
        <w:t> </w:t>
      </w:r>
      <w:r>
        <w:rPr>
          <w:color w:val="374151"/>
          <w:shd w:fill="F7F7F8" w:color="auto" w:val="clear"/>
        </w:rPr>
        <w:t>Leclerc,</w:t>
      </w:r>
      <w:r>
        <w:rPr>
          <w:color w:val="374151"/>
          <w:spacing w:val="-11"/>
          <w:shd w:fill="F7F7F8" w:color="auto" w:val="clear"/>
        </w:rPr>
        <w:t> </w:t>
      </w:r>
      <w:r>
        <w:rPr>
          <w:color w:val="374151"/>
          <w:shd w:fill="F7F7F8" w:color="auto" w:val="clear"/>
        </w:rPr>
        <w:t>M.,</w:t>
      </w:r>
      <w:r>
        <w:rPr>
          <w:color w:val="374151"/>
          <w:spacing w:val="-11"/>
          <w:shd w:fill="F7F7F8" w:color="auto" w:val="clear"/>
        </w:rPr>
        <w:t> </w:t>
      </w:r>
      <w:r>
        <w:rPr>
          <w:color w:val="374151"/>
          <w:shd w:fill="F7F7F8" w:color="auto" w:val="clear"/>
        </w:rPr>
        <w:t>Zaslow,</w:t>
      </w:r>
      <w:r>
        <w:rPr>
          <w:color w:val="374151"/>
          <w:spacing w:val="-11"/>
          <w:shd w:fill="F7F7F8" w:color="auto" w:val="clear"/>
        </w:rPr>
        <w:t> </w:t>
      </w:r>
      <w:r>
        <w:rPr>
          <w:color w:val="374151"/>
          <w:shd w:fill="F7F7F8" w:color="auto" w:val="clear"/>
        </w:rPr>
        <w:t>S.,</w:t>
      </w:r>
      <w:r>
        <w:rPr>
          <w:color w:val="374151"/>
          <w:spacing w:val="-16"/>
          <w:shd w:fill="F7F7F8" w:color="auto" w:val="clear"/>
        </w:rPr>
        <w:t> </w:t>
      </w:r>
      <w:r>
        <w:rPr>
          <w:color w:val="374151"/>
          <w:shd w:fill="F7F7F8" w:color="auto" w:val="clear"/>
        </w:rPr>
        <w:t>Wolfrum,</w:t>
      </w:r>
      <w:r>
        <w:rPr>
          <w:color w:val="374151"/>
          <w:spacing w:val="-11"/>
          <w:shd w:fill="F7F7F8" w:color="auto" w:val="clear"/>
        </w:rPr>
        <w:t> </w:t>
      </w:r>
      <w:r>
        <w:rPr>
          <w:color w:val="374151"/>
          <w:shd w:fill="F7F7F8" w:color="auto" w:val="clear"/>
        </w:rPr>
        <w:t>S.,</w:t>
      </w:r>
      <w:r>
        <w:rPr>
          <w:color w:val="374151"/>
          <w:spacing w:val="-11"/>
          <w:shd w:fill="F7F7F8" w:color="auto" w:val="clear"/>
        </w:rPr>
        <w:t> </w:t>
      </w:r>
      <w:r>
        <w:rPr>
          <w:color w:val="374151"/>
          <w:shd w:fill="F7F7F8" w:color="auto" w:val="clear"/>
        </w:rPr>
        <w:t>Shumer,</w:t>
      </w:r>
      <w:r>
        <w:rPr>
          <w:color w:val="374151"/>
          <w:spacing w:val="-11"/>
          <w:shd w:fill="F7F7F8" w:color="auto" w:val="clear"/>
        </w:rPr>
        <w:t> </w:t>
      </w:r>
      <w:r>
        <w:rPr>
          <w:color w:val="374151"/>
          <w:shd w:fill="F7F7F8" w:color="auto" w:val="clear"/>
        </w:rPr>
        <w:t>D.,</w:t>
      </w:r>
      <w:r>
        <w:rPr>
          <w:color w:val="374151"/>
          <w:spacing w:val="-11"/>
          <w:shd w:fill="F7F7F8" w:color="auto" w:val="clear"/>
        </w:rPr>
        <w:t> </w:t>
      </w:r>
      <w:r>
        <w:rPr>
          <w:color w:val="374151"/>
          <w:shd w:fill="F7F7F8" w:color="auto" w:val="clear"/>
        </w:rPr>
        <w:t>&amp;</w:t>
      </w:r>
      <w:r>
        <w:rPr>
          <w:color w:val="374151"/>
        </w:rPr>
        <w:t> </w:t>
      </w:r>
      <w:r>
        <w:rPr>
          <w:color w:val="374151"/>
          <w:shd w:fill="F7F7F8" w:color="auto" w:val="clear"/>
        </w:rPr>
        <w:t>Mimiaga, M. J. (2020). Mental health of transgender youth in care at an </w:t>
      </w:r>
      <w:r>
        <w:rPr>
          <w:color w:val="374151"/>
        </w:rPr>
        <w:t> </w:t>
      </w:r>
      <w:r>
        <w:rPr>
          <w:color w:val="374151"/>
          <w:shd w:fill="F7F7F8" w:color="auto" w:val="clear"/>
        </w:rPr>
        <w:t>adolescent urban community health center: a matched retrospective cohort </w:t>
      </w:r>
      <w:r>
        <w:rPr>
          <w:color w:val="374151"/>
        </w:rPr>
        <w:t> </w:t>
      </w:r>
      <w:r>
        <w:rPr>
          <w:color w:val="374151"/>
          <w:shd w:fill="F7F7F8" w:color="auto" w:val="clear"/>
        </w:rPr>
        <w:t>study. Journal of Adolescent Health, 66(6), 678-685.</w:t>
      </w:r>
    </w:p>
    <w:p>
      <w:pPr>
        <w:pStyle w:val="BodyText"/>
        <w:spacing w:before="1"/>
        <w:rPr>
          <w:sz w:val="27"/>
        </w:rPr>
      </w:pPr>
    </w:p>
    <w:p>
      <w:pPr>
        <w:pStyle w:val="BodyText"/>
        <w:spacing w:before="1"/>
        <w:ind w:left="280" w:right="668"/>
      </w:pPr>
      <w:r>
        <w:rPr>
          <w:color w:val="374151"/>
          <w:shd w:fill="F7F7F8" w:color="auto" w:val="clear"/>
        </w:rPr>
        <w:t>Tatangelo, G., McCabe, M., Mellor, D., &amp; Meade,</w:t>
      </w:r>
      <w:r>
        <w:rPr>
          <w:color w:val="374151"/>
          <w:spacing w:val="-4"/>
          <w:shd w:fill="F7F7F8" w:color="auto" w:val="clear"/>
        </w:rPr>
        <w:t> </w:t>
      </w:r>
      <w:r>
        <w:rPr>
          <w:color w:val="374151"/>
          <w:shd w:fill="F7F7F8" w:color="auto" w:val="clear"/>
        </w:rPr>
        <w:t>T. (2021). Discrimination </w:t>
      </w:r>
      <w:r>
        <w:rPr>
          <w:color w:val="374151"/>
        </w:rPr>
        <w:t> </w:t>
      </w:r>
      <w:r>
        <w:rPr>
          <w:color w:val="374151"/>
          <w:shd w:fill="F7F7F8" w:color="auto" w:val="clear"/>
        </w:rPr>
        <w:t>and</w:t>
      </w:r>
      <w:r>
        <w:rPr>
          <w:color w:val="374151"/>
          <w:spacing w:val="-6"/>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among</w:t>
      </w:r>
      <w:r>
        <w:rPr>
          <w:color w:val="374151"/>
          <w:spacing w:val="-4"/>
          <w:shd w:fill="F7F7F8" w:color="auto" w:val="clear"/>
        </w:rPr>
        <w:t> </w:t>
      </w:r>
      <w:r>
        <w:rPr>
          <w:color w:val="374151"/>
          <w:shd w:fill="F7F7F8" w:color="auto" w:val="clear"/>
        </w:rPr>
        <w:t>transgender</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gender</w:t>
      </w:r>
      <w:r>
        <w:rPr>
          <w:color w:val="374151"/>
          <w:spacing w:val="-4"/>
          <w:shd w:fill="F7F7F8" w:color="auto" w:val="clear"/>
        </w:rPr>
        <w:t> </w:t>
      </w:r>
      <w:r>
        <w:rPr>
          <w:color w:val="374151"/>
          <w:shd w:fill="F7F7F8" w:color="auto" w:val="clear"/>
        </w:rPr>
        <w:t>diverse</w:t>
      </w:r>
      <w:r>
        <w:rPr>
          <w:color w:val="374151"/>
          <w:spacing w:val="-5"/>
          <w:shd w:fill="F7F7F8" w:color="auto" w:val="clear"/>
        </w:rPr>
        <w:t> </w:t>
      </w:r>
      <w:r>
        <w:rPr>
          <w:color w:val="374151"/>
          <w:shd w:fill="F7F7F8" w:color="auto" w:val="clear"/>
        </w:rPr>
        <w:t>adults:</w:t>
      </w:r>
      <w:r>
        <w:rPr>
          <w:color w:val="374151"/>
          <w:spacing w:val="-18"/>
          <w:shd w:fill="F7F7F8" w:color="auto" w:val="clear"/>
        </w:rPr>
        <w:t> </w:t>
      </w:r>
      <w:r>
        <w:rPr>
          <w:color w:val="374151"/>
          <w:shd w:fill="F7F7F8" w:color="auto" w:val="clear"/>
        </w:rPr>
        <w:t>A</w:t>
      </w:r>
      <w:r>
        <w:rPr>
          <w:color w:val="374151"/>
          <w:spacing w:val="-17"/>
          <w:shd w:fill="F7F7F8" w:color="auto" w:val="clear"/>
        </w:rPr>
        <w:t> </w:t>
      </w:r>
      <w:r>
        <w:rPr>
          <w:color w:val="374151"/>
          <w:shd w:fill="F7F7F8" w:color="auto" w:val="clear"/>
        </w:rPr>
        <w:t>systematic</w:t>
      </w:r>
      <w:r>
        <w:rPr>
          <w:color w:val="374151"/>
          <w:spacing w:val="-5"/>
          <w:shd w:fill="F7F7F8" w:color="auto" w:val="clear"/>
        </w:rPr>
        <w:t> </w:t>
      </w:r>
      <w:r>
        <w:rPr>
          <w:color w:val="374151"/>
          <w:spacing w:val="-5"/>
        </w:rPr>
        <w:t> </w:t>
      </w:r>
      <w:r>
        <w:rPr>
          <w:color w:val="374151"/>
          <w:shd w:fill="F7F7F8" w:color="auto" w:val="clear"/>
        </w:rPr>
        <w:t>review and meta-analysis. International Journal of Environmental Research </w:t>
      </w:r>
      <w:r>
        <w:rPr>
          <w:color w:val="374151"/>
        </w:rPr>
        <w:t> </w:t>
      </w:r>
      <w:r>
        <w:rPr>
          <w:color w:val="374151"/>
          <w:shd w:fill="F7F7F8" w:color="auto" w:val="clear"/>
        </w:rPr>
        <w:t>and Public Health, 18(3), 1187.</w:t>
      </w:r>
    </w:p>
    <w:p>
      <w:pPr>
        <w:pStyle w:val="BodyText"/>
        <w:spacing w:before="1"/>
        <w:rPr>
          <w:sz w:val="27"/>
        </w:rPr>
      </w:pPr>
    </w:p>
    <w:p>
      <w:pPr>
        <w:pStyle w:val="Heading2"/>
      </w:pPr>
      <w:r>
        <w:rPr>
          <w:color w:val="374151"/>
          <w:shd w:fill="F7F7F8" w:color="auto" w:val="clear"/>
        </w:rPr>
        <w:t>Cultural</w:t>
      </w:r>
      <w:r>
        <w:rPr>
          <w:color w:val="374151"/>
          <w:spacing w:val="-2"/>
          <w:shd w:fill="F7F7F8" w:color="auto" w:val="clear"/>
        </w:rPr>
        <w:t> Competence</w:t>
      </w:r>
    </w:p>
    <w:p>
      <w:pPr>
        <w:pStyle w:val="BodyText"/>
        <w:spacing w:before="8"/>
        <w:rPr>
          <w:b/>
          <w:sz w:val="27"/>
        </w:rPr>
      </w:pPr>
    </w:p>
    <w:p>
      <w:pPr>
        <w:pStyle w:val="BodyText"/>
        <w:ind w:left="280" w:right="502"/>
      </w:pPr>
      <w:r>
        <w:rPr>
          <w:color w:val="374151"/>
          <w:shd w:fill="F7F7F8" w:color="auto" w:val="clear"/>
        </w:rPr>
        <w:t>Professionals</w:t>
      </w:r>
      <w:r>
        <w:rPr>
          <w:color w:val="374151"/>
          <w:spacing w:val="-5"/>
          <w:shd w:fill="F7F7F8" w:color="auto" w:val="clear"/>
        </w:rPr>
        <w:t> </w:t>
      </w:r>
      <w:r>
        <w:rPr>
          <w:color w:val="374151"/>
          <w:shd w:fill="F7F7F8" w:color="auto" w:val="clear"/>
        </w:rPr>
        <w:t>working</w:t>
      </w:r>
      <w:r>
        <w:rPr>
          <w:color w:val="374151"/>
          <w:spacing w:val="-5"/>
          <w:shd w:fill="F7F7F8" w:color="auto" w:val="clear"/>
        </w:rPr>
        <w:t> </w:t>
      </w:r>
      <w:r>
        <w:rPr>
          <w:color w:val="374151"/>
          <w:shd w:fill="F7F7F8" w:color="auto" w:val="clear"/>
        </w:rPr>
        <w:t>with</w:t>
      </w:r>
      <w:r>
        <w:rPr>
          <w:color w:val="374151"/>
          <w:spacing w:val="-5"/>
          <w:shd w:fill="F7F7F8" w:color="auto" w:val="clear"/>
        </w:rPr>
        <w:t> </w:t>
      </w:r>
      <w:r>
        <w:rPr>
          <w:color w:val="374151"/>
          <w:shd w:fill="F7F7F8" w:color="auto" w:val="clear"/>
        </w:rPr>
        <w:t>transgender</w:t>
      </w:r>
      <w:r>
        <w:rPr>
          <w:color w:val="374151"/>
          <w:spacing w:val="-5"/>
          <w:shd w:fill="F7F7F8" w:color="auto" w:val="clear"/>
        </w:rPr>
        <w:t> </w:t>
      </w:r>
      <w:r>
        <w:rPr>
          <w:color w:val="374151"/>
          <w:shd w:fill="F7F7F8" w:color="auto" w:val="clear"/>
        </w:rPr>
        <w:t>individuals</w:t>
      </w:r>
      <w:r>
        <w:rPr>
          <w:color w:val="374151"/>
          <w:spacing w:val="-5"/>
          <w:shd w:fill="F7F7F8" w:color="auto" w:val="clear"/>
        </w:rPr>
        <w:t> </w:t>
      </w:r>
      <w:r>
        <w:rPr>
          <w:color w:val="374151"/>
          <w:shd w:fill="F7F7F8" w:color="auto" w:val="clear"/>
        </w:rPr>
        <w:t>should</w:t>
      </w:r>
      <w:r>
        <w:rPr>
          <w:color w:val="374151"/>
          <w:spacing w:val="-5"/>
          <w:shd w:fill="F7F7F8" w:color="auto" w:val="clear"/>
        </w:rPr>
        <w:t> </w:t>
      </w:r>
      <w:r>
        <w:rPr>
          <w:color w:val="374151"/>
          <w:shd w:fill="F7F7F8" w:color="auto" w:val="clear"/>
        </w:rPr>
        <w:t>continuously</w:t>
      </w:r>
      <w:r>
        <w:rPr>
          <w:color w:val="374151"/>
          <w:spacing w:val="-5"/>
          <w:shd w:fill="F7F7F8" w:color="auto" w:val="clear"/>
        </w:rPr>
        <w:t> </w:t>
      </w:r>
      <w:r>
        <w:rPr>
          <w:color w:val="374151"/>
          <w:shd w:fill="F7F7F8" w:color="auto" w:val="clear"/>
        </w:rPr>
        <w:t>strive</w:t>
      </w:r>
      <w:r>
        <w:rPr>
          <w:color w:val="374151"/>
          <w:spacing w:val="-6"/>
          <w:shd w:fill="F7F7F8" w:color="auto" w:val="clear"/>
        </w:rPr>
        <w:t> </w:t>
      </w:r>
      <w:r>
        <w:rPr>
          <w:color w:val="374151"/>
          <w:spacing w:val="-6"/>
        </w:rPr>
        <w:t> </w:t>
      </w:r>
      <w:r>
        <w:rPr>
          <w:color w:val="374151"/>
          <w:shd w:fill="F7F7F8" w:color="auto" w:val="clear"/>
        </w:rPr>
        <w:t>to develop cultural competence. This involves understanding the unique </w:t>
      </w:r>
      <w:r>
        <w:rPr>
          <w:color w:val="374151"/>
        </w:rPr>
        <w:t> </w:t>
      </w:r>
      <w:r>
        <w:rPr>
          <w:color w:val="374151"/>
          <w:shd w:fill="F7F7F8" w:color="auto" w:val="clear"/>
        </w:rPr>
        <w:t>experiences,</w:t>
      </w:r>
      <w:r>
        <w:rPr>
          <w:color w:val="374151"/>
          <w:spacing w:val="-2"/>
          <w:shd w:fill="F7F7F8" w:color="auto" w:val="clear"/>
        </w:rPr>
        <w:t> </w:t>
      </w:r>
      <w:r>
        <w:rPr>
          <w:color w:val="374151"/>
          <w:shd w:fill="F7F7F8" w:color="auto" w:val="clear"/>
        </w:rPr>
        <w:t>challenges,</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strengths</w:t>
      </w:r>
      <w:r>
        <w:rPr>
          <w:color w:val="374151"/>
          <w:spacing w:val="-2"/>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transgender</w:t>
      </w:r>
      <w:r>
        <w:rPr>
          <w:color w:val="374151"/>
          <w:spacing w:val="-2"/>
          <w:shd w:fill="F7F7F8" w:color="auto" w:val="clear"/>
        </w:rPr>
        <w:t> </w:t>
      </w:r>
      <w:r>
        <w:rPr>
          <w:color w:val="374151"/>
          <w:shd w:fill="F7F7F8" w:color="auto" w:val="clear"/>
        </w:rPr>
        <w:t>individuals</w:t>
      </w:r>
      <w:r>
        <w:rPr>
          <w:color w:val="374151"/>
          <w:spacing w:val="-2"/>
          <w:shd w:fill="F7F7F8" w:color="auto" w:val="clear"/>
        </w:rPr>
        <w:t> </w:t>
      </w:r>
      <w:r>
        <w:rPr>
          <w:color w:val="374151"/>
          <w:shd w:fill="F7F7F8" w:color="auto" w:val="clear"/>
        </w:rPr>
        <w:t>from</w:t>
      </w:r>
      <w:r>
        <w:rPr>
          <w:color w:val="374151"/>
          <w:spacing w:val="-2"/>
          <w:shd w:fill="F7F7F8" w:color="auto" w:val="clear"/>
        </w:rPr>
        <w:t> </w:t>
      </w:r>
      <w:r>
        <w:rPr>
          <w:color w:val="374151"/>
          <w:shd w:fill="F7F7F8" w:color="auto" w:val="clear"/>
        </w:rPr>
        <w:t>diverse</w:t>
      </w:r>
      <w:r>
        <w:rPr>
          <w:color w:val="374151"/>
          <w:spacing w:val="-3"/>
          <w:shd w:fill="F7F7F8" w:color="auto" w:val="clear"/>
        </w:rPr>
        <w:t> </w:t>
      </w:r>
      <w:r>
        <w:rPr>
          <w:color w:val="374151"/>
          <w:spacing w:val="-3"/>
        </w:rPr>
        <w:t> </w:t>
      </w:r>
      <w:r>
        <w:rPr>
          <w:color w:val="374151"/>
          <w:shd w:fill="F7F7F8" w:color="auto" w:val="clear"/>
        </w:rPr>
        <w:t>cultural backgrounds. It is important to be aware of the intersectionality of </w:t>
      </w:r>
      <w:r>
        <w:rPr>
          <w:color w:val="374151"/>
        </w:rPr>
        <w:t> </w:t>
      </w:r>
      <w:r>
        <w:rPr>
          <w:color w:val="374151"/>
          <w:shd w:fill="F7F7F8" w:color="auto" w:val="clear"/>
        </w:rPr>
        <w:t>identities, including race, ethnicity, religion, and socioeconomic status, to </w:t>
      </w:r>
      <w:r>
        <w:rPr>
          <w:color w:val="374151"/>
        </w:rPr>
        <w:t> </w:t>
      </w:r>
      <w:r>
        <w:rPr>
          <w:color w:val="374151"/>
          <w:shd w:fill="F7F7F8" w:color="auto" w:val="clear"/>
        </w:rPr>
        <w:t>provide sensitive and effective support.</w:t>
      </w:r>
    </w:p>
    <w:p>
      <w:pPr>
        <w:pStyle w:val="BodyText"/>
        <w:spacing w:before="9"/>
        <w:rPr>
          <w:sz w:val="26"/>
        </w:rPr>
      </w:pPr>
    </w:p>
    <w:p>
      <w:pPr>
        <w:pStyle w:val="Heading2"/>
      </w:pPr>
      <w:r>
        <w:rPr>
          <w:color w:val="374151"/>
          <w:shd w:fill="F7F7F8" w:color="auto" w:val="clear"/>
        </w:rPr>
        <w:t>Collaboration</w:t>
      </w:r>
      <w:r>
        <w:rPr>
          <w:color w:val="374151"/>
          <w:spacing w:val="-2"/>
          <w:shd w:fill="F7F7F8" w:color="auto" w:val="clear"/>
        </w:rPr>
        <w:t> </w:t>
      </w:r>
      <w:r>
        <w:rPr>
          <w:color w:val="374151"/>
          <w:shd w:fill="F7F7F8" w:color="auto" w:val="clear"/>
        </w:rPr>
        <w:t>and</w:t>
      </w:r>
      <w:r>
        <w:rPr>
          <w:color w:val="374151"/>
          <w:spacing w:val="-2"/>
          <w:shd w:fill="F7F7F8" w:color="auto" w:val="clear"/>
        </w:rPr>
        <w:t> Referral</w:t>
      </w:r>
    </w:p>
    <w:p>
      <w:pPr>
        <w:pStyle w:val="BodyText"/>
        <w:spacing w:before="7"/>
        <w:rPr>
          <w:b/>
          <w:sz w:val="27"/>
        </w:rPr>
      </w:pPr>
    </w:p>
    <w:p>
      <w:pPr>
        <w:pStyle w:val="BodyText"/>
        <w:spacing w:before="1" w:after="4"/>
        <w:ind w:left="280" w:right="502"/>
      </w:pP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social</w:t>
      </w:r>
      <w:r>
        <w:rPr>
          <w:color w:val="374151"/>
          <w:spacing w:val="-4"/>
          <w:shd w:fill="F7F7F8" w:color="auto" w:val="clear"/>
        </w:rPr>
        <w:t> </w:t>
      </w:r>
      <w:r>
        <w:rPr>
          <w:color w:val="374151"/>
          <w:shd w:fill="F7F7F8" w:color="auto" w:val="clear"/>
        </w:rPr>
        <w:t>work</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should</w:t>
      </w:r>
      <w:r>
        <w:rPr>
          <w:color w:val="374151"/>
          <w:spacing w:val="-4"/>
          <w:shd w:fill="F7F7F8" w:color="auto" w:val="clear"/>
        </w:rPr>
        <w:t> </w:t>
      </w:r>
      <w:r>
        <w:rPr>
          <w:color w:val="374151"/>
          <w:shd w:fill="F7F7F8" w:color="auto" w:val="clear"/>
        </w:rPr>
        <w:t>be</w:t>
      </w:r>
      <w:r>
        <w:rPr>
          <w:color w:val="374151"/>
          <w:spacing w:val="-5"/>
          <w:shd w:fill="F7F7F8" w:color="auto" w:val="clear"/>
        </w:rPr>
        <w:t> </w:t>
      </w:r>
      <w:r>
        <w:rPr>
          <w:color w:val="374151"/>
          <w:shd w:fill="F7F7F8" w:color="auto" w:val="clear"/>
        </w:rPr>
        <w:t>prepared</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collaborate</w:t>
      </w:r>
      <w:r>
        <w:rPr>
          <w:color w:val="374151"/>
          <w:spacing w:val="-5"/>
          <w:shd w:fill="F7F7F8" w:color="auto" w:val="clear"/>
        </w:rPr>
        <w:t> </w:t>
      </w:r>
      <w:r>
        <w:rPr>
          <w:color w:val="374151"/>
          <w:spacing w:val="-5"/>
        </w:rPr>
        <w:t> </w:t>
      </w:r>
      <w:r>
        <w:rPr>
          <w:color w:val="374151"/>
          <w:shd w:fill="F7F7F8" w:color="auto" w:val="clear"/>
        </w:rPr>
        <w:t>with other healthcare providers, including endocrinologists, surgeons, and </w:t>
      </w:r>
      <w:r>
        <w:rPr>
          <w:color w:val="374151"/>
        </w:rPr>
        <w:t> </w:t>
      </w:r>
      <w:r>
        <w:rPr>
          <w:color w:val="374151"/>
          <w:shd w:fill="F7F7F8" w:color="auto" w:val="clear"/>
        </w:rPr>
        <w:t>primary care physicians, to ensure comprehensive care for transgender </w:t>
      </w:r>
      <w:r>
        <w:rPr>
          <w:color w:val="374151"/>
        </w:rPr>
        <w:t> </w:t>
      </w:r>
      <w:r>
        <w:rPr>
          <w:color w:val="374151"/>
          <w:spacing w:val="-2"/>
          <w:shd w:fill="F7F7F8" w:color="auto" w:val="clear"/>
        </w:rPr>
        <w:t>individuals.</w:t>
      </w:r>
    </w:p>
    <w:p>
      <w:pPr>
        <w:pStyle w:val="BodyText"/>
        <w:ind w:left="280"/>
        <w:rPr>
          <w:sz w:val="20"/>
        </w:rPr>
      </w:pPr>
      <w:r>
        <w:rPr>
          <w:sz w:val="20"/>
        </w:rPr>
        <mc:AlternateContent>
          <mc:Choice Requires="wps">
            <w:drawing>
              <wp:inline distT="0" distB="0" distL="0" distR="0">
                <wp:extent cx="457200" cy="203200"/>
                <wp:effectExtent l="0" t="0" r="0" b="0"/>
                <wp:docPr id="113" name="Group 113"/>
                <wp:cNvGraphicFramePr>
                  <a:graphicFrameLocks/>
                </wp:cNvGraphicFramePr>
                <a:graphic>
                  <a:graphicData uri="http://schemas.microsoft.com/office/word/2010/wordprocessingGroup">
                    <wpg:wgp>
                      <wpg:cNvPr id="113" name="Group 113"/>
                      <wpg:cNvGrpSpPr/>
                      <wpg:grpSpPr>
                        <a:xfrm>
                          <a:off x="0" y="0"/>
                          <a:ext cx="457200" cy="203200"/>
                          <a:chExt cx="457200" cy="203200"/>
                        </a:xfrm>
                      </wpg:grpSpPr>
                      <wps:wsp>
                        <wps:cNvPr id="114" name="Graphic 114"/>
                        <wps:cNvSpPr/>
                        <wps:spPr>
                          <a:xfrm>
                            <a:off x="0" y="0"/>
                            <a:ext cx="457200" cy="203200"/>
                          </a:xfrm>
                          <a:custGeom>
                            <a:avLst/>
                            <a:gdLst/>
                            <a:ahLst/>
                            <a:cxnLst/>
                            <a:rect l="l" t="t" r="r" b="b"/>
                            <a:pathLst>
                              <a:path w="457200" h="203200">
                                <a:moveTo>
                                  <a:pt x="457200" y="0"/>
                                </a:moveTo>
                                <a:lnTo>
                                  <a:pt x="0" y="0"/>
                                </a:lnTo>
                                <a:lnTo>
                                  <a:pt x="0" y="203200"/>
                                </a:lnTo>
                                <a:lnTo>
                                  <a:pt x="457200" y="203200"/>
                                </a:lnTo>
                                <a:lnTo>
                                  <a:pt x="457200" y="0"/>
                                </a:lnTo>
                                <a:close/>
                              </a:path>
                            </a:pathLst>
                          </a:custGeom>
                          <a:solidFill>
                            <a:srgbClr val="F7F7F8"/>
                          </a:solidFill>
                        </wps:spPr>
                        <wps:bodyPr wrap="square" lIns="0" tIns="0" rIns="0" bIns="0" rtlCol="0">
                          <a:prstTxWarp prst="textNoShape">
                            <a:avLst/>
                          </a:prstTxWarp>
                          <a:noAutofit/>
                        </wps:bodyPr>
                      </wps:wsp>
                    </wpg:wgp>
                  </a:graphicData>
                </a:graphic>
              </wp:inline>
            </w:drawing>
          </mc:Choice>
          <mc:Fallback>
            <w:pict>
              <v:group style="width:36pt;height:16pt;mso-position-horizontal-relative:char;mso-position-vertical-relative:line" id="docshapegroup112" coordorigin="0,0" coordsize="720,320">
                <v:rect style="position:absolute;left:0;top:0;width:720;height:320" id="docshape113" filled="true" fillcolor="#f7f7f8" stroked="false">
                  <v:fill type="solid"/>
                </v:rect>
              </v:group>
            </w:pict>
          </mc:Fallback>
        </mc:AlternateContent>
      </w:r>
      <w:r>
        <w:rPr>
          <w:sz w:val="20"/>
        </w:rPr>
      </w:r>
    </w:p>
    <w:p>
      <w:pPr>
        <w:pStyle w:val="Heading2"/>
      </w:pPr>
      <w:r>
        <w:rPr>
          <w:color w:val="374151"/>
          <w:shd w:fill="F7F7F8" w:color="auto" w:val="clear"/>
        </w:rPr>
        <w:t>Ethical</w:t>
      </w:r>
      <w:r>
        <w:rPr>
          <w:color w:val="374151"/>
          <w:spacing w:val="-3"/>
          <w:shd w:fill="F7F7F8" w:color="auto" w:val="clear"/>
        </w:rPr>
        <w:t> </w:t>
      </w:r>
      <w:r>
        <w:rPr>
          <w:color w:val="374151"/>
          <w:spacing w:val="-2"/>
          <w:shd w:fill="F7F7F8" w:color="auto" w:val="clear"/>
        </w:rPr>
        <w:t>Considerations</w:t>
      </w:r>
    </w:p>
    <w:p>
      <w:pPr>
        <w:pStyle w:val="BodyText"/>
        <w:spacing w:before="269" w:after="2"/>
        <w:ind w:left="280" w:right="498"/>
      </w:pPr>
      <w:r>
        <w:rPr>
          <w:color w:val="374151"/>
          <w:shd w:fill="F7F7F8" w:color="auto" w:val="clear"/>
        </w:rPr>
        <w:t>Professionals</w:t>
      </w:r>
      <w:r>
        <w:rPr>
          <w:color w:val="374151"/>
          <w:spacing w:val="-6"/>
          <w:shd w:fill="F7F7F8" w:color="auto" w:val="clear"/>
        </w:rPr>
        <w:t> </w:t>
      </w:r>
      <w:r>
        <w:rPr>
          <w:color w:val="374151"/>
          <w:shd w:fill="F7F7F8" w:color="auto" w:val="clear"/>
        </w:rPr>
        <w:t>should</w:t>
      </w:r>
      <w:r>
        <w:rPr>
          <w:color w:val="374151"/>
          <w:spacing w:val="-4"/>
          <w:shd w:fill="F7F7F8" w:color="auto" w:val="clear"/>
        </w:rPr>
        <w:t> </w:t>
      </w:r>
      <w:r>
        <w:rPr>
          <w:color w:val="374151"/>
          <w:shd w:fill="F7F7F8" w:color="auto" w:val="clear"/>
        </w:rPr>
        <w:t>adhere</w:t>
      </w:r>
      <w:r>
        <w:rPr>
          <w:color w:val="374151"/>
          <w:spacing w:val="-5"/>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ethical</w:t>
      </w:r>
      <w:r>
        <w:rPr>
          <w:color w:val="374151"/>
          <w:spacing w:val="-4"/>
          <w:shd w:fill="F7F7F8" w:color="auto" w:val="clear"/>
        </w:rPr>
        <w:t> </w:t>
      </w:r>
      <w:r>
        <w:rPr>
          <w:color w:val="374151"/>
          <w:shd w:fill="F7F7F8" w:color="auto" w:val="clear"/>
        </w:rPr>
        <w:t>guidelines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codes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conduct</w:t>
      </w:r>
      <w:r>
        <w:rPr>
          <w:color w:val="374151"/>
          <w:spacing w:val="-4"/>
          <w:shd w:fill="F7F7F8" w:color="auto" w:val="clear"/>
        </w:rPr>
        <w:t> </w:t>
      </w:r>
      <w:r>
        <w:rPr>
          <w:color w:val="374151"/>
          <w:shd w:fill="F7F7F8" w:color="auto" w:val="clear"/>
        </w:rPr>
        <w:t>specific</w:t>
      </w:r>
      <w:r>
        <w:rPr>
          <w:color w:val="374151"/>
          <w:spacing w:val="-24"/>
          <w:shd w:fill="F7F7F8" w:color="auto" w:val="clear"/>
        </w:rPr>
        <w:t> </w:t>
      </w:r>
      <w:r>
        <w:rPr>
          <w:color w:val="374151"/>
          <w:spacing w:val="-24"/>
        </w:rPr>
        <w:t> </w:t>
      </w:r>
      <w:r>
        <w:rPr>
          <w:color w:val="374151"/>
          <w:shd w:fill="F7F7F8" w:color="auto" w:val="clear"/>
        </w:rPr>
        <w:t>to their profession when working with transgender individuals. These </w:t>
      </w:r>
      <w:r>
        <w:rPr>
          <w:color w:val="374151"/>
        </w:rPr>
        <w:t> </w:t>
      </w:r>
      <w:r>
        <w:rPr>
          <w:color w:val="374151"/>
          <w:shd w:fill="F7F7F8" w:color="auto" w:val="clear"/>
        </w:rPr>
        <w:t>guidelines emphasize the importance of respecting autonomy, confidentiality, </w:t>
      </w:r>
      <w:r>
        <w:rPr>
          <w:color w:val="374151"/>
        </w:rPr>
        <w:t> </w:t>
      </w:r>
      <w:r>
        <w:rPr>
          <w:color w:val="374151"/>
          <w:shd w:fill="F7F7F8" w:color="auto" w:val="clear"/>
        </w:rPr>
        <w:t>and informed consent. Mental health professionals should also be mindful of </w:t>
      </w:r>
      <w:r>
        <w:rPr>
          <w:color w:val="374151"/>
        </w:rPr>
        <w:t> </w:t>
      </w:r>
      <w:r>
        <w:rPr>
          <w:color w:val="374151"/>
          <w:shd w:fill="F7F7F8" w:color="auto" w:val="clear"/>
        </w:rPr>
        <w:t>their own biases and work towards providing non-discriminatory and equitable</w:t>
      </w:r>
      <w:r>
        <w:rPr>
          <w:color w:val="374151"/>
        </w:rPr>
        <w:t> </w:t>
      </w:r>
      <w:r>
        <w:rPr>
          <w:color w:val="374151"/>
          <w:spacing w:val="-2"/>
          <w:shd w:fill="F7F7F8" w:color="auto" w:val="clear"/>
        </w:rPr>
        <w:t>care.</w:t>
      </w:r>
    </w:p>
    <w:p>
      <w:pPr>
        <w:pStyle w:val="BodyText"/>
        <w:ind w:left="280"/>
        <w:rPr>
          <w:sz w:val="20"/>
        </w:rPr>
      </w:pPr>
      <w:r>
        <w:rPr>
          <w:sz w:val="20"/>
        </w:rPr>
        <mc:AlternateContent>
          <mc:Choice Requires="wps">
            <w:drawing>
              <wp:inline distT="0" distB="0" distL="0" distR="0">
                <wp:extent cx="457200" cy="203200"/>
                <wp:effectExtent l="0" t="0" r="0" b="0"/>
                <wp:docPr id="115" name="Group 115"/>
                <wp:cNvGraphicFramePr>
                  <a:graphicFrameLocks/>
                </wp:cNvGraphicFramePr>
                <a:graphic>
                  <a:graphicData uri="http://schemas.microsoft.com/office/word/2010/wordprocessingGroup">
                    <wpg:wgp>
                      <wpg:cNvPr id="115" name="Group 115"/>
                      <wpg:cNvGrpSpPr/>
                      <wpg:grpSpPr>
                        <a:xfrm>
                          <a:off x="0" y="0"/>
                          <a:ext cx="457200" cy="203200"/>
                          <a:chExt cx="457200" cy="203200"/>
                        </a:xfrm>
                      </wpg:grpSpPr>
                      <wps:wsp>
                        <wps:cNvPr id="116" name="Graphic 116"/>
                        <wps:cNvSpPr/>
                        <wps:spPr>
                          <a:xfrm>
                            <a:off x="0" y="0"/>
                            <a:ext cx="457200" cy="203200"/>
                          </a:xfrm>
                          <a:custGeom>
                            <a:avLst/>
                            <a:gdLst/>
                            <a:ahLst/>
                            <a:cxnLst/>
                            <a:rect l="l" t="t" r="r" b="b"/>
                            <a:pathLst>
                              <a:path w="457200" h="203200">
                                <a:moveTo>
                                  <a:pt x="457200" y="0"/>
                                </a:moveTo>
                                <a:lnTo>
                                  <a:pt x="0" y="0"/>
                                </a:lnTo>
                                <a:lnTo>
                                  <a:pt x="0" y="203200"/>
                                </a:lnTo>
                                <a:lnTo>
                                  <a:pt x="457200" y="203200"/>
                                </a:lnTo>
                                <a:lnTo>
                                  <a:pt x="457200" y="0"/>
                                </a:lnTo>
                                <a:close/>
                              </a:path>
                            </a:pathLst>
                          </a:custGeom>
                          <a:solidFill>
                            <a:srgbClr val="F7F7F8"/>
                          </a:solidFill>
                        </wps:spPr>
                        <wps:bodyPr wrap="square" lIns="0" tIns="0" rIns="0" bIns="0" rtlCol="0">
                          <a:prstTxWarp prst="textNoShape">
                            <a:avLst/>
                          </a:prstTxWarp>
                          <a:noAutofit/>
                        </wps:bodyPr>
                      </wps:wsp>
                    </wpg:wgp>
                  </a:graphicData>
                </a:graphic>
              </wp:inline>
            </w:drawing>
          </mc:Choice>
          <mc:Fallback>
            <w:pict>
              <v:group style="width:36pt;height:16pt;mso-position-horizontal-relative:char;mso-position-vertical-relative:line" id="docshapegroup114" coordorigin="0,0" coordsize="720,320">
                <v:rect style="position:absolute;left:0;top:0;width:720;height:320" id="docshape115" filled="true" fillcolor="#f7f7f8" stroked="false">
                  <v:fill type="solid"/>
                </v:rect>
              </v:group>
            </w:pict>
          </mc:Fallback>
        </mc:AlternateContent>
      </w:r>
      <w:r>
        <w:rPr>
          <w:sz w:val="20"/>
        </w:rPr>
      </w:r>
    </w:p>
    <w:p>
      <w:pPr>
        <w:spacing w:after="0"/>
        <w:rPr>
          <w:sz w:val="20"/>
        </w:rPr>
        <w:sectPr>
          <w:pgSz w:w="12240" w:h="15840"/>
          <w:pgMar w:header="0" w:footer="765" w:top="1260" w:bottom="980" w:left="1400" w:right="1180"/>
        </w:sectPr>
      </w:pPr>
    </w:p>
    <w:p>
      <w:pPr>
        <w:pStyle w:val="Heading2"/>
        <w:spacing w:before="66"/>
      </w:pPr>
      <w:r>
        <w:rPr>
          <w:color w:val="374151"/>
          <w:shd w:fill="F7F7F8" w:color="auto" w:val="clear"/>
        </w:rPr>
        <w:t>Continuing</w:t>
      </w:r>
      <w:r>
        <w:rPr>
          <w:color w:val="374151"/>
          <w:spacing w:val="-5"/>
          <w:shd w:fill="F7F7F8" w:color="auto" w:val="clear"/>
        </w:rPr>
        <w:t> </w:t>
      </w:r>
      <w:r>
        <w:rPr>
          <w:color w:val="374151"/>
          <w:shd w:fill="F7F7F8" w:color="auto" w:val="clear"/>
        </w:rPr>
        <w:t>Education</w:t>
      </w:r>
      <w:r>
        <w:rPr>
          <w:color w:val="374151"/>
          <w:spacing w:val="-3"/>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Self-</w:t>
      </w:r>
      <w:r>
        <w:rPr>
          <w:color w:val="374151"/>
          <w:spacing w:val="-4"/>
          <w:shd w:fill="F7F7F8" w:color="auto" w:val="clear"/>
        </w:rPr>
        <w:t>Care</w:t>
      </w:r>
    </w:p>
    <w:p>
      <w:pPr>
        <w:pStyle w:val="BodyText"/>
        <w:spacing w:before="7"/>
        <w:rPr>
          <w:b/>
          <w:sz w:val="27"/>
        </w:rPr>
      </w:pPr>
    </w:p>
    <w:p>
      <w:pPr>
        <w:pStyle w:val="BodyText"/>
        <w:ind w:left="280" w:right="668"/>
      </w:pPr>
      <w:r>
        <w:rPr>
          <w:color w:val="374151"/>
          <w:shd w:fill="F7F7F8" w:color="auto" w:val="clear"/>
        </w:rPr>
        <w:t>Given the evolving nature of the field, mental health and social work </w:t>
      </w:r>
      <w:r>
        <w:rPr>
          <w:color w:val="374151"/>
        </w:rPr>
        <w:t> </w:t>
      </w:r>
      <w:r>
        <w:rPr>
          <w:color w:val="374151"/>
          <w:shd w:fill="F7F7F8" w:color="auto" w:val="clear"/>
        </w:rPr>
        <w:t>professionals should engage in ongoing education and professional </w:t>
      </w:r>
      <w:r>
        <w:rPr>
          <w:color w:val="374151"/>
        </w:rPr>
        <w:t> </w:t>
      </w:r>
      <w:r>
        <w:rPr>
          <w:color w:val="374151"/>
          <w:shd w:fill="F7F7F8" w:color="auto" w:val="clear"/>
        </w:rPr>
        <w:t>development to stay informed about the latest research, best practices, and </w:t>
      </w:r>
      <w:r>
        <w:rPr>
          <w:color w:val="374151"/>
        </w:rPr>
        <w:t> </w:t>
      </w:r>
      <w:r>
        <w:rPr>
          <w:color w:val="374151"/>
          <w:shd w:fill="F7F7F8" w:color="auto" w:val="clear"/>
        </w:rPr>
        <w:t>emerging</w:t>
      </w:r>
      <w:r>
        <w:rPr>
          <w:color w:val="374151"/>
          <w:spacing w:val="-12"/>
          <w:shd w:fill="F7F7F8" w:color="auto" w:val="clear"/>
        </w:rPr>
        <w:t> </w:t>
      </w:r>
      <w:r>
        <w:rPr>
          <w:color w:val="374151"/>
          <w:shd w:fill="F7F7F8" w:color="auto" w:val="clear"/>
        </w:rPr>
        <w:t>therapeutic</w:t>
      </w:r>
      <w:r>
        <w:rPr>
          <w:color w:val="374151"/>
          <w:spacing w:val="-9"/>
          <w:shd w:fill="F7F7F8" w:color="auto" w:val="clear"/>
        </w:rPr>
        <w:t> </w:t>
      </w:r>
      <w:r>
        <w:rPr>
          <w:color w:val="374151"/>
          <w:shd w:fill="F7F7F8" w:color="auto" w:val="clear"/>
        </w:rPr>
        <w:t>modalities.</w:t>
      </w:r>
      <w:r>
        <w:rPr>
          <w:color w:val="374151"/>
          <w:spacing w:val="-18"/>
          <w:shd w:fill="F7F7F8" w:color="auto" w:val="clear"/>
        </w:rPr>
        <w:t> </w:t>
      </w:r>
      <w:r>
        <w:rPr>
          <w:color w:val="374151"/>
          <w:shd w:fill="F7F7F8" w:color="auto" w:val="clear"/>
        </w:rPr>
        <w:t>Additionally,</w:t>
      </w:r>
      <w:r>
        <w:rPr>
          <w:color w:val="374151"/>
          <w:spacing w:val="-7"/>
          <w:shd w:fill="F7F7F8" w:color="auto" w:val="clear"/>
        </w:rPr>
        <w:t> </w:t>
      </w:r>
      <w:r>
        <w:rPr>
          <w:color w:val="374151"/>
          <w:shd w:fill="F7F7F8" w:color="auto" w:val="clear"/>
        </w:rPr>
        <w:t>self-care</w:t>
      </w:r>
      <w:r>
        <w:rPr>
          <w:color w:val="374151"/>
          <w:spacing w:val="-9"/>
          <w:shd w:fill="F7F7F8" w:color="auto" w:val="clear"/>
        </w:rPr>
        <w:t> </w:t>
      </w:r>
      <w:r>
        <w:rPr>
          <w:color w:val="374151"/>
          <w:shd w:fill="F7F7F8" w:color="auto" w:val="clear"/>
        </w:rPr>
        <w:t>practices</w:t>
      </w:r>
      <w:r>
        <w:rPr>
          <w:color w:val="374151"/>
          <w:spacing w:val="-8"/>
          <w:shd w:fill="F7F7F8" w:color="auto" w:val="clear"/>
        </w:rPr>
        <w:t> </w:t>
      </w:r>
      <w:r>
        <w:rPr>
          <w:color w:val="374151"/>
          <w:shd w:fill="F7F7F8" w:color="auto" w:val="clear"/>
        </w:rPr>
        <w:t>are</w:t>
      </w:r>
      <w:r>
        <w:rPr>
          <w:color w:val="374151"/>
          <w:spacing w:val="-9"/>
          <w:shd w:fill="F7F7F8" w:color="auto" w:val="clear"/>
        </w:rPr>
        <w:t> </w:t>
      </w:r>
      <w:r>
        <w:rPr>
          <w:color w:val="374151"/>
          <w:shd w:fill="F7F7F8" w:color="auto" w:val="clear"/>
        </w:rPr>
        <w:t>crucial</w:t>
      </w:r>
      <w:r>
        <w:rPr>
          <w:color w:val="374151"/>
          <w:spacing w:val="-9"/>
          <w:shd w:fill="F7F7F8" w:color="auto" w:val="clear"/>
        </w:rPr>
        <w:t> </w:t>
      </w:r>
      <w:r>
        <w:rPr>
          <w:color w:val="374151"/>
          <w:spacing w:val="-9"/>
        </w:rPr>
        <w:t> </w:t>
      </w:r>
      <w:r>
        <w:rPr>
          <w:color w:val="374151"/>
          <w:shd w:fill="F7F7F8" w:color="auto" w:val="clear"/>
        </w:rPr>
        <w:t>for professionals to prevent burnout and maintain their well-being while </w:t>
      </w:r>
      <w:r>
        <w:rPr>
          <w:color w:val="374151"/>
        </w:rPr>
        <w:t> </w:t>
      </w:r>
      <w:r>
        <w:rPr>
          <w:color w:val="374151"/>
          <w:shd w:fill="F7F7F8" w:color="auto" w:val="clear"/>
        </w:rPr>
        <w:t>supporting transgender individuals.</w:t>
      </w:r>
    </w:p>
    <w:p>
      <w:pPr>
        <w:pStyle w:val="BodyText"/>
        <w:spacing w:before="2"/>
        <w:rPr>
          <w:sz w:val="27"/>
        </w:rPr>
      </w:pPr>
    </w:p>
    <w:p>
      <w:pPr>
        <w:pStyle w:val="Heading1"/>
        <w:numPr>
          <w:ilvl w:val="0"/>
          <w:numId w:val="3"/>
        </w:numPr>
        <w:tabs>
          <w:tab w:pos="640" w:val="left" w:leader="none"/>
        </w:tabs>
        <w:spacing w:line="240" w:lineRule="auto" w:before="1" w:after="0"/>
        <w:ind w:left="640" w:right="0" w:hanging="360"/>
        <w:jc w:val="left"/>
      </w:pPr>
      <w:bookmarkStart w:name="_TOC_250005" w:id="5"/>
      <w:r>
        <w:rPr/>
        <w:t>Cultural</w:t>
      </w:r>
      <w:r>
        <w:rPr>
          <w:spacing w:val="-4"/>
        </w:rPr>
        <w:t> </w:t>
      </w:r>
      <w:bookmarkEnd w:id="5"/>
      <w:r>
        <w:rPr>
          <w:spacing w:val="-2"/>
        </w:rPr>
        <w:t>Competence</w:t>
      </w:r>
    </w:p>
    <w:p>
      <w:pPr>
        <w:pStyle w:val="BodyText"/>
        <w:spacing w:before="8"/>
        <w:rPr>
          <w:b/>
          <w:sz w:val="55"/>
        </w:rPr>
      </w:pPr>
    </w:p>
    <w:p>
      <w:pPr>
        <w:pStyle w:val="Heading2"/>
        <w:spacing w:before="1"/>
      </w:pPr>
      <w:r>
        <w:rPr/>
        <mc:AlternateContent>
          <mc:Choice Requires="wps">
            <w:drawing>
              <wp:anchor distT="0" distB="0" distL="0" distR="0" allowOverlap="1" layoutInCell="1" locked="0" behindDoc="1" simplePos="0" relativeHeight="487620096">
                <wp:simplePos x="0" y="0"/>
                <wp:positionH relativeFrom="page">
                  <wp:posOffset>1066800</wp:posOffset>
                </wp:positionH>
                <wp:positionV relativeFrom="paragraph">
                  <wp:posOffset>210188</wp:posOffset>
                </wp:positionV>
                <wp:extent cx="1319530" cy="393700"/>
                <wp:effectExtent l="0" t="0" r="0" b="0"/>
                <wp:wrapTopAndBottom/>
                <wp:docPr id="117" name="Textbox 117"/>
                <wp:cNvGraphicFramePr>
                  <a:graphicFrameLocks/>
                </wp:cNvGraphicFramePr>
                <a:graphic>
                  <a:graphicData uri="http://schemas.microsoft.com/office/word/2010/wordprocessingShape">
                    <wps:wsp>
                      <wps:cNvPr id="117" name="Textbox 117"/>
                      <wps:cNvSpPr txBox="1"/>
                      <wps:spPr>
                        <a:xfrm>
                          <a:off x="0" y="0"/>
                          <a:ext cx="131953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Human</w:t>
                            </w:r>
                            <w:r>
                              <w:rPr>
                                <w:b/>
                                <w:color w:val="374151"/>
                                <w:spacing w:val="-2"/>
                                <w:sz w:val="28"/>
                              </w:rPr>
                              <w:t> </w:t>
                            </w:r>
                            <w:r>
                              <w:rPr>
                                <w:b/>
                                <w:color w:val="374151"/>
                                <w:spacing w:val="-2"/>
                                <w:sz w:val="28"/>
                              </w:rPr>
                              <w:t>Sexuality</w:t>
                            </w:r>
                          </w:p>
                        </w:txbxContent>
                      </wps:txbx>
                      <wps:bodyPr wrap="square" lIns="0" tIns="0" rIns="0" bIns="0" rtlCol="0">
                        <a:noAutofit/>
                      </wps:bodyPr>
                    </wps:wsp>
                  </a:graphicData>
                </a:graphic>
              </wp:anchor>
            </w:drawing>
          </mc:Choice>
          <mc:Fallback>
            <w:pict>
              <v:shape style="position:absolute;margin-left:84pt;margin-top:16.550282pt;width:103.9pt;height:31pt;mso-position-horizontal-relative:page;mso-position-vertical-relative:paragraph;z-index:-15696384;mso-wrap-distance-left:0;mso-wrap-distance-right:0" type="#_x0000_t202" id="docshape116" filled="true" fillcolor="#f7f7f8" stroked="false">
                <v:textbox inset="0,0,0,0">
                  <w:txbxContent>
                    <w:p>
                      <w:pPr>
                        <w:spacing w:line="308" w:lineRule="exact" w:before="0"/>
                        <w:ind w:left="0" w:right="0" w:firstLine="0"/>
                        <w:jc w:val="left"/>
                        <w:rPr>
                          <w:b/>
                          <w:color w:val="000000"/>
                          <w:sz w:val="28"/>
                        </w:rPr>
                      </w:pPr>
                      <w:r>
                        <w:rPr>
                          <w:b/>
                          <w:color w:val="374151"/>
                          <w:sz w:val="28"/>
                        </w:rPr>
                        <w:t>Human</w:t>
                      </w:r>
                      <w:r>
                        <w:rPr>
                          <w:b/>
                          <w:color w:val="374151"/>
                          <w:spacing w:val="-2"/>
                          <w:sz w:val="28"/>
                        </w:rPr>
                        <w:t> </w:t>
                      </w:r>
                      <w:r>
                        <w:rPr>
                          <w:b/>
                          <w:color w:val="374151"/>
                          <w:spacing w:val="-2"/>
                          <w:sz w:val="28"/>
                        </w:rPr>
                        <w:t>Sexuality</w:t>
                      </w:r>
                    </w:p>
                  </w:txbxContent>
                </v:textbox>
                <v:fill type="solid"/>
                <w10:wrap type="topAndBottom"/>
              </v:shape>
            </w:pict>
          </mc:Fallback>
        </mc:AlternateContent>
      </w:r>
      <w:r>
        <w:rPr>
          <w:color w:val="374151"/>
          <w:shd w:fill="F7F7F8" w:color="auto" w:val="clear"/>
        </w:rPr>
        <w:t>Cultural</w:t>
      </w:r>
      <w:r>
        <w:rPr>
          <w:color w:val="374151"/>
          <w:spacing w:val="-8"/>
          <w:shd w:fill="F7F7F8" w:color="auto" w:val="clear"/>
        </w:rPr>
        <w:t> </w:t>
      </w:r>
      <w:r>
        <w:rPr>
          <w:color w:val="374151"/>
          <w:shd w:fill="F7F7F8" w:color="auto" w:val="clear"/>
        </w:rPr>
        <w:t>Norms,</w:t>
      </w:r>
      <w:r>
        <w:rPr>
          <w:color w:val="374151"/>
          <w:spacing w:val="-6"/>
          <w:shd w:fill="F7F7F8" w:color="auto" w:val="clear"/>
        </w:rPr>
        <w:t> </w:t>
      </w:r>
      <w:r>
        <w:rPr>
          <w:color w:val="374151"/>
          <w:shd w:fill="F7F7F8" w:color="auto" w:val="clear"/>
        </w:rPr>
        <w:t>Beliefs,</w:t>
      </w:r>
      <w:r>
        <w:rPr>
          <w:color w:val="374151"/>
          <w:spacing w:val="-6"/>
          <w:shd w:fill="F7F7F8" w:color="auto" w:val="clear"/>
        </w:rPr>
        <w:t> </w:t>
      </w:r>
      <w:r>
        <w:rPr>
          <w:color w:val="374151"/>
          <w:shd w:fill="F7F7F8" w:color="auto" w:val="clear"/>
        </w:rPr>
        <w:t>and</w:t>
      </w:r>
      <w:r>
        <w:rPr>
          <w:color w:val="374151"/>
          <w:spacing w:val="-11"/>
          <w:shd w:fill="F7F7F8" w:color="auto" w:val="clear"/>
        </w:rPr>
        <w:t> </w:t>
      </w:r>
      <w:r>
        <w:rPr>
          <w:color w:val="374151"/>
          <w:shd w:fill="F7F7F8" w:color="auto" w:val="clear"/>
        </w:rPr>
        <w:t>Values:</w:t>
      </w:r>
      <w:r>
        <w:rPr>
          <w:color w:val="374151"/>
          <w:spacing w:val="-6"/>
          <w:shd w:fill="F7F7F8" w:color="auto" w:val="clear"/>
        </w:rPr>
        <w:t> </w:t>
      </w:r>
      <w:r>
        <w:rPr>
          <w:color w:val="374151"/>
          <w:shd w:fill="F7F7F8" w:color="auto" w:val="clear"/>
        </w:rPr>
        <w:t>Exploring</w:t>
      </w:r>
      <w:r>
        <w:rPr>
          <w:color w:val="374151"/>
          <w:spacing w:val="-6"/>
          <w:shd w:fill="F7F7F8" w:color="auto" w:val="clear"/>
        </w:rPr>
        <w:t> </w:t>
      </w:r>
      <w:r>
        <w:rPr>
          <w:color w:val="374151"/>
          <w:shd w:fill="F7F7F8" w:color="auto" w:val="clear"/>
        </w:rPr>
        <w:t>Ethnic</w:t>
      </w:r>
      <w:r>
        <w:rPr>
          <w:color w:val="374151"/>
          <w:spacing w:val="-7"/>
          <w:shd w:fill="F7F7F8" w:color="auto" w:val="clear"/>
        </w:rPr>
        <w:t> </w:t>
      </w:r>
      <w:r>
        <w:rPr>
          <w:color w:val="374151"/>
          <w:shd w:fill="F7F7F8" w:color="auto" w:val="clear"/>
        </w:rPr>
        <w:t>Perspectives</w:t>
      </w:r>
      <w:r>
        <w:rPr>
          <w:color w:val="374151"/>
          <w:spacing w:val="-5"/>
          <w:shd w:fill="F7F7F8" w:color="auto" w:val="clear"/>
        </w:rPr>
        <w:t> on</w:t>
      </w:r>
      <w:r>
        <w:rPr>
          <w:color w:val="374151"/>
          <w:spacing w:val="40"/>
          <w:shd w:fill="F7F7F8" w:color="auto" w:val="clear"/>
        </w:rPr>
        <w:t> </w:t>
      </w:r>
    </w:p>
    <w:p>
      <w:pPr>
        <w:pStyle w:val="BodyText"/>
        <w:spacing w:line="237" w:lineRule="auto" w:after="15"/>
        <w:ind w:left="280" w:right="499"/>
      </w:pPr>
      <w:r>
        <w:rPr>
          <w:color w:val="374151"/>
          <w:shd w:fill="F7F7F8" w:color="auto" w:val="clear"/>
        </w:rPr>
        <w:t>This section aims to explore the diverse cultural norms, beliefs, and values </w:t>
      </w:r>
      <w:r>
        <w:rPr>
          <w:color w:val="374151"/>
        </w:rPr>
        <w:t> </w:t>
      </w:r>
      <w:r>
        <w:rPr>
          <w:color w:val="374151"/>
          <w:shd w:fill="F7F7F8" w:color="auto" w:val="clear"/>
        </w:rPr>
        <w:t>related to human sexuality within different ethnic groups. Understanding the </w:t>
      </w:r>
      <w:r>
        <w:rPr>
          <w:color w:val="374151"/>
        </w:rPr>
        <w:t> </w:t>
      </w:r>
      <w:r>
        <w:rPr>
          <w:color w:val="374151"/>
          <w:shd w:fill="F7F7F8" w:color="auto" w:val="clear"/>
        </w:rPr>
        <w:t>variations in attitudes towards sexuality across cultures is crucial for mental </w:t>
      </w:r>
      <w:r>
        <w:rPr>
          <w:color w:val="374151"/>
        </w:rPr>
        <w:t> </w:t>
      </w:r>
      <w:r>
        <w:rPr>
          <w:color w:val="374151"/>
          <w:shd w:fill="F7F7F8" w:color="auto" w:val="clear"/>
        </w:rPr>
        <w:t>health professionals to provide culturally sensitive and inclusive care. By </w:t>
      </w:r>
      <w:r>
        <w:rPr>
          <w:color w:val="374151"/>
        </w:rPr>
        <w:t> </w:t>
      </w:r>
      <w:r>
        <w:rPr>
          <w:color w:val="374151"/>
          <w:shd w:fill="F7F7F8" w:color="auto" w:val="clear"/>
        </w:rPr>
        <w:t>examining specific ethnic groups, including but not limited to</w:t>
      </w:r>
      <w:r>
        <w:rPr>
          <w:color w:val="374151"/>
          <w:spacing w:val="-10"/>
          <w:shd w:fill="F7F7F8" w:color="auto" w:val="clear"/>
        </w:rPr>
        <w:t> </w:t>
      </w:r>
      <w:r>
        <w:rPr>
          <w:color w:val="374151"/>
          <w:shd w:fill="F7F7F8" w:color="auto" w:val="clear"/>
        </w:rPr>
        <w:t>Asian,</w:t>
      </w:r>
      <w:r>
        <w:rPr>
          <w:color w:val="374151"/>
          <w:spacing w:val="-10"/>
          <w:shd w:fill="F7F7F8" w:color="auto" w:val="clear"/>
        </w:rPr>
        <w:t> </w:t>
      </w:r>
      <w:r>
        <w:rPr>
          <w:color w:val="374151"/>
          <w:shd w:fill="F7F7F8" w:color="auto" w:val="clear"/>
        </w:rPr>
        <w:t>African</w:t>
      </w:r>
      <w:r>
        <w:rPr>
          <w:color w:val="374151"/>
          <w:spacing w:val="-10"/>
          <w:shd w:fill="F7F7F8" w:color="auto" w:val="clear"/>
        </w:rPr>
        <w:t> </w:t>
      </w:r>
      <w:r>
        <w:rPr>
          <w:color w:val="374151"/>
          <w:spacing w:val="-10"/>
        </w:rPr>
        <w:t> </w:t>
      </w:r>
      <w:r>
        <w:rPr>
          <w:color w:val="374151"/>
          <w:shd w:fill="F7F7F8" w:color="auto" w:val="clear"/>
        </w:rPr>
        <w:t>American,</w:t>
      </w:r>
      <w:r>
        <w:rPr>
          <w:color w:val="374151"/>
          <w:spacing w:val="-7"/>
          <w:shd w:fill="F7F7F8" w:color="auto" w:val="clear"/>
        </w:rPr>
        <w:t> </w:t>
      </w:r>
      <w:r>
        <w:rPr>
          <w:color w:val="374151"/>
          <w:shd w:fill="F7F7F8" w:color="auto" w:val="clear"/>
        </w:rPr>
        <w:t>Hispanic/Latinx,</w:t>
      </w:r>
      <w:r>
        <w:rPr>
          <w:color w:val="374151"/>
          <w:spacing w:val="-5"/>
          <w:shd w:fill="F7F7F8" w:color="auto" w:val="clear"/>
        </w:rPr>
        <w:t> </w:t>
      </w:r>
      <w:r>
        <w:rPr>
          <w:color w:val="374151"/>
          <w:shd w:fill="F7F7F8" w:color="auto" w:val="clear"/>
        </w:rPr>
        <w:t>Native</w:t>
      </w:r>
      <w:r>
        <w:rPr>
          <w:color w:val="374151"/>
          <w:spacing w:val="-18"/>
          <w:shd w:fill="F7F7F8" w:color="auto" w:val="clear"/>
        </w:rPr>
        <w:t> </w:t>
      </w:r>
      <w:r>
        <w:rPr>
          <w:color w:val="374151"/>
          <w:shd w:fill="F7F7F8" w:color="auto" w:val="clear"/>
        </w:rPr>
        <w:t>American,</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Middle</w:t>
      </w:r>
      <w:r>
        <w:rPr>
          <w:color w:val="374151"/>
          <w:spacing w:val="-6"/>
          <w:shd w:fill="F7F7F8" w:color="auto" w:val="clear"/>
        </w:rPr>
        <w:t> </w:t>
      </w:r>
      <w:r>
        <w:rPr>
          <w:color w:val="374151"/>
          <w:shd w:fill="F7F7F8" w:color="auto" w:val="clear"/>
        </w:rPr>
        <w:t>Eastern</w:t>
      </w:r>
      <w:r>
        <w:rPr>
          <w:color w:val="374151"/>
          <w:spacing w:val="-5"/>
          <w:shd w:fill="F7F7F8" w:color="auto" w:val="clear"/>
        </w:rPr>
        <w:t> </w:t>
      </w:r>
      <w:r>
        <w:rPr>
          <w:color w:val="374151"/>
          <w:shd w:fill="F7F7F8" w:color="auto" w:val="clear"/>
        </w:rPr>
        <w:t>cultures,</w:t>
      </w:r>
      <w:r>
        <w:rPr>
          <w:color w:val="374151"/>
          <w:spacing w:val="-5"/>
          <w:shd w:fill="F7F7F8" w:color="auto" w:val="clear"/>
        </w:rPr>
        <w:t> </w:t>
      </w:r>
      <w:r>
        <w:rPr>
          <w:color w:val="374151"/>
          <w:shd w:fill="F7F7F8" w:color="auto" w:val="clear"/>
        </w:rPr>
        <w:t>we</w:t>
      </w:r>
      <w:r>
        <w:rPr>
          <w:color w:val="374151"/>
        </w:rPr>
        <w:t> </w:t>
      </w:r>
      <w:r>
        <w:rPr>
          <w:color w:val="374151"/>
          <w:shd w:fill="F7F7F8" w:color="auto" w:val="clear"/>
        </w:rPr>
        <w:t>will shed light on their unique perspectives on sexuality.</w:t>
      </w:r>
      <w:r>
        <w:rPr>
          <w:color w:val="374151"/>
          <w:spacing w:val="-2"/>
          <w:shd w:fill="F7F7F8" w:color="auto" w:val="clear"/>
        </w:rPr>
        <w:t> </w:t>
      </w:r>
      <w:r>
        <w:rPr>
          <w:color w:val="374151"/>
          <w:shd w:fill="F7F7F8" w:color="auto" w:val="clear"/>
        </w:rPr>
        <w:t>The paper will </w:t>
      </w:r>
      <w:r>
        <w:rPr>
          <w:color w:val="374151"/>
        </w:rPr>
        <w:t> </w:t>
      </w:r>
      <w:r>
        <w:rPr>
          <w:color w:val="374151"/>
          <w:shd w:fill="F7F7F8" w:color="auto" w:val="clear"/>
        </w:rPr>
        <w:t>emphasize the importance of cultural competence and provide </w:t>
      </w:r>
      <w:r>
        <w:rPr>
          <w:color w:val="374151"/>
        </w:rPr>
        <w:t> </w:t>
      </w:r>
      <w:r>
        <w:rPr>
          <w:color w:val="374151"/>
          <w:shd w:fill="F7F7F8" w:color="auto" w:val="clear"/>
        </w:rPr>
        <w:t>recommendations for mental health professionals to enhance their</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5145405" cy="393700"/>
                <wp:effectExtent l="0" t="0" r="0" b="0"/>
                <wp:docPr id="118" name="Textbox 118"/>
                <wp:cNvGraphicFramePr>
                  <a:graphicFrameLocks/>
                </wp:cNvGraphicFramePr>
                <a:graphic>
                  <a:graphicData uri="http://schemas.microsoft.com/office/word/2010/wordprocessingShape">
                    <wps:wsp>
                      <wps:cNvPr id="118" name="Textbox 118"/>
                      <wps:cNvSpPr txBox="1"/>
                      <wps:spPr>
                        <a:xfrm>
                          <a:off x="0" y="0"/>
                          <a:ext cx="5145405" cy="393700"/>
                        </a:xfrm>
                        <a:prstGeom prst="rect">
                          <a:avLst/>
                        </a:prstGeom>
                        <a:solidFill>
                          <a:srgbClr val="F7F7F8"/>
                        </a:solidFill>
                      </wps:spPr>
                      <wps:txbx>
                        <w:txbxContent>
                          <w:p>
                            <w:pPr>
                              <w:pStyle w:val="BodyText"/>
                              <w:spacing w:line="308" w:lineRule="exact"/>
                              <w:ind w:right="-15"/>
                              <w:rPr>
                                <w:color w:val="000000"/>
                              </w:rPr>
                            </w:pPr>
                            <w:r>
                              <w:rPr>
                                <w:color w:val="374151"/>
                              </w:rPr>
                              <w:t>understanding</w:t>
                            </w:r>
                            <w:r>
                              <w:rPr>
                                <w:color w:val="374151"/>
                                <w:spacing w:val="-2"/>
                              </w:rPr>
                              <w:t> </w:t>
                            </w:r>
                            <w:r>
                              <w:rPr>
                                <w:color w:val="374151"/>
                              </w:rPr>
                              <w:t>and</w:t>
                            </w:r>
                            <w:r>
                              <w:rPr>
                                <w:color w:val="374151"/>
                                <w:spacing w:val="-1"/>
                              </w:rPr>
                              <w:t> </w:t>
                            </w:r>
                            <w:r>
                              <w:rPr>
                                <w:color w:val="374151"/>
                              </w:rPr>
                              <w:t>support</w:t>
                            </w:r>
                            <w:r>
                              <w:rPr>
                                <w:color w:val="374151"/>
                                <w:spacing w:val="-1"/>
                              </w:rPr>
                              <w:t> </w:t>
                            </w:r>
                            <w:r>
                              <w:rPr>
                                <w:color w:val="374151"/>
                              </w:rPr>
                              <w:t>individuals</w:t>
                            </w:r>
                            <w:r>
                              <w:rPr>
                                <w:color w:val="374151"/>
                                <w:spacing w:val="-1"/>
                              </w:rPr>
                              <w:t> </w:t>
                            </w:r>
                            <w:r>
                              <w:rPr>
                                <w:color w:val="374151"/>
                              </w:rPr>
                              <w:t>from</w:t>
                            </w:r>
                            <w:r>
                              <w:rPr>
                                <w:color w:val="374151"/>
                                <w:spacing w:val="-1"/>
                              </w:rPr>
                              <w:t> </w:t>
                            </w:r>
                            <w:r>
                              <w:rPr>
                                <w:color w:val="374151"/>
                              </w:rPr>
                              <w:t>diverse</w:t>
                            </w:r>
                            <w:r>
                              <w:rPr>
                                <w:color w:val="374151"/>
                                <w:spacing w:val="-2"/>
                              </w:rPr>
                              <w:t> </w:t>
                            </w:r>
                            <w:r>
                              <w:rPr>
                                <w:color w:val="374151"/>
                              </w:rPr>
                              <w:t>ethnic</w:t>
                            </w:r>
                            <w:r>
                              <w:rPr>
                                <w:color w:val="374151"/>
                                <w:spacing w:val="-2"/>
                              </w:rPr>
                              <w:t> backgrounds.</w:t>
                            </w:r>
                          </w:p>
                        </w:txbxContent>
                      </wps:txbx>
                      <wps:bodyPr wrap="square" lIns="0" tIns="0" rIns="0" bIns="0" rtlCol="0">
                        <a:noAutofit/>
                      </wps:bodyPr>
                    </wps:wsp>
                  </a:graphicData>
                </a:graphic>
              </wp:inline>
            </w:drawing>
          </mc:Choice>
          <mc:Fallback>
            <w:pict>
              <v:shape style="width:405.15pt;height:31pt;mso-position-horizontal-relative:char;mso-position-vertical-relative:line" type="#_x0000_t202" id="docshape117" filled="true" fillcolor="#f7f7f8" stroked="false">
                <w10:anchorlock/>
                <v:textbox inset="0,0,0,0">
                  <w:txbxContent>
                    <w:p>
                      <w:pPr>
                        <w:pStyle w:val="BodyText"/>
                        <w:spacing w:line="308" w:lineRule="exact"/>
                        <w:ind w:right="-15"/>
                        <w:rPr>
                          <w:color w:val="000000"/>
                        </w:rPr>
                      </w:pPr>
                      <w:r>
                        <w:rPr>
                          <w:color w:val="374151"/>
                        </w:rPr>
                        <w:t>understanding</w:t>
                      </w:r>
                      <w:r>
                        <w:rPr>
                          <w:color w:val="374151"/>
                          <w:spacing w:val="-2"/>
                        </w:rPr>
                        <w:t> </w:t>
                      </w:r>
                      <w:r>
                        <w:rPr>
                          <w:color w:val="374151"/>
                        </w:rPr>
                        <w:t>and</w:t>
                      </w:r>
                      <w:r>
                        <w:rPr>
                          <w:color w:val="374151"/>
                          <w:spacing w:val="-1"/>
                        </w:rPr>
                        <w:t> </w:t>
                      </w:r>
                      <w:r>
                        <w:rPr>
                          <w:color w:val="374151"/>
                        </w:rPr>
                        <w:t>support</w:t>
                      </w:r>
                      <w:r>
                        <w:rPr>
                          <w:color w:val="374151"/>
                          <w:spacing w:val="-1"/>
                        </w:rPr>
                        <w:t> </w:t>
                      </w:r>
                      <w:r>
                        <w:rPr>
                          <w:color w:val="374151"/>
                        </w:rPr>
                        <w:t>individuals</w:t>
                      </w:r>
                      <w:r>
                        <w:rPr>
                          <w:color w:val="374151"/>
                          <w:spacing w:val="-1"/>
                        </w:rPr>
                        <w:t> </w:t>
                      </w:r>
                      <w:r>
                        <w:rPr>
                          <w:color w:val="374151"/>
                        </w:rPr>
                        <w:t>from</w:t>
                      </w:r>
                      <w:r>
                        <w:rPr>
                          <w:color w:val="374151"/>
                          <w:spacing w:val="-1"/>
                        </w:rPr>
                        <w:t> </w:t>
                      </w:r>
                      <w:r>
                        <w:rPr>
                          <w:color w:val="374151"/>
                        </w:rPr>
                        <w:t>diverse</w:t>
                      </w:r>
                      <w:r>
                        <w:rPr>
                          <w:color w:val="374151"/>
                          <w:spacing w:val="-2"/>
                        </w:rPr>
                        <w:t> </w:t>
                      </w:r>
                      <w:r>
                        <w:rPr>
                          <w:color w:val="374151"/>
                        </w:rPr>
                        <w:t>ethnic</w:t>
                      </w:r>
                      <w:r>
                        <w:rPr>
                          <w:color w:val="374151"/>
                          <w:spacing w:val="-2"/>
                        </w:rPr>
                        <w:t> backgrounds.</w:t>
                      </w:r>
                    </w:p>
                  </w:txbxContent>
                </v:textbox>
                <v:fill type="solid"/>
              </v:shape>
            </w:pict>
          </mc:Fallback>
        </mc:AlternateContent>
      </w:r>
      <w:r>
        <w:rPr>
          <w:sz w:val="20"/>
        </w:rPr>
      </w:r>
    </w:p>
    <w:p>
      <w:pPr>
        <w:pStyle w:val="Heading3"/>
        <w:spacing w:line="283" w:lineRule="exact"/>
        <w:rPr>
          <w:i/>
        </w:rPr>
      </w:pPr>
      <w:r>
        <w:rPr>
          <w:i/>
          <w:color w:val="374151"/>
          <w:shd w:fill="F7F7F8" w:color="auto" w:val="clear"/>
        </w:rPr>
        <w:t>Asian</w:t>
      </w:r>
      <w:r>
        <w:rPr>
          <w:i/>
          <w:color w:val="374151"/>
          <w:spacing w:val="-2"/>
          <w:shd w:fill="F7F7F8" w:color="auto" w:val="clear"/>
        </w:rPr>
        <w:t> </w:t>
      </w:r>
      <w:r>
        <w:rPr>
          <w:i/>
          <w:color w:val="374151"/>
          <w:shd w:fill="F7F7F8" w:color="auto" w:val="clear"/>
        </w:rPr>
        <w:t>Cultural</w:t>
      </w:r>
      <w:r>
        <w:rPr>
          <w:i/>
          <w:color w:val="374151"/>
          <w:spacing w:val="-2"/>
          <w:shd w:fill="F7F7F8" w:color="auto" w:val="clear"/>
        </w:rPr>
        <w:t> </w:t>
      </w:r>
      <w:r>
        <w:rPr>
          <w:i/>
          <w:color w:val="374151"/>
          <w:shd w:fill="F7F7F8" w:color="auto" w:val="clear"/>
        </w:rPr>
        <w:t>Norms,</w:t>
      </w:r>
      <w:r>
        <w:rPr>
          <w:i/>
          <w:color w:val="374151"/>
          <w:spacing w:val="-1"/>
          <w:shd w:fill="F7F7F8" w:color="auto" w:val="clear"/>
        </w:rPr>
        <w:t> </w:t>
      </w:r>
      <w:r>
        <w:rPr>
          <w:i/>
          <w:color w:val="374151"/>
          <w:shd w:fill="F7F7F8" w:color="auto" w:val="clear"/>
        </w:rPr>
        <w:t>Beliefs,</w:t>
      </w:r>
      <w:r>
        <w:rPr>
          <w:i/>
          <w:color w:val="374151"/>
          <w:spacing w:val="-2"/>
          <w:shd w:fill="F7F7F8" w:color="auto" w:val="clear"/>
        </w:rPr>
        <w:t> </w:t>
      </w:r>
      <w:r>
        <w:rPr>
          <w:i/>
          <w:color w:val="374151"/>
          <w:shd w:fill="F7F7F8" w:color="auto" w:val="clear"/>
        </w:rPr>
        <w:t>and</w:t>
      </w:r>
      <w:r>
        <w:rPr>
          <w:i/>
          <w:color w:val="374151"/>
          <w:spacing w:val="-1"/>
          <w:shd w:fill="F7F7F8" w:color="auto" w:val="clear"/>
        </w:rPr>
        <w:t> </w:t>
      </w:r>
      <w:r>
        <w:rPr>
          <w:i/>
          <w:color w:val="374151"/>
          <w:spacing w:val="-2"/>
          <w:shd w:fill="F7F7F8" w:color="auto" w:val="clear"/>
        </w:rPr>
        <w:t>Values</w:t>
      </w:r>
    </w:p>
    <w:p>
      <w:pPr>
        <w:pStyle w:val="BodyText"/>
        <w:spacing w:before="3"/>
        <w:rPr>
          <w:b/>
          <w:i/>
          <w:sz w:val="23"/>
        </w:rPr>
      </w:pPr>
      <w:r>
        <w:rPr/>
        <mc:AlternateContent>
          <mc:Choice Requires="wps">
            <w:drawing>
              <wp:anchor distT="0" distB="0" distL="0" distR="0" allowOverlap="1" layoutInCell="1" locked="0" behindDoc="1" simplePos="0" relativeHeight="487621120">
                <wp:simplePos x="0" y="0"/>
                <wp:positionH relativeFrom="page">
                  <wp:posOffset>1066800</wp:posOffset>
                </wp:positionH>
                <wp:positionV relativeFrom="paragraph">
                  <wp:posOffset>185088</wp:posOffset>
                </wp:positionV>
                <wp:extent cx="3378200" cy="393700"/>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337820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665082"/>
                                <w:sz w:val="28"/>
                              </w:rPr>
                              <w:t>Historical</w:t>
                            </w:r>
                            <w:r>
                              <w:rPr>
                                <w:b/>
                                <w:color w:val="665082"/>
                                <w:spacing w:val="-3"/>
                                <w:sz w:val="28"/>
                              </w:rPr>
                              <w:t> </w:t>
                            </w:r>
                            <w:r>
                              <w:rPr>
                                <w:b/>
                                <w:color w:val="665082"/>
                                <w:sz w:val="28"/>
                              </w:rPr>
                              <w:t>context</w:t>
                            </w:r>
                            <w:r>
                              <w:rPr>
                                <w:b/>
                                <w:color w:val="665082"/>
                                <w:spacing w:val="-2"/>
                                <w:sz w:val="28"/>
                              </w:rPr>
                              <w:t> </w:t>
                            </w:r>
                            <w:r>
                              <w:rPr>
                                <w:b/>
                                <w:color w:val="665082"/>
                                <w:sz w:val="28"/>
                              </w:rPr>
                              <w:t>and</w:t>
                            </w:r>
                            <w:r>
                              <w:rPr>
                                <w:b/>
                                <w:color w:val="665082"/>
                                <w:spacing w:val="-3"/>
                                <w:sz w:val="28"/>
                              </w:rPr>
                              <w:t> </w:t>
                            </w:r>
                            <w:r>
                              <w:rPr>
                                <w:b/>
                                <w:color w:val="665082"/>
                                <w:sz w:val="28"/>
                              </w:rPr>
                              <w:t>Confucian</w:t>
                            </w:r>
                            <w:r>
                              <w:rPr>
                                <w:b/>
                                <w:color w:val="665082"/>
                                <w:spacing w:val="-2"/>
                                <w:sz w:val="28"/>
                              </w:rPr>
                              <w:t> influences:</w:t>
                            </w:r>
                          </w:p>
                        </w:txbxContent>
                      </wps:txbx>
                      <wps:bodyPr wrap="square" lIns="0" tIns="0" rIns="0" bIns="0" rtlCol="0">
                        <a:noAutofit/>
                      </wps:bodyPr>
                    </wps:wsp>
                  </a:graphicData>
                </a:graphic>
              </wp:anchor>
            </w:drawing>
          </mc:Choice>
          <mc:Fallback>
            <w:pict>
              <v:shape style="position:absolute;margin-left:84pt;margin-top:14.573877pt;width:266pt;height:31pt;mso-position-horizontal-relative:page;mso-position-vertical-relative:paragraph;z-index:-15695360;mso-wrap-distance-left:0;mso-wrap-distance-right:0" type="#_x0000_t202" id="docshape118" filled="true" fillcolor="#f7f7f8" stroked="false">
                <v:textbox inset="0,0,0,0">
                  <w:txbxContent>
                    <w:p>
                      <w:pPr>
                        <w:spacing w:line="308" w:lineRule="exact" w:before="0"/>
                        <w:ind w:left="0" w:right="0" w:firstLine="0"/>
                        <w:jc w:val="left"/>
                        <w:rPr>
                          <w:b/>
                          <w:color w:val="000000"/>
                          <w:sz w:val="28"/>
                        </w:rPr>
                      </w:pPr>
                      <w:r>
                        <w:rPr>
                          <w:b/>
                          <w:color w:val="665082"/>
                          <w:sz w:val="28"/>
                        </w:rPr>
                        <w:t>Historical</w:t>
                      </w:r>
                      <w:r>
                        <w:rPr>
                          <w:b/>
                          <w:color w:val="665082"/>
                          <w:spacing w:val="-3"/>
                          <w:sz w:val="28"/>
                        </w:rPr>
                        <w:t> </w:t>
                      </w:r>
                      <w:r>
                        <w:rPr>
                          <w:b/>
                          <w:color w:val="665082"/>
                          <w:sz w:val="28"/>
                        </w:rPr>
                        <w:t>context</w:t>
                      </w:r>
                      <w:r>
                        <w:rPr>
                          <w:b/>
                          <w:color w:val="665082"/>
                          <w:spacing w:val="-2"/>
                          <w:sz w:val="28"/>
                        </w:rPr>
                        <w:t> </w:t>
                      </w:r>
                      <w:r>
                        <w:rPr>
                          <w:b/>
                          <w:color w:val="665082"/>
                          <w:sz w:val="28"/>
                        </w:rPr>
                        <w:t>and</w:t>
                      </w:r>
                      <w:r>
                        <w:rPr>
                          <w:b/>
                          <w:color w:val="665082"/>
                          <w:spacing w:val="-3"/>
                          <w:sz w:val="28"/>
                        </w:rPr>
                        <w:t> </w:t>
                      </w:r>
                      <w:r>
                        <w:rPr>
                          <w:b/>
                          <w:color w:val="665082"/>
                          <w:sz w:val="28"/>
                        </w:rPr>
                        <w:t>Confucian</w:t>
                      </w:r>
                      <w:r>
                        <w:rPr>
                          <w:b/>
                          <w:color w:val="665082"/>
                          <w:spacing w:val="-2"/>
                          <w:sz w:val="28"/>
                        </w:rPr>
                        <w:t> influences:</w:t>
                      </w:r>
                    </w:p>
                  </w:txbxContent>
                </v:textbox>
                <v:fill type="solid"/>
                <w10:wrap type="topAndBottom"/>
              </v:shape>
            </w:pict>
          </mc:Fallback>
        </mc:AlternateContent>
      </w:r>
    </w:p>
    <w:p>
      <w:pPr>
        <w:pStyle w:val="BodyText"/>
        <w:spacing w:line="237" w:lineRule="auto" w:after="4"/>
        <w:ind w:left="280" w:right="502"/>
      </w:pPr>
      <w:r>
        <w:rPr>
          <w:color w:val="374151"/>
          <w:shd w:fill="F7F7F8" w:color="auto" w:val="clear"/>
        </w:rPr>
        <w:t>Asian cultures, such as those found in China, Japan, and Korea, have been </w:t>
      </w:r>
      <w:r>
        <w:rPr>
          <w:color w:val="374151"/>
        </w:rPr>
        <w:t> </w:t>
      </w:r>
      <w:r>
        <w:rPr>
          <w:color w:val="374151"/>
          <w:shd w:fill="F7F7F8" w:color="auto" w:val="clear"/>
        </w:rPr>
        <w:t>influenced by Confucianism, which emphasizes hierarchical relationships and </w:t>
      </w:r>
      <w:r>
        <w:rPr>
          <w:color w:val="374151"/>
        </w:rPr>
        <w:t> </w:t>
      </w:r>
      <w:r>
        <w:rPr>
          <w:color w:val="374151"/>
          <w:shd w:fill="F7F7F8" w:color="auto" w:val="clear"/>
        </w:rPr>
        <w:t>filial</w:t>
      </w:r>
      <w:r>
        <w:rPr>
          <w:color w:val="374151"/>
          <w:spacing w:val="-9"/>
          <w:shd w:fill="F7F7F8" w:color="auto" w:val="clear"/>
        </w:rPr>
        <w:t> </w:t>
      </w:r>
      <w:r>
        <w:rPr>
          <w:color w:val="374151"/>
          <w:shd w:fill="F7F7F8" w:color="auto" w:val="clear"/>
        </w:rPr>
        <w:t>piety.</w:t>
      </w:r>
      <w:r>
        <w:rPr>
          <w:color w:val="374151"/>
          <w:spacing w:val="-14"/>
          <w:shd w:fill="F7F7F8" w:color="auto" w:val="clear"/>
        </w:rPr>
        <w:t> </w:t>
      </w:r>
      <w:r>
        <w:rPr>
          <w:color w:val="374151"/>
          <w:shd w:fill="F7F7F8" w:color="auto" w:val="clear"/>
        </w:rPr>
        <w:t>This</w:t>
      </w:r>
      <w:r>
        <w:rPr>
          <w:color w:val="374151"/>
          <w:spacing w:val="-9"/>
          <w:shd w:fill="F7F7F8" w:color="auto" w:val="clear"/>
        </w:rPr>
        <w:t> </w:t>
      </w:r>
      <w:r>
        <w:rPr>
          <w:color w:val="374151"/>
          <w:shd w:fill="F7F7F8" w:color="auto" w:val="clear"/>
        </w:rPr>
        <w:t>traditional</w:t>
      </w:r>
      <w:r>
        <w:rPr>
          <w:color w:val="374151"/>
          <w:spacing w:val="-9"/>
          <w:shd w:fill="F7F7F8" w:color="auto" w:val="clear"/>
        </w:rPr>
        <w:t> </w:t>
      </w:r>
      <w:r>
        <w:rPr>
          <w:color w:val="374151"/>
          <w:shd w:fill="F7F7F8" w:color="auto" w:val="clear"/>
        </w:rPr>
        <w:t>framework</w:t>
      </w:r>
      <w:r>
        <w:rPr>
          <w:color w:val="374151"/>
          <w:spacing w:val="-9"/>
          <w:shd w:fill="F7F7F8" w:color="auto" w:val="clear"/>
        </w:rPr>
        <w:t> </w:t>
      </w:r>
      <w:r>
        <w:rPr>
          <w:color w:val="374151"/>
          <w:shd w:fill="F7F7F8" w:color="auto" w:val="clear"/>
        </w:rPr>
        <w:t>often</w:t>
      </w:r>
      <w:r>
        <w:rPr>
          <w:color w:val="374151"/>
          <w:spacing w:val="-9"/>
          <w:shd w:fill="F7F7F8" w:color="auto" w:val="clear"/>
        </w:rPr>
        <w:t> </w:t>
      </w:r>
      <w:r>
        <w:rPr>
          <w:color w:val="374151"/>
          <w:shd w:fill="F7F7F8" w:color="auto" w:val="clear"/>
        </w:rPr>
        <w:t>shapes</w:t>
      </w:r>
      <w:r>
        <w:rPr>
          <w:color w:val="374151"/>
          <w:spacing w:val="-9"/>
          <w:shd w:fill="F7F7F8" w:color="auto" w:val="clear"/>
        </w:rPr>
        <w:t> </w:t>
      </w:r>
      <w:r>
        <w:rPr>
          <w:color w:val="374151"/>
          <w:shd w:fill="F7F7F8" w:color="auto" w:val="clear"/>
        </w:rPr>
        <w:t>attitudes</w:t>
      </w:r>
      <w:r>
        <w:rPr>
          <w:color w:val="374151"/>
          <w:spacing w:val="-9"/>
          <w:shd w:fill="F7F7F8" w:color="auto" w:val="clear"/>
        </w:rPr>
        <w:t> </w:t>
      </w:r>
      <w:r>
        <w:rPr>
          <w:color w:val="374151"/>
          <w:shd w:fill="F7F7F8" w:color="auto" w:val="clear"/>
        </w:rPr>
        <w:t>towards</w:t>
      </w:r>
      <w:r>
        <w:rPr>
          <w:color w:val="374151"/>
          <w:spacing w:val="-9"/>
          <w:shd w:fill="F7F7F8" w:color="auto" w:val="clear"/>
        </w:rPr>
        <w:t> </w:t>
      </w:r>
      <w:r>
        <w:rPr>
          <w:color w:val="374151"/>
          <w:shd w:fill="F7F7F8" w:color="auto" w:val="clear"/>
        </w:rPr>
        <w:t>sexuality,</w:t>
      </w:r>
    </w:p>
    <w:p>
      <w:pPr>
        <w:pStyle w:val="BodyText"/>
        <w:ind w:left="280"/>
        <w:rPr>
          <w:sz w:val="20"/>
        </w:rPr>
      </w:pPr>
      <w:r>
        <w:rPr>
          <w:sz w:val="20"/>
        </w:rPr>
        <mc:AlternateContent>
          <mc:Choice Requires="wps">
            <w:drawing>
              <wp:inline distT="0" distB="0" distL="0" distR="0">
                <wp:extent cx="4772025" cy="787400"/>
                <wp:effectExtent l="0" t="0" r="0" b="3175"/>
                <wp:docPr id="120" name="Group 120"/>
                <wp:cNvGraphicFramePr>
                  <a:graphicFrameLocks/>
                </wp:cNvGraphicFramePr>
                <a:graphic>
                  <a:graphicData uri="http://schemas.microsoft.com/office/word/2010/wordprocessingGroup">
                    <wpg:wgp>
                      <wpg:cNvPr id="120" name="Group 120"/>
                      <wpg:cNvGrpSpPr/>
                      <wpg:grpSpPr>
                        <a:xfrm>
                          <a:off x="0" y="0"/>
                          <a:ext cx="4772025" cy="787400"/>
                          <a:chExt cx="4772025" cy="787400"/>
                        </a:xfrm>
                      </wpg:grpSpPr>
                      <wps:wsp>
                        <wps:cNvPr id="121" name="Textbox 121"/>
                        <wps:cNvSpPr txBox="1"/>
                        <wps:spPr>
                          <a:xfrm>
                            <a:off x="0" y="393700"/>
                            <a:ext cx="362585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Traditional</w:t>
                              </w:r>
                              <w:r>
                                <w:rPr>
                                  <w:b/>
                                  <w:color w:val="665082"/>
                                  <w:spacing w:val="-6"/>
                                  <w:sz w:val="28"/>
                                </w:rPr>
                                <w:t> </w:t>
                              </w:r>
                              <w:r>
                                <w:rPr>
                                  <w:b/>
                                  <w:color w:val="665082"/>
                                  <w:sz w:val="28"/>
                                </w:rPr>
                                <w:t>views</w:t>
                              </w:r>
                              <w:r>
                                <w:rPr>
                                  <w:b/>
                                  <w:color w:val="665082"/>
                                  <w:spacing w:val="-5"/>
                                  <w:sz w:val="28"/>
                                </w:rPr>
                                <w:t> </w:t>
                              </w:r>
                              <w:r>
                                <w:rPr>
                                  <w:b/>
                                  <w:color w:val="665082"/>
                                  <w:sz w:val="28"/>
                                </w:rPr>
                                <w:t>on</w:t>
                              </w:r>
                              <w:r>
                                <w:rPr>
                                  <w:b/>
                                  <w:color w:val="665082"/>
                                  <w:spacing w:val="-5"/>
                                  <w:sz w:val="28"/>
                                </w:rPr>
                                <w:t> </w:t>
                              </w:r>
                              <w:r>
                                <w:rPr>
                                  <w:b/>
                                  <w:color w:val="665082"/>
                                  <w:sz w:val="28"/>
                                </w:rPr>
                                <w:t>sexuality</w:t>
                              </w:r>
                              <w:r>
                                <w:rPr>
                                  <w:b/>
                                  <w:color w:val="665082"/>
                                  <w:spacing w:val="-5"/>
                                  <w:sz w:val="28"/>
                                </w:rPr>
                                <w:t> </w:t>
                              </w:r>
                              <w:r>
                                <w:rPr>
                                  <w:b/>
                                  <w:color w:val="665082"/>
                                  <w:sz w:val="28"/>
                                </w:rPr>
                                <w:t>and</w:t>
                              </w:r>
                              <w:r>
                                <w:rPr>
                                  <w:b/>
                                  <w:color w:val="665082"/>
                                  <w:spacing w:val="-6"/>
                                  <w:sz w:val="28"/>
                                </w:rPr>
                                <w:t> </w:t>
                              </w:r>
                              <w:r>
                                <w:rPr>
                                  <w:b/>
                                  <w:color w:val="665082"/>
                                  <w:sz w:val="28"/>
                                </w:rPr>
                                <w:t>gender</w:t>
                              </w:r>
                              <w:r>
                                <w:rPr>
                                  <w:b/>
                                  <w:color w:val="665082"/>
                                  <w:spacing w:val="-10"/>
                                  <w:sz w:val="28"/>
                                </w:rPr>
                                <w:t> </w:t>
                              </w:r>
                              <w:r>
                                <w:rPr>
                                  <w:b/>
                                  <w:color w:val="665082"/>
                                  <w:spacing w:val="-2"/>
                                  <w:sz w:val="28"/>
                                </w:rPr>
                                <w:t>roles:</w:t>
                              </w:r>
                            </w:p>
                          </w:txbxContent>
                        </wps:txbx>
                        <wps:bodyPr wrap="square" lIns="0" tIns="0" rIns="0" bIns="0" rtlCol="0">
                          <a:noAutofit/>
                        </wps:bodyPr>
                      </wps:wsp>
                      <wps:wsp>
                        <wps:cNvPr id="122" name="Textbox 122"/>
                        <wps:cNvSpPr txBox="1"/>
                        <wps:spPr>
                          <a:xfrm>
                            <a:off x="0" y="0"/>
                            <a:ext cx="477202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promoting</w:t>
                              </w:r>
                              <w:r>
                                <w:rPr>
                                  <w:color w:val="374151"/>
                                  <w:spacing w:val="-8"/>
                                  <w:sz w:val="28"/>
                                </w:rPr>
                                <w:t> </w:t>
                              </w:r>
                              <w:r>
                                <w:rPr>
                                  <w:color w:val="374151"/>
                                  <w:sz w:val="28"/>
                                </w:rPr>
                                <w:t>modesty,</w:t>
                              </w:r>
                              <w:r>
                                <w:rPr>
                                  <w:color w:val="374151"/>
                                  <w:spacing w:val="-6"/>
                                  <w:sz w:val="28"/>
                                </w:rPr>
                                <w:t> </w:t>
                              </w:r>
                              <w:r>
                                <w:rPr>
                                  <w:color w:val="374151"/>
                                  <w:sz w:val="28"/>
                                </w:rPr>
                                <w:t>chastity,</w:t>
                              </w:r>
                              <w:r>
                                <w:rPr>
                                  <w:color w:val="374151"/>
                                  <w:spacing w:val="-5"/>
                                  <w:sz w:val="28"/>
                                </w:rPr>
                                <w:t> </w:t>
                              </w:r>
                              <w:r>
                                <w:rPr>
                                  <w:color w:val="374151"/>
                                  <w:sz w:val="28"/>
                                </w:rPr>
                                <w:t>and</w:t>
                              </w:r>
                              <w:r>
                                <w:rPr>
                                  <w:color w:val="374151"/>
                                  <w:spacing w:val="-6"/>
                                  <w:sz w:val="28"/>
                                </w:rPr>
                                <w:t> </w:t>
                              </w:r>
                              <w:r>
                                <w:rPr>
                                  <w:color w:val="374151"/>
                                  <w:sz w:val="28"/>
                                </w:rPr>
                                <w:t>the</w:t>
                              </w:r>
                              <w:r>
                                <w:rPr>
                                  <w:color w:val="374151"/>
                                  <w:spacing w:val="-7"/>
                                  <w:sz w:val="28"/>
                                </w:rPr>
                                <w:t> </w:t>
                              </w:r>
                              <w:r>
                                <w:rPr>
                                  <w:color w:val="374151"/>
                                  <w:sz w:val="28"/>
                                </w:rPr>
                                <w:t>suppression</w:t>
                              </w:r>
                              <w:r>
                                <w:rPr>
                                  <w:color w:val="374151"/>
                                  <w:spacing w:val="-5"/>
                                  <w:sz w:val="28"/>
                                </w:rPr>
                                <w:t> </w:t>
                              </w:r>
                              <w:r>
                                <w:rPr>
                                  <w:color w:val="374151"/>
                                  <w:sz w:val="28"/>
                                </w:rPr>
                                <w:t>of</w:t>
                              </w:r>
                              <w:r>
                                <w:rPr>
                                  <w:color w:val="374151"/>
                                  <w:spacing w:val="-6"/>
                                  <w:sz w:val="28"/>
                                </w:rPr>
                                <w:t> </w:t>
                              </w:r>
                              <w:r>
                                <w:rPr>
                                  <w:color w:val="374151"/>
                                  <w:sz w:val="28"/>
                                </w:rPr>
                                <w:t>sexual</w:t>
                              </w:r>
                              <w:r>
                                <w:rPr>
                                  <w:color w:val="374151"/>
                                  <w:spacing w:val="-5"/>
                                  <w:sz w:val="28"/>
                                </w:rPr>
                                <w:t> </w:t>
                              </w:r>
                              <w:r>
                                <w:rPr>
                                  <w:color w:val="374151"/>
                                  <w:spacing w:val="-2"/>
                                  <w:sz w:val="28"/>
                                </w:rPr>
                                <w:t>desires.</w:t>
                              </w:r>
                            </w:p>
                          </w:txbxContent>
                        </wps:txbx>
                        <wps:bodyPr wrap="square" lIns="0" tIns="0" rIns="0" bIns="0" rtlCol="0">
                          <a:noAutofit/>
                        </wps:bodyPr>
                      </wps:wsp>
                    </wpg:wgp>
                  </a:graphicData>
                </a:graphic>
              </wp:inline>
            </w:drawing>
          </mc:Choice>
          <mc:Fallback>
            <w:pict>
              <v:group style="width:375.75pt;height:62pt;mso-position-horizontal-relative:char;mso-position-vertical-relative:line" id="docshapegroup119" coordorigin="0,0" coordsize="7515,1240">
                <v:shape style="position:absolute;left:0;top:620;width:5710;height:620" type="#_x0000_t202" id="docshape120" filled="true" fillcolor="#f7f7f8" stroked="false">
                  <v:textbox inset="0,0,0,0">
                    <w:txbxContent>
                      <w:p>
                        <w:pPr>
                          <w:spacing w:line="308" w:lineRule="exact" w:before="0"/>
                          <w:ind w:left="0" w:right="-15" w:firstLine="0"/>
                          <w:jc w:val="left"/>
                          <w:rPr>
                            <w:b/>
                            <w:color w:val="000000"/>
                            <w:sz w:val="28"/>
                          </w:rPr>
                        </w:pPr>
                        <w:r>
                          <w:rPr>
                            <w:b/>
                            <w:color w:val="665082"/>
                            <w:sz w:val="28"/>
                          </w:rPr>
                          <w:t>Traditional</w:t>
                        </w:r>
                        <w:r>
                          <w:rPr>
                            <w:b/>
                            <w:color w:val="665082"/>
                            <w:spacing w:val="-6"/>
                            <w:sz w:val="28"/>
                          </w:rPr>
                          <w:t> </w:t>
                        </w:r>
                        <w:r>
                          <w:rPr>
                            <w:b/>
                            <w:color w:val="665082"/>
                            <w:sz w:val="28"/>
                          </w:rPr>
                          <w:t>views</w:t>
                        </w:r>
                        <w:r>
                          <w:rPr>
                            <w:b/>
                            <w:color w:val="665082"/>
                            <w:spacing w:val="-5"/>
                            <w:sz w:val="28"/>
                          </w:rPr>
                          <w:t> </w:t>
                        </w:r>
                        <w:r>
                          <w:rPr>
                            <w:b/>
                            <w:color w:val="665082"/>
                            <w:sz w:val="28"/>
                          </w:rPr>
                          <w:t>on</w:t>
                        </w:r>
                        <w:r>
                          <w:rPr>
                            <w:b/>
                            <w:color w:val="665082"/>
                            <w:spacing w:val="-5"/>
                            <w:sz w:val="28"/>
                          </w:rPr>
                          <w:t> </w:t>
                        </w:r>
                        <w:r>
                          <w:rPr>
                            <w:b/>
                            <w:color w:val="665082"/>
                            <w:sz w:val="28"/>
                          </w:rPr>
                          <w:t>sexuality</w:t>
                        </w:r>
                        <w:r>
                          <w:rPr>
                            <w:b/>
                            <w:color w:val="665082"/>
                            <w:spacing w:val="-5"/>
                            <w:sz w:val="28"/>
                          </w:rPr>
                          <w:t> </w:t>
                        </w:r>
                        <w:r>
                          <w:rPr>
                            <w:b/>
                            <w:color w:val="665082"/>
                            <w:sz w:val="28"/>
                          </w:rPr>
                          <w:t>and</w:t>
                        </w:r>
                        <w:r>
                          <w:rPr>
                            <w:b/>
                            <w:color w:val="665082"/>
                            <w:spacing w:val="-6"/>
                            <w:sz w:val="28"/>
                          </w:rPr>
                          <w:t> </w:t>
                        </w:r>
                        <w:r>
                          <w:rPr>
                            <w:b/>
                            <w:color w:val="665082"/>
                            <w:sz w:val="28"/>
                          </w:rPr>
                          <w:t>gender</w:t>
                        </w:r>
                        <w:r>
                          <w:rPr>
                            <w:b/>
                            <w:color w:val="665082"/>
                            <w:spacing w:val="-10"/>
                            <w:sz w:val="28"/>
                          </w:rPr>
                          <w:t> </w:t>
                        </w:r>
                        <w:r>
                          <w:rPr>
                            <w:b/>
                            <w:color w:val="665082"/>
                            <w:spacing w:val="-2"/>
                            <w:sz w:val="28"/>
                          </w:rPr>
                          <w:t>roles:</w:t>
                        </w:r>
                      </w:p>
                    </w:txbxContent>
                  </v:textbox>
                  <v:fill type="solid"/>
                  <w10:wrap type="none"/>
                </v:shape>
                <v:shape style="position:absolute;left:0;top:0;width:7515;height:620" type="#_x0000_t202" id="docshape121" filled="true" fillcolor="#f7f7f8" stroked="false">
                  <v:textbox inset="0,0,0,0">
                    <w:txbxContent>
                      <w:p>
                        <w:pPr>
                          <w:spacing w:line="308" w:lineRule="exact" w:before="0"/>
                          <w:ind w:left="0" w:right="-15" w:firstLine="0"/>
                          <w:jc w:val="left"/>
                          <w:rPr>
                            <w:color w:val="000000"/>
                            <w:sz w:val="28"/>
                          </w:rPr>
                        </w:pPr>
                        <w:r>
                          <w:rPr>
                            <w:color w:val="374151"/>
                            <w:sz w:val="28"/>
                          </w:rPr>
                          <w:t>promoting</w:t>
                        </w:r>
                        <w:r>
                          <w:rPr>
                            <w:color w:val="374151"/>
                            <w:spacing w:val="-8"/>
                            <w:sz w:val="28"/>
                          </w:rPr>
                          <w:t> </w:t>
                        </w:r>
                        <w:r>
                          <w:rPr>
                            <w:color w:val="374151"/>
                            <w:sz w:val="28"/>
                          </w:rPr>
                          <w:t>modesty,</w:t>
                        </w:r>
                        <w:r>
                          <w:rPr>
                            <w:color w:val="374151"/>
                            <w:spacing w:val="-6"/>
                            <w:sz w:val="28"/>
                          </w:rPr>
                          <w:t> </w:t>
                        </w:r>
                        <w:r>
                          <w:rPr>
                            <w:color w:val="374151"/>
                            <w:sz w:val="28"/>
                          </w:rPr>
                          <w:t>chastity,</w:t>
                        </w:r>
                        <w:r>
                          <w:rPr>
                            <w:color w:val="374151"/>
                            <w:spacing w:val="-5"/>
                            <w:sz w:val="28"/>
                          </w:rPr>
                          <w:t> </w:t>
                        </w:r>
                        <w:r>
                          <w:rPr>
                            <w:color w:val="374151"/>
                            <w:sz w:val="28"/>
                          </w:rPr>
                          <w:t>and</w:t>
                        </w:r>
                        <w:r>
                          <w:rPr>
                            <w:color w:val="374151"/>
                            <w:spacing w:val="-6"/>
                            <w:sz w:val="28"/>
                          </w:rPr>
                          <w:t> </w:t>
                        </w:r>
                        <w:r>
                          <w:rPr>
                            <w:color w:val="374151"/>
                            <w:sz w:val="28"/>
                          </w:rPr>
                          <w:t>the</w:t>
                        </w:r>
                        <w:r>
                          <w:rPr>
                            <w:color w:val="374151"/>
                            <w:spacing w:val="-7"/>
                            <w:sz w:val="28"/>
                          </w:rPr>
                          <w:t> </w:t>
                        </w:r>
                        <w:r>
                          <w:rPr>
                            <w:color w:val="374151"/>
                            <w:sz w:val="28"/>
                          </w:rPr>
                          <w:t>suppression</w:t>
                        </w:r>
                        <w:r>
                          <w:rPr>
                            <w:color w:val="374151"/>
                            <w:spacing w:val="-5"/>
                            <w:sz w:val="28"/>
                          </w:rPr>
                          <w:t> </w:t>
                        </w:r>
                        <w:r>
                          <w:rPr>
                            <w:color w:val="374151"/>
                            <w:sz w:val="28"/>
                          </w:rPr>
                          <w:t>of</w:t>
                        </w:r>
                        <w:r>
                          <w:rPr>
                            <w:color w:val="374151"/>
                            <w:spacing w:val="-6"/>
                            <w:sz w:val="28"/>
                          </w:rPr>
                          <w:t> </w:t>
                        </w:r>
                        <w:r>
                          <w:rPr>
                            <w:color w:val="374151"/>
                            <w:sz w:val="28"/>
                          </w:rPr>
                          <w:t>sexual</w:t>
                        </w:r>
                        <w:r>
                          <w:rPr>
                            <w:color w:val="374151"/>
                            <w:spacing w:val="-5"/>
                            <w:sz w:val="28"/>
                          </w:rPr>
                          <w:t> </w:t>
                        </w:r>
                        <w:r>
                          <w:rPr>
                            <w:color w:val="374151"/>
                            <w:spacing w:val="-2"/>
                            <w:sz w:val="28"/>
                          </w:rPr>
                          <w:t>desires.</w:t>
                        </w:r>
                      </w:p>
                    </w:txbxContent>
                  </v:textbox>
                  <v:fill type="solid"/>
                  <w10:wrap type="none"/>
                </v:shape>
              </v:group>
            </w:pict>
          </mc:Fallback>
        </mc:AlternateContent>
      </w:r>
      <w:r>
        <w:rPr>
          <w:sz w:val="20"/>
        </w:rPr>
      </w:r>
    </w:p>
    <w:p>
      <w:pPr>
        <w:pStyle w:val="BodyText"/>
        <w:spacing w:line="297" w:lineRule="exact"/>
        <w:ind w:left="280"/>
        <w:jc w:val="both"/>
      </w:pPr>
      <w:r>
        <w:rPr>
          <w:color w:val="374151"/>
          <w:shd w:fill="F7F7F8" w:color="auto" w:val="clear"/>
        </w:rPr>
        <w:t>Historically,</w:t>
      </w:r>
      <w:r>
        <w:rPr>
          <w:color w:val="374151"/>
          <w:spacing w:val="-20"/>
          <w:shd w:fill="F7F7F8" w:color="auto" w:val="clear"/>
        </w:rPr>
        <w:t> </w:t>
      </w:r>
      <w:r>
        <w:rPr>
          <w:color w:val="374151"/>
          <w:shd w:fill="F7F7F8" w:color="auto" w:val="clear"/>
        </w:rPr>
        <w:t>Asian</w:t>
      </w:r>
      <w:r>
        <w:rPr>
          <w:color w:val="374151"/>
          <w:spacing w:val="-7"/>
          <w:shd w:fill="F7F7F8" w:color="auto" w:val="clear"/>
        </w:rPr>
        <w:t> </w:t>
      </w:r>
      <w:r>
        <w:rPr>
          <w:color w:val="374151"/>
          <w:shd w:fill="F7F7F8" w:color="auto" w:val="clear"/>
        </w:rPr>
        <w:t>cultures</w:t>
      </w:r>
      <w:r>
        <w:rPr>
          <w:color w:val="374151"/>
          <w:spacing w:val="-5"/>
          <w:shd w:fill="F7F7F8" w:color="auto" w:val="clear"/>
        </w:rPr>
        <w:t> </w:t>
      </w:r>
      <w:r>
        <w:rPr>
          <w:color w:val="374151"/>
          <w:shd w:fill="F7F7F8" w:color="auto" w:val="clear"/>
        </w:rPr>
        <w:t>have</w:t>
      </w:r>
      <w:r>
        <w:rPr>
          <w:color w:val="374151"/>
          <w:spacing w:val="-5"/>
          <w:shd w:fill="F7F7F8" w:color="auto" w:val="clear"/>
        </w:rPr>
        <w:t> </w:t>
      </w:r>
      <w:r>
        <w:rPr>
          <w:color w:val="374151"/>
          <w:shd w:fill="F7F7F8" w:color="auto" w:val="clear"/>
        </w:rPr>
        <w:t>held</w:t>
      </w:r>
      <w:r>
        <w:rPr>
          <w:color w:val="374151"/>
          <w:spacing w:val="-5"/>
          <w:shd w:fill="F7F7F8" w:color="auto" w:val="clear"/>
        </w:rPr>
        <w:t> </w:t>
      </w:r>
      <w:r>
        <w:rPr>
          <w:color w:val="374151"/>
          <w:shd w:fill="F7F7F8" w:color="auto" w:val="clear"/>
        </w:rPr>
        <w:t>conservative</w:t>
      </w:r>
      <w:r>
        <w:rPr>
          <w:color w:val="374151"/>
          <w:spacing w:val="-6"/>
          <w:shd w:fill="F7F7F8" w:color="auto" w:val="clear"/>
        </w:rPr>
        <w:t> </w:t>
      </w:r>
      <w:r>
        <w:rPr>
          <w:color w:val="374151"/>
          <w:shd w:fill="F7F7F8" w:color="auto" w:val="clear"/>
        </w:rPr>
        <w:t>attitudes</w:t>
      </w:r>
      <w:r>
        <w:rPr>
          <w:color w:val="374151"/>
          <w:spacing w:val="-5"/>
          <w:shd w:fill="F7F7F8" w:color="auto" w:val="clear"/>
        </w:rPr>
        <w:t> </w:t>
      </w:r>
      <w:r>
        <w:rPr>
          <w:color w:val="374151"/>
          <w:shd w:fill="F7F7F8" w:color="auto" w:val="clear"/>
        </w:rPr>
        <w:t>towards</w:t>
      </w:r>
      <w:r>
        <w:rPr>
          <w:color w:val="374151"/>
          <w:spacing w:val="-4"/>
          <w:shd w:fill="F7F7F8" w:color="auto" w:val="clear"/>
        </w:rPr>
        <w:t> </w:t>
      </w:r>
      <w:r>
        <w:rPr>
          <w:color w:val="374151"/>
          <w:spacing w:val="-2"/>
          <w:shd w:fill="F7F7F8" w:color="auto" w:val="clear"/>
        </w:rPr>
        <w:t>sexuality,</w:t>
      </w:r>
      <w:r>
        <w:rPr>
          <w:color w:val="374151"/>
          <w:spacing w:val="40"/>
          <w:shd w:fill="F7F7F8" w:color="auto" w:val="clear"/>
        </w:rPr>
        <w:t> </w:t>
      </w:r>
    </w:p>
    <w:p>
      <w:pPr>
        <w:pStyle w:val="BodyText"/>
        <w:ind w:left="280" w:right="941"/>
        <w:jc w:val="both"/>
      </w:pPr>
      <w:r>
        <w:rPr>
          <w:color w:val="374151"/>
          <w:shd w:fill="F7F7F8" w:color="auto" w:val="clear"/>
        </w:rPr>
        <w:t>valuing virginity and marital fidelity. Gender roles have</w:t>
      </w:r>
      <w:r>
        <w:rPr>
          <w:color w:val="374151"/>
          <w:spacing w:val="-1"/>
          <w:shd w:fill="F7F7F8" w:color="auto" w:val="clear"/>
        </w:rPr>
        <w:t> </w:t>
      </w:r>
      <w:r>
        <w:rPr>
          <w:color w:val="374151"/>
          <w:shd w:fill="F7F7F8" w:color="auto" w:val="clear"/>
        </w:rPr>
        <w:t>often been rigidly</w:t>
      </w:r>
      <w:r>
        <w:rPr>
          <w:color w:val="374151"/>
          <w:spacing w:val="-1"/>
          <w:shd w:fill="F7F7F8" w:color="auto" w:val="clear"/>
        </w:rPr>
        <w:t> </w:t>
      </w:r>
      <w:r>
        <w:rPr>
          <w:color w:val="374151"/>
          <w:spacing w:val="-1"/>
        </w:rPr>
        <w:t> </w:t>
      </w:r>
      <w:r>
        <w:rPr>
          <w:color w:val="374151"/>
          <w:shd w:fill="F7F7F8" w:color="auto" w:val="clear"/>
        </w:rPr>
        <w:t>defined,</w:t>
      </w:r>
      <w:r>
        <w:rPr>
          <w:color w:val="374151"/>
          <w:spacing w:val="-3"/>
          <w:shd w:fill="F7F7F8" w:color="auto" w:val="clear"/>
        </w:rPr>
        <w:t> </w:t>
      </w:r>
      <w:r>
        <w:rPr>
          <w:color w:val="374151"/>
          <w:shd w:fill="F7F7F8" w:color="auto" w:val="clear"/>
        </w:rPr>
        <w:t>with</w:t>
      </w:r>
      <w:r>
        <w:rPr>
          <w:color w:val="374151"/>
          <w:spacing w:val="-3"/>
          <w:shd w:fill="F7F7F8" w:color="auto" w:val="clear"/>
        </w:rPr>
        <w:t> </w:t>
      </w:r>
      <w:r>
        <w:rPr>
          <w:color w:val="374151"/>
          <w:shd w:fill="F7F7F8" w:color="auto" w:val="clear"/>
        </w:rPr>
        <w:t>men</w:t>
      </w:r>
      <w:r>
        <w:rPr>
          <w:color w:val="374151"/>
          <w:spacing w:val="-3"/>
          <w:shd w:fill="F7F7F8" w:color="auto" w:val="clear"/>
        </w:rPr>
        <w:t> </w:t>
      </w:r>
      <w:r>
        <w:rPr>
          <w:color w:val="374151"/>
          <w:shd w:fill="F7F7F8" w:color="auto" w:val="clear"/>
        </w:rPr>
        <w:t>expected</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be</w:t>
      </w:r>
      <w:r>
        <w:rPr>
          <w:color w:val="374151"/>
          <w:spacing w:val="-4"/>
          <w:shd w:fill="F7F7F8" w:color="auto" w:val="clear"/>
        </w:rPr>
        <w:t> </w:t>
      </w:r>
      <w:r>
        <w:rPr>
          <w:color w:val="374151"/>
          <w:shd w:fill="F7F7F8" w:color="auto" w:val="clear"/>
        </w:rPr>
        <w:t>assertive</w:t>
      </w:r>
      <w:r>
        <w:rPr>
          <w:color w:val="374151"/>
          <w:spacing w:val="-4"/>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dominant</w:t>
      </w:r>
      <w:r>
        <w:rPr>
          <w:color w:val="374151"/>
          <w:spacing w:val="-3"/>
          <w:shd w:fill="F7F7F8" w:color="auto" w:val="clear"/>
        </w:rPr>
        <w:t> </w:t>
      </w:r>
      <w:r>
        <w:rPr>
          <w:color w:val="374151"/>
          <w:shd w:fill="F7F7F8" w:color="auto" w:val="clear"/>
        </w:rPr>
        <w:t>while</w:t>
      </w:r>
      <w:r>
        <w:rPr>
          <w:color w:val="374151"/>
          <w:spacing w:val="-4"/>
          <w:shd w:fill="F7F7F8" w:color="auto" w:val="clear"/>
        </w:rPr>
        <w:t> </w:t>
      </w:r>
      <w:r>
        <w:rPr>
          <w:color w:val="374151"/>
          <w:shd w:fill="F7F7F8" w:color="auto" w:val="clear"/>
        </w:rPr>
        <w:t>women</w:t>
      </w:r>
      <w:r>
        <w:rPr>
          <w:color w:val="374151"/>
          <w:spacing w:val="-3"/>
          <w:shd w:fill="F7F7F8" w:color="auto" w:val="clear"/>
        </w:rPr>
        <w:t> </w:t>
      </w:r>
      <w:r>
        <w:rPr>
          <w:color w:val="374151"/>
          <w:shd w:fill="F7F7F8" w:color="auto" w:val="clear"/>
        </w:rPr>
        <w:t>are</w:t>
      </w:r>
      <w:r>
        <w:rPr>
          <w:color w:val="374151"/>
          <w:spacing w:val="-4"/>
          <w:shd w:fill="F7F7F8" w:color="auto" w:val="clear"/>
        </w:rPr>
        <w:t> </w:t>
      </w:r>
      <w:r>
        <w:rPr>
          <w:color w:val="374151"/>
          <w:spacing w:val="-4"/>
        </w:rPr>
        <w:t> </w:t>
      </w:r>
      <w:r>
        <w:rPr>
          <w:color w:val="374151"/>
          <w:shd w:fill="F7F7F8" w:color="auto" w:val="clear"/>
        </w:rPr>
        <w:t>expected to be submissive and nurturing.</w:t>
      </w:r>
    </w:p>
    <w:p>
      <w:pPr>
        <w:spacing w:after="0"/>
        <w:jc w:val="both"/>
        <w:sectPr>
          <w:pgSz w:w="12240" w:h="15840"/>
          <w:pgMar w:header="0" w:footer="765" w:top="1260" w:bottom="980" w:left="1400" w:right="1180"/>
        </w:sectPr>
      </w:pPr>
    </w:p>
    <w:p>
      <w:pPr>
        <w:pStyle w:val="BodyText"/>
        <w:rPr>
          <w:sz w:val="20"/>
        </w:rPr>
      </w:pPr>
    </w:p>
    <w:p>
      <w:pPr>
        <w:pStyle w:val="BodyText"/>
        <w:rPr>
          <w:sz w:val="25"/>
        </w:rPr>
      </w:pPr>
    </w:p>
    <w:p>
      <w:pPr>
        <w:pStyle w:val="BodyText"/>
        <w:spacing w:before="88"/>
        <w:ind w:left="280" w:right="747"/>
        <w:jc w:val="both"/>
      </w:pPr>
      <w:r>
        <w:rPr/>
        <mc:AlternateContent>
          <mc:Choice Requires="wps">
            <w:drawing>
              <wp:anchor distT="0" distB="0" distL="0" distR="0" allowOverlap="1" layoutInCell="1" locked="0" behindDoc="1" simplePos="0" relativeHeight="487622144">
                <wp:simplePos x="0" y="0"/>
                <wp:positionH relativeFrom="page">
                  <wp:posOffset>1066800</wp:posOffset>
                </wp:positionH>
                <wp:positionV relativeFrom="paragraph">
                  <wp:posOffset>673887</wp:posOffset>
                </wp:positionV>
                <wp:extent cx="4051300" cy="787400"/>
                <wp:effectExtent l="0" t="0" r="0" b="0"/>
                <wp:wrapTopAndBottom/>
                <wp:docPr id="123" name="Group 123"/>
                <wp:cNvGraphicFramePr>
                  <a:graphicFrameLocks/>
                </wp:cNvGraphicFramePr>
                <a:graphic>
                  <a:graphicData uri="http://schemas.microsoft.com/office/word/2010/wordprocessingGroup">
                    <wpg:wgp>
                      <wpg:cNvPr id="123" name="Group 123"/>
                      <wpg:cNvGrpSpPr/>
                      <wpg:grpSpPr>
                        <a:xfrm>
                          <a:off x="0" y="0"/>
                          <a:ext cx="4051300" cy="787400"/>
                          <a:chExt cx="4051300" cy="787400"/>
                        </a:xfrm>
                      </wpg:grpSpPr>
                      <wps:wsp>
                        <wps:cNvPr id="124" name="Textbox 124"/>
                        <wps:cNvSpPr txBox="1"/>
                        <wps:spPr>
                          <a:xfrm>
                            <a:off x="0" y="393700"/>
                            <a:ext cx="405130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Impact</w:t>
                              </w:r>
                              <w:r>
                                <w:rPr>
                                  <w:b/>
                                  <w:color w:val="665082"/>
                                  <w:spacing w:val="-5"/>
                                  <w:sz w:val="28"/>
                                </w:rPr>
                                <w:t> </w:t>
                              </w:r>
                              <w:r>
                                <w:rPr>
                                  <w:b/>
                                  <w:color w:val="665082"/>
                                  <w:sz w:val="28"/>
                                </w:rPr>
                                <w:t>of</w:t>
                              </w:r>
                              <w:r>
                                <w:rPr>
                                  <w:b/>
                                  <w:color w:val="665082"/>
                                  <w:spacing w:val="-2"/>
                                  <w:sz w:val="28"/>
                                </w:rPr>
                                <w:t> </w:t>
                              </w:r>
                              <w:r>
                                <w:rPr>
                                  <w:b/>
                                  <w:color w:val="665082"/>
                                  <w:sz w:val="28"/>
                                </w:rPr>
                                <w:t>acculturation</w:t>
                              </w:r>
                              <w:r>
                                <w:rPr>
                                  <w:b/>
                                  <w:color w:val="665082"/>
                                  <w:spacing w:val="-3"/>
                                  <w:sz w:val="28"/>
                                </w:rPr>
                                <w:t> </w:t>
                              </w:r>
                              <w:r>
                                <w:rPr>
                                  <w:b/>
                                  <w:color w:val="665082"/>
                                  <w:sz w:val="28"/>
                                </w:rPr>
                                <w:t>and</w:t>
                              </w:r>
                              <w:r>
                                <w:rPr>
                                  <w:b/>
                                  <w:color w:val="665082"/>
                                  <w:spacing w:val="-2"/>
                                  <w:sz w:val="28"/>
                                </w:rPr>
                                <w:t> </w:t>
                              </w:r>
                              <w:r>
                                <w:rPr>
                                  <w:b/>
                                  <w:color w:val="665082"/>
                                  <w:sz w:val="28"/>
                                </w:rPr>
                                <w:t>generational</w:t>
                              </w:r>
                              <w:r>
                                <w:rPr>
                                  <w:b/>
                                  <w:color w:val="665082"/>
                                  <w:spacing w:val="-2"/>
                                  <w:sz w:val="28"/>
                                </w:rPr>
                                <w:t> differences:</w:t>
                              </w:r>
                            </w:p>
                          </w:txbxContent>
                        </wps:txbx>
                        <wps:bodyPr wrap="square" lIns="0" tIns="0" rIns="0" bIns="0" rtlCol="0">
                          <a:noAutofit/>
                        </wps:bodyPr>
                      </wps:wsp>
                      <wps:wsp>
                        <wps:cNvPr id="125" name="Textbox 125"/>
                        <wps:cNvSpPr txBox="1"/>
                        <wps:spPr>
                          <a:xfrm>
                            <a:off x="0" y="0"/>
                            <a:ext cx="271970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bring</w:t>
                              </w:r>
                              <w:r>
                                <w:rPr>
                                  <w:color w:val="374151"/>
                                  <w:spacing w:val="-1"/>
                                  <w:sz w:val="28"/>
                                </w:rPr>
                                <w:t> </w:t>
                              </w:r>
                              <w:r>
                                <w:rPr>
                                  <w:color w:val="374151"/>
                                  <w:sz w:val="28"/>
                                </w:rPr>
                                <w:t>shame</w:t>
                              </w:r>
                              <w:r>
                                <w:rPr>
                                  <w:color w:val="374151"/>
                                  <w:spacing w:val="-1"/>
                                  <w:sz w:val="28"/>
                                </w:rPr>
                                <w:t> </w:t>
                              </w:r>
                              <w:r>
                                <w:rPr>
                                  <w:color w:val="374151"/>
                                  <w:sz w:val="28"/>
                                </w:rPr>
                                <w:t>or dishonor to the</w:t>
                              </w:r>
                              <w:r>
                                <w:rPr>
                                  <w:color w:val="374151"/>
                                  <w:spacing w:val="-1"/>
                                  <w:sz w:val="28"/>
                                </w:rPr>
                                <w:t> </w:t>
                              </w:r>
                              <w:r>
                                <w:rPr>
                                  <w:color w:val="374151"/>
                                  <w:spacing w:val="-2"/>
                                  <w:sz w:val="28"/>
                                </w:rPr>
                                <w:t>family.</w:t>
                              </w:r>
                            </w:p>
                          </w:txbxContent>
                        </wps:txbx>
                        <wps:bodyPr wrap="square" lIns="0" tIns="0" rIns="0" bIns="0" rtlCol="0">
                          <a:noAutofit/>
                        </wps:bodyPr>
                      </wps:wsp>
                    </wpg:wgp>
                  </a:graphicData>
                </a:graphic>
              </wp:anchor>
            </w:drawing>
          </mc:Choice>
          <mc:Fallback>
            <w:pict>
              <v:group style="position:absolute;margin-left:84pt;margin-top:53.062pt;width:319pt;height:62pt;mso-position-horizontal-relative:page;mso-position-vertical-relative:paragraph;z-index:-15694336;mso-wrap-distance-left:0;mso-wrap-distance-right:0" id="docshapegroup122" coordorigin="1680,1061" coordsize="6380,1240">
                <v:shape style="position:absolute;left:1680;top:1681;width:6380;height:620" type="#_x0000_t202" id="docshape123" filled="true" fillcolor="#f7f7f8" stroked="false">
                  <v:textbox inset="0,0,0,0">
                    <w:txbxContent>
                      <w:p>
                        <w:pPr>
                          <w:spacing w:line="308" w:lineRule="exact" w:before="0"/>
                          <w:ind w:left="0" w:right="-15" w:firstLine="0"/>
                          <w:jc w:val="left"/>
                          <w:rPr>
                            <w:b/>
                            <w:color w:val="000000"/>
                            <w:sz w:val="28"/>
                          </w:rPr>
                        </w:pPr>
                        <w:r>
                          <w:rPr>
                            <w:b/>
                            <w:color w:val="665082"/>
                            <w:sz w:val="28"/>
                          </w:rPr>
                          <w:t>Impact</w:t>
                        </w:r>
                        <w:r>
                          <w:rPr>
                            <w:b/>
                            <w:color w:val="665082"/>
                            <w:spacing w:val="-5"/>
                            <w:sz w:val="28"/>
                          </w:rPr>
                          <w:t> </w:t>
                        </w:r>
                        <w:r>
                          <w:rPr>
                            <w:b/>
                            <w:color w:val="665082"/>
                            <w:sz w:val="28"/>
                          </w:rPr>
                          <w:t>of</w:t>
                        </w:r>
                        <w:r>
                          <w:rPr>
                            <w:b/>
                            <w:color w:val="665082"/>
                            <w:spacing w:val="-2"/>
                            <w:sz w:val="28"/>
                          </w:rPr>
                          <w:t> </w:t>
                        </w:r>
                        <w:r>
                          <w:rPr>
                            <w:b/>
                            <w:color w:val="665082"/>
                            <w:sz w:val="28"/>
                          </w:rPr>
                          <w:t>acculturation</w:t>
                        </w:r>
                        <w:r>
                          <w:rPr>
                            <w:b/>
                            <w:color w:val="665082"/>
                            <w:spacing w:val="-3"/>
                            <w:sz w:val="28"/>
                          </w:rPr>
                          <w:t> </w:t>
                        </w:r>
                        <w:r>
                          <w:rPr>
                            <w:b/>
                            <w:color w:val="665082"/>
                            <w:sz w:val="28"/>
                          </w:rPr>
                          <w:t>and</w:t>
                        </w:r>
                        <w:r>
                          <w:rPr>
                            <w:b/>
                            <w:color w:val="665082"/>
                            <w:spacing w:val="-2"/>
                            <w:sz w:val="28"/>
                          </w:rPr>
                          <w:t> </w:t>
                        </w:r>
                        <w:r>
                          <w:rPr>
                            <w:b/>
                            <w:color w:val="665082"/>
                            <w:sz w:val="28"/>
                          </w:rPr>
                          <w:t>generational</w:t>
                        </w:r>
                        <w:r>
                          <w:rPr>
                            <w:b/>
                            <w:color w:val="665082"/>
                            <w:spacing w:val="-2"/>
                            <w:sz w:val="28"/>
                          </w:rPr>
                          <w:t> differences:</w:t>
                        </w:r>
                      </w:p>
                    </w:txbxContent>
                  </v:textbox>
                  <v:fill type="solid"/>
                  <w10:wrap type="none"/>
                </v:shape>
                <v:shape style="position:absolute;left:1680;top:1061;width:4283;height:620" type="#_x0000_t202" id="docshape124" filled="true" fillcolor="#f7f7f8" stroked="false">
                  <v:textbox inset="0,0,0,0">
                    <w:txbxContent>
                      <w:p>
                        <w:pPr>
                          <w:spacing w:line="308" w:lineRule="exact" w:before="0"/>
                          <w:ind w:left="0" w:right="-15" w:firstLine="0"/>
                          <w:jc w:val="left"/>
                          <w:rPr>
                            <w:color w:val="000000"/>
                            <w:sz w:val="28"/>
                          </w:rPr>
                        </w:pPr>
                        <w:r>
                          <w:rPr>
                            <w:color w:val="374151"/>
                            <w:sz w:val="28"/>
                          </w:rPr>
                          <w:t>bring</w:t>
                        </w:r>
                        <w:r>
                          <w:rPr>
                            <w:color w:val="374151"/>
                            <w:spacing w:val="-1"/>
                            <w:sz w:val="28"/>
                          </w:rPr>
                          <w:t> </w:t>
                        </w:r>
                        <w:r>
                          <w:rPr>
                            <w:color w:val="374151"/>
                            <w:sz w:val="28"/>
                          </w:rPr>
                          <w:t>shame</w:t>
                        </w:r>
                        <w:r>
                          <w:rPr>
                            <w:color w:val="374151"/>
                            <w:spacing w:val="-1"/>
                            <w:sz w:val="28"/>
                          </w:rPr>
                          <w:t> </w:t>
                        </w:r>
                        <w:r>
                          <w:rPr>
                            <w:color w:val="374151"/>
                            <w:sz w:val="28"/>
                          </w:rPr>
                          <w:t>or dishonor to the</w:t>
                        </w:r>
                        <w:r>
                          <w:rPr>
                            <w:color w:val="374151"/>
                            <w:spacing w:val="-1"/>
                            <w:sz w:val="28"/>
                          </w:rPr>
                          <w:t> </w:t>
                        </w:r>
                        <w:r>
                          <w:rPr>
                            <w:color w:val="374151"/>
                            <w:spacing w:val="-2"/>
                            <w:sz w:val="28"/>
                          </w:rPr>
                          <w:t>family.</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0" simplePos="0" relativeHeight="15765504">
                <wp:simplePos x="0" y="0"/>
                <wp:positionH relativeFrom="page">
                  <wp:posOffset>1066800</wp:posOffset>
                </wp:positionH>
                <wp:positionV relativeFrom="paragraph">
                  <wp:posOffset>-329015</wp:posOffset>
                </wp:positionV>
                <wp:extent cx="3052445" cy="3937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305244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Cultural</w:t>
                            </w:r>
                            <w:r>
                              <w:rPr>
                                <w:b/>
                                <w:color w:val="665082"/>
                                <w:spacing w:val="-2"/>
                                <w:sz w:val="28"/>
                              </w:rPr>
                              <w:t> </w:t>
                            </w:r>
                            <w:r>
                              <w:rPr>
                                <w:b/>
                                <w:color w:val="665082"/>
                                <w:sz w:val="28"/>
                              </w:rPr>
                              <w:t>expectations</w:t>
                            </w:r>
                            <w:r>
                              <w:rPr>
                                <w:b/>
                                <w:color w:val="665082"/>
                                <w:spacing w:val="-2"/>
                                <w:sz w:val="28"/>
                              </w:rPr>
                              <w:t> </w:t>
                            </w:r>
                            <w:r>
                              <w:rPr>
                                <w:b/>
                                <w:color w:val="665082"/>
                                <w:sz w:val="28"/>
                              </w:rPr>
                              <w:t>and</w:t>
                            </w:r>
                            <w:r>
                              <w:rPr>
                                <w:b/>
                                <w:color w:val="665082"/>
                                <w:spacing w:val="-2"/>
                                <w:sz w:val="28"/>
                              </w:rPr>
                              <w:t> </w:t>
                            </w:r>
                            <w:r>
                              <w:rPr>
                                <w:b/>
                                <w:color w:val="665082"/>
                                <w:sz w:val="28"/>
                              </w:rPr>
                              <w:t>family</w:t>
                            </w:r>
                            <w:r>
                              <w:rPr>
                                <w:b/>
                                <w:color w:val="665082"/>
                                <w:spacing w:val="-2"/>
                                <w:sz w:val="28"/>
                              </w:rPr>
                              <w:t> honor:</w:t>
                            </w:r>
                          </w:p>
                        </w:txbxContent>
                      </wps:txbx>
                      <wps:bodyPr wrap="square" lIns="0" tIns="0" rIns="0" bIns="0" rtlCol="0">
                        <a:noAutofit/>
                      </wps:bodyPr>
                    </wps:wsp>
                  </a:graphicData>
                </a:graphic>
              </wp:anchor>
            </w:drawing>
          </mc:Choice>
          <mc:Fallback>
            <w:pict>
              <v:shape style="position:absolute;margin-left:84pt;margin-top:-25.906702pt;width:240.35pt;height:31pt;mso-position-horizontal-relative:page;mso-position-vertical-relative:paragraph;z-index:15765504" type="#_x0000_t202" id="docshape125" filled="true" fillcolor="#f7f7f8" stroked="false">
                <v:textbox inset="0,0,0,0">
                  <w:txbxContent>
                    <w:p>
                      <w:pPr>
                        <w:spacing w:line="308" w:lineRule="exact" w:before="0"/>
                        <w:ind w:left="0" w:right="-15" w:firstLine="0"/>
                        <w:jc w:val="left"/>
                        <w:rPr>
                          <w:b/>
                          <w:color w:val="000000"/>
                          <w:sz w:val="28"/>
                        </w:rPr>
                      </w:pPr>
                      <w:r>
                        <w:rPr>
                          <w:b/>
                          <w:color w:val="665082"/>
                          <w:sz w:val="28"/>
                        </w:rPr>
                        <w:t>Cultural</w:t>
                      </w:r>
                      <w:r>
                        <w:rPr>
                          <w:b/>
                          <w:color w:val="665082"/>
                          <w:spacing w:val="-2"/>
                          <w:sz w:val="28"/>
                        </w:rPr>
                        <w:t> </w:t>
                      </w:r>
                      <w:r>
                        <w:rPr>
                          <w:b/>
                          <w:color w:val="665082"/>
                          <w:sz w:val="28"/>
                        </w:rPr>
                        <w:t>expectations</w:t>
                      </w:r>
                      <w:r>
                        <w:rPr>
                          <w:b/>
                          <w:color w:val="665082"/>
                          <w:spacing w:val="-2"/>
                          <w:sz w:val="28"/>
                        </w:rPr>
                        <w:t> </w:t>
                      </w:r>
                      <w:r>
                        <w:rPr>
                          <w:b/>
                          <w:color w:val="665082"/>
                          <w:sz w:val="28"/>
                        </w:rPr>
                        <w:t>and</w:t>
                      </w:r>
                      <w:r>
                        <w:rPr>
                          <w:b/>
                          <w:color w:val="665082"/>
                          <w:spacing w:val="-2"/>
                          <w:sz w:val="28"/>
                        </w:rPr>
                        <w:t> </w:t>
                      </w:r>
                      <w:r>
                        <w:rPr>
                          <w:b/>
                          <w:color w:val="665082"/>
                          <w:sz w:val="28"/>
                        </w:rPr>
                        <w:t>family</w:t>
                      </w:r>
                      <w:r>
                        <w:rPr>
                          <w:b/>
                          <w:color w:val="665082"/>
                          <w:spacing w:val="-2"/>
                          <w:sz w:val="28"/>
                        </w:rPr>
                        <w:t> honor:</w:t>
                      </w:r>
                    </w:p>
                  </w:txbxContent>
                </v:textbox>
                <v:fill type="solid"/>
                <w10:wrap type="none"/>
              </v:shape>
            </w:pict>
          </mc:Fallback>
        </mc:AlternateContent>
      </w:r>
      <w:r>
        <w:rPr>
          <w:color w:val="374151"/>
          <w:shd w:fill="F7F7F8" w:color="auto" w:val="clear"/>
        </w:rPr>
        <w:t>In many</w:t>
      </w:r>
      <w:r>
        <w:rPr>
          <w:color w:val="374151"/>
          <w:spacing w:val="-15"/>
          <w:shd w:fill="F7F7F8" w:color="auto" w:val="clear"/>
        </w:rPr>
        <w:t> </w:t>
      </w:r>
      <w:r>
        <w:rPr>
          <w:color w:val="374151"/>
          <w:shd w:fill="F7F7F8" w:color="auto" w:val="clear"/>
        </w:rPr>
        <w:t>Asian cultures, family honor and reputation are highly valued.</w:t>
      </w:r>
      <w:r>
        <w:rPr>
          <w:color w:val="374151"/>
          <w:spacing w:val="-15"/>
          <w:shd w:fill="F7F7F8" w:color="auto" w:val="clear"/>
        </w:rPr>
        <w:t> </w:t>
      </w:r>
      <w:r>
        <w:rPr>
          <w:color w:val="374151"/>
          <w:shd w:fill="F7F7F8" w:color="auto" w:val="clear"/>
        </w:rPr>
        <w:t>As a </w:t>
      </w:r>
      <w:r>
        <w:rPr>
          <w:color w:val="374151"/>
        </w:rPr>
        <w:t> </w:t>
      </w:r>
      <w:r>
        <w:rPr>
          <w:color w:val="374151"/>
          <w:shd w:fill="F7F7F8" w:color="auto" w:val="clear"/>
        </w:rPr>
        <w:t>result,</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behavior</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hd w:fill="F7F7F8" w:color="auto" w:val="clear"/>
        </w:rPr>
        <w:t>closely</w:t>
      </w:r>
      <w:r>
        <w:rPr>
          <w:color w:val="374151"/>
          <w:spacing w:val="-4"/>
          <w:shd w:fill="F7F7F8" w:color="auto" w:val="clear"/>
        </w:rPr>
        <w:t> </w:t>
      </w:r>
      <w:r>
        <w:rPr>
          <w:color w:val="374151"/>
          <w:shd w:fill="F7F7F8" w:color="auto" w:val="clear"/>
        </w:rPr>
        <w:t>monitored</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regulated,</w:t>
      </w:r>
      <w:r>
        <w:rPr>
          <w:color w:val="374151"/>
          <w:spacing w:val="-4"/>
          <w:shd w:fill="F7F7F8" w:color="auto" w:val="clear"/>
        </w:rPr>
        <w:t> </w:t>
      </w:r>
      <w:r>
        <w:rPr>
          <w:color w:val="374151"/>
          <w:shd w:fill="F7F7F8" w:color="auto" w:val="clear"/>
        </w:rPr>
        <w:t>with</w:t>
      </w:r>
      <w:r>
        <w:rPr>
          <w:color w:val="374151"/>
          <w:spacing w:val="-4"/>
          <w:shd w:fill="F7F7F8" w:color="auto" w:val="clear"/>
        </w:rPr>
        <w:t> </w:t>
      </w:r>
      <w:r>
        <w:rPr>
          <w:color w:val="374151"/>
          <w:shd w:fill="F7F7F8" w:color="auto" w:val="clear"/>
        </w:rPr>
        <w:t>expectations</w:t>
      </w:r>
      <w:r>
        <w:rPr>
          <w:color w:val="374151"/>
          <w:spacing w:val="-5"/>
          <w:shd w:fill="F7F7F8" w:color="auto" w:val="clear"/>
        </w:rPr>
        <w:t> </w:t>
      </w:r>
      <w:r>
        <w:rPr>
          <w:color w:val="374151"/>
          <w:spacing w:val="-5"/>
        </w:rPr>
        <w:t> </w:t>
      </w:r>
      <w:r>
        <w:rPr>
          <w:color w:val="374151"/>
          <w:shd w:fill="F7F7F8" w:color="auto" w:val="clear"/>
        </w:rPr>
        <w:t>for individuals to conform to societal norms and avoid behaviors that may</w:t>
      </w:r>
      <w:r>
        <w:rPr>
          <w:color w:val="374151"/>
          <w:spacing w:val="40"/>
          <w:shd w:fill="F7F7F8" w:color="auto" w:val="clear"/>
        </w:rPr>
        <w:t> </w:t>
      </w:r>
    </w:p>
    <w:p>
      <w:pPr>
        <w:pStyle w:val="BodyText"/>
        <w:spacing w:line="237" w:lineRule="auto" w:after="4"/>
        <w:ind w:left="280" w:right="502"/>
      </w:pPr>
      <w:r>
        <w:rPr>
          <w:color w:val="374151"/>
          <w:shd w:fill="F7F7F8" w:color="auto" w:val="clear"/>
        </w:rPr>
        <w:t>Acculturation and exposure</w:t>
      </w:r>
      <w:r>
        <w:rPr>
          <w:color w:val="374151"/>
          <w:spacing w:val="-1"/>
          <w:shd w:fill="F7F7F8" w:color="auto" w:val="clear"/>
        </w:rPr>
        <w:t> </w:t>
      </w:r>
      <w:r>
        <w:rPr>
          <w:color w:val="374151"/>
          <w:shd w:fill="F7F7F8" w:color="auto" w:val="clear"/>
        </w:rPr>
        <w:t>to</w:t>
      </w:r>
      <w:r>
        <w:rPr>
          <w:color w:val="374151"/>
          <w:spacing w:val="-6"/>
          <w:shd w:fill="F7F7F8" w:color="auto" w:val="clear"/>
        </w:rPr>
        <w:t> </w:t>
      </w:r>
      <w:r>
        <w:rPr>
          <w:color w:val="374151"/>
          <w:shd w:fill="F7F7F8" w:color="auto" w:val="clear"/>
        </w:rPr>
        <w:t>Western values have</w:t>
      </w:r>
      <w:r>
        <w:rPr>
          <w:color w:val="374151"/>
          <w:spacing w:val="-1"/>
          <w:shd w:fill="F7F7F8" w:color="auto" w:val="clear"/>
        </w:rPr>
        <w:t> </w:t>
      </w:r>
      <w:r>
        <w:rPr>
          <w:color w:val="374151"/>
          <w:shd w:fill="F7F7F8" w:color="auto" w:val="clear"/>
        </w:rPr>
        <w:t>led to shifting attitudes</w:t>
      </w:r>
      <w:r>
        <w:rPr>
          <w:color w:val="374151"/>
          <w:spacing w:val="-1"/>
          <w:shd w:fill="F7F7F8" w:color="auto" w:val="clear"/>
        </w:rPr>
        <w:t> </w:t>
      </w:r>
      <w:r>
        <w:rPr>
          <w:color w:val="374151"/>
          <w:spacing w:val="-1"/>
        </w:rPr>
        <w:t> </w:t>
      </w:r>
      <w:r>
        <w:rPr>
          <w:color w:val="374151"/>
          <w:shd w:fill="F7F7F8" w:color="auto" w:val="clear"/>
        </w:rPr>
        <w:t>towards sexuality among younger generations. The influence of media, </w:t>
      </w:r>
      <w:r>
        <w:rPr>
          <w:color w:val="374151"/>
        </w:rPr>
        <w:t> </w:t>
      </w:r>
      <w:r>
        <w:rPr>
          <w:color w:val="374151"/>
          <w:shd w:fill="F7F7F8" w:color="auto" w:val="clear"/>
        </w:rPr>
        <w:t>globalization, and increased mobility has resulted in more open discussions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878070" cy="1181100"/>
                <wp:effectExtent l="0" t="0" r="0" b="0"/>
                <wp:docPr id="127" name="Group 127"/>
                <wp:cNvGraphicFramePr>
                  <a:graphicFrameLocks/>
                </wp:cNvGraphicFramePr>
                <a:graphic>
                  <a:graphicData uri="http://schemas.microsoft.com/office/word/2010/wordprocessingGroup">
                    <wpg:wgp>
                      <wpg:cNvPr id="127" name="Group 127"/>
                      <wpg:cNvGrpSpPr/>
                      <wpg:grpSpPr>
                        <a:xfrm>
                          <a:off x="0" y="0"/>
                          <a:ext cx="4878070" cy="1181100"/>
                          <a:chExt cx="4878070" cy="1181100"/>
                        </a:xfrm>
                      </wpg:grpSpPr>
                      <wps:wsp>
                        <wps:cNvPr id="128" name="Textbox 128"/>
                        <wps:cNvSpPr txBox="1"/>
                        <wps:spPr>
                          <a:xfrm>
                            <a:off x="0" y="787400"/>
                            <a:ext cx="279844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665082"/>
                                  <w:sz w:val="28"/>
                                </w:rPr>
                                <w:t>African</w:t>
                              </w:r>
                              <w:r>
                                <w:rPr>
                                  <w:b/>
                                  <w:color w:val="665082"/>
                                  <w:spacing w:val="-4"/>
                                  <w:sz w:val="28"/>
                                </w:rPr>
                                <w:t> </w:t>
                              </w:r>
                              <w:r>
                                <w:rPr>
                                  <w:b/>
                                  <w:color w:val="665082"/>
                                  <w:sz w:val="28"/>
                                </w:rPr>
                                <w:t>roots</w:t>
                              </w:r>
                              <w:r>
                                <w:rPr>
                                  <w:b/>
                                  <w:color w:val="665082"/>
                                  <w:spacing w:val="-4"/>
                                  <w:sz w:val="28"/>
                                </w:rPr>
                                <w:t> </w:t>
                              </w:r>
                              <w:r>
                                <w:rPr>
                                  <w:b/>
                                  <w:color w:val="665082"/>
                                  <w:sz w:val="28"/>
                                </w:rPr>
                                <w:t>and</w:t>
                              </w:r>
                              <w:r>
                                <w:rPr>
                                  <w:b/>
                                  <w:color w:val="665082"/>
                                  <w:spacing w:val="-4"/>
                                  <w:sz w:val="28"/>
                                </w:rPr>
                                <w:t> </w:t>
                              </w:r>
                              <w:r>
                                <w:rPr>
                                  <w:b/>
                                  <w:color w:val="665082"/>
                                  <w:sz w:val="28"/>
                                </w:rPr>
                                <w:t>cultural</w:t>
                              </w:r>
                              <w:r>
                                <w:rPr>
                                  <w:b/>
                                  <w:color w:val="665082"/>
                                  <w:spacing w:val="-4"/>
                                  <w:sz w:val="28"/>
                                </w:rPr>
                                <w:t> </w:t>
                              </w:r>
                              <w:r>
                                <w:rPr>
                                  <w:b/>
                                  <w:color w:val="665082"/>
                                  <w:spacing w:val="-2"/>
                                  <w:sz w:val="28"/>
                                </w:rPr>
                                <w:t>resilience:</w:t>
                              </w:r>
                            </w:p>
                          </w:txbxContent>
                        </wps:txbx>
                        <wps:bodyPr wrap="square" lIns="0" tIns="0" rIns="0" bIns="0" rtlCol="0">
                          <a:noAutofit/>
                        </wps:bodyPr>
                      </wps:wsp>
                      <wps:wsp>
                        <wps:cNvPr id="129" name="Textbox 129"/>
                        <wps:cNvSpPr txBox="1"/>
                        <wps:spPr>
                          <a:xfrm>
                            <a:off x="0" y="393700"/>
                            <a:ext cx="4014470"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African</w:t>
                              </w:r>
                              <w:r>
                                <w:rPr>
                                  <w:b/>
                                  <w:i/>
                                  <w:color w:val="374151"/>
                                  <w:spacing w:val="-13"/>
                                  <w:sz w:val="28"/>
                                </w:rPr>
                                <w:t> </w:t>
                              </w:r>
                              <w:r>
                                <w:rPr>
                                  <w:b/>
                                  <w:i/>
                                  <w:color w:val="374151"/>
                                  <w:sz w:val="28"/>
                                </w:rPr>
                                <w:t>American</w:t>
                              </w:r>
                              <w:r>
                                <w:rPr>
                                  <w:b/>
                                  <w:i/>
                                  <w:color w:val="374151"/>
                                  <w:spacing w:val="-3"/>
                                  <w:sz w:val="28"/>
                                </w:rPr>
                                <w:t> </w:t>
                              </w:r>
                              <w:r>
                                <w:rPr>
                                  <w:b/>
                                  <w:i/>
                                  <w:color w:val="374151"/>
                                  <w:sz w:val="28"/>
                                </w:rPr>
                                <w:t>Cultural</w:t>
                              </w:r>
                              <w:r>
                                <w:rPr>
                                  <w:b/>
                                  <w:i/>
                                  <w:color w:val="374151"/>
                                  <w:spacing w:val="-2"/>
                                  <w:sz w:val="28"/>
                                </w:rPr>
                                <w:t> </w:t>
                              </w:r>
                              <w:r>
                                <w:rPr>
                                  <w:b/>
                                  <w:i/>
                                  <w:color w:val="374151"/>
                                  <w:sz w:val="28"/>
                                </w:rPr>
                                <w:t>Norms,</w:t>
                              </w:r>
                              <w:r>
                                <w:rPr>
                                  <w:b/>
                                  <w:i/>
                                  <w:color w:val="374151"/>
                                  <w:spacing w:val="-2"/>
                                  <w:sz w:val="28"/>
                                </w:rPr>
                                <w:t> </w:t>
                              </w:r>
                              <w:r>
                                <w:rPr>
                                  <w:b/>
                                  <w:i/>
                                  <w:color w:val="374151"/>
                                  <w:sz w:val="28"/>
                                </w:rPr>
                                <w:t>Beliefs,</w:t>
                              </w:r>
                              <w:r>
                                <w:rPr>
                                  <w:b/>
                                  <w:i/>
                                  <w:color w:val="374151"/>
                                  <w:spacing w:val="-2"/>
                                  <w:sz w:val="28"/>
                                </w:rPr>
                                <w:t> </w:t>
                              </w:r>
                              <w:r>
                                <w:rPr>
                                  <w:b/>
                                  <w:i/>
                                  <w:color w:val="374151"/>
                                  <w:sz w:val="28"/>
                                </w:rPr>
                                <w:t>and</w:t>
                              </w:r>
                              <w:r>
                                <w:rPr>
                                  <w:b/>
                                  <w:i/>
                                  <w:color w:val="374151"/>
                                  <w:spacing w:val="-2"/>
                                  <w:sz w:val="28"/>
                                </w:rPr>
                                <w:t> </w:t>
                              </w:r>
                              <w:r>
                                <w:rPr>
                                  <w:b/>
                                  <w:i/>
                                  <w:color w:val="374151"/>
                                  <w:spacing w:val="-6"/>
                                  <w:sz w:val="28"/>
                                </w:rPr>
                                <w:t>Values</w:t>
                              </w:r>
                            </w:p>
                          </w:txbxContent>
                        </wps:txbx>
                        <wps:bodyPr wrap="square" lIns="0" tIns="0" rIns="0" bIns="0" rtlCol="0">
                          <a:noAutofit/>
                        </wps:bodyPr>
                      </wps:wsp>
                      <wps:wsp>
                        <wps:cNvPr id="130" name="Textbox 130"/>
                        <wps:cNvSpPr txBox="1"/>
                        <wps:spPr>
                          <a:xfrm>
                            <a:off x="0" y="0"/>
                            <a:ext cx="487807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about</w:t>
                              </w:r>
                              <w:r>
                                <w:rPr>
                                  <w:color w:val="374151"/>
                                  <w:spacing w:val="-5"/>
                                  <w:sz w:val="28"/>
                                </w:rPr>
                                <w:t> </w:t>
                              </w:r>
                              <w:r>
                                <w:rPr>
                                  <w:color w:val="374151"/>
                                  <w:sz w:val="28"/>
                                </w:rPr>
                                <w:t>sexuality</w:t>
                              </w:r>
                              <w:r>
                                <w:rPr>
                                  <w:color w:val="374151"/>
                                  <w:spacing w:val="-2"/>
                                  <w:sz w:val="28"/>
                                </w:rPr>
                                <w:t> </w:t>
                              </w:r>
                              <w:r>
                                <w:rPr>
                                  <w:color w:val="374151"/>
                                  <w:sz w:val="28"/>
                                </w:rPr>
                                <w:t>and</w:t>
                              </w:r>
                              <w:r>
                                <w:rPr>
                                  <w:color w:val="374151"/>
                                  <w:spacing w:val="-2"/>
                                  <w:sz w:val="28"/>
                                </w:rPr>
                                <w:t> </w:t>
                              </w:r>
                              <w:r>
                                <w:rPr>
                                  <w:color w:val="374151"/>
                                  <w:sz w:val="28"/>
                                </w:rPr>
                                <w:t>greater</w:t>
                              </w:r>
                              <w:r>
                                <w:rPr>
                                  <w:color w:val="374151"/>
                                  <w:spacing w:val="-2"/>
                                  <w:sz w:val="28"/>
                                </w:rPr>
                                <w:t> </w:t>
                              </w:r>
                              <w:r>
                                <w:rPr>
                                  <w:color w:val="374151"/>
                                  <w:sz w:val="28"/>
                                </w:rPr>
                                <w:t>acceptance</w:t>
                              </w:r>
                              <w:r>
                                <w:rPr>
                                  <w:color w:val="374151"/>
                                  <w:spacing w:val="-3"/>
                                  <w:sz w:val="28"/>
                                </w:rPr>
                                <w:t> </w:t>
                              </w:r>
                              <w:r>
                                <w:rPr>
                                  <w:color w:val="374151"/>
                                  <w:sz w:val="28"/>
                                </w:rPr>
                                <w:t>of</w:t>
                              </w:r>
                              <w:r>
                                <w:rPr>
                                  <w:color w:val="374151"/>
                                  <w:spacing w:val="-2"/>
                                  <w:sz w:val="28"/>
                                </w:rPr>
                                <w:t> </w:t>
                              </w:r>
                              <w:r>
                                <w:rPr>
                                  <w:color w:val="374151"/>
                                  <w:sz w:val="28"/>
                                </w:rPr>
                                <w:t>diverse</w:t>
                              </w:r>
                              <w:r>
                                <w:rPr>
                                  <w:color w:val="374151"/>
                                  <w:spacing w:val="-3"/>
                                  <w:sz w:val="28"/>
                                </w:rPr>
                                <w:t> </w:t>
                              </w:r>
                              <w:r>
                                <w:rPr>
                                  <w:color w:val="374151"/>
                                  <w:sz w:val="28"/>
                                </w:rPr>
                                <w:t>sexual</w:t>
                              </w:r>
                              <w:r>
                                <w:rPr>
                                  <w:color w:val="374151"/>
                                  <w:spacing w:val="-2"/>
                                  <w:sz w:val="28"/>
                                </w:rPr>
                                <w:t> orientations</w:t>
                              </w:r>
                            </w:p>
                          </w:txbxContent>
                        </wps:txbx>
                        <wps:bodyPr wrap="square" lIns="0" tIns="0" rIns="0" bIns="0" rtlCol="0">
                          <a:noAutofit/>
                        </wps:bodyPr>
                      </wps:wsp>
                    </wpg:wgp>
                  </a:graphicData>
                </a:graphic>
              </wp:inline>
            </w:drawing>
          </mc:Choice>
          <mc:Fallback>
            <w:pict>
              <v:group style="width:384.1pt;height:93pt;mso-position-horizontal-relative:char;mso-position-vertical-relative:line" id="docshapegroup126" coordorigin="0,0" coordsize="7682,1860">
                <v:shape style="position:absolute;left:0;top:1240;width:4407;height:620" type="#_x0000_t202" id="docshape127" filled="true" fillcolor="#f7f7f8" stroked="false">
                  <v:textbox inset="0,0,0,0">
                    <w:txbxContent>
                      <w:p>
                        <w:pPr>
                          <w:spacing w:line="308" w:lineRule="exact" w:before="0"/>
                          <w:ind w:left="0" w:right="0" w:firstLine="0"/>
                          <w:jc w:val="left"/>
                          <w:rPr>
                            <w:b/>
                            <w:color w:val="000000"/>
                            <w:sz w:val="28"/>
                          </w:rPr>
                        </w:pPr>
                        <w:r>
                          <w:rPr>
                            <w:b/>
                            <w:color w:val="665082"/>
                            <w:sz w:val="28"/>
                          </w:rPr>
                          <w:t>African</w:t>
                        </w:r>
                        <w:r>
                          <w:rPr>
                            <w:b/>
                            <w:color w:val="665082"/>
                            <w:spacing w:val="-4"/>
                            <w:sz w:val="28"/>
                          </w:rPr>
                          <w:t> </w:t>
                        </w:r>
                        <w:r>
                          <w:rPr>
                            <w:b/>
                            <w:color w:val="665082"/>
                            <w:sz w:val="28"/>
                          </w:rPr>
                          <w:t>roots</w:t>
                        </w:r>
                        <w:r>
                          <w:rPr>
                            <w:b/>
                            <w:color w:val="665082"/>
                            <w:spacing w:val="-4"/>
                            <w:sz w:val="28"/>
                          </w:rPr>
                          <w:t> </w:t>
                        </w:r>
                        <w:r>
                          <w:rPr>
                            <w:b/>
                            <w:color w:val="665082"/>
                            <w:sz w:val="28"/>
                          </w:rPr>
                          <w:t>and</w:t>
                        </w:r>
                        <w:r>
                          <w:rPr>
                            <w:b/>
                            <w:color w:val="665082"/>
                            <w:spacing w:val="-4"/>
                            <w:sz w:val="28"/>
                          </w:rPr>
                          <w:t> </w:t>
                        </w:r>
                        <w:r>
                          <w:rPr>
                            <w:b/>
                            <w:color w:val="665082"/>
                            <w:sz w:val="28"/>
                          </w:rPr>
                          <w:t>cultural</w:t>
                        </w:r>
                        <w:r>
                          <w:rPr>
                            <w:b/>
                            <w:color w:val="665082"/>
                            <w:spacing w:val="-4"/>
                            <w:sz w:val="28"/>
                          </w:rPr>
                          <w:t> </w:t>
                        </w:r>
                        <w:r>
                          <w:rPr>
                            <w:b/>
                            <w:color w:val="665082"/>
                            <w:spacing w:val="-2"/>
                            <w:sz w:val="28"/>
                          </w:rPr>
                          <w:t>resilience:</w:t>
                        </w:r>
                      </w:p>
                    </w:txbxContent>
                  </v:textbox>
                  <v:fill type="solid"/>
                  <w10:wrap type="none"/>
                </v:shape>
                <v:shape style="position:absolute;left:0;top:620;width:6322;height:620" type="#_x0000_t202" id="docshape128" filled="true" fillcolor="#f7f7f8" stroked="false">
                  <v:textbox inset="0,0,0,0">
                    <w:txbxContent>
                      <w:p>
                        <w:pPr>
                          <w:spacing w:line="308" w:lineRule="exact" w:before="0"/>
                          <w:ind w:left="0" w:right="0" w:firstLine="0"/>
                          <w:jc w:val="left"/>
                          <w:rPr>
                            <w:b/>
                            <w:i/>
                            <w:color w:val="000000"/>
                            <w:sz w:val="28"/>
                          </w:rPr>
                        </w:pPr>
                        <w:r>
                          <w:rPr>
                            <w:b/>
                            <w:i/>
                            <w:color w:val="374151"/>
                            <w:sz w:val="28"/>
                          </w:rPr>
                          <w:t>African</w:t>
                        </w:r>
                        <w:r>
                          <w:rPr>
                            <w:b/>
                            <w:i/>
                            <w:color w:val="374151"/>
                            <w:spacing w:val="-13"/>
                            <w:sz w:val="28"/>
                          </w:rPr>
                          <w:t> </w:t>
                        </w:r>
                        <w:r>
                          <w:rPr>
                            <w:b/>
                            <w:i/>
                            <w:color w:val="374151"/>
                            <w:sz w:val="28"/>
                          </w:rPr>
                          <w:t>American</w:t>
                        </w:r>
                        <w:r>
                          <w:rPr>
                            <w:b/>
                            <w:i/>
                            <w:color w:val="374151"/>
                            <w:spacing w:val="-3"/>
                            <w:sz w:val="28"/>
                          </w:rPr>
                          <w:t> </w:t>
                        </w:r>
                        <w:r>
                          <w:rPr>
                            <w:b/>
                            <w:i/>
                            <w:color w:val="374151"/>
                            <w:sz w:val="28"/>
                          </w:rPr>
                          <w:t>Cultural</w:t>
                        </w:r>
                        <w:r>
                          <w:rPr>
                            <w:b/>
                            <w:i/>
                            <w:color w:val="374151"/>
                            <w:spacing w:val="-2"/>
                            <w:sz w:val="28"/>
                          </w:rPr>
                          <w:t> </w:t>
                        </w:r>
                        <w:r>
                          <w:rPr>
                            <w:b/>
                            <w:i/>
                            <w:color w:val="374151"/>
                            <w:sz w:val="28"/>
                          </w:rPr>
                          <w:t>Norms,</w:t>
                        </w:r>
                        <w:r>
                          <w:rPr>
                            <w:b/>
                            <w:i/>
                            <w:color w:val="374151"/>
                            <w:spacing w:val="-2"/>
                            <w:sz w:val="28"/>
                          </w:rPr>
                          <w:t> </w:t>
                        </w:r>
                        <w:r>
                          <w:rPr>
                            <w:b/>
                            <w:i/>
                            <w:color w:val="374151"/>
                            <w:sz w:val="28"/>
                          </w:rPr>
                          <w:t>Beliefs,</w:t>
                        </w:r>
                        <w:r>
                          <w:rPr>
                            <w:b/>
                            <w:i/>
                            <w:color w:val="374151"/>
                            <w:spacing w:val="-2"/>
                            <w:sz w:val="28"/>
                          </w:rPr>
                          <w:t> </w:t>
                        </w:r>
                        <w:r>
                          <w:rPr>
                            <w:b/>
                            <w:i/>
                            <w:color w:val="374151"/>
                            <w:sz w:val="28"/>
                          </w:rPr>
                          <w:t>and</w:t>
                        </w:r>
                        <w:r>
                          <w:rPr>
                            <w:b/>
                            <w:i/>
                            <w:color w:val="374151"/>
                            <w:spacing w:val="-2"/>
                            <w:sz w:val="28"/>
                          </w:rPr>
                          <w:t> </w:t>
                        </w:r>
                        <w:r>
                          <w:rPr>
                            <w:b/>
                            <w:i/>
                            <w:color w:val="374151"/>
                            <w:spacing w:val="-6"/>
                            <w:sz w:val="28"/>
                          </w:rPr>
                          <w:t>Values</w:t>
                        </w:r>
                      </w:p>
                    </w:txbxContent>
                  </v:textbox>
                  <v:fill type="solid"/>
                  <w10:wrap type="none"/>
                </v:shape>
                <v:shape style="position:absolute;left:0;top:0;width:7682;height:620" type="#_x0000_t202" id="docshape129" filled="true" fillcolor="#f7f7f8" stroked="false">
                  <v:textbox inset="0,0,0,0">
                    <w:txbxContent>
                      <w:p>
                        <w:pPr>
                          <w:spacing w:line="308" w:lineRule="exact" w:before="0"/>
                          <w:ind w:left="0" w:right="-15" w:firstLine="0"/>
                          <w:jc w:val="left"/>
                          <w:rPr>
                            <w:color w:val="000000"/>
                            <w:sz w:val="28"/>
                          </w:rPr>
                        </w:pPr>
                        <w:r>
                          <w:rPr>
                            <w:color w:val="374151"/>
                            <w:sz w:val="28"/>
                          </w:rPr>
                          <w:t>about</w:t>
                        </w:r>
                        <w:r>
                          <w:rPr>
                            <w:color w:val="374151"/>
                            <w:spacing w:val="-5"/>
                            <w:sz w:val="28"/>
                          </w:rPr>
                          <w:t> </w:t>
                        </w:r>
                        <w:r>
                          <w:rPr>
                            <w:color w:val="374151"/>
                            <w:sz w:val="28"/>
                          </w:rPr>
                          <w:t>sexuality</w:t>
                        </w:r>
                        <w:r>
                          <w:rPr>
                            <w:color w:val="374151"/>
                            <w:spacing w:val="-2"/>
                            <w:sz w:val="28"/>
                          </w:rPr>
                          <w:t> </w:t>
                        </w:r>
                        <w:r>
                          <w:rPr>
                            <w:color w:val="374151"/>
                            <w:sz w:val="28"/>
                          </w:rPr>
                          <w:t>and</w:t>
                        </w:r>
                        <w:r>
                          <w:rPr>
                            <w:color w:val="374151"/>
                            <w:spacing w:val="-2"/>
                            <w:sz w:val="28"/>
                          </w:rPr>
                          <w:t> </w:t>
                        </w:r>
                        <w:r>
                          <w:rPr>
                            <w:color w:val="374151"/>
                            <w:sz w:val="28"/>
                          </w:rPr>
                          <w:t>greater</w:t>
                        </w:r>
                        <w:r>
                          <w:rPr>
                            <w:color w:val="374151"/>
                            <w:spacing w:val="-2"/>
                            <w:sz w:val="28"/>
                          </w:rPr>
                          <w:t> </w:t>
                        </w:r>
                        <w:r>
                          <w:rPr>
                            <w:color w:val="374151"/>
                            <w:sz w:val="28"/>
                          </w:rPr>
                          <w:t>acceptance</w:t>
                        </w:r>
                        <w:r>
                          <w:rPr>
                            <w:color w:val="374151"/>
                            <w:spacing w:val="-3"/>
                            <w:sz w:val="28"/>
                          </w:rPr>
                          <w:t> </w:t>
                        </w:r>
                        <w:r>
                          <w:rPr>
                            <w:color w:val="374151"/>
                            <w:sz w:val="28"/>
                          </w:rPr>
                          <w:t>of</w:t>
                        </w:r>
                        <w:r>
                          <w:rPr>
                            <w:color w:val="374151"/>
                            <w:spacing w:val="-2"/>
                            <w:sz w:val="28"/>
                          </w:rPr>
                          <w:t> </w:t>
                        </w:r>
                        <w:r>
                          <w:rPr>
                            <w:color w:val="374151"/>
                            <w:sz w:val="28"/>
                          </w:rPr>
                          <w:t>diverse</w:t>
                        </w:r>
                        <w:r>
                          <w:rPr>
                            <w:color w:val="374151"/>
                            <w:spacing w:val="-3"/>
                            <w:sz w:val="28"/>
                          </w:rPr>
                          <w:t> </w:t>
                        </w:r>
                        <w:r>
                          <w:rPr>
                            <w:color w:val="374151"/>
                            <w:sz w:val="28"/>
                          </w:rPr>
                          <w:t>sexual</w:t>
                        </w:r>
                        <w:r>
                          <w:rPr>
                            <w:color w:val="374151"/>
                            <w:spacing w:val="-2"/>
                            <w:sz w:val="28"/>
                          </w:rPr>
                          <w:t> orientations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African</w:t>
      </w:r>
      <w:r>
        <w:rPr>
          <w:color w:val="374151"/>
          <w:spacing w:val="-20"/>
          <w:shd w:fill="F7F7F8" w:color="auto" w:val="clear"/>
        </w:rPr>
        <w:t> </w:t>
      </w:r>
      <w:r>
        <w:rPr>
          <w:color w:val="374151"/>
          <w:shd w:fill="F7F7F8" w:color="auto" w:val="clear"/>
        </w:rPr>
        <w:t>Americans</w:t>
      </w:r>
      <w:r>
        <w:rPr>
          <w:color w:val="374151"/>
          <w:spacing w:val="-3"/>
          <w:shd w:fill="F7F7F8" w:color="auto" w:val="clear"/>
        </w:rPr>
        <w:t> </w:t>
      </w:r>
      <w:r>
        <w:rPr>
          <w:color w:val="374151"/>
          <w:shd w:fill="F7F7F8" w:color="auto" w:val="clear"/>
        </w:rPr>
        <w:t>have</w:t>
      </w:r>
      <w:r>
        <w:rPr>
          <w:color w:val="374151"/>
          <w:spacing w:val="-4"/>
          <w:shd w:fill="F7F7F8" w:color="auto" w:val="clear"/>
        </w:rPr>
        <w:t> </w:t>
      </w:r>
      <w:r>
        <w:rPr>
          <w:color w:val="374151"/>
          <w:shd w:fill="F7F7F8" w:color="auto" w:val="clear"/>
        </w:rPr>
        <w:t>diverse</w:t>
      </w:r>
      <w:r>
        <w:rPr>
          <w:color w:val="374151"/>
          <w:spacing w:val="-4"/>
          <w:shd w:fill="F7F7F8" w:color="auto" w:val="clear"/>
        </w:rPr>
        <w:t> </w:t>
      </w:r>
      <w:r>
        <w:rPr>
          <w:color w:val="374151"/>
          <w:shd w:fill="F7F7F8" w:color="auto" w:val="clear"/>
        </w:rPr>
        <w:t>ethnic</w:t>
      </w:r>
      <w:r>
        <w:rPr>
          <w:color w:val="374151"/>
          <w:spacing w:val="-3"/>
          <w:shd w:fill="F7F7F8" w:color="auto" w:val="clear"/>
        </w:rPr>
        <w:t> </w:t>
      </w:r>
      <w:r>
        <w:rPr>
          <w:color w:val="374151"/>
          <w:shd w:fill="F7F7F8" w:color="auto" w:val="clear"/>
        </w:rPr>
        <w:t>backgrounds,</w:t>
      </w:r>
      <w:r>
        <w:rPr>
          <w:color w:val="374151"/>
          <w:spacing w:val="-3"/>
          <w:shd w:fill="F7F7F8" w:color="auto" w:val="clear"/>
        </w:rPr>
        <w:t> </w:t>
      </w:r>
      <w:r>
        <w:rPr>
          <w:color w:val="374151"/>
          <w:shd w:fill="F7F7F8" w:color="auto" w:val="clear"/>
        </w:rPr>
        <w:t>with</w:t>
      </w:r>
      <w:r>
        <w:rPr>
          <w:color w:val="374151"/>
          <w:spacing w:val="-3"/>
          <w:shd w:fill="F7F7F8" w:color="auto" w:val="clear"/>
        </w:rPr>
        <w:t> </w:t>
      </w:r>
      <w:r>
        <w:rPr>
          <w:color w:val="374151"/>
          <w:shd w:fill="F7F7F8" w:color="auto" w:val="clear"/>
        </w:rPr>
        <w:t>ancestral</w:t>
      </w:r>
      <w:r>
        <w:rPr>
          <w:color w:val="374151"/>
          <w:spacing w:val="-3"/>
          <w:shd w:fill="F7F7F8" w:color="auto" w:val="clear"/>
        </w:rPr>
        <w:t> </w:t>
      </w:r>
      <w:r>
        <w:rPr>
          <w:color w:val="374151"/>
          <w:shd w:fill="F7F7F8" w:color="auto" w:val="clear"/>
        </w:rPr>
        <w:t>ties</w:t>
      </w:r>
      <w:r>
        <w:rPr>
          <w:color w:val="374151"/>
          <w:spacing w:val="-2"/>
          <w:shd w:fill="F7F7F8" w:color="auto" w:val="clear"/>
        </w:rPr>
        <w:t> </w:t>
      </w:r>
      <w:r>
        <w:rPr>
          <w:color w:val="374151"/>
          <w:spacing w:val="-5"/>
          <w:shd w:fill="F7F7F8" w:color="auto" w:val="clear"/>
        </w:rPr>
        <w:t>to</w:t>
      </w:r>
      <w:r>
        <w:rPr>
          <w:color w:val="374151"/>
          <w:spacing w:val="40"/>
          <w:shd w:fill="F7F7F8" w:color="auto" w:val="clear"/>
        </w:rPr>
        <w:t> </w:t>
      </w:r>
    </w:p>
    <w:p>
      <w:pPr>
        <w:pStyle w:val="BodyText"/>
        <w:ind w:left="280" w:right="502"/>
      </w:pPr>
      <w:r>
        <w:rPr/>
        <mc:AlternateContent>
          <mc:Choice Requires="wps">
            <w:drawing>
              <wp:anchor distT="0" distB="0" distL="0" distR="0" allowOverlap="1" layoutInCell="1" locked="0" behindDoc="1" simplePos="0" relativeHeight="487623168">
                <wp:simplePos x="0" y="0"/>
                <wp:positionH relativeFrom="page">
                  <wp:posOffset>1066800</wp:posOffset>
                </wp:positionH>
                <wp:positionV relativeFrom="paragraph">
                  <wp:posOffset>414611</wp:posOffset>
                </wp:positionV>
                <wp:extent cx="3575685" cy="787400"/>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3575685" cy="787400"/>
                          <a:chExt cx="3575685" cy="787400"/>
                        </a:xfrm>
                      </wpg:grpSpPr>
                      <wps:wsp>
                        <wps:cNvPr id="132" name="Textbox 132"/>
                        <wps:cNvSpPr txBox="1"/>
                        <wps:spPr>
                          <a:xfrm>
                            <a:off x="0" y="393700"/>
                            <a:ext cx="357568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Historical</w:t>
                              </w:r>
                              <w:r>
                                <w:rPr>
                                  <w:b/>
                                  <w:color w:val="665082"/>
                                  <w:spacing w:val="-4"/>
                                  <w:sz w:val="28"/>
                                </w:rPr>
                                <w:t> </w:t>
                              </w:r>
                              <w:r>
                                <w:rPr>
                                  <w:b/>
                                  <w:color w:val="665082"/>
                                  <w:sz w:val="28"/>
                                </w:rPr>
                                <w:t>influences</w:t>
                              </w:r>
                              <w:r>
                                <w:rPr>
                                  <w:b/>
                                  <w:color w:val="665082"/>
                                  <w:spacing w:val="-1"/>
                                  <w:sz w:val="28"/>
                                </w:rPr>
                                <w:t> </w:t>
                              </w:r>
                              <w:r>
                                <w:rPr>
                                  <w:b/>
                                  <w:color w:val="665082"/>
                                  <w:sz w:val="28"/>
                                </w:rPr>
                                <w:t>and</w:t>
                              </w:r>
                              <w:r>
                                <w:rPr>
                                  <w:b/>
                                  <w:color w:val="665082"/>
                                  <w:spacing w:val="-2"/>
                                  <w:sz w:val="28"/>
                                </w:rPr>
                                <w:t> </w:t>
                              </w:r>
                              <w:r>
                                <w:rPr>
                                  <w:b/>
                                  <w:color w:val="665082"/>
                                  <w:sz w:val="28"/>
                                </w:rPr>
                                <w:t>the</w:t>
                              </w:r>
                              <w:r>
                                <w:rPr>
                                  <w:b/>
                                  <w:color w:val="665082"/>
                                  <w:spacing w:val="-2"/>
                                  <w:sz w:val="28"/>
                                </w:rPr>
                                <w:t> </w:t>
                              </w:r>
                              <w:r>
                                <w:rPr>
                                  <w:b/>
                                  <w:color w:val="665082"/>
                                  <w:sz w:val="28"/>
                                </w:rPr>
                                <w:t>impact</w:t>
                              </w:r>
                              <w:r>
                                <w:rPr>
                                  <w:b/>
                                  <w:color w:val="665082"/>
                                  <w:spacing w:val="-2"/>
                                  <w:sz w:val="28"/>
                                </w:rPr>
                                <w:t> </w:t>
                              </w:r>
                              <w:r>
                                <w:rPr>
                                  <w:b/>
                                  <w:color w:val="665082"/>
                                  <w:sz w:val="28"/>
                                </w:rPr>
                                <w:t>of</w:t>
                              </w:r>
                              <w:r>
                                <w:rPr>
                                  <w:b/>
                                  <w:color w:val="665082"/>
                                  <w:spacing w:val="-1"/>
                                  <w:sz w:val="28"/>
                                </w:rPr>
                                <w:t> </w:t>
                              </w:r>
                              <w:r>
                                <w:rPr>
                                  <w:b/>
                                  <w:color w:val="665082"/>
                                  <w:spacing w:val="-2"/>
                                  <w:sz w:val="28"/>
                                </w:rPr>
                                <w:t>slavery:</w:t>
                              </w:r>
                            </w:p>
                          </w:txbxContent>
                        </wps:txbx>
                        <wps:bodyPr wrap="square" lIns="0" tIns="0" rIns="0" bIns="0" rtlCol="0">
                          <a:noAutofit/>
                        </wps:bodyPr>
                      </wps:wsp>
                      <wps:wsp>
                        <wps:cNvPr id="133" name="Textbox 133"/>
                        <wps:cNvSpPr txBox="1"/>
                        <wps:spPr>
                          <a:xfrm>
                            <a:off x="0" y="0"/>
                            <a:ext cx="292671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can</w:t>
                              </w:r>
                              <w:r>
                                <w:rPr>
                                  <w:color w:val="374151"/>
                                  <w:spacing w:val="-3"/>
                                  <w:sz w:val="28"/>
                                </w:rPr>
                                <w:t> </w:t>
                              </w:r>
                              <w:r>
                                <w:rPr>
                                  <w:color w:val="374151"/>
                                  <w:sz w:val="28"/>
                                </w:rPr>
                                <w:t>influence</w:t>
                              </w:r>
                              <w:r>
                                <w:rPr>
                                  <w:color w:val="374151"/>
                                  <w:spacing w:val="-3"/>
                                  <w:sz w:val="28"/>
                                </w:rPr>
                                <w:t> </w:t>
                              </w:r>
                              <w:r>
                                <w:rPr>
                                  <w:color w:val="374151"/>
                                  <w:sz w:val="28"/>
                                </w:rPr>
                                <w:t>attitudes</w:t>
                              </w:r>
                              <w:r>
                                <w:rPr>
                                  <w:color w:val="374151"/>
                                  <w:spacing w:val="-3"/>
                                  <w:sz w:val="28"/>
                                </w:rPr>
                                <w:t> </w:t>
                              </w:r>
                              <w:r>
                                <w:rPr>
                                  <w:color w:val="374151"/>
                                  <w:sz w:val="28"/>
                                </w:rPr>
                                <w:t>towards</w:t>
                              </w:r>
                              <w:r>
                                <w:rPr>
                                  <w:color w:val="374151"/>
                                  <w:spacing w:val="-2"/>
                                  <w:sz w:val="28"/>
                                </w:rPr>
                                <w:t> sexuality.</w:t>
                              </w:r>
                            </w:p>
                          </w:txbxContent>
                        </wps:txbx>
                        <wps:bodyPr wrap="square" lIns="0" tIns="0" rIns="0" bIns="0" rtlCol="0">
                          <a:noAutofit/>
                        </wps:bodyPr>
                      </wps:wsp>
                    </wpg:wgp>
                  </a:graphicData>
                </a:graphic>
              </wp:anchor>
            </w:drawing>
          </mc:Choice>
          <mc:Fallback>
            <w:pict>
              <v:group style="position:absolute;margin-left:84pt;margin-top:32.646584pt;width:281.55pt;height:62pt;mso-position-horizontal-relative:page;mso-position-vertical-relative:paragraph;z-index:-15693312;mso-wrap-distance-left:0;mso-wrap-distance-right:0" id="docshapegroup130" coordorigin="1680,653" coordsize="5631,1240">
                <v:shape style="position:absolute;left:1680;top:1272;width:5631;height:620" type="#_x0000_t202" id="docshape131" filled="true" fillcolor="#f7f7f8" stroked="false">
                  <v:textbox inset="0,0,0,0">
                    <w:txbxContent>
                      <w:p>
                        <w:pPr>
                          <w:spacing w:line="308" w:lineRule="exact" w:before="0"/>
                          <w:ind w:left="0" w:right="-15" w:firstLine="0"/>
                          <w:jc w:val="left"/>
                          <w:rPr>
                            <w:b/>
                            <w:color w:val="000000"/>
                            <w:sz w:val="28"/>
                          </w:rPr>
                        </w:pPr>
                        <w:r>
                          <w:rPr>
                            <w:b/>
                            <w:color w:val="665082"/>
                            <w:sz w:val="28"/>
                          </w:rPr>
                          <w:t>Historical</w:t>
                        </w:r>
                        <w:r>
                          <w:rPr>
                            <w:b/>
                            <w:color w:val="665082"/>
                            <w:spacing w:val="-4"/>
                            <w:sz w:val="28"/>
                          </w:rPr>
                          <w:t> </w:t>
                        </w:r>
                        <w:r>
                          <w:rPr>
                            <w:b/>
                            <w:color w:val="665082"/>
                            <w:sz w:val="28"/>
                          </w:rPr>
                          <w:t>influences</w:t>
                        </w:r>
                        <w:r>
                          <w:rPr>
                            <w:b/>
                            <w:color w:val="665082"/>
                            <w:spacing w:val="-1"/>
                            <w:sz w:val="28"/>
                          </w:rPr>
                          <w:t> </w:t>
                        </w:r>
                        <w:r>
                          <w:rPr>
                            <w:b/>
                            <w:color w:val="665082"/>
                            <w:sz w:val="28"/>
                          </w:rPr>
                          <w:t>and</w:t>
                        </w:r>
                        <w:r>
                          <w:rPr>
                            <w:b/>
                            <w:color w:val="665082"/>
                            <w:spacing w:val="-2"/>
                            <w:sz w:val="28"/>
                          </w:rPr>
                          <w:t> </w:t>
                        </w:r>
                        <w:r>
                          <w:rPr>
                            <w:b/>
                            <w:color w:val="665082"/>
                            <w:sz w:val="28"/>
                          </w:rPr>
                          <w:t>the</w:t>
                        </w:r>
                        <w:r>
                          <w:rPr>
                            <w:b/>
                            <w:color w:val="665082"/>
                            <w:spacing w:val="-2"/>
                            <w:sz w:val="28"/>
                          </w:rPr>
                          <w:t> </w:t>
                        </w:r>
                        <w:r>
                          <w:rPr>
                            <w:b/>
                            <w:color w:val="665082"/>
                            <w:sz w:val="28"/>
                          </w:rPr>
                          <w:t>impact</w:t>
                        </w:r>
                        <w:r>
                          <w:rPr>
                            <w:b/>
                            <w:color w:val="665082"/>
                            <w:spacing w:val="-2"/>
                            <w:sz w:val="28"/>
                          </w:rPr>
                          <w:t> </w:t>
                        </w:r>
                        <w:r>
                          <w:rPr>
                            <w:b/>
                            <w:color w:val="665082"/>
                            <w:sz w:val="28"/>
                          </w:rPr>
                          <w:t>of</w:t>
                        </w:r>
                        <w:r>
                          <w:rPr>
                            <w:b/>
                            <w:color w:val="665082"/>
                            <w:spacing w:val="-1"/>
                            <w:sz w:val="28"/>
                          </w:rPr>
                          <w:t> </w:t>
                        </w:r>
                        <w:r>
                          <w:rPr>
                            <w:b/>
                            <w:color w:val="665082"/>
                            <w:spacing w:val="-2"/>
                            <w:sz w:val="28"/>
                          </w:rPr>
                          <w:t>slavery:</w:t>
                        </w:r>
                      </w:p>
                    </w:txbxContent>
                  </v:textbox>
                  <v:fill type="solid"/>
                  <w10:wrap type="none"/>
                </v:shape>
                <v:shape style="position:absolute;left:1680;top:652;width:4609;height:620" type="#_x0000_t202" id="docshape132" filled="true" fillcolor="#f7f7f8" stroked="false">
                  <v:textbox inset="0,0,0,0">
                    <w:txbxContent>
                      <w:p>
                        <w:pPr>
                          <w:spacing w:line="308" w:lineRule="exact" w:before="0"/>
                          <w:ind w:left="0" w:right="-15" w:firstLine="0"/>
                          <w:jc w:val="left"/>
                          <w:rPr>
                            <w:color w:val="000000"/>
                            <w:sz w:val="28"/>
                          </w:rPr>
                        </w:pPr>
                        <w:r>
                          <w:rPr>
                            <w:color w:val="374151"/>
                            <w:sz w:val="28"/>
                          </w:rPr>
                          <w:t>can</w:t>
                        </w:r>
                        <w:r>
                          <w:rPr>
                            <w:color w:val="374151"/>
                            <w:spacing w:val="-3"/>
                            <w:sz w:val="28"/>
                          </w:rPr>
                          <w:t> </w:t>
                        </w:r>
                        <w:r>
                          <w:rPr>
                            <w:color w:val="374151"/>
                            <w:sz w:val="28"/>
                          </w:rPr>
                          <w:t>influence</w:t>
                        </w:r>
                        <w:r>
                          <w:rPr>
                            <w:color w:val="374151"/>
                            <w:spacing w:val="-3"/>
                            <w:sz w:val="28"/>
                          </w:rPr>
                          <w:t> </w:t>
                        </w:r>
                        <w:r>
                          <w:rPr>
                            <w:color w:val="374151"/>
                            <w:sz w:val="28"/>
                          </w:rPr>
                          <w:t>attitudes</w:t>
                        </w:r>
                        <w:r>
                          <w:rPr>
                            <w:color w:val="374151"/>
                            <w:spacing w:val="-3"/>
                            <w:sz w:val="28"/>
                          </w:rPr>
                          <w:t> </w:t>
                        </w:r>
                        <w:r>
                          <w:rPr>
                            <w:color w:val="374151"/>
                            <w:sz w:val="28"/>
                          </w:rPr>
                          <w:t>towards</w:t>
                        </w:r>
                        <w:r>
                          <w:rPr>
                            <w:color w:val="374151"/>
                            <w:spacing w:val="-2"/>
                            <w:sz w:val="28"/>
                          </w:rPr>
                          <w:t> sexuality.</w:t>
                        </w:r>
                      </w:p>
                    </w:txbxContent>
                  </v:textbox>
                  <v:fill type="solid"/>
                  <w10:wrap type="none"/>
                </v:shape>
                <w10:wrap type="topAndBottom"/>
              </v:group>
            </w:pict>
          </mc:Fallback>
        </mc:AlternateContent>
      </w:r>
      <w:r>
        <w:rPr>
          <w:color w:val="374151"/>
          <w:shd w:fill="F7F7F8" w:color="auto" w:val="clear"/>
        </w:rPr>
        <w:t>various</w:t>
      </w:r>
      <w:r>
        <w:rPr>
          <w:color w:val="374151"/>
          <w:spacing w:val="-10"/>
          <w:shd w:fill="F7F7F8" w:color="auto" w:val="clear"/>
        </w:rPr>
        <w:t> </w:t>
      </w:r>
      <w:r>
        <w:rPr>
          <w:color w:val="374151"/>
          <w:shd w:fill="F7F7F8" w:color="auto" w:val="clear"/>
        </w:rPr>
        <w:t>African countries.</w:t>
      </w:r>
      <w:r>
        <w:rPr>
          <w:color w:val="374151"/>
          <w:spacing w:val="-10"/>
          <w:shd w:fill="F7F7F8" w:color="auto" w:val="clear"/>
        </w:rPr>
        <w:t> </w:t>
      </w:r>
      <w:r>
        <w:rPr>
          <w:color w:val="374151"/>
          <w:shd w:fill="F7F7F8" w:color="auto" w:val="clear"/>
        </w:rPr>
        <w:t>African cultural values often highlight communal </w:t>
      </w:r>
      <w:r>
        <w:rPr>
          <w:color w:val="374151"/>
        </w:rPr>
        <w:t> </w:t>
      </w:r>
      <w:r>
        <w:rPr>
          <w:color w:val="374151"/>
          <w:shd w:fill="F7F7F8" w:color="auto" w:val="clear"/>
        </w:rPr>
        <w:t>living, extended family networks, and a holistic approach to well-being, which</w:t>
      </w:r>
      <w:r>
        <w:rPr>
          <w:color w:val="374151"/>
          <w:spacing w:val="40"/>
          <w:shd w:fill="F7F7F8" w:color="auto" w:val="clear"/>
        </w:rPr>
        <w:t> </w:t>
      </w:r>
    </w:p>
    <w:p>
      <w:pPr>
        <w:pStyle w:val="BodyText"/>
        <w:spacing w:line="237" w:lineRule="auto" w:after="4"/>
        <w:ind w:left="280" w:right="515"/>
      </w:pPr>
      <w:r>
        <w:rPr>
          <w:color w:val="374151"/>
          <w:shd w:fill="F7F7F8" w:color="auto" w:val="clear"/>
        </w:rPr>
        <w:t>The experience of slavery and systemic oppression has shaped</w:t>
      </w:r>
      <w:r>
        <w:rPr>
          <w:color w:val="374151"/>
          <w:spacing w:val="-9"/>
          <w:shd w:fill="F7F7F8" w:color="auto" w:val="clear"/>
        </w:rPr>
        <w:t> </w:t>
      </w:r>
      <w:r>
        <w:rPr>
          <w:color w:val="374151"/>
          <w:shd w:fill="F7F7F8" w:color="auto" w:val="clear"/>
        </w:rPr>
        <w:t>African</w:t>
      </w:r>
      <w:r>
        <w:rPr>
          <w:color w:val="374151"/>
          <w:spacing w:val="-9"/>
          <w:shd w:fill="F7F7F8" w:color="auto" w:val="clear"/>
        </w:rPr>
        <w:t> </w:t>
      </w:r>
      <w:r>
        <w:rPr>
          <w:color w:val="374151"/>
          <w:spacing w:val="-9"/>
        </w:rPr>
        <w:t> </w:t>
      </w:r>
      <w:r>
        <w:rPr>
          <w:color w:val="374151"/>
          <w:shd w:fill="F7F7F8" w:color="auto" w:val="clear"/>
        </w:rPr>
        <w:t>American</w:t>
      </w:r>
      <w:r>
        <w:rPr>
          <w:color w:val="374151"/>
          <w:spacing w:val="-4"/>
          <w:shd w:fill="F7F7F8" w:color="auto" w:val="clear"/>
        </w:rPr>
        <w:t> </w:t>
      </w:r>
      <w:r>
        <w:rPr>
          <w:color w:val="374151"/>
          <w:shd w:fill="F7F7F8" w:color="auto" w:val="clear"/>
        </w:rPr>
        <w:t>cultural</w:t>
      </w:r>
      <w:r>
        <w:rPr>
          <w:color w:val="374151"/>
          <w:spacing w:val="-4"/>
          <w:shd w:fill="F7F7F8" w:color="auto" w:val="clear"/>
        </w:rPr>
        <w:t> </w:t>
      </w:r>
      <w:r>
        <w:rPr>
          <w:color w:val="374151"/>
          <w:shd w:fill="F7F7F8" w:color="auto" w:val="clear"/>
        </w:rPr>
        <w:t>norms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beliefs.</w:t>
      </w:r>
      <w:r>
        <w:rPr>
          <w:color w:val="374151"/>
          <w:spacing w:val="-4"/>
          <w:shd w:fill="F7F7F8" w:color="auto" w:val="clear"/>
        </w:rPr>
        <w:t> </w:t>
      </w:r>
      <w:r>
        <w:rPr>
          <w:color w:val="374151"/>
          <w:shd w:fill="F7F7F8" w:color="auto" w:val="clear"/>
        </w:rPr>
        <w:t>Historical</w:t>
      </w:r>
      <w:r>
        <w:rPr>
          <w:color w:val="374151"/>
          <w:spacing w:val="-4"/>
          <w:shd w:fill="F7F7F8" w:color="auto" w:val="clear"/>
        </w:rPr>
        <w:t> </w:t>
      </w:r>
      <w:r>
        <w:rPr>
          <w:color w:val="374151"/>
          <w:shd w:fill="F7F7F8" w:color="auto" w:val="clear"/>
        </w:rPr>
        <w:t>trauma</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struggle</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pacing w:val="-4"/>
        </w:rPr>
        <w:t> </w:t>
      </w:r>
      <w:r>
        <w:rPr>
          <w:color w:val="374151"/>
          <w:shd w:fill="F7F7F8" w:color="auto" w:val="clear"/>
        </w:rPr>
        <w:t>civil rights have influenced attitudes towards sexuality, with resilience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879215" cy="787400"/>
                <wp:effectExtent l="0" t="0" r="0" b="3175"/>
                <wp:docPr id="134" name="Group 134"/>
                <wp:cNvGraphicFramePr>
                  <a:graphicFrameLocks/>
                </wp:cNvGraphicFramePr>
                <a:graphic>
                  <a:graphicData uri="http://schemas.microsoft.com/office/word/2010/wordprocessingGroup">
                    <wpg:wgp>
                      <wpg:cNvPr id="134" name="Group 134"/>
                      <wpg:cNvGrpSpPr/>
                      <wpg:grpSpPr>
                        <a:xfrm>
                          <a:off x="0" y="0"/>
                          <a:ext cx="3879215" cy="787400"/>
                          <a:chExt cx="3879215" cy="787400"/>
                        </a:xfrm>
                      </wpg:grpSpPr>
                      <wps:wsp>
                        <wps:cNvPr id="135" name="Textbox 135"/>
                        <wps:cNvSpPr txBox="1"/>
                        <wps:spPr>
                          <a:xfrm>
                            <a:off x="0" y="393700"/>
                            <a:ext cx="387921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Religiosity</w:t>
                              </w:r>
                              <w:r>
                                <w:rPr>
                                  <w:b/>
                                  <w:color w:val="665082"/>
                                  <w:spacing w:val="-2"/>
                                  <w:sz w:val="28"/>
                                </w:rPr>
                                <w:t> </w:t>
                              </w:r>
                              <w:r>
                                <w:rPr>
                                  <w:b/>
                                  <w:color w:val="665082"/>
                                  <w:sz w:val="28"/>
                                </w:rPr>
                                <w:t>and</w:t>
                              </w:r>
                              <w:r>
                                <w:rPr>
                                  <w:b/>
                                  <w:color w:val="665082"/>
                                  <w:spacing w:val="-2"/>
                                  <w:sz w:val="28"/>
                                </w:rPr>
                                <w:t> </w:t>
                              </w:r>
                              <w:r>
                                <w:rPr>
                                  <w:b/>
                                  <w:color w:val="665082"/>
                                  <w:sz w:val="28"/>
                                </w:rPr>
                                <w:t>its</w:t>
                              </w:r>
                              <w:r>
                                <w:rPr>
                                  <w:b/>
                                  <w:color w:val="665082"/>
                                  <w:spacing w:val="-1"/>
                                  <w:sz w:val="28"/>
                                </w:rPr>
                                <w:t> </w:t>
                              </w:r>
                              <w:r>
                                <w:rPr>
                                  <w:b/>
                                  <w:color w:val="665082"/>
                                  <w:sz w:val="28"/>
                                </w:rPr>
                                <w:t>implications</w:t>
                              </w:r>
                              <w:r>
                                <w:rPr>
                                  <w:b/>
                                  <w:color w:val="665082"/>
                                  <w:spacing w:val="-2"/>
                                  <w:sz w:val="28"/>
                                </w:rPr>
                                <w:t> </w:t>
                              </w:r>
                              <w:r>
                                <w:rPr>
                                  <w:b/>
                                  <w:color w:val="665082"/>
                                  <w:sz w:val="28"/>
                                </w:rPr>
                                <w:t>for</w:t>
                              </w:r>
                              <w:r>
                                <w:rPr>
                                  <w:b/>
                                  <w:color w:val="665082"/>
                                  <w:spacing w:val="-7"/>
                                  <w:sz w:val="28"/>
                                </w:rPr>
                                <w:t> </w:t>
                              </w:r>
                              <w:r>
                                <w:rPr>
                                  <w:b/>
                                  <w:color w:val="665082"/>
                                  <w:sz w:val="28"/>
                                </w:rPr>
                                <w:t>sexual</w:t>
                              </w:r>
                              <w:r>
                                <w:rPr>
                                  <w:b/>
                                  <w:color w:val="665082"/>
                                  <w:spacing w:val="-1"/>
                                  <w:sz w:val="28"/>
                                </w:rPr>
                                <w:t> </w:t>
                              </w:r>
                              <w:r>
                                <w:rPr>
                                  <w:b/>
                                  <w:color w:val="665082"/>
                                  <w:spacing w:val="-2"/>
                                  <w:sz w:val="28"/>
                                </w:rPr>
                                <w:t>attitudes:</w:t>
                              </w:r>
                            </w:p>
                          </w:txbxContent>
                        </wps:txbx>
                        <wps:bodyPr wrap="square" lIns="0" tIns="0" rIns="0" bIns="0" rtlCol="0">
                          <a:noAutofit/>
                        </wps:bodyPr>
                      </wps:wsp>
                      <wps:wsp>
                        <wps:cNvPr id="136" name="Textbox 136"/>
                        <wps:cNvSpPr txBox="1"/>
                        <wps:spPr>
                          <a:xfrm>
                            <a:off x="0" y="0"/>
                            <a:ext cx="235077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empowerment</w:t>
                              </w:r>
                              <w:r>
                                <w:rPr>
                                  <w:color w:val="374151"/>
                                  <w:spacing w:val="-3"/>
                                  <w:sz w:val="28"/>
                                </w:rPr>
                                <w:t> </w:t>
                              </w:r>
                              <w:r>
                                <w:rPr>
                                  <w:color w:val="374151"/>
                                  <w:sz w:val="28"/>
                                </w:rPr>
                                <w:t>being</w:t>
                              </w:r>
                              <w:r>
                                <w:rPr>
                                  <w:color w:val="374151"/>
                                  <w:spacing w:val="-2"/>
                                  <w:sz w:val="28"/>
                                </w:rPr>
                                <w:t> </w:t>
                              </w:r>
                              <w:r>
                                <w:rPr>
                                  <w:color w:val="374151"/>
                                  <w:sz w:val="28"/>
                                </w:rPr>
                                <w:t>key</w:t>
                              </w:r>
                              <w:r>
                                <w:rPr>
                                  <w:color w:val="374151"/>
                                  <w:spacing w:val="-2"/>
                                  <w:sz w:val="28"/>
                                </w:rPr>
                                <w:t> themes.</w:t>
                              </w:r>
                            </w:p>
                          </w:txbxContent>
                        </wps:txbx>
                        <wps:bodyPr wrap="square" lIns="0" tIns="0" rIns="0" bIns="0" rtlCol="0">
                          <a:noAutofit/>
                        </wps:bodyPr>
                      </wps:wsp>
                    </wpg:wgp>
                  </a:graphicData>
                </a:graphic>
              </wp:inline>
            </w:drawing>
          </mc:Choice>
          <mc:Fallback>
            <w:pict>
              <v:group style="width:305.45pt;height:62pt;mso-position-horizontal-relative:char;mso-position-vertical-relative:line" id="docshapegroup133" coordorigin="0,0" coordsize="6109,1240">
                <v:shape style="position:absolute;left:0;top:620;width:6109;height:620" type="#_x0000_t202" id="docshape134" filled="true" fillcolor="#f7f7f8" stroked="false">
                  <v:textbox inset="0,0,0,0">
                    <w:txbxContent>
                      <w:p>
                        <w:pPr>
                          <w:spacing w:line="308" w:lineRule="exact" w:before="0"/>
                          <w:ind w:left="0" w:right="-15" w:firstLine="0"/>
                          <w:jc w:val="left"/>
                          <w:rPr>
                            <w:b/>
                            <w:color w:val="000000"/>
                            <w:sz w:val="28"/>
                          </w:rPr>
                        </w:pPr>
                        <w:r>
                          <w:rPr>
                            <w:b/>
                            <w:color w:val="665082"/>
                            <w:sz w:val="28"/>
                          </w:rPr>
                          <w:t>Religiosity</w:t>
                        </w:r>
                        <w:r>
                          <w:rPr>
                            <w:b/>
                            <w:color w:val="665082"/>
                            <w:spacing w:val="-2"/>
                            <w:sz w:val="28"/>
                          </w:rPr>
                          <w:t> </w:t>
                        </w:r>
                        <w:r>
                          <w:rPr>
                            <w:b/>
                            <w:color w:val="665082"/>
                            <w:sz w:val="28"/>
                          </w:rPr>
                          <w:t>and</w:t>
                        </w:r>
                        <w:r>
                          <w:rPr>
                            <w:b/>
                            <w:color w:val="665082"/>
                            <w:spacing w:val="-2"/>
                            <w:sz w:val="28"/>
                          </w:rPr>
                          <w:t> </w:t>
                        </w:r>
                        <w:r>
                          <w:rPr>
                            <w:b/>
                            <w:color w:val="665082"/>
                            <w:sz w:val="28"/>
                          </w:rPr>
                          <w:t>its</w:t>
                        </w:r>
                        <w:r>
                          <w:rPr>
                            <w:b/>
                            <w:color w:val="665082"/>
                            <w:spacing w:val="-1"/>
                            <w:sz w:val="28"/>
                          </w:rPr>
                          <w:t> </w:t>
                        </w:r>
                        <w:r>
                          <w:rPr>
                            <w:b/>
                            <w:color w:val="665082"/>
                            <w:sz w:val="28"/>
                          </w:rPr>
                          <w:t>implications</w:t>
                        </w:r>
                        <w:r>
                          <w:rPr>
                            <w:b/>
                            <w:color w:val="665082"/>
                            <w:spacing w:val="-2"/>
                            <w:sz w:val="28"/>
                          </w:rPr>
                          <w:t> </w:t>
                        </w:r>
                        <w:r>
                          <w:rPr>
                            <w:b/>
                            <w:color w:val="665082"/>
                            <w:sz w:val="28"/>
                          </w:rPr>
                          <w:t>for</w:t>
                        </w:r>
                        <w:r>
                          <w:rPr>
                            <w:b/>
                            <w:color w:val="665082"/>
                            <w:spacing w:val="-7"/>
                            <w:sz w:val="28"/>
                          </w:rPr>
                          <w:t> </w:t>
                        </w:r>
                        <w:r>
                          <w:rPr>
                            <w:b/>
                            <w:color w:val="665082"/>
                            <w:sz w:val="28"/>
                          </w:rPr>
                          <w:t>sexual</w:t>
                        </w:r>
                        <w:r>
                          <w:rPr>
                            <w:b/>
                            <w:color w:val="665082"/>
                            <w:spacing w:val="-1"/>
                            <w:sz w:val="28"/>
                          </w:rPr>
                          <w:t> </w:t>
                        </w:r>
                        <w:r>
                          <w:rPr>
                            <w:b/>
                            <w:color w:val="665082"/>
                            <w:spacing w:val="-2"/>
                            <w:sz w:val="28"/>
                          </w:rPr>
                          <w:t>attitudes:</w:t>
                        </w:r>
                      </w:p>
                    </w:txbxContent>
                  </v:textbox>
                  <v:fill type="solid"/>
                  <w10:wrap type="none"/>
                </v:shape>
                <v:shape style="position:absolute;left:0;top:0;width:3702;height:620" type="#_x0000_t202" id="docshape135" filled="true" fillcolor="#f7f7f8" stroked="false">
                  <v:textbox inset="0,0,0,0">
                    <w:txbxContent>
                      <w:p>
                        <w:pPr>
                          <w:spacing w:line="308" w:lineRule="exact" w:before="0"/>
                          <w:ind w:left="0" w:right="-15" w:firstLine="0"/>
                          <w:jc w:val="left"/>
                          <w:rPr>
                            <w:color w:val="000000"/>
                            <w:sz w:val="28"/>
                          </w:rPr>
                        </w:pPr>
                        <w:r>
                          <w:rPr>
                            <w:color w:val="374151"/>
                            <w:sz w:val="28"/>
                          </w:rPr>
                          <w:t>empowerment</w:t>
                        </w:r>
                        <w:r>
                          <w:rPr>
                            <w:color w:val="374151"/>
                            <w:spacing w:val="-3"/>
                            <w:sz w:val="28"/>
                          </w:rPr>
                          <w:t> </w:t>
                        </w:r>
                        <w:r>
                          <w:rPr>
                            <w:color w:val="374151"/>
                            <w:sz w:val="28"/>
                          </w:rPr>
                          <w:t>being</w:t>
                        </w:r>
                        <w:r>
                          <w:rPr>
                            <w:color w:val="374151"/>
                            <w:spacing w:val="-2"/>
                            <w:sz w:val="28"/>
                          </w:rPr>
                          <w:t> </w:t>
                        </w:r>
                        <w:r>
                          <w:rPr>
                            <w:color w:val="374151"/>
                            <w:sz w:val="28"/>
                          </w:rPr>
                          <w:t>key</w:t>
                        </w:r>
                        <w:r>
                          <w:rPr>
                            <w:color w:val="374151"/>
                            <w:spacing w:val="-2"/>
                            <w:sz w:val="28"/>
                          </w:rPr>
                          <w:t> themes.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Religion</w:t>
      </w:r>
      <w:r>
        <w:rPr>
          <w:color w:val="374151"/>
          <w:spacing w:val="-2"/>
          <w:shd w:fill="F7F7F8" w:color="auto" w:val="clear"/>
        </w:rPr>
        <w:t> </w:t>
      </w:r>
      <w:r>
        <w:rPr>
          <w:color w:val="374151"/>
          <w:shd w:fill="F7F7F8" w:color="auto" w:val="clear"/>
        </w:rPr>
        <w:t>plays</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significant</w:t>
      </w:r>
      <w:r>
        <w:rPr>
          <w:color w:val="374151"/>
          <w:spacing w:val="-1"/>
          <w:shd w:fill="F7F7F8" w:color="auto" w:val="clear"/>
        </w:rPr>
        <w:t> </w:t>
      </w:r>
      <w:r>
        <w:rPr>
          <w:color w:val="374151"/>
          <w:shd w:fill="F7F7F8" w:color="auto" w:val="clear"/>
        </w:rPr>
        <w:t>role</w:t>
      </w:r>
      <w:r>
        <w:rPr>
          <w:color w:val="374151"/>
          <w:spacing w:val="-2"/>
          <w:shd w:fill="F7F7F8" w:color="auto" w:val="clear"/>
        </w:rPr>
        <w:t> </w:t>
      </w:r>
      <w:r>
        <w:rPr>
          <w:color w:val="374151"/>
          <w:shd w:fill="F7F7F8" w:color="auto" w:val="clear"/>
        </w:rPr>
        <w:t>in</w:t>
      </w:r>
      <w:r>
        <w:rPr>
          <w:color w:val="374151"/>
          <w:spacing w:val="-17"/>
          <w:shd w:fill="F7F7F8" w:color="auto" w:val="clear"/>
        </w:rPr>
        <w:t> </w:t>
      </w:r>
      <w:r>
        <w:rPr>
          <w:color w:val="374151"/>
          <w:shd w:fill="F7F7F8" w:color="auto" w:val="clear"/>
        </w:rPr>
        <w:t>African</w:t>
      </w:r>
      <w:r>
        <w:rPr>
          <w:color w:val="374151"/>
          <w:spacing w:val="-17"/>
          <w:shd w:fill="F7F7F8" w:color="auto" w:val="clear"/>
        </w:rPr>
        <w:t> </w:t>
      </w:r>
      <w:r>
        <w:rPr>
          <w:color w:val="374151"/>
          <w:shd w:fill="F7F7F8" w:color="auto" w:val="clear"/>
        </w:rPr>
        <w:t>American</w:t>
      </w:r>
      <w:r>
        <w:rPr>
          <w:color w:val="374151"/>
          <w:spacing w:val="-1"/>
          <w:shd w:fill="F7F7F8" w:color="auto" w:val="clear"/>
        </w:rPr>
        <w:t> </w:t>
      </w:r>
      <w:r>
        <w:rPr>
          <w:color w:val="374151"/>
          <w:shd w:fill="F7F7F8" w:color="auto" w:val="clear"/>
        </w:rPr>
        <w:t>communities,</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pacing w:val="-4"/>
          <w:shd w:fill="F7F7F8" w:color="auto" w:val="clear"/>
        </w:rPr>
        <w:t>high</w:t>
      </w:r>
    </w:p>
    <w:p>
      <w:pPr>
        <w:pStyle w:val="BodyText"/>
        <w:ind w:left="280" w:right="544"/>
      </w:pPr>
      <w:r>
        <w:rPr/>
        <mc:AlternateContent>
          <mc:Choice Requires="wps">
            <w:drawing>
              <wp:anchor distT="0" distB="0" distL="0" distR="0" allowOverlap="1" layoutInCell="1" locked="0" behindDoc="1" simplePos="0" relativeHeight="487624192">
                <wp:simplePos x="0" y="0"/>
                <wp:positionH relativeFrom="page">
                  <wp:posOffset>1066800</wp:posOffset>
                </wp:positionH>
                <wp:positionV relativeFrom="paragraph">
                  <wp:posOffset>414611</wp:posOffset>
                </wp:positionV>
                <wp:extent cx="3228975" cy="787400"/>
                <wp:effectExtent l="0" t="0" r="0" b="0"/>
                <wp:wrapTopAndBottom/>
                <wp:docPr id="137" name="Group 137"/>
                <wp:cNvGraphicFramePr>
                  <a:graphicFrameLocks/>
                </wp:cNvGraphicFramePr>
                <a:graphic>
                  <a:graphicData uri="http://schemas.microsoft.com/office/word/2010/wordprocessingGroup">
                    <wpg:wgp>
                      <wpg:cNvPr id="137" name="Group 137"/>
                      <wpg:cNvGrpSpPr/>
                      <wpg:grpSpPr>
                        <a:xfrm>
                          <a:off x="0" y="0"/>
                          <a:ext cx="3228975" cy="787400"/>
                          <a:chExt cx="3228975" cy="787400"/>
                        </a:xfrm>
                      </wpg:grpSpPr>
                      <wps:wsp>
                        <wps:cNvPr id="138" name="Textbox 138"/>
                        <wps:cNvSpPr txBox="1"/>
                        <wps:spPr>
                          <a:xfrm>
                            <a:off x="0" y="393700"/>
                            <a:ext cx="322897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665082"/>
                                  <w:sz w:val="28"/>
                                </w:rPr>
                                <w:t>The</w:t>
                              </w:r>
                              <w:r>
                                <w:rPr>
                                  <w:b/>
                                  <w:color w:val="665082"/>
                                  <w:spacing w:val="-6"/>
                                  <w:sz w:val="28"/>
                                </w:rPr>
                                <w:t> </w:t>
                              </w:r>
                              <w:r>
                                <w:rPr>
                                  <w:b/>
                                  <w:color w:val="665082"/>
                                  <w:sz w:val="28"/>
                                </w:rPr>
                                <w:t>role</w:t>
                              </w:r>
                              <w:r>
                                <w:rPr>
                                  <w:b/>
                                  <w:color w:val="665082"/>
                                  <w:spacing w:val="-4"/>
                                  <w:sz w:val="28"/>
                                </w:rPr>
                                <w:t> </w:t>
                              </w:r>
                              <w:r>
                                <w:rPr>
                                  <w:b/>
                                  <w:color w:val="665082"/>
                                  <w:sz w:val="28"/>
                                </w:rPr>
                                <w:t>of</w:t>
                              </w:r>
                              <w:r>
                                <w:rPr>
                                  <w:b/>
                                  <w:color w:val="665082"/>
                                  <w:spacing w:val="-3"/>
                                  <w:sz w:val="28"/>
                                </w:rPr>
                                <w:t> </w:t>
                              </w:r>
                              <w:r>
                                <w:rPr>
                                  <w:b/>
                                  <w:color w:val="665082"/>
                                  <w:sz w:val="28"/>
                                </w:rPr>
                                <w:t>hip-hop</w:t>
                              </w:r>
                              <w:r>
                                <w:rPr>
                                  <w:b/>
                                  <w:color w:val="665082"/>
                                  <w:spacing w:val="-2"/>
                                  <w:sz w:val="28"/>
                                </w:rPr>
                                <w:t> </w:t>
                              </w:r>
                              <w:r>
                                <w:rPr>
                                  <w:b/>
                                  <w:color w:val="665082"/>
                                  <w:sz w:val="28"/>
                                </w:rPr>
                                <w:t>culture</w:t>
                              </w:r>
                              <w:r>
                                <w:rPr>
                                  <w:b/>
                                  <w:color w:val="665082"/>
                                  <w:spacing w:val="-4"/>
                                  <w:sz w:val="28"/>
                                </w:rPr>
                                <w:t> </w:t>
                              </w:r>
                              <w:r>
                                <w:rPr>
                                  <w:b/>
                                  <w:color w:val="665082"/>
                                  <w:sz w:val="28"/>
                                </w:rPr>
                                <w:t>and</w:t>
                              </w:r>
                              <w:r>
                                <w:rPr>
                                  <w:b/>
                                  <w:color w:val="665082"/>
                                  <w:spacing w:val="-3"/>
                                  <w:sz w:val="28"/>
                                </w:rPr>
                                <w:t> </w:t>
                              </w:r>
                              <w:r>
                                <w:rPr>
                                  <w:b/>
                                  <w:color w:val="665082"/>
                                  <w:sz w:val="28"/>
                                </w:rPr>
                                <w:t>the</w:t>
                              </w:r>
                              <w:r>
                                <w:rPr>
                                  <w:b/>
                                  <w:color w:val="665082"/>
                                  <w:spacing w:val="-3"/>
                                  <w:sz w:val="28"/>
                                </w:rPr>
                                <w:t> </w:t>
                              </w:r>
                              <w:r>
                                <w:rPr>
                                  <w:b/>
                                  <w:color w:val="665082"/>
                                  <w:spacing w:val="-2"/>
                                  <w:sz w:val="28"/>
                                </w:rPr>
                                <w:t>media:</w:t>
                              </w:r>
                            </w:p>
                          </w:txbxContent>
                        </wps:txbx>
                        <wps:bodyPr wrap="square" lIns="0" tIns="0" rIns="0" bIns="0" rtlCol="0">
                          <a:noAutofit/>
                        </wps:bodyPr>
                      </wps:wsp>
                      <wps:wsp>
                        <wps:cNvPr id="139" name="Textbox 139"/>
                        <wps:cNvSpPr txBox="1"/>
                        <wps:spPr>
                          <a:xfrm>
                            <a:off x="0" y="0"/>
                            <a:ext cx="281305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to</w:t>
                              </w:r>
                              <w:r>
                                <w:rPr>
                                  <w:color w:val="374151"/>
                                  <w:spacing w:val="-1"/>
                                  <w:sz w:val="28"/>
                                </w:rPr>
                                <w:t> </w:t>
                              </w:r>
                              <w:r>
                                <w:rPr>
                                  <w:color w:val="374151"/>
                                  <w:sz w:val="28"/>
                                </w:rPr>
                                <w:t>more</w:t>
                              </w:r>
                              <w:r>
                                <w:rPr>
                                  <w:color w:val="374151"/>
                                  <w:spacing w:val="-1"/>
                                  <w:sz w:val="28"/>
                                </w:rPr>
                                <w:t> </w:t>
                              </w:r>
                              <w:r>
                                <w:rPr>
                                  <w:color w:val="374151"/>
                                  <w:sz w:val="28"/>
                                </w:rPr>
                                <w:t>progressive</w:t>
                              </w:r>
                              <w:r>
                                <w:rPr>
                                  <w:color w:val="374151"/>
                                  <w:spacing w:val="-2"/>
                                  <w:sz w:val="28"/>
                                </w:rPr>
                                <w:t> </w:t>
                              </w:r>
                              <w:r>
                                <w:rPr>
                                  <w:color w:val="374151"/>
                                  <w:sz w:val="28"/>
                                </w:rPr>
                                <w:t>views on </w:t>
                              </w:r>
                              <w:r>
                                <w:rPr>
                                  <w:color w:val="374151"/>
                                  <w:spacing w:val="-2"/>
                                  <w:sz w:val="28"/>
                                </w:rPr>
                                <w:t>sexuality.</w:t>
                              </w:r>
                            </w:p>
                          </w:txbxContent>
                        </wps:txbx>
                        <wps:bodyPr wrap="square" lIns="0" tIns="0" rIns="0" bIns="0" rtlCol="0">
                          <a:noAutofit/>
                        </wps:bodyPr>
                      </wps:wsp>
                    </wpg:wgp>
                  </a:graphicData>
                </a:graphic>
              </wp:anchor>
            </w:drawing>
          </mc:Choice>
          <mc:Fallback>
            <w:pict>
              <v:group style="position:absolute;margin-left:84pt;margin-top:32.646584pt;width:254.25pt;height:62pt;mso-position-horizontal-relative:page;mso-position-vertical-relative:paragraph;z-index:-15692288;mso-wrap-distance-left:0;mso-wrap-distance-right:0" id="docshapegroup136" coordorigin="1680,653" coordsize="5085,1240">
                <v:shape style="position:absolute;left:1680;top:1272;width:5085;height:620" type="#_x0000_t202" id="docshape137" filled="true" fillcolor="#f7f7f8" stroked="false">
                  <v:textbox inset="0,0,0,0">
                    <w:txbxContent>
                      <w:p>
                        <w:pPr>
                          <w:spacing w:line="308" w:lineRule="exact" w:before="0"/>
                          <w:ind w:left="0" w:right="0" w:firstLine="0"/>
                          <w:jc w:val="left"/>
                          <w:rPr>
                            <w:b/>
                            <w:color w:val="000000"/>
                            <w:sz w:val="28"/>
                          </w:rPr>
                        </w:pPr>
                        <w:r>
                          <w:rPr>
                            <w:b/>
                            <w:color w:val="665082"/>
                            <w:sz w:val="28"/>
                          </w:rPr>
                          <w:t>The</w:t>
                        </w:r>
                        <w:r>
                          <w:rPr>
                            <w:b/>
                            <w:color w:val="665082"/>
                            <w:spacing w:val="-6"/>
                            <w:sz w:val="28"/>
                          </w:rPr>
                          <w:t> </w:t>
                        </w:r>
                        <w:r>
                          <w:rPr>
                            <w:b/>
                            <w:color w:val="665082"/>
                            <w:sz w:val="28"/>
                          </w:rPr>
                          <w:t>role</w:t>
                        </w:r>
                        <w:r>
                          <w:rPr>
                            <w:b/>
                            <w:color w:val="665082"/>
                            <w:spacing w:val="-4"/>
                            <w:sz w:val="28"/>
                          </w:rPr>
                          <w:t> </w:t>
                        </w:r>
                        <w:r>
                          <w:rPr>
                            <w:b/>
                            <w:color w:val="665082"/>
                            <w:sz w:val="28"/>
                          </w:rPr>
                          <w:t>of</w:t>
                        </w:r>
                        <w:r>
                          <w:rPr>
                            <w:b/>
                            <w:color w:val="665082"/>
                            <w:spacing w:val="-3"/>
                            <w:sz w:val="28"/>
                          </w:rPr>
                          <w:t> </w:t>
                        </w:r>
                        <w:r>
                          <w:rPr>
                            <w:b/>
                            <w:color w:val="665082"/>
                            <w:sz w:val="28"/>
                          </w:rPr>
                          <w:t>hip-hop</w:t>
                        </w:r>
                        <w:r>
                          <w:rPr>
                            <w:b/>
                            <w:color w:val="665082"/>
                            <w:spacing w:val="-2"/>
                            <w:sz w:val="28"/>
                          </w:rPr>
                          <w:t> </w:t>
                        </w:r>
                        <w:r>
                          <w:rPr>
                            <w:b/>
                            <w:color w:val="665082"/>
                            <w:sz w:val="28"/>
                          </w:rPr>
                          <w:t>culture</w:t>
                        </w:r>
                        <w:r>
                          <w:rPr>
                            <w:b/>
                            <w:color w:val="665082"/>
                            <w:spacing w:val="-4"/>
                            <w:sz w:val="28"/>
                          </w:rPr>
                          <w:t> </w:t>
                        </w:r>
                        <w:r>
                          <w:rPr>
                            <w:b/>
                            <w:color w:val="665082"/>
                            <w:sz w:val="28"/>
                          </w:rPr>
                          <w:t>and</w:t>
                        </w:r>
                        <w:r>
                          <w:rPr>
                            <w:b/>
                            <w:color w:val="665082"/>
                            <w:spacing w:val="-3"/>
                            <w:sz w:val="28"/>
                          </w:rPr>
                          <w:t> </w:t>
                        </w:r>
                        <w:r>
                          <w:rPr>
                            <w:b/>
                            <w:color w:val="665082"/>
                            <w:sz w:val="28"/>
                          </w:rPr>
                          <w:t>the</w:t>
                        </w:r>
                        <w:r>
                          <w:rPr>
                            <w:b/>
                            <w:color w:val="665082"/>
                            <w:spacing w:val="-3"/>
                            <w:sz w:val="28"/>
                          </w:rPr>
                          <w:t> </w:t>
                        </w:r>
                        <w:r>
                          <w:rPr>
                            <w:b/>
                            <w:color w:val="665082"/>
                            <w:spacing w:val="-2"/>
                            <w:sz w:val="28"/>
                          </w:rPr>
                          <w:t>media:</w:t>
                        </w:r>
                      </w:p>
                    </w:txbxContent>
                  </v:textbox>
                  <v:fill type="solid"/>
                  <w10:wrap type="none"/>
                </v:shape>
                <v:shape style="position:absolute;left:1680;top:652;width:4430;height:620" type="#_x0000_t202" id="docshape138" filled="true" fillcolor="#f7f7f8" stroked="false">
                  <v:textbox inset="0,0,0,0">
                    <w:txbxContent>
                      <w:p>
                        <w:pPr>
                          <w:spacing w:line="308" w:lineRule="exact" w:before="0"/>
                          <w:ind w:left="0" w:right="-15" w:firstLine="0"/>
                          <w:jc w:val="left"/>
                          <w:rPr>
                            <w:color w:val="000000"/>
                            <w:sz w:val="28"/>
                          </w:rPr>
                        </w:pPr>
                        <w:r>
                          <w:rPr>
                            <w:color w:val="374151"/>
                            <w:sz w:val="28"/>
                          </w:rPr>
                          <w:t>to</w:t>
                        </w:r>
                        <w:r>
                          <w:rPr>
                            <w:color w:val="374151"/>
                            <w:spacing w:val="-1"/>
                            <w:sz w:val="28"/>
                          </w:rPr>
                          <w:t> </w:t>
                        </w:r>
                        <w:r>
                          <w:rPr>
                            <w:color w:val="374151"/>
                            <w:sz w:val="28"/>
                          </w:rPr>
                          <w:t>more</w:t>
                        </w:r>
                        <w:r>
                          <w:rPr>
                            <w:color w:val="374151"/>
                            <w:spacing w:val="-1"/>
                            <w:sz w:val="28"/>
                          </w:rPr>
                          <w:t> </w:t>
                        </w:r>
                        <w:r>
                          <w:rPr>
                            <w:color w:val="374151"/>
                            <w:sz w:val="28"/>
                          </w:rPr>
                          <w:t>progressive</w:t>
                        </w:r>
                        <w:r>
                          <w:rPr>
                            <w:color w:val="374151"/>
                            <w:spacing w:val="-2"/>
                            <w:sz w:val="28"/>
                          </w:rPr>
                          <w:t> </w:t>
                        </w:r>
                        <w:r>
                          <w:rPr>
                            <w:color w:val="374151"/>
                            <w:sz w:val="28"/>
                          </w:rPr>
                          <w:t>views on </w:t>
                        </w:r>
                        <w:r>
                          <w:rPr>
                            <w:color w:val="374151"/>
                            <w:spacing w:val="-2"/>
                            <w:sz w:val="28"/>
                          </w:rPr>
                          <w:t>sexuality.</w:t>
                        </w:r>
                      </w:p>
                    </w:txbxContent>
                  </v:textbox>
                  <v:fill type="solid"/>
                  <w10:wrap type="none"/>
                </v:shape>
                <w10:wrap type="topAndBottom"/>
              </v:group>
            </w:pict>
          </mc:Fallback>
        </mc:AlternateContent>
      </w:r>
      <w:r>
        <w:rPr>
          <w:color w:val="374151"/>
          <w:shd w:fill="F7F7F8" w:color="auto" w:val="clear"/>
        </w:rPr>
        <w:t>level of religiosity often linked to conservative sexual attitudes. However, </w:t>
      </w:r>
      <w:r>
        <w:rPr>
          <w:color w:val="374151"/>
        </w:rPr>
        <w:t> </w:t>
      </w:r>
      <w:r>
        <w:rPr>
          <w:color w:val="374151"/>
          <w:shd w:fill="F7F7F8" w:color="auto" w:val="clear"/>
        </w:rPr>
        <w:t>there is a wide range of perspectives within the community, from conservative</w:t>
      </w:r>
      <w:r>
        <w:rPr>
          <w:color w:val="374151"/>
          <w:spacing w:val="40"/>
          <w:shd w:fill="F7F7F8" w:color="auto" w:val="clear"/>
        </w:rPr>
        <w:t> </w:t>
      </w:r>
    </w:p>
    <w:p>
      <w:pPr>
        <w:pStyle w:val="BodyText"/>
        <w:spacing w:line="237" w:lineRule="auto"/>
        <w:ind w:left="280" w:right="502"/>
      </w:pPr>
      <w:r>
        <w:rPr>
          <w:color w:val="374151"/>
          <w:shd w:fill="F7F7F8" w:color="auto" w:val="clear"/>
        </w:rPr>
        <w:t>Hip-hop culture and the media have had a profound impact on</w:t>
      </w:r>
      <w:r>
        <w:rPr>
          <w:color w:val="374151"/>
          <w:spacing w:val="-10"/>
          <w:shd w:fill="F7F7F8" w:color="auto" w:val="clear"/>
        </w:rPr>
        <w:t> </w:t>
      </w:r>
      <w:r>
        <w:rPr>
          <w:color w:val="374151"/>
          <w:shd w:fill="F7F7F8" w:color="auto" w:val="clear"/>
        </w:rPr>
        <w:t>African</w:t>
      </w:r>
      <w:r>
        <w:rPr>
          <w:color w:val="374151"/>
          <w:spacing w:val="-10"/>
          <w:shd w:fill="F7F7F8" w:color="auto" w:val="clear"/>
        </w:rPr>
        <w:t> </w:t>
      </w:r>
      <w:r>
        <w:rPr>
          <w:color w:val="374151"/>
          <w:spacing w:val="-10"/>
        </w:rPr>
        <w:t> </w:t>
      </w:r>
      <w:r>
        <w:rPr>
          <w:color w:val="374151"/>
          <w:shd w:fill="F7F7F8" w:color="auto" w:val="clear"/>
        </w:rPr>
        <w:t>American</w:t>
      </w:r>
      <w:r>
        <w:rPr>
          <w:color w:val="374151"/>
          <w:spacing w:val="-6"/>
          <w:shd w:fill="F7F7F8" w:color="auto" w:val="clear"/>
        </w:rPr>
        <w:t> </w:t>
      </w:r>
      <w:r>
        <w:rPr>
          <w:color w:val="374151"/>
          <w:shd w:fill="F7F7F8" w:color="auto" w:val="clear"/>
        </w:rPr>
        <w:t>attitudes</w:t>
      </w:r>
      <w:r>
        <w:rPr>
          <w:color w:val="374151"/>
          <w:spacing w:val="-6"/>
          <w:shd w:fill="F7F7F8" w:color="auto" w:val="clear"/>
        </w:rPr>
        <w:t> </w:t>
      </w:r>
      <w:r>
        <w:rPr>
          <w:color w:val="374151"/>
          <w:shd w:fill="F7F7F8" w:color="auto" w:val="clear"/>
        </w:rPr>
        <w:t>towards</w:t>
      </w:r>
      <w:r>
        <w:rPr>
          <w:color w:val="374151"/>
          <w:spacing w:val="-6"/>
          <w:shd w:fill="F7F7F8" w:color="auto" w:val="clear"/>
        </w:rPr>
        <w:t> </w:t>
      </w:r>
      <w:r>
        <w:rPr>
          <w:color w:val="374151"/>
          <w:shd w:fill="F7F7F8" w:color="auto" w:val="clear"/>
        </w:rPr>
        <w:t>sexuality.</w:t>
      </w:r>
      <w:r>
        <w:rPr>
          <w:color w:val="374151"/>
          <w:spacing w:val="-12"/>
          <w:shd w:fill="F7F7F8" w:color="auto" w:val="clear"/>
        </w:rPr>
        <w:t> </w:t>
      </w:r>
      <w:r>
        <w:rPr>
          <w:color w:val="374151"/>
          <w:shd w:fill="F7F7F8" w:color="auto" w:val="clear"/>
        </w:rPr>
        <w:t>While</w:t>
      </w:r>
      <w:r>
        <w:rPr>
          <w:color w:val="374151"/>
          <w:spacing w:val="-7"/>
          <w:shd w:fill="F7F7F8" w:color="auto" w:val="clear"/>
        </w:rPr>
        <w:t> </w:t>
      </w:r>
      <w:r>
        <w:rPr>
          <w:color w:val="374151"/>
          <w:shd w:fill="F7F7F8" w:color="auto" w:val="clear"/>
        </w:rPr>
        <w:t>hip-hop</w:t>
      </w:r>
      <w:r>
        <w:rPr>
          <w:color w:val="374151"/>
          <w:spacing w:val="-6"/>
          <w:shd w:fill="F7F7F8" w:color="auto" w:val="clear"/>
        </w:rPr>
        <w:t> </w:t>
      </w:r>
      <w:r>
        <w:rPr>
          <w:color w:val="374151"/>
          <w:shd w:fill="F7F7F8" w:color="auto" w:val="clear"/>
        </w:rPr>
        <w:t>can</w:t>
      </w:r>
      <w:r>
        <w:rPr>
          <w:color w:val="374151"/>
          <w:spacing w:val="-6"/>
          <w:shd w:fill="F7F7F8" w:color="auto" w:val="clear"/>
        </w:rPr>
        <w:t> </w:t>
      </w:r>
      <w:r>
        <w:rPr>
          <w:color w:val="374151"/>
          <w:shd w:fill="F7F7F8" w:color="auto" w:val="clear"/>
        </w:rPr>
        <w:t>celebrate</w:t>
      </w:r>
      <w:r>
        <w:rPr>
          <w:color w:val="374151"/>
          <w:spacing w:val="-7"/>
          <w:shd w:fill="F7F7F8" w:color="auto" w:val="clear"/>
        </w:rPr>
        <w:t> </w:t>
      </w:r>
      <w:r>
        <w:rPr>
          <w:color w:val="374151"/>
          <w:shd w:fill="F7F7F8" w:color="auto" w:val="clear"/>
        </w:rPr>
        <w:t>sexual</w:t>
      </w:r>
      <w:r>
        <w:rPr>
          <w:color w:val="374151"/>
          <w:spacing w:val="-7"/>
          <w:shd w:fill="F7F7F8" w:color="auto" w:val="clear"/>
        </w:rPr>
        <w:t> </w:t>
      </w:r>
      <w:r>
        <w:rPr>
          <w:color w:val="374151"/>
          <w:spacing w:val="-7"/>
        </w:rPr>
        <w:t> </w:t>
      </w:r>
      <w:r>
        <w:rPr>
          <w:color w:val="374151"/>
          <w:shd w:fill="F7F7F8" w:color="auto" w:val="clear"/>
        </w:rPr>
        <w:t>freedom and empowerment, it can also reinforce stereotypes and</w:t>
      </w:r>
      <w:r>
        <w:rPr>
          <w:color w:val="374151"/>
          <w:spacing w:val="40"/>
          <w:shd w:fill="F7F7F8" w:color="auto" w:val="clear"/>
        </w:rPr>
        <w:t> </w:t>
      </w:r>
    </w:p>
    <w:p>
      <w:pPr>
        <w:spacing w:after="0" w:line="237" w:lineRule="auto"/>
        <w:sectPr>
          <w:pgSz w:w="12240" w:h="15840"/>
          <w:pgMar w:header="0" w:footer="765" w:top="134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25216">
                <wp:simplePos x="0" y="0"/>
                <wp:positionH relativeFrom="page">
                  <wp:posOffset>1066800</wp:posOffset>
                </wp:positionH>
                <wp:positionV relativeFrom="paragraph">
                  <wp:posOffset>251357</wp:posOffset>
                </wp:positionV>
                <wp:extent cx="3888104" cy="1181100"/>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3888104" cy="1181100"/>
                          <a:chExt cx="3888104" cy="1181100"/>
                        </a:xfrm>
                      </wpg:grpSpPr>
                      <wps:wsp>
                        <wps:cNvPr id="141" name="Textbox 141"/>
                        <wps:cNvSpPr txBox="1"/>
                        <wps:spPr>
                          <a:xfrm>
                            <a:off x="0" y="787400"/>
                            <a:ext cx="306260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Influence</w:t>
                              </w:r>
                              <w:r>
                                <w:rPr>
                                  <w:b/>
                                  <w:color w:val="665082"/>
                                  <w:spacing w:val="-3"/>
                                  <w:sz w:val="28"/>
                                </w:rPr>
                                <w:t> </w:t>
                              </w:r>
                              <w:r>
                                <w:rPr>
                                  <w:b/>
                                  <w:color w:val="665082"/>
                                  <w:sz w:val="28"/>
                                </w:rPr>
                                <w:t>of</w:t>
                              </w:r>
                              <w:r>
                                <w:rPr>
                                  <w:b/>
                                  <w:color w:val="665082"/>
                                  <w:spacing w:val="-1"/>
                                  <w:sz w:val="28"/>
                                </w:rPr>
                                <w:t> </w:t>
                              </w:r>
                              <w:r>
                                <w:rPr>
                                  <w:b/>
                                  <w:color w:val="665082"/>
                                  <w:sz w:val="28"/>
                                </w:rPr>
                                <w:t>Catholicism</w:t>
                              </w:r>
                              <w:r>
                                <w:rPr>
                                  <w:b/>
                                  <w:color w:val="665082"/>
                                  <w:spacing w:val="-2"/>
                                  <w:sz w:val="28"/>
                                </w:rPr>
                                <w:t> </w:t>
                              </w:r>
                              <w:r>
                                <w:rPr>
                                  <w:b/>
                                  <w:color w:val="665082"/>
                                  <w:sz w:val="28"/>
                                </w:rPr>
                                <w:t>and</w:t>
                              </w:r>
                              <w:r>
                                <w:rPr>
                                  <w:b/>
                                  <w:color w:val="665082"/>
                                  <w:spacing w:val="-1"/>
                                  <w:sz w:val="28"/>
                                </w:rPr>
                                <w:t> </w:t>
                              </w:r>
                              <w:r>
                                <w:rPr>
                                  <w:b/>
                                  <w:color w:val="665082"/>
                                  <w:spacing w:val="-2"/>
                                  <w:sz w:val="28"/>
                                </w:rPr>
                                <w:t>machismo:</w:t>
                              </w:r>
                            </w:p>
                          </w:txbxContent>
                        </wps:txbx>
                        <wps:bodyPr wrap="square" lIns="0" tIns="0" rIns="0" bIns="0" rtlCol="0">
                          <a:noAutofit/>
                        </wps:bodyPr>
                      </wps:wsp>
                      <wps:wsp>
                        <wps:cNvPr id="142" name="Textbox 142"/>
                        <wps:cNvSpPr txBox="1"/>
                        <wps:spPr>
                          <a:xfrm>
                            <a:off x="0" y="393700"/>
                            <a:ext cx="3888104"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Hispanic/Latinx</w:t>
                              </w:r>
                              <w:r>
                                <w:rPr>
                                  <w:b/>
                                  <w:i/>
                                  <w:color w:val="374151"/>
                                  <w:spacing w:val="-4"/>
                                  <w:sz w:val="28"/>
                                </w:rPr>
                                <w:t> </w:t>
                              </w:r>
                              <w:r>
                                <w:rPr>
                                  <w:b/>
                                  <w:i/>
                                  <w:color w:val="374151"/>
                                  <w:sz w:val="28"/>
                                </w:rPr>
                                <w:t>Cultural</w:t>
                              </w:r>
                              <w:r>
                                <w:rPr>
                                  <w:b/>
                                  <w:i/>
                                  <w:color w:val="374151"/>
                                  <w:spacing w:val="-2"/>
                                  <w:sz w:val="28"/>
                                </w:rPr>
                                <w:t> </w:t>
                              </w:r>
                              <w:r>
                                <w:rPr>
                                  <w:b/>
                                  <w:i/>
                                  <w:color w:val="374151"/>
                                  <w:sz w:val="28"/>
                                </w:rPr>
                                <w:t>Norms,</w:t>
                              </w:r>
                              <w:r>
                                <w:rPr>
                                  <w:b/>
                                  <w:i/>
                                  <w:color w:val="374151"/>
                                  <w:spacing w:val="-2"/>
                                  <w:sz w:val="28"/>
                                </w:rPr>
                                <w:t> </w:t>
                              </w:r>
                              <w:r>
                                <w:rPr>
                                  <w:b/>
                                  <w:i/>
                                  <w:color w:val="374151"/>
                                  <w:sz w:val="28"/>
                                </w:rPr>
                                <w:t>Beliefs,</w:t>
                              </w:r>
                              <w:r>
                                <w:rPr>
                                  <w:b/>
                                  <w:i/>
                                  <w:color w:val="374151"/>
                                  <w:spacing w:val="-2"/>
                                  <w:sz w:val="28"/>
                                </w:rPr>
                                <w:t> </w:t>
                              </w:r>
                              <w:r>
                                <w:rPr>
                                  <w:b/>
                                  <w:i/>
                                  <w:color w:val="374151"/>
                                  <w:sz w:val="28"/>
                                </w:rPr>
                                <w:t>and</w:t>
                              </w:r>
                              <w:r>
                                <w:rPr>
                                  <w:b/>
                                  <w:i/>
                                  <w:color w:val="374151"/>
                                  <w:spacing w:val="-2"/>
                                  <w:sz w:val="28"/>
                                </w:rPr>
                                <w:t> </w:t>
                              </w:r>
                              <w:r>
                                <w:rPr>
                                  <w:b/>
                                  <w:i/>
                                  <w:color w:val="374151"/>
                                  <w:spacing w:val="-7"/>
                                  <w:sz w:val="28"/>
                                </w:rPr>
                                <w:t>Values</w:t>
                              </w:r>
                            </w:p>
                          </w:txbxContent>
                        </wps:txbx>
                        <wps:bodyPr wrap="square" lIns="0" tIns="0" rIns="0" bIns="0" rtlCol="0">
                          <a:noAutofit/>
                        </wps:bodyPr>
                      </wps:wsp>
                      <wps:wsp>
                        <wps:cNvPr id="143" name="Textbox 143"/>
                        <wps:cNvSpPr txBox="1"/>
                        <wps:spPr>
                          <a:xfrm>
                            <a:off x="0" y="0"/>
                            <a:ext cx="914400" cy="393700"/>
                          </a:xfrm>
                          <a:prstGeom prst="rect">
                            <a:avLst/>
                          </a:prstGeom>
                          <a:solidFill>
                            <a:srgbClr val="F7F7F8"/>
                          </a:solidFill>
                        </wps:spPr>
                        <wps:txbx>
                          <w:txbxContent>
                            <w:p>
                              <w:pPr>
                                <w:spacing w:line="308" w:lineRule="exact" w:before="0"/>
                                <w:ind w:left="0" w:right="0" w:firstLine="0"/>
                                <w:jc w:val="left"/>
                                <w:rPr>
                                  <w:color w:val="000000"/>
                                  <w:sz w:val="28"/>
                                </w:rPr>
                              </w:pPr>
                              <w:r>
                                <w:rPr>
                                  <w:color w:val="374151"/>
                                  <w:spacing w:val="-2"/>
                                  <w:sz w:val="28"/>
                                </w:rPr>
                                <w:t>landscape.</w:t>
                              </w:r>
                            </w:p>
                          </w:txbxContent>
                        </wps:txbx>
                        <wps:bodyPr wrap="square" lIns="0" tIns="0" rIns="0" bIns="0" rtlCol="0">
                          <a:noAutofit/>
                        </wps:bodyPr>
                      </wps:wsp>
                    </wpg:wgp>
                  </a:graphicData>
                </a:graphic>
              </wp:anchor>
            </w:drawing>
          </mc:Choice>
          <mc:Fallback>
            <w:pict>
              <v:group style="position:absolute;margin-left:84pt;margin-top:19.791931pt;width:306.150pt;height:93pt;mso-position-horizontal-relative:page;mso-position-vertical-relative:paragraph;z-index:-15691264;mso-wrap-distance-left:0;mso-wrap-distance-right:0" id="docshapegroup139" coordorigin="1680,396" coordsize="6123,1860">
                <v:shape style="position:absolute;left:1680;top:1635;width:4823;height:620" type="#_x0000_t202" id="docshape140" filled="true" fillcolor="#f7f7f8" stroked="false">
                  <v:textbox inset="0,0,0,0">
                    <w:txbxContent>
                      <w:p>
                        <w:pPr>
                          <w:spacing w:line="308" w:lineRule="exact" w:before="0"/>
                          <w:ind w:left="0" w:right="-15" w:firstLine="0"/>
                          <w:jc w:val="left"/>
                          <w:rPr>
                            <w:b/>
                            <w:color w:val="000000"/>
                            <w:sz w:val="28"/>
                          </w:rPr>
                        </w:pPr>
                        <w:r>
                          <w:rPr>
                            <w:b/>
                            <w:color w:val="665082"/>
                            <w:sz w:val="28"/>
                          </w:rPr>
                          <w:t>Influence</w:t>
                        </w:r>
                        <w:r>
                          <w:rPr>
                            <w:b/>
                            <w:color w:val="665082"/>
                            <w:spacing w:val="-3"/>
                            <w:sz w:val="28"/>
                          </w:rPr>
                          <w:t> </w:t>
                        </w:r>
                        <w:r>
                          <w:rPr>
                            <w:b/>
                            <w:color w:val="665082"/>
                            <w:sz w:val="28"/>
                          </w:rPr>
                          <w:t>of</w:t>
                        </w:r>
                        <w:r>
                          <w:rPr>
                            <w:b/>
                            <w:color w:val="665082"/>
                            <w:spacing w:val="-1"/>
                            <w:sz w:val="28"/>
                          </w:rPr>
                          <w:t> </w:t>
                        </w:r>
                        <w:r>
                          <w:rPr>
                            <w:b/>
                            <w:color w:val="665082"/>
                            <w:sz w:val="28"/>
                          </w:rPr>
                          <w:t>Catholicism</w:t>
                        </w:r>
                        <w:r>
                          <w:rPr>
                            <w:b/>
                            <w:color w:val="665082"/>
                            <w:spacing w:val="-2"/>
                            <w:sz w:val="28"/>
                          </w:rPr>
                          <w:t> </w:t>
                        </w:r>
                        <w:r>
                          <w:rPr>
                            <w:b/>
                            <w:color w:val="665082"/>
                            <w:sz w:val="28"/>
                          </w:rPr>
                          <w:t>and</w:t>
                        </w:r>
                        <w:r>
                          <w:rPr>
                            <w:b/>
                            <w:color w:val="665082"/>
                            <w:spacing w:val="-1"/>
                            <w:sz w:val="28"/>
                          </w:rPr>
                          <w:t> </w:t>
                        </w:r>
                        <w:r>
                          <w:rPr>
                            <w:b/>
                            <w:color w:val="665082"/>
                            <w:spacing w:val="-2"/>
                            <w:sz w:val="28"/>
                          </w:rPr>
                          <w:t>machismo:</w:t>
                        </w:r>
                      </w:p>
                    </w:txbxContent>
                  </v:textbox>
                  <v:fill type="solid"/>
                  <w10:wrap type="none"/>
                </v:shape>
                <v:shape style="position:absolute;left:1680;top:1015;width:6123;height:620" type="#_x0000_t202" id="docshape141" filled="true" fillcolor="#f7f7f8" stroked="false">
                  <v:textbox inset="0,0,0,0">
                    <w:txbxContent>
                      <w:p>
                        <w:pPr>
                          <w:spacing w:line="308" w:lineRule="exact" w:before="0"/>
                          <w:ind w:left="0" w:right="0" w:firstLine="0"/>
                          <w:jc w:val="left"/>
                          <w:rPr>
                            <w:b/>
                            <w:i/>
                            <w:color w:val="000000"/>
                            <w:sz w:val="28"/>
                          </w:rPr>
                        </w:pPr>
                        <w:r>
                          <w:rPr>
                            <w:b/>
                            <w:i/>
                            <w:color w:val="374151"/>
                            <w:sz w:val="28"/>
                          </w:rPr>
                          <w:t>Hispanic/Latinx</w:t>
                        </w:r>
                        <w:r>
                          <w:rPr>
                            <w:b/>
                            <w:i/>
                            <w:color w:val="374151"/>
                            <w:spacing w:val="-4"/>
                            <w:sz w:val="28"/>
                          </w:rPr>
                          <w:t> </w:t>
                        </w:r>
                        <w:r>
                          <w:rPr>
                            <w:b/>
                            <w:i/>
                            <w:color w:val="374151"/>
                            <w:sz w:val="28"/>
                          </w:rPr>
                          <w:t>Cultural</w:t>
                        </w:r>
                        <w:r>
                          <w:rPr>
                            <w:b/>
                            <w:i/>
                            <w:color w:val="374151"/>
                            <w:spacing w:val="-2"/>
                            <w:sz w:val="28"/>
                          </w:rPr>
                          <w:t> </w:t>
                        </w:r>
                        <w:r>
                          <w:rPr>
                            <w:b/>
                            <w:i/>
                            <w:color w:val="374151"/>
                            <w:sz w:val="28"/>
                          </w:rPr>
                          <w:t>Norms,</w:t>
                        </w:r>
                        <w:r>
                          <w:rPr>
                            <w:b/>
                            <w:i/>
                            <w:color w:val="374151"/>
                            <w:spacing w:val="-2"/>
                            <w:sz w:val="28"/>
                          </w:rPr>
                          <w:t> </w:t>
                        </w:r>
                        <w:r>
                          <w:rPr>
                            <w:b/>
                            <w:i/>
                            <w:color w:val="374151"/>
                            <w:sz w:val="28"/>
                          </w:rPr>
                          <w:t>Beliefs,</w:t>
                        </w:r>
                        <w:r>
                          <w:rPr>
                            <w:b/>
                            <w:i/>
                            <w:color w:val="374151"/>
                            <w:spacing w:val="-2"/>
                            <w:sz w:val="28"/>
                          </w:rPr>
                          <w:t> </w:t>
                        </w:r>
                        <w:r>
                          <w:rPr>
                            <w:b/>
                            <w:i/>
                            <w:color w:val="374151"/>
                            <w:sz w:val="28"/>
                          </w:rPr>
                          <w:t>and</w:t>
                        </w:r>
                        <w:r>
                          <w:rPr>
                            <w:b/>
                            <w:i/>
                            <w:color w:val="374151"/>
                            <w:spacing w:val="-2"/>
                            <w:sz w:val="28"/>
                          </w:rPr>
                          <w:t> </w:t>
                        </w:r>
                        <w:r>
                          <w:rPr>
                            <w:b/>
                            <w:i/>
                            <w:color w:val="374151"/>
                            <w:spacing w:val="-7"/>
                            <w:sz w:val="28"/>
                          </w:rPr>
                          <w:t>Values</w:t>
                        </w:r>
                      </w:p>
                    </w:txbxContent>
                  </v:textbox>
                  <v:fill type="solid"/>
                  <w10:wrap type="none"/>
                </v:shape>
                <v:shape style="position:absolute;left:1680;top:395;width:1440;height:620" type="#_x0000_t202" id="docshape142" filled="true" fillcolor="#f7f7f8" stroked="false">
                  <v:textbox inset="0,0,0,0">
                    <w:txbxContent>
                      <w:p>
                        <w:pPr>
                          <w:spacing w:line="308" w:lineRule="exact" w:before="0"/>
                          <w:ind w:left="0" w:right="0" w:firstLine="0"/>
                          <w:jc w:val="left"/>
                          <w:rPr>
                            <w:color w:val="000000"/>
                            <w:sz w:val="28"/>
                          </w:rPr>
                        </w:pPr>
                        <w:r>
                          <w:rPr>
                            <w:color w:val="374151"/>
                            <w:spacing w:val="-2"/>
                            <w:sz w:val="28"/>
                          </w:rPr>
                          <w:t>landscape.</w:t>
                        </w:r>
                      </w:p>
                    </w:txbxContent>
                  </v:textbox>
                  <v:fill type="solid"/>
                  <w10:wrap type="none"/>
                </v:shape>
                <w10:wrap type="topAndBottom"/>
              </v:group>
            </w:pict>
          </mc:Fallback>
        </mc:AlternateContent>
      </w:r>
      <w:r>
        <w:rPr>
          <w:color w:val="374151"/>
          <w:shd w:fill="F7F7F8" w:color="auto" w:val="clear"/>
        </w:rPr>
        <w:t>hypersexualization,</w:t>
      </w:r>
      <w:r>
        <w:rPr>
          <w:color w:val="374151"/>
          <w:spacing w:val="-5"/>
          <w:shd w:fill="F7F7F8" w:color="auto" w:val="clear"/>
        </w:rPr>
        <w:t> </w:t>
      </w:r>
      <w:r>
        <w:rPr>
          <w:color w:val="374151"/>
          <w:shd w:fill="F7F7F8" w:color="auto" w:val="clear"/>
        </w:rPr>
        <w:t>creating</w:t>
      </w:r>
      <w:r>
        <w:rPr>
          <w:color w:val="374151"/>
          <w:spacing w:val="-2"/>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complex</w:t>
      </w:r>
      <w:r>
        <w:rPr>
          <w:color w:val="374151"/>
          <w:spacing w:val="-3"/>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sometimes</w:t>
      </w:r>
      <w:r>
        <w:rPr>
          <w:color w:val="374151"/>
          <w:spacing w:val="-2"/>
          <w:shd w:fill="F7F7F8" w:color="auto" w:val="clear"/>
        </w:rPr>
        <w:t> contradictory</w:t>
      </w:r>
      <w:r>
        <w:rPr>
          <w:color w:val="374151"/>
          <w:spacing w:val="40"/>
          <w:shd w:fill="F7F7F8" w:color="auto" w:val="clear"/>
        </w:rPr>
        <w:t> </w:t>
      </w:r>
    </w:p>
    <w:p>
      <w:pPr>
        <w:pStyle w:val="BodyText"/>
        <w:spacing w:line="237" w:lineRule="auto" w:after="8"/>
        <w:ind w:left="280" w:right="499"/>
      </w:pPr>
      <w:r>
        <w:rPr>
          <w:color w:val="374151"/>
          <w:shd w:fill="F7F7F8" w:color="auto" w:val="clear"/>
        </w:rPr>
        <w:t>Catholicism has historically been a dominant religion within Hispanic/Latinx </w:t>
      </w:r>
      <w:r>
        <w:rPr>
          <w:color w:val="374151"/>
        </w:rPr>
        <w:t> </w:t>
      </w:r>
      <w:r>
        <w:rPr>
          <w:color w:val="374151"/>
          <w:shd w:fill="F7F7F8" w:color="auto" w:val="clear"/>
        </w:rPr>
        <w:t>cultures, influencing sexual norms and values. The concept of machismo, </w:t>
      </w:r>
      <w:r>
        <w:rPr>
          <w:color w:val="374151"/>
        </w:rPr>
        <w:t> </w:t>
      </w:r>
      <w:r>
        <w:rPr>
          <w:color w:val="374151"/>
          <w:shd w:fill="F7F7F8" w:color="auto" w:val="clear"/>
        </w:rPr>
        <w:t>which emphasizes male dominance and traditional gender roles, can influence</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195320" cy="787400"/>
                <wp:effectExtent l="0" t="0" r="0" b="3175"/>
                <wp:docPr id="144" name="Group 144"/>
                <wp:cNvGraphicFramePr>
                  <a:graphicFrameLocks/>
                </wp:cNvGraphicFramePr>
                <a:graphic>
                  <a:graphicData uri="http://schemas.microsoft.com/office/word/2010/wordprocessingGroup">
                    <wpg:wgp>
                      <wpg:cNvPr id="144" name="Group 144"/>
                      <wpg:cNvGrpSpPr/>
                      <wpg:grpSpPr>
                        <a:xfrm>
                          <a:off x="0" y="0"/>
                          <a:ext cx="3195320" cy="787400"/>
                          <a:chExt cx="3195320" cy="787400"/>
                        </a:xfrm>
                      </wpg:grpSpPr>
                      <wps:wsp>
                        <wps:cNvPr id="145" name="Textbox 145"/>
                        <wps:cNvSpPr txBox="1"/>
                        <wps:spPr>
                          <a:xfrm>
                            <a:off x="0" y="393700"/>
                            <a:ext cx="310642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Familismo</w:t>
                              </w:r>
                              <w:r>
                                <w:rPr>
                                  <w:b/>
                                  <w:color w:val="665082"/>
                                  <w:spacing w:val="-4"/>
                                  <w:sz w:val="28"/>
                                </w:rPr>
                                <w:t> </w:t>
                              </w:r>
                              <w:r>
                                <w:rPr>
                                  <w:b/>
                                  <w:color w:val="665082"/>
                                  <w:sz w:val="28"/>
                                </w:rPr>
                                <w:t>and</w:t>
                              </w:r>
                              <w:r>
                                <w:rPr>
                                  <w:b/>
                                  <w:color w:val="665082"/>
                                  <w:spacing w:val="-2"/>
                                  <w:sz w:val="28"/>
                                </w:rPr>
                                <w:t> </w:t>
                              </w:r>
                              <w:r>
                                <w:rPr>
                                  <w:b/>
                                  <w:color w:val="665082"/>
                                  <w:sz w:val="28"/>
                                </w:rPr>
                                <w:t>the</w:t>
                              </w:r>
                              <w:r>
                                <w:rPr>
                                  <w:b/>
                                  <w:color w:val="665082"/>
                                  <w:spacing w:val="-2"/>
                                  <w:sz w:val="28"/>
                                </w:rPr>
                                <w:t> </w:t>
                              </w:r>
                              <w:r>
                                <w:rPr>
                                  <w:b/>
                                  <w:color w:val="665082"/>
                                  <w:sz w:val="28"/>
                                </w:rPr>
                                <w:t>importance</w:t>
                              </w:r>
                              <w:r>
                                <w:rPr>
                                  <w:b/>
                                  <w:color w:val="665082"/>
                                  <w:spacing w:val="-3"/>
                                  <w:sz w:val="28"/>
                                </w:rPr>
                                <w:t> </w:t>
                              </w:r>
                              <w:r>
                                <w:rPr>
                                  <w:b/>
                                  <w:color w:val="665082"/>
                                  <w:sz w:val="28"/>
                                </w:rPr>
                                <w:t>of</w:t>
                              </w:r>
                              <w:r>
                                <w:rPr>
                                  <w:b/>
                                  <w:color w:val="665082"/>
                                  <w:spacing w:val="-1"/>
                                  <w:sz w:val="28"/>
                                </w:rPr>
                                <w:t> </w:t>
                              </w:r>
                              <w:r>
                                <w:rPr>
                                  <w:b/>
                                  <w:color w:val="665082"/>
                                  <w:spacing w:val="-2"/>
                                  <w:sz w:val="28"/>
                                </w:rPr>
                                <w:t>family:</w:t>
                              </w:r>
                            </w:p>
                          </w:txbxContent>
                        </wps:txbx>
                        <wps:bodyPr wrap="square" lIns="0" tIns="0" rIns="0" bIns="0" rtlCol="0">
                          <a:noAutofit/>
                        </wps:bodyPr>
                      </wps:wsp>
                      <wps:wsp>
                        <wps:cNvPr id="146" name="Textbox 146"/>
                        <wps:cNvSpPr txBox="1"/>
                        <wps:spPr>
                          <a:xfrm>
                            <a:off x="0" y="0"/>
                            <a:ext cx="3195320" cy="393700"/>
                          </a:xfrm>
                          <a:prstGeom prst="rect">
                            <a:avLst/>
                          </a:prstGeom>
                          <a:solidFill>
                            <a:srgbClr val="F7F7F8"/>
                          </a:solidFill>
                        </wps:spPr>
                        <wps:txbx>
                          <w:txbxContent>
                            <w:p>
                              <w:pPr>
                                <w:spacing w:line="308" w:lineRule="exact" w:before="0"/>
                                <w:ind w:left="0" w:right="0" w:firstLine="0"/>
                                <w:jc w:val="left"/>
                                <w:rPr>
                                  <w:color w:val="000000"/>
                                  <w:sz w:val="28"/>
                                </w:rPr>
                              </w:pPr>
                              <w:r>
                                <w:rPr>
                                  <w:color w:val="374151"/>
                                  <w:sz w:val="28"/>
                                </w:rPr>
                                <w:t>attitudes</w:t>
                              </w:r>
                              <w:r>
                                <w:rPr>
                                  <w:color w:val="374151"/>
                                  <w:spacing w:val="-3"/>
                                  <w:sz w:val="28"/>
                                </w:rPr>
                                <w:t> </w:t>
                              </w:r>
                              <w:r>
                                <w:rPr>
                                  <w:color w:val="374151"/>
                                  <w:sz w:val="28"/>
                                </w:rPr>
                                <w:t>towards</w:t>
                              </w:r>
                              <w:r>
                                <w:rPr>
                                  <w:color w:val="374151"/>
                                  <w:spacing w:val="-2"/>
                                  <w:sz w:val="28"/>
                                </w:rPr>
                                <w:t> </w:t>
                              </w:r>
                              <w:r>
                                <w:rPr>
                                  <w:color w:val="374151"/>
                                  <w:sz w:val="28"/>
                                </w:rPr>
                                <w:t>sexuality</w:t>
                              </w:r>
                              <w:r>
                                <w:rPr>
                                  <w:color w:val="374151"/>
                                  <w:spacing w:val="-2"/>
                                  <w:sz w:val="28"/>
                                </w:rPr>
                                <w:t> </w:t>
                              </w:r>
                              <w:r>
                                <w:rPr>
                                  <w:color w:val="374151"/>
                                  <w:sz w:val="28"/>
                                </w:rPr>
                                <w:t>and</w:t>
                              </w:r>
                              <w:r>
                                <w:rPr>
                                  <w:color w:val="374151"/>
                                  <w:spacing w:val="-2"/>
                                  <w:sz w:val="28"/>
                                </w:rPr>
                                <w:t> relationships.</w:t>
                              </w:r>
                            </w:p>
                          </w:txbxContent>
                        </wps:txbx>
                        <wps:bodyPr wrap="square" lIns="0" tIns="0" rIns="0" bIns="0" rtlCol="0">
                          <a:noAutofit/>
                        </wps:bodyPr>
                      </wps:wsp>
                    </wpg:wgp>
                  </a:graphicData>
                </a:graphic>
              </wp:inline>
            </w:drawing>
          </mc:Choice>
          <mc:Fallback>
            <w:pict>
              <v:group style="width:251.6pt;height:62pt;mso-position-horizontal-relative:char;mso-position-vertical-relative:line" id="docshapegroup143" coordorigin="0,0" coordsize="5032,1240">
                <v:shape style="position:absolute;left:0;top:620;width:4892;height:620" type="#_x0000_t202" id="docshape144" filled="true" fillcolor="#f7f7f8" stroked="false">
                  <v:textbox inset="0,0,0,0">
                    <w:txbxContent>
                      <w:p>
                        <w:pPr>
                          <w:spacing w:line="308" w:lineRule="exact" w:before="0"/>
                          <w:ind w:left="0" w:right="-15" w:firstLine="0"/>
                          <w:jc w:val="left"/>
                          <w:rPr>
                            <w:b/>
                            <w:color w:val="000000"/>
                            <w:sz w:val="28"/>
                          </w:rPr>
                        </w:pPr>
                        <w:r>
                          <w:rPr>
                            <w:b/>
                            <w:color w:val="665082"/>
                            <w:sz w:val="28"/>
                          </w:rPr>
                          <w:t>Familismo</w:t>
                        </w:r>
                        <w:r>
                          <w:rPr>
                            <w:b/>
                            <w:color w:val="665082"/>
                            <w:spacing w:val="-4"/>
                            <w:sz w:val="28"/>
                          </w:rPr>
                          <w:t> </w:t>
                        </w:r>
                        <w:r>
                          <w:rPr>
                            <w:b/>
                            <w:color w:val="665082"/>
                            <w:sz w:val="28"/>
                          </w:rPr>
                          <w:t>and</w:t>
                        </w:r>
                        <w:r>
                          <w:rPr>
                            <w:b/>
                            <w:color w:val="665082"/>
                            <w:spacing w:val="-2"/>
                            <w:sz w:val="28"/>
                          </w:rPr>
                          <w:t> </w:t>
                        </w:r>
                        <w:r>
                          <w:rPr>
                            <w:b/>
                            <w:color w:val="665082"/>
                            <w:sz w:val="28"/>
                          </w:rPr>
                          <w:t>the</w:t>
                        </w:r>
                        <w:r>
                          <w:rPr>
                            <w:b/>
                            <w:color w:val="665082"/>
                            <w:spacing w:val="-2"/>
                            <w:sz w:val="28"/>
                          </w:rPr>
                          <w:t> </w:t>
                        </w:r>
                        <w:r>
                          <w:rPr>
                            <w:b/>
                            <w:color w:val="665082"/>
                            <w:sz w:val="28"/>
                          </w:rPr>
                          <w:t>importance</w:t>
                        </w:r>
                        <w:r>
                          <w:rPr>
                            <w:b/>
                            <w:color w:val="665082"/>
                            <w:spacing w:val="-3"/>
                            <w:sz w:val="28"/>
                          </w:rPr>
                          <w:t> </w:t>
                        </w:r>
                        <w:r>
                          <w:rPr>
                            <w:b/>
                            <w:color w:val="665082"/>
                            <w:sz w:val="28"/>
                          </w:rPr>
                          <w:t>of</w:t>
                        </w:r>
                        <w:r>
                          <w:rPr>
                            <w:b/>
                            <w:color w:val="665082"/>
                            <w:spacing w:val="-1"/>
                            <w:sz w:val="28"/>
                          </w:rPr>
                          <w:t> </w:t>
                        </w:r>
                        <w:r>
                          <w:rPr>
                            <w:b/>
                            <w:color w:val="665082"/>
                            <w:spacing w:val="-2"/>
                            <w:sz w:val="28"/>
                          </w:rPr>
                          <w:t>family:</w:t>
                        </w:r>
                      </w:p>
                    </w:txbxContent>
                  </v:textbox>
                  <v:fill type="solid"/>
                  <w10:wrap type="none"/>
                </v:shape>
                <v:shape style="position:absolute;left:0;top:0;width:5032;height:620" type="#_x0000_t202" id="docshape145" filled="true" fillcolor="#f7f7f8" stroked="false">
                  <v:textbox inset="0,0,0,0">
                    <w:txbxContent>
                      <w:p>
                        <w:pPr>
                          <w:spacing w:line="308" w:lineRule="exact" w:before="0"/>
                          <w:ind w:left="0" w:right="0" w:firstLine="0"/>
                          <w:jc w:val="left"/>
                          <w:rPr>
                            <w:color w:val="000000"/>
                            <w:sz w:val="28"/>
                          </w:rPr>
                        </w:pPr>
                        <w:r>
                          <w:rPr>
                            <w:color w:val="374151"/>
                            <w:sz w:val="28"/>
                          </w:rPr>
                          <w:t>attitudes</w:t>
                        </w:r>
                        <w:r>
                          <w:rPr>
                            <w:color w:val="374151"/>
                            <w:spacing w:val="-3"/>
                            <w:sz w:val="28"/>
                          </w:rPr>
                          <w:t> </w:t>
                        </w:r>
                        <w:r>
                          <w:rPr>
                            <w:color w:val="374151"/>
                            <w:sz w:val="28"/>
                          </w:rPr>
                          <w:t>towards</w:t>
                        </w:r>
                        <w:r>
                          <w:rPr>
                            <w:color w:val="374151"/>
                            <w:spacing w:val="-2"/>
                            <w:sz w:val="28"/>
                          </w:rPr>
                          <w:t> </w:t>
                        </w:r>
                        <w:r>
                          <w:rPr>
                            <w:color w:val="374151"/>
                            <w:sz w:val="28"/>
                          </w:rPr>
                          <w:t>sexuality</w:t>
                        </w:r>
                        <w:r>
                          <w:rPr>
                            <w:color w:val="374151"/>
                            <w:spacing w:val="-2"/>
                            <w:sz w:val="28"/>
                          </w:rPr>
                          <w:t> </w:t>
                        </w:r>
                        <w:r>
                          <w:rPr>
                            <w:color w:val="374151"/>
                            <w:sz w:val="28"/>
                          </w:rPr>
                          <w:t>and</w:t>
                        </w:r>
                        <w:r>
                          <w:rPr>
                            <w:color w:val="374151"/>
                            <w:spacing w:val="-2"/>
                            <w:sz w:val="28"/>
                          </w:rPr>
                          <w:t> relationships.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Hispanic/Latinx</w:t>
      </w:r>
      <w:r>
        <w:rPr>
          <w:color w:val="374151"/>
          <w:spacing w:val="-4"/>
          <w:shd w:fill="F7F7F8" w:color="auto" w:val="clear"/>
        </w:rPr>
        <w:t> </w:t>
      </w:r>
      <w:r>
        <w:rPr>
          <w:color w:val="374151"/>
          <w:shd w:fill="F7F7F8" w:color="auto" w:val="clear"/>
        </w:rPr>
        <w:t>cultures</w:t>
      </w:r>
      <w:r>
        <w:rPr>
          <w:color w:val="374151"/>
          <w:spacing w:val="-2"/>
          <w:shd w:fill="F7F7F8" w:color="auto" w:val="clear"/>
        </w:rPr>
        <w:t> </w:t>
      </w:r>
      <w:r>
        <w:rPr>
          <w:color w:val="374151"/>
          <w:shd w:fill="F7F7F8" w:color="auto" w:val="clear"/>
        </w:rPr>
        <w:t>often</w:t>
      </w:r>
      <w:r>
        <w:rPr>
          <w:color w:val="374151"/>
          <w:spacing w:val="-2"/>
          <w:shd w:fill="F7F7F8" w:color="auto" w:val="clear"/>
        </w:rPr>
        <w:t> </w:t>
      </w:r>
      <w:r>
        <w:rPr>
          <w:color w:val="374151"/>
          <w:shd w:fill="F7F7F8" w:color="auto" w:val="clear"/>
        </w:rPr>
        <w:t>prioritize</w:t>
      </w:r>
      <w:r>
        <w:rPr>
          <w:color w:val="374151"/>
          <w:spacing w:val="-2"/>
          <w:shd w:fill="F7F7F8" w:color="auto" w:val="clear"/>
        </w:rPr>
        <w:t> </w:t>
      </w:r>
      <w:r>
        <w:rPr>
          <w:color w:val="374151"/>
          <w:shd w:fill="F7F7F8" w:color="auto" w:val="clear"/>
        </w:rPr>
        <w:t>family</w:t>
      </w:r>
      <w:r>
        <w:rPr>
          <w:color w:val="374151"/>
          <w:spacing w:val="-2"/>
          <w:shd w:fill="F7F7F8" w:color="auto" w:val="clear"/>
        </w:rPr>
        <w:t> </w:t>
      </w:r>
      <w:r>
        <w:rPr>
          <w:color w:val="374151"/>
          <w:shd w:fill="F7F7F8" w:color="auto" w:val="clear"/>
        </w:rPr>
        <w:t>cohesion</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pacing w:val="-2"/>
          <w:shd w:fill="F7F7F8" w:color="auto" w:val="clear"/>
        </w:rPr>
        <w:t>interdependence.</w:t>
      </w:r>
      <w:r>
        <w:rPr>
          <w:color w:val="374151"/>
          <w:spacing w:val="40"/>
          <w:shd w:fill="F7F7F8" w:color="auto" w:val="clear"/>
        </w:rPr>
        <w:t> </w:t>
      </w:r>
    </w:p>
    <w:p>
      <w:pPr>
        <w:pStyle w:val="BodyText"/>
        <w:ind w:left="280"/>
      </w:pPr>
      <w:r>
        <w:rPr/>
        <mc:AlternateContent>
          <mc:Choice Requires="wps">
            <w:drawing>
              <wp:anchor distT="0" distB="0" distL="0" distR="0" allowOverlap="1" layoutInCell="1" locked="0" behindDoc="1" simplePos="0" relativeHeight="487626240">
                <wp:simplePos x="0" y="0"/>
                <wp:positionH relativeFrom="page">
                  <wp:posOffset>1066800</wp:posOffset>
                </wp:positionH>
                <wp:positionV relativeFrom="paragraph">
                  <wp:posOffset>414611</wp:posOffset>
                </wp:positionV>
                <wp:extent cx="3605529" cy="787400"/>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3605529" cy="787400"/>
                          <a:chExt cx="3605529" cy="787400"/>
                        </a:xfrm>
                      </wpg:grpSpPr>
                      <wps:wsp>
                        <wps:cNvPr id="148" name="Textbox 148"/>
                        <wps:cNvSpPr txBox="1"/>
                        <wps:spPr>
                          <a:xfrm>
                            <a:off x="0" y="393700"/>
                            <a:ext cx="3605529"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665082"/>
                                  <w:sz w:val="28"/>
                                </w:rPr>
                                <w:t>Marianismo</w:t>
                              </w:r>
                              <w:r>
                                <w:rPr>
                                  <w:b/>
                                  <w:color w:val="665082"/>
                                  <w:spacing w:val="-4"/>
                                  <w:sz w:val="28"/>
                                </w:rPr>
                                <w:t> </w:t>
                              </w:r>
                              <w:r>
                                <w:rPr>
                                  <w:b/>
                                  <w:color w:val="665082"/>
                                  <w:sz w:val="28"/>
                                </w:rPr>
                                <w:t>and</w:t>
                              </w:r>
                              <w:r>
                                <w:rPr>
                                  <w:b/>
                                  <w:color w:val="665082"/>
                                  <w:spacing w:val="-1"/>
                                  <w:sz w:val="28"/>
                                </w:rPr>
                                <w:t> </w:t>
                              </w:r>
                              <w:r>
                                <w:rPr>
                                  <w:b/>
                                  <w:color w:val="665082"/>
                                  <w:sz w:val="28"/>
                                </w:rPr>
                                <w:t>its</w:t>
                              </w:r>
                              <w:r>
                                <w:rPr>
                                  <w:b/>
                                  <w:color w:val="665082"/>
                                  <w:spacing w:val="-2"/>
                                  <w:sz w:val="28"/>
                                </w:rPr>
                                <w:t> </w:t>
                              </w:r>
                              <w:r>
                                <w:rPr>
                                  <w:b/>
                                  <w:color w:val="665082"/>
                                  <w:sz w:val="28"/>
                                </w:rPr>
                                <w:t>impact</w:t>
                              </w:r>
                              <w:r>
                                <w:rPr>
                                  <w:b/>
                                  <w:color w:val="665082"/>
                                  <w:spacing w:val="-2"/>
                                  <w:sz w:val="28"/>
                                </w:rPr>
                                <w:t> </w:t>
                              </w:r>
                              <w:r>
                                <w:rPr>
                                  <w:b/>
                                  <w:color w:val="665082"/>
                                  <w:sz w:val="28"/>
                                </w:rPr>
                                <w:t>on</w:t>
                              </w:r>
                              <w:r>
                                <w:rPr>
                                  <w:b/>
                                  <w:color w:val="665082"/>
                                  <w:spacing w:val="-1"/>
                                  <w:sz w:val="28"/>
                                </w:rPr>
                                <w:t> </w:t>
                              </w:r>
                              <w:r>
                                <w:rPr>
                                  <w:b/>
                                  <w:color w:val="665082"/>
                                  <w:sz w:val="28"/>
                                </w:rPr>
                                <w:t>female</w:t>
                              </w:r>
                              <w:r>
                                <w:rPr>
                                  <w:b/>
                                  <w:color w:val="665082"/>
                                  <w:spacing w:val="-2"/>
                                  <w:sz w:val="28"/>
                                </w:rPr>
                                <w:t> sexuality:</w:t>
                              </w:r>
                            </w:p>
                          </w:txbxContent>
                        </wps:txbx>
                        <wps:bodyPr wrap="square" lIns="0" tIns="0" rIns="0" bIns="0" rtlCol="0">
                          <a:noAutofit/>
                        </wps:bodyPr>
                      </wps:wsp>
                      <wps:wsp>
                        <wps:cNvPr id="149" name="Textbox 149"/>
                        <wps:cNvSpPr txBox="1"/>
                        <wps:spPr>
                          <a:xfrm>
                            <a:off x="0" y="0"/>
                            <a:ext cx="115887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honor</w:t>
                              </w:r>
                              <w:r>
                                <w:rPr>
                                  <w:color w:val="374151"/>
                                  <w:spacing w:val="-1"/>
                                  <w:sz w:val="28"/>
                                </w:rPr>
                                <w:t> </w:t>
                              </w:r>
                              <w:r>
                                <w:rPr>
                                  <w:color w:val="374151"/>
                                  <w:sz w:val="28"/>
                                </w:rPr>
                                <w:t>and </w:t>
                              </w:r>
                              <w:r>
                                <w:rPr>
                                  <w:color w:val="374151"/>
                                  <w:spacing w:val="-4"/>
                                  <w:sz w:val="28"/>
                                </w:rPr>
                                <w:t>unity.</w:t>
                              </w:r>
                            </w:p>
                          </w:txbxContent>
                        </wps:txbx>
                        <wps:bodyPr wrap="square" lIns="0" tIns="0" rIns="0" bIns="0" rtlCol="0">
                          <a:noAutofit/>
                        </wps:bodyPr>
                      </wps:wsp>
                    </wpg:wgp>
                  </a:graphicData>
                </a:graphic>
              </wp:anchor>
            </w:drawing>
          </mc:Choice>
          <mc:Fallback>
            <w:pict>
              <v:group style="position:absolute;margin-left:84pt;margin-top:32.646584pt;width:283.9pt;height:62pt;mso-position-horizontal-relative:page;mso-position-vertical-relative:paragraph;z-index:-15690240;mso-wrap-distance-left:0;mso-wrap-distance-right:0" id="docshapegroup146" coordorigin="1680,653" coordsize="5678,1240">
                <v:shape style="position:absolute;left:1680;top:1272;width:5678;height:620" type="#_x0000_t202" id="docshape147" filled="true" fillcolor="#f7f7f8" stroked="false">
                  <v:textbox inset="0,0,0,0">
                    <w:txbxContent>
                      <w:p>
                        <w:pPr>
                          <w:spacing w:line="308" w:lineRule="exact" w:before="0"/>
                          <w:ind w:left="0" w:right="0" w:firstLine="0"/>
                          <w:jc w:val="left"/>
                          <w:rPr>
                            <w:b/>
                            <w:color w:val="000000"/>
                            <w:sz w:val="28"/>
                          </w:rPr>
                        </w:pPr>
                        <w:r>
                          <w:rPr>
                            <w:b/>
                            <w:color w:val="665082"/>
                            <w:sz w:val="28"/>
                          </w:rPr>
                          <w:t>Marianismo</w:t>
                        </w:r>
                        <w:r>
                          <w:rPr>
                            <w:b/>
                            <w:color w:val="665082"/>
                            <w:spacing w:val="-4"/>
                            <w:sz w:val="28"/>
                          </w:rPr>
                          <w:t> </w:t>
                        </w:r>
                        <w:r>
                          <w:rPr>
                            <w:b/>
                            <w:color w:val="665082"/>
                            <w:sz w:val="28"/>
                          </w:rPr>
                          <w:t>and</w:t>
                        </w:r>
                        <w:r>
                          <w:rPr>
                            <w:b/>
                            <w:color w:val="665082"/>
                            <w:spacing w:val="-1"/>
                            <w:sz w:val="28"/>
                          </w:rPr>
                          <w:t> </w:t>
                        </w:r>
                        <w:r>
                          <w:rPr>
                            <w:b/>
                            <w:color w:val="665082"/>
                            <w:sz w:val="28"/>
                          </w:rPr>
                          <w:t>its</w:t>
                        </w:r>
                        <w:r>
                          <w:rPr>
                            <w:b/>
                            <w:color w:val="665082"/>
                            <w:spacing w:val="-2"/>
                            <w:sz w:val="28"/>
                          </w:rPr>
                          <w:t> </w:t>
                        </w:r>
                        <w:r>
                          <w:rPr>
                            <w:b/>
                            <w:color w:val="665082"/>
                            <w:sz w:val="28"/>
                          </w:rPr>
                          <w:t>impact</w:t>
                        </w:r>
                        <w:r>
                          <w:rPr>
                            <w:b/>
                            <w:color w:val="665082"/>
                            <w:spacing w:val="-2"/>
                            <w:sz w:val="28"/>
                          </w:rPr>
                          <w:t> </w:t>
                        </w:r>
                        <w:r>
                          <w:rPr>
                            <w:b/>
                            <w:color w:val="665082"/>
                            <w:sz w:val="28"/>
                          </w:rPr>
                          <w:t>on</w:t>
                        </w:r>
                        <w:r>
                          <w:rPr>
                            <w:b/>
                            <w:color w:val="665082"/>
                            <w:spacing w:val="-1"/>
                            <w:sz w:val="28"/>
                          </w:rPr>
                          <w:t> </w:t>
                        </w:r>
                        <w:r>
                          <w:rPr>
                            <w:b/>
                            <w:color w:val="665082"/>
                            <w:sz w:val="28"/>
                          </w:rPr>
                          <w:t>female</w:t>
                        </w:r>
                        <w:r>
                          <w:rPr>
                            <w:b/>
                            <w:color w:val="665082"/>
                            <w:spacing w:val="-2"/>
                            <w:sz w:val="28"/>
                          </w:rPr>
                          <w:t> sexuality:</w:t>
                        </w:r>
                      </w:p>
                    </w:txbxContent>
                  </v:textbox>
                  <v:fill type="solid"/>
                  <w10:wrap type="none"/>
                </v:shape>
                <v:shape style="position:absolute;left:1680;top:652;width:1825;height:620" type="#_x0000_t202" id="docshape148" filled="true" fillcolor="#f7f7f8" stroked="false">
                  <v:textbox inset="0,0,0,0">
                    <w:txbxContent>
                      <w:p>
                        <w:pPr>
                          <w:spacing w:line="308" w:lineRule="exact" w:before="0"/>
                          <w:ind w:left="0" w:right="-15" w:firstLine="0"/>
                          <w:jc w:val="left"/>
                          <w:rPr>
                            <w:color w:val="000000"/>
                            <w:sz w:val="28"/>
                          </w:rPr>
                        </w:pPr>
                        <w:r>
                          <w:rPr>
                            <w:color w:val="374151"/>
                            <w:sz w:val="28"/>
                          </w:rPr>
                          <w:t>honor</w:t>
                        </w:r>
                        <w:r>
                          <w:rPr>
                            <w:color w:val="374151"/>
                            <w:spacing w:val="-1"/>
                            <w:sz w:val="28"/>
                          </w:rPr>
                          <w:t> </w:t>
                        </w:r>
                        <w:r>
                          <w:rPr>
                            <w:color w:val="374151"/>
                            <w:sz w:val="28"/>
                          </w:rPr>
                          <w:t>and </w:t>
                        </w:r>
                        <w:r>
                          <w:rPr>
                            <w:color w:val="374151"/>
                            <w:spacing w:val="-4"/>
                            <w:sz w:val="28"/>
                          </w:rPr>
                          <w:t>unity.</w:t>
                        </w:r>
                      </w:p>
                    </w:txbxContent>
                  </v:textbox>
                  <v:fill type="solid"/>
                  <w10:wrap type="none"/>
                </v:shape>
                <w10:wrap type="topAndBottom"/>
              </v:group>
            </w:pict>
          </mc:Fallback>
        </mc:AlternateContent>
      </w:r>
      <w:r>
        <w:rPr>
          <w:color w:val="374151"/>
          <w:shd w:fill="F7F7F8" w:color="auto" w:val="clear"/>
        </w:rPr>
        <w:t>Familismo, the strong sense of loyalty and obligation to the family, can shape </w:t>
      </w:r>
      <w:r>
        <w:rPr>
          <w:color w:val="374151"/>
        </w:rPr>
        <w:t> </w:t>
      </w:r>
      <w:r>
        <w:rPr>
          <w:color w:val="374151"/>
          <w:shd w:fill="F7F7F8" w:color="auto" w:val="clear"/>
        </w:rPr>
        <w:t>attitudes towards sexuality, emphasizing the importance of maintaining family</w:t>
      </w:r>
      <w:r>
        <w:rPr>
          <w:color w:val="374151"/>
          <w:spacing w:val="40"/>
          <w:shd w:fill="F7F7F8" w:color="auto" w:val="clear"/>
        </w:rPr>
        <w:t> </w:t>
      </w:r>
    </w:p>
    <w:p>
      <w:pPr>
        <w:pStyle w:val="BodyText"/>
        <w:spacing w:line="237" w:lineRule="auto" w:after="4"/>
        <w:ind w:left="280" w:right="791"/>
        <w:jc w:val="both"/>
      </w:pPr>
      <w:r>
        <w:rPr>
          <w:color w:val="374151"/>
          <w:shd w:fill="F7F7F8" w:color="auto" w:val="clear"/>
        </w:rPr>
        <w:t>Marianismo</w:t>
      </w:r>
      <w:r>
        <w:rPr>
          <w:color w:val="374151"/>
          <w:spacing w:val="-7"/>
          <w:shd w:fill="F7F7F8" w:color="auto" w:val="clear"/>
        </w:rPr>
        <w:t> </w:t>
      </w:r>
      <w:r>
        <w:rPr>
          <w:color w:val="374151"/>
          <w:shd w:fill="F7F7F8" w:color="auto" w:val="clear"/>
        </w:rPr>
        <w:t>refers</w:t>
      </w:r>
      <w:r>
        <w:rPr>
          <w:color w:val="374151"/>
          <w:spacing w:val="-7"/>
          <w:shd w:fill="F7F7F8" w:color="auto" w:val="clear"/>
        </w:rPr>
        <w:t> </w:t>
      </w:r>
      <w:r>
        <w:rPr>
          <w:color w:val="374151"/>
          <w:shd w:fill="F7F7F8" w:color="auto" w:val="clear"/>
        </w:rPr>
        <w:t>to</w:t>
      </w:r>
      <w:r>
        <w:rPr>
          <w:color w:val="374151"/>
          <w:spacing w:val="-7"/>
          <w:shd w:fill="F7F7F8" w:color="auto" w:val="clear"/>
        </w:rPr>
        <w:t> </w:t>
      </w:r>
      <w:r>
        <w:rPr>
          <w:color w:val="374151"/>
          <w:shd w:fill="F7F7F8" w:color="auto" w:val="clear"/>
        </w:rPr>
        <w:t>the</w:t>
      </w:r>
      <w:r>
        <w:rPr>
          <w:color w:val="374151"/>
          <w:spacing w:val="-8"/>
          <w:shd w:fill="F7F7F8" w:color="auto" w:val="clear"/>
        </w:rPr>
        <w:t> </w:t>
      </w:r>
      <w:r>
        <w:rPr>
          <w:color w:val="374151"/>
          <w:shd w:fill="F7F7F8" w:color="auto" w:val="clear"/>
        </w:rPr>
        <w:t>cultural</w:t>
      </w:r>
      <w:r>
        <w:rPr>
          <w:color w:val="374151"/>
          <w:spacing w:val="-7"/>
          <w:shd w:fill="F7F7F8" w:color="auto" w:val="clear"/>
        </w:rPr>
        <w:t> </w:t>
      </w:r>
      <w:r>
        <w:rPr>
          <w:color w:val="374151"/>
          <w:shd w:fill="F7F7F8" w:color="auto" w:val="clear"/>
        </w:rPr>
        <w:t>expectation</w:t>
      </w:r>
      <w:r>
        <w:rPr>
          <w:color w:val="374151"/>
          <w:spacing w:val="-7"/>
          <w:shd w:fill="F7F7F8" w:color="auto" w:val="clear"/>
        </w:rPr>
        <w:t> </w:t>
      </w:r>
      <w:r>
        <w:rPr>
          <w:color w:val="374151"/>
          <w:shd w:fill="F7F7F8" w:color="auto" w:val="clear"/>
        </w:rPr>
        <w:t>of</w:t>
      </w:r>
      <w:r>
        <w:rPr>
          <w:color w:val="374151"/>
          <w:spacing w:val="-7"/>
          <w:shd w:fill="F7F7F8" w:color="auto" w:val="clear"/>
        </w:rPr>
        <w:t> </w:t>
      </w:r>
      <w:r>
        <w:rPr>
          <w:color w:val="374151"/>
          <w:shd w:fill="F7F7F8" w:color="auto" w:val="clear"/>
        </w:rPr>
        <w:t>female</w:t>
      </w:r>
      <w:r>
        <w:rPr>
          <w:color w:val="374151"/>
          <w:spacing w:val="-8"/>
          <w:shd w:fill="F7F7F8" w:color="auto" w:val="clear"/>
        </w:rPr>
        <w:t> </w:t>
      </w:r>
      <w:r>
        <w:rPr>
          <w:color w:val="374151"/>
          <w:shd w:fill="F7F7F8" w:color="auto" w:val="clear"/>
        </w:rPr>
        <w:t>modesty,</w:t>
      </w:r>
      <w:r>
        <w:rPr>
          <w:color w:val="374151"/>
          <w:spacing w:val="-7"/>
          <w:shd w:fill="F7F7F8" w:color="auto" w:val="clear"/>
        </w:rPr>
        <w:t> </w:t>
      </w:r>
      <w:r>
        <w:rPr>
          <w:color w:val="374151"/>
          <w:shd w:fill="F7F7F8" w:color="auto" w:val="clear"/>
        </w:rPr>
        <w:t>purity,</w:t>
      </w:r>
      <w:r>
        <w:rPr>
          <w:color w:val="374151"/>
          <w:spacing w:val="-7"/>
          <w:shd w:fill="F7F7F8" w:color="auto" w:val="clear"/>
        </w:rPr>
        <w:t> </w:t>
      </w:r>
      <w:r>
        <w:rPr>
          <w:color w:val="374151"/>
          <w:shd w:fill="F7F7F8" w:color="auto" w:val="clear"/>
        </w:rPr>
        <w:t>and</w:t>
      </w:r>
      <w:r>
        <w:rPr>
          <w:color w:val="374151"/>
          <w:spacing w:val="-8"/>
          <w:shd w:fill="F7F7F8" w:color="auto" w:val="clear"/>
        </w:rPr>
        <w:t> </w:t>
      </w:r>
      <w:r>
        <w:rPr>
          <w:color w:val="374151"/>
          <w:spacing w:val="-8"/>
        </w:rPr>
        <w:t> </w:t>
      </w:r>
      <w:r>
        <w:rPr>
          <w:color w:val="374151"/>
          <w:shd w:fill="F7F7F8" w:color="auto" w:val="clear"/>
        </w:rPr>
        <w:t>self-sacrifice.</w:t>
      </w:r>
      <w:r>
        <w:rPr>
          <w:color w:val="374151"/>
          <w:spacing w:val="-6"/>
          <w:shd w:fill="F7F7F8" w:color="auto" w:val="clear"/>
        </w:rPr>
        <w:t> </w:t>
      </w:r>
      <w:r>
        <w:rPr>
          <w:color w:val="374151"/>
          <w:shd w:fill="F7F7F8" w:color="auto" w:val="clear"/>
        </w:rPr>
        <w:t>This concept can influence</w:t>
      </w:r>
      <w:r>
        <w:rPr>
          <w:color w:val="374151"/>
          <w:spacing w:val="-1"/>
          <w:shd w:fill="F7F7F8" w:color="auto" w:val="clear"/>
        </w:rPr>
        <w:t> </w:t>
      </w:r>
      <w:r>
        <w:rPr>
          <w:color w:val="374151"/>
          <w:shd w:fill="F7F7F8" w:color="auto" w:val="clear"/>
        </w:rPr>
        <w:t>the</w:t>
      </w:r>
      <w:r>
        <w:rPr>
          <w:color w:val="374151"/>
          <w:spacing w:val="-1"/>
          <w:shd w:fill="F7F7F8" w:color="auto" w:val="clear"/>
        </w:rPr>
        <w:t> </w:t>
      </w:r>
      <w:r>
        <w:rPr>
          <w:color w:val="374151"/>
          <w:shd w:fill="F7F7F8" w:color="auto" w:val="clear"/>
        </w:rPr>
        <w:t>sexual behavior and agency of</w:t>
      </w:r>
      <w:r>
        <w:rPr>
          <w:color w:val="374151"/>
          <w:spacing w:val="-1"/>
          <w:shd w:fill="F7F7F8" w:color="auto" w:val="clear"/>
        </w:rPr>
        <w:t> </w:t>
      </w:r>
      <w:r>
        <w:rPr>
          <w:color w:val="374151"/>
          <w:spacing w:val="-1"/>
        </w:rPr>
        <w:t> </w:t>
      </w:r>
      <w:r>
        <w:rPr>
          <w:color w:val="374151"/>
          <w:shd w:fill="F7F7F8" w:color="auto" w:val="clear"/>
        </w:rPr>
        <w:t>women within Hispanic/Latinx communities, potentially limiting their</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253230" cy="787400"/>
                <wp:effectExtent l="0" t="0" r="0" b="3175"/>
                <wp:docPr id="150" name="Group 150"/>
                <wp:cNvGraphicFramePr>
                  <a:graphicFrameLocks/>
                </wp:cNvGraphicFramePr>
                <a:graphic>
                  <a:graphicData uri="http://schemas.microsoft.com/office/word/2010/wordprocessingGroup">
                    <wpg:wgp>
                      <wpg:cNvPr id="150" name="Group 150"/>
                      <wpg:cNvGrpSpPr/>
                      <wpg:grpSpPr>
                        <a:xfrm>
                          <a:off x="0" y="0"/>
                          <a:ext cx="4253230" cy="787400"/>
                          <a:chExt cx="4253230" cy="787400"/>
                        </a:xfrm>
                      </wpg:grpSpPr>
                      <wps:wsp>
                        <wps:cNvPr id="151" name="Textbox 151"/>
                        <wps:cNvSpPr txBox="1"/>
                        <wps:spPr>
                          <a:xfrm>
                            <a:off x="0" y="393700"/>
                            <a:ext cx="4253230" cy="393700"/>
                          </a:xfrm>
                          <a:prstGeom prst="rect">
                            <a:avLst/>
                          </a:prstGeom>
                          <a:solidFill>
                            <a:srgbClr val="F7F7F8"/>
                          </a:solidFill>
                        </wps:spPr>
                        <wps:txbx>
                          <w:txbxContent>
                            <w:p>
                              <w:pPr>
                                <w:spacing w:line="308" w:lineRule="exact" w:before="0"/>
                                <w:ind w:left="0" w:right="-15" w:firstLine="0"/>
                                <w:jc w:val="left"/>
                                <w:rPr>
                                  <w:color w:val="000000"/>
                                  <w:sz w:val="28"/>
                                </w:rPr>
                              </w:pPr>
                              <w:r>
                                <w:rPr>
                                  <w:b/>
                                  <w:color w:val="665082"/>
                                  <w:sz w:val="28"/>
                                </w:rPr>
                                <w:t>Acculturation</w:t>
                              </w:r>
                              <w:r>
                                <w:rPr>
                                  <w:b/>
                                  <w:color w:val="665082"/>
                                  <w:spacing w:val="-3"/>
                                  <w:sz w:val="28"/>
                                </w:rPr>
                                <w:t> </w:t>
                              </w:r>
                              <w:r>
                                <w:rPr>
                                  <w:b/>
                                  <w:color w:val="665082"/>
                                  <w:sz w:val="28"/>
                                </w:rPr>
                                <w:t>and</w:t>
                              </w:r>
                              <w:r>
                                <w:rPr>
                                  <w:b/>
                                  <w:color w:val="665082"/>
                                  <w:spacing w:val="-3"/>
                                  <w:sz w:val="28"/>
                                </w:rPr>
                                <w:t> </w:t>
                              </w:r>
                              <w:r>
                                <w:rPr>
                                  <w:b/>
                                  <w:color w:val="665082"/>
                                  <w:sz w:val="28"/>
                                </w:rPr>
                                <w:t>changing</w:t>
                              </w:r>
                              <w:r>
                                <w:rPr>
                                  <w:b/>
                                  <w:color w:val="665082"/>
                                  <w:spacing w:val="-2"/>
                                  <w:sz w:val="28"/>
                                </w:rPr>
                                <w:t> </w:t>
                              </w:r>
                              <w:r>
                                <w:rPr>
                                  <w:b/>
                                  <w:color w:val="665082"/>
                                  <w:sz w:val="28"/>
                                </w:rPr>
                                <w:t>attitudes</w:t>
                              </w:r>
                              <w:r>
                                <w:rPr>
                                  <w:b/>
                                  <w:color w:val="665082"/>
                                  <w:spacing w:val="-3"/>
                                  <w:sz w:val="28"/>
                                </w:rPr>
                                <w:t> </w:t>
                              </w:r>
                              <w:r>
                                <w:rPr>
                                  <w:b/>
                                  <w:color w:val="665082"/>
                                  <w:sz w:val="28"/>
                                </w:rPr>
                                <w:t>towards</w:t>
                              </w:r>
                              <w:r>
                                <w:rPr>
                                  <w:b/>
                                  <w:color w:val="665082"/>
                                  <w:spacing w:val="-2"/>
                                  <w:sz w:val="28"/>
                                </w:rPr>
                                <w:t> sexuality</w:t>
                              </w:r>
                              <w:r>
                                <w:rPr>
                                  <w:color w:val="374151"/>
                                  <w:spacing w:val="-2"/>
                                  <w:sz w:val="28"/>
                                </w:rPr>
                                <w:t>:</w:t>
                              </w:r>
                            </w:p>
                          </w:txbxContent>
                        </wps:txbx>
                        <wps:bodyPr wrap="square" lIns="0" tIns="0" rIns="0" bIns="0" rtlCol="0">
                          <a:noAutofit/>
                        </wps:bodyPr>
                      </wps:wsp>
                      <wps:wsp>
                        <wps:cNvPr id="152" name="Textbox 152"/>
                        <wps:cNvSpPr txBox="1"/>
                        <wps:spPr>
                          <a:xfrm>
                            <a:off x="0" y="0"/>
                            <a:ext cx="236029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autonomy</w:t>
                              </w:r>
                              <w:r>
                                <w:rPr>
                                  <w:color w:val="374151"/>
                                  <w:spacing w:val="-2"/>
                                  <w:sz w:val="28"/>
                                </w:rPr>
                                <w:t> </w:t>
                              </w:r>
                              <w:r>
                                <w:rPr>
                                  <w:color w:val="374151"/>
                                  <w:sz w:val="28"/>
                                </w:rPr>
                                <w:t>and</w:t>
                              </w:r>
                              <w:r>
                                <w:rPr>
                                  <w:color w:val="374151"/>
                                  <w:spacing w:val="-1"/>
                                  <w:sz w:val="28"/>
                                </w:rPr>
                                <w:t> </w:t>
                              </w:r>
                              <w:r>
                                <w:rPr>
                                  <w:color w:val="374151"/>
                                  <w:sz w:val="28"/>
                                </w:rPr>
                                <w:t>sexual</w:t>
                              </w:r>
                              <w:r>
                                <w:rPr>
                                  <w:color w:val="374151"/>
                                  <w:spacing w:val="-1"/>
                                  <w:sz w:val="28"/>
                                </w:rPr>
                                <w:t> </w:t>
                              </w:r>
                              <w:r>
                                <w:rPr>
                                  <w:color w:val="374151"/>
                                  <w:spacing w:val="-2"/>
                                  <w:sz w:val="28"/>
                                </w:rPr>
                                <w:t>expression.</w:t>
                              </w:r>
                            </w:p>
                          </w:txbxContent>
                        </wps:txbx>
                        <wps:bodyPr wrap="square" lIns="0" tIns="0" rIns="0" bIns="0" rtlCol="0">
                          <a:noAutofit/>
                        </wps:bodyPr>
                      </wps:wsp>
                    </wpg:wgp>
                  </a:graphicData>
                </a:graphic>
              </wp:inline>
            </w:drawing>
          </mc:Choice>
          <mc:Fallback>
            <w:pict>
              <v:group style="width:334.9pt;height:62pt;mso-position-horizontal-relative:char;mso-position-vertical-relative:line" id="docshapegroup149" coordorigin="0,0" coordsize="6698,1240">
                <v:shape style="position:absolute;left:0;top:620;width:6698;height:620" type="#_x0000_t202" id="docshape150" filled="true" fillcolor="#f7f7f8" stroked="false">
                  <v:textbox inset="0,0,0,0">
                    <w:txbxContent>
                      <w:p>
                        <w:pPr>
                          <w:spacing w:line="308" w:lineRule="exact" w:before="0"/>
                          <w:ind w:left="0" w:right="-15" w:firstLine="0"/>
                          <w:jc w:val="left"/>
                          <w:rPr>
                            <w:color w:val="000000"/>
                            <w:sz w:val="28"/>
                          </w:rPr>
                        </w:pPr>
                        <w:r>
                          <w:rPr>
                            <w:b/>
                            <w:color w:val="665082"/>
                            <w:sz w:val="28"/>
                          </w:rPr>
                          <w:t>Acculturation</w:t>
                        </w:r>
                        <w:r>
                          <w:rPr>
                            <w:b/>
                            <w:color w:val="665082"/>
                            <w:spacing w:val="-3"/>
                            <w:sz w:val="28"/>
                          </w:rPr>
                          <w:t> </w:t>
                        </w:r>
                        <w:r>
                          <w:rPr>
                            <w:b/>
                            <w:color w:val="665082"/>
                            <w:sz w:val="28"/>
                          </w:rPr>
                          <w:t>and</w:t>
                        </w:r>
                        <w:r>
                          <w:rPr>
                            <w:b/>
                            <w:color w:val="665082"/>
                            <w:spacing w:val="-3"/>
                            <w:sz w:val="28"/>
                          </w:rPr>
                          <w:t> </w:t>
                        </w:r>
                        <w:r>
                          <w:rPr>
                            <w:b/>
                            <w:color w:val="665082"/>
                            <w:sz w:val="28"/>
                          </w:rPr>
                          <w:t>changing</w:t>
                        </w:r>
                        <w:r>
                          <w:rPr>
                            <w:b/>
                            <w:color w:val="665082"/>
                            <w:spacing w:val="-2"/>
                            <w:sz w:val="28"/>
                          </w:rPr>
                          <w:t> </w:t>
                        </w:r>
                        <w:r>
                          <w:rPr>
                            <w:b/>
                            <w:color w:val="665082"/>
                            <w:sz w:val="28"/>
                          </w:rPr>
                          <w:t>attitudes</w:t>
                        </w:r>
                        <w:r>
                          <w:rPr>
                            <w:b/>
                            <w:color w:val="665082"/>
                            <w:spacing w:val="-3"/>
                            <w:sz w:val="28"/>
                          </w:rPr>
                          <w:t> </w:t>
                        </w:r>
                        <w:r>
                          <w:rPr>
                            <w:b/>
                            <w:color w:val="665082"/>
                            <w:sz w:val="28"/>
                          </w:rPr>
                          <w:t>towards</w:t>
                        </w:r>
                        <w:r>
                          <w:rPr>
                            <w:b/>
                            <w:color w:val="665082"/>
                            <w:spacing w:val="-2"/>
                            <w:sz w:val="28"/>
                          </w:rPr>
                          <w:t> sexuality</w:t>
                        </w:r>
                        <w:r>
                          <w:rPr>
                            <w:color w:val="374151"/>
                            <w:spacing w:val="-2"/>
                            <w:sz w:val="28"/>
                          </w:rPr>
                          <w:t>:</w:t>
                        </w:r>
                      </w:p>
                    </w:txbxContent>
                  </v:textbox>
                  <v:fill type="solid"/>
                  <w10:wrap type="none"/>
                </v:shape>
                <v:shape style="position:absolute;left:0;top:0;width:3717;height:620" type="#_x0000_t202" id="docshape151" filled="true" fillcolor="#f7f7f8" stroked="false">
                  <v:textbox inset="0,0,0,0">
                    <w:txbxContent>
                      <w:p>
                        <w:pPr>
                          <w:spacing w:line="308" w:lineRule="exact" w:before="0"/>
                          <w:ind w:left="0" w:right="-15" w:firstLine="0"/>
                          <w:jc w:val="left"/>
                          <w:rPr>
                            <w:color w:val="000000"/>
                            <w:sz w:val="28"/>
                          </w:rPr>
                        </w:pPr>
                        <w:r>
                          <w:rPr>
                            <w:color w:val="374151"/>
                            <w:sz w:val="28"/>
                          </w:rPr>
                          <w:t>autonomy</w:t>
                        </w:r>
                        <w:r>
                          <w:rPr>
                            <w:color w:val="374151"/>
                            <w:spacing w:val="-2"/>
                            <w:sz w:val="28"/>
                          </w:rPr>
                          <w:t> </w:t>
                        </w:r>
                        <w:r>
                          <w:rPr>
                            <w:color w:val="374151"/>
                            <w:sz w:val="28"/>
                          </w:rPr>
                          <w:t>and</w:t>
                        </w:r>
                        <w:r>
                          <w:rPr>
                            <w:color w:val="374151"/>
                            <w:spacing w:val="-1"/>
                            <w:sz w:val="28"/>
                          </w:rPr>
                          <w:t> </w:t>
                        </w:r>
                        <w:r>
                          <w:rPr>
                            <w:color w:val="374151"/>
                            <w:sz w:val="28"/>
                          </w:rPr>
                          <w:t>sexual</w:t>
                        </w:r>
                        <w:r>
                          <w:rPr>
                            <w:color w:val="374151"/>
                            <w:spacing w:val="-1"/>
                            <w:sz w:val="28"/>
                          </w:rPr>
                          <w:t> </w:t>
                        </w:r>
                        <w:r>
                          <w:rPr>
                            <w:color w:val="374151"/>
                            <w:spacing w:val="-2"/>
                            <w:sz w:val="28"/>
                          </w:rPr>
                          <w:t>expression.</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Acculturation,</w:t>
      </w:r>
      <w:r>
        <w:rPr>
          <w:color w:val="374151"/>
          <w:spacing w:val="-2"/>
          <w:shd w:fill="F7F7F8" w:color="auto" w:val="clear"/>
        </w:rPr>
        <w:t> </w:t>
      </w:r>
      <w:r>
        <w:rPr>
          <w:color w:val="374151"/>
          <w:shd w:fill="F7F7F8" w:color="auto" w:val="clear"/>
        </w:rPr>
        <w:t>particularly</w:t>
      </w:r>
      <w:r>
        <w:rPr>
          <w:color w:val="374151"/>
          <w:spacing w:val="-1"/>
          <w:shd w:fill="F7F7F8" w:color="auto" w:val="clear"/>
        </w:rPr>
        <w:t> </w:t>
      </w:r>
      <w:r>
        <w:rPr>
          <w:color w:val="374151"/>
          <w:shd w:fill="F7F7F8" w:color="auto" w:val="clear"/>
        </w:rPr>
        <w:t>among</w:t>
      </w:r>
      <w:r>
        <w:rPr>
          <w:color w:val="374151"/>
          <w:spacing w:val="-2"/>
          <w:shd w:fill="F7F7F8" w:color="auto" w:val="clear"/>
        </w:rPr>
        <w:t> </w:t>
      </w:r>
      <w:r>
        <w:rPr>
          <w:color w:val="374151"/>
          <w:shd w:fill="F7F7F8" w:color="auto" w:val="clear"/>
        </w:rPr>
        <w:t>younger</w:t>
      </w:r>
      <w:r>
        <w:rPr>
          <w:color w:val="374151"/>
          <w:spacing w:val="-1"/>
          <w:shd w:fill="F7F7F8" w:color="auto" w:val="clear"/>
        </w:rPr>
        <w:t> </w:t>
      </w:r>
      <w:r>
        <w:rPr>
          <w:color w:val="374151"/>
          <w:shd w:fill="F7F7F8" w:color="auto" w:val="clear"/>
        </w:rPr>
        <w:t>generations,</w:t>
      </w:r>
      <w:r>
        <w:rPr>
          <w:color w:val="374151"/>
          <w:spacing w:val="-2"/>
          <w:shd w:fill="F7F7F8" w:color="auto" w:val="clear"/>
        </w:rPr>
        <w:t> </w:t>
      </w:r>
      <w:r>
        <w:rPr>
          <w:color w:val="374151"/>
          <w:shd w:fill="F7F7F8" w:color="auto" w:val="clear"/>
        </w:rPr>
        <w:t>has</w:t>
      </w:r>
      <w:r>
        <w:rPr>
          <w:color w:val="374151"/>
          <w:spacing w:val="-2"/>
          <w:shd w:fill="F7F7F8" w:color="auto" w:val="clear"/>
        </w:rPr>
        <w:t> </w:t>
      </w:r>
      <w:r>
        <w:rPr>
          <w:color w:val="374151"/>
          <w:shd w:fill="F7F7F8" w:color="auto" w:val="clear"/>
        </w:rPr>
        <w:t>led</w:t>
      </w:r>
      <w:r>
        <w:rPr>
          <w:color w:val="374151"/>
          <w:spacing w:val="-1"/>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shift</w:t>
      </w:r>
      <w:r>
        <w:rPr>
          <w:color w:val="374151"/>
          <w:spacing w:val="-1"/>
          <w:shd w:fill="F7F7F8" w:color="auto" w:val="clear"/>
        </w:rPr>
        <w:t> </w:t>
      </w:r>
      <w:r>
        <w:rPr>
          <w:color w:val="374151"/>
          <w:spacing w:val="-5"/>
          <w:shd w:fill="F7F7F8" w:color="auto" w:val="clear"/>
        </w:rPr>
        <w:t>in</w:t>
      </w:r>
      <w:r>
        <w:rPr>
          <w:color w:val="374151"/>
          <w:spacing w:val="40"/>
          <w:shd w:fill="F7F7F8" w:color="auto" w:val="clear"/>
        </w:rPr>
        <w:t> </w:t>
      </w:r>
    </w:p>
    <w:p>
      <w:pPr>
        <w:pStyle w:val="BodyText"/>
        <w:ind w:left="280" w:right="502"/>
      </w:pPr>
      <w:r>
        <w:rPr/>
        <mc:AlternateContent>
          <mc:Choice Requires="wps">
            <w:drawing>
              <wp:anchor distT="0" distB="0" distL="0" distR="0" allowOverlap="1" layoutInCell="1" locked="0" behindDoc="1" simplePos="0" relativeHeight="487627264">
                <wp:simplePos x="0" y="0"/>
                <wp:positionH relativeFrom="page">
                  <wp:posOffset>1066800</wp:posOffset>
                </wp:positionH>
                <wp:positionV relativeFrom="paragraph">
                  <wp:posOffset>414611</wp:posOffset>
                </wp:positionV>
                <wp:extent cx="4483100" cy="78740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4483100" cy="787400"/>
                          <a:chExt cx="4483100" cy="787400"/>
                        </a:xfrm>
                      </wpg:grpSpPr>
                      <wps:wsp>
                        <wps:cNvPr id="154" name="Textbox 154"/>
                        <wps:cNvSpPr txBox="1"/>
                        <wps:spPr>
                          <a:xfrm>
                            <a:off x="0" y="393700"/>
                            <a:ext cx="3925570"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Native</w:t>
                              </w:r>
                              <w:r>
                                <w:rPr>
                                  <w:b/>
                                  <w:i/>
                                  <w:color w:val="374151"/>
                                  <w:spacing w:val="-13"/>
                                  <w:sz w:val="28"/>
                                </w:rPr>
                                <w:t> </w:t>
                              </w:r>
                              <w:r>
                                <w:rPr>
                                  <w:b/>
                                  <w:i/>
                                  <w:color w:val="374151"/>
                                  <w:sz w:val="28"/>
                                </w:rPr>
                                <w:t>American</w:t>
                              </w:r>
                              <w:r>
                                <w:rPr>
                                  <w:b/>
                                  <w:i/>
                                  <w:color w:val="374151"/>
                                  <w:spacing w:val="-2"/>
                                  <w:sz w:val="28"/>
                                </w:rPr>
                                <w:t> </w:t>
                              </w:r>
                              <w:r>
                                <w:rPr>
                                  <w:b/>
                                  <w:i/>
                                  <w:color w:val="374151"/>
                                  <w:sz w:val="28"/>
                                </w:rPr>
                                <w:t>Cultural</w:t>
                              </w:r>
                              <w:r>
                                <w:rPr>
                                  <w:b/>
                                  <w:i/>
                                  <w:color w:val="374151"/>
                                  <w:spacing w:val="-1"/>
                                  <w:sz w:val="28"/>
                                </w:rPr>
                                <w:t> </w:t>
                              </w:r>
                              <w:r>
                                <w:rPr>
                                  <w:b/>
                                  <w:i/>
                                  <w:color w:val="374151"/>
                                  <w:sz w:val="28"/>
                                </w:rPr>
                                <w:t>Norms,</w:t>
                              </w:r>
                              <w:r>
                                <w:rPr>
                                  <w:b/>
                                  <w:i/>
                                  <w:color w:val="374151"/>
                                  <w:spacing w:val="-2"/>
                                  <w:sz w:val="28"/>
                                </w:rPr>
                                <w:t> </w:t>
                              </w:r>
                              <w:r>
                                <w:rPr>
                                  <w:b/>
                                  <w:i/>
                                  <w:color w:val="374151"/>
                                  <w:sz w:val="28"/>
                                </w:rPr>
                                <w:t>Beliefs,</w:t>
                              </w:r>
                              <w:r>
                                <w:rPr>
                                  <w:b/>
                                  <w:i/>
                                  <w:color w:val="374151"/>
                                  <w:spacing w:val="-2"/>
                                  <w:sz w:val="28"/>
                                </w:rPr>
                                <w:t> </w:t>
                              </w:r>
                              <w:r>
                                <w:rPr>
                                  <w:b/>
                                  <w:i/>
                                  <w:color w:val="374151"/>
                                  <w:sz w:val="28"/>
                                </w:rPr>
                                <w:t>and</w:t>
                              </w:r>
                              <w:r>
                                <w:rPr>
                                  <w:b/>
                                  <w:i/>
                                  <w:color w:val="374151"/>
                                  <w:spacing w:val="-1"/>
                                  <w:sz w:val="28"/>
                                </w:rPr>
                                <w:t> </w:t>
                              </w:r>
                              <w:r>
                                <w:rPr>
                                  <w:b/>
                                  <w:i/>
                                  <w:color w:val="374151"/>
                                  <w:spacing w:val="-6"/>
                                  <w:sz w:val="28"/>
                                </w:rPr>
                                <w:t>Values</w:t>
                              </w:r>
                            </w:p>
                          </w:txbxContent>
                        </wps:txbx>
                        <wps:bodyPr wrap="square" lIns="0" tIns="0" rIns="0" bIns="0" rtlCol="0">
                          <a:noAutofit/>
                        </wps:bodyPr>
                      </wps:wsp>
                      <wps:wsp>
                        <wps:cNvPr id="155" name="Textbox 155"/>
                        <wps:cNvSpPr txBox="1"/>
                        <wps:spPr>
                          <a:xfrm>
                            <a:off x="0" y="0"/>
                            <a:ext cx="448310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sexuality</w:t>
                              </w:r>
                              <w:r>
                                <w:rPr>
                                  <w:color w:val="374151"/>
                                  <w:spacing w:val="-5"/>
                                  <w:sz w:val="28"/>
                                </w:rPr>
                                <w:t> </w:t>
                              </w:r>
                              <w:r>
                                <w:rPr>
                                  <w:color w:val="374151"/>
                                  <w:sz w:val="28"/>
                                </w:rPr>
                                <w:t>and</w:t>
                              </w:r>
                              <w:r>
                                <w:rPr>
                                  <w:color w:val="374151"/>
                                  <w:spacing w:val="-2"/>
                                  <w:sz w:val="28"/>
                                </w:rPr>
                                <w:t> </w:t>
                              </w:r>
                              <w:r>
                                <w:rPr>
                                  <w:color w:val="374151"/>
                                  <w:sz w:val="28"/>
                                </w:rPr>
                                <w:t>greater</w:t>
                              </w:r>
                              <w:r>
                                <w:rPr>
                                  <w:color w:val="374151"/>
                                  <w:spacing w:val="-2"/>
                                  <w:sz w:val="28"/>
                                </w:rPr>
                                <w:t> </w:t>
                              </w:r>
                              <w:r>
                                <w:rPr>
                                  <w:color w:val="374151"/>
                                  <w:sz w:val="28"/>
                                </w:rPr>
                                <w:t>acceptance</w:t>
                              </w:r>
                              <w:r>
                                <w:rPr>
                                  <w:color w:val="374151"/>
                                  <w:spacing w:val="-4"/>
                                  <w:sz w:val="28"/>
                                </w:rPr>
                                <w:t> </w:t>
                              </w:r>
                              <w:r>
                                <w:rPr>
                                  <w:color w:val="374151"/>
                                  <w:sz w:val="28"/>
                                </w:rPr>
                                <w:t>of</w:t>
                              </w:r>
                              <w:r>
                                <w:rPr>
                                  <w:color w:val="374151"/>
                                  <w:spacing w:val="-2"/>
                                  <w:sz w:val="28"/>
                                </w:rPr>
                                <w:t> </w:t>
                              </w:r>
                              <w:r>
                                <w:rPr>
                                  <w:color w:val="374151"/>
                                  <w:sz w:val="28"/>
                                </w:rPr>
                                <w:t>diverse</w:t>
                              </w:r>
                              <w:r>
                                <w:rPr>
                                  <w:color w:val="374151"/>
                                  <w:spacing w:val="-3"/>
                                  <w:sz w:val="28"/>
                                </w:rPr>
                                <w:t> </w:t>
                              </w:r>
                              <w:r>
                                <w:rPr>
                                  <w:color w:val="374151"/>
                                  <w:sz w:val="28"/>
                                </w:rPr>
                                <w:t>sexual</w:t>
                              </w:r>
                              <w:r>
                                <w:rPr>
                                  <w:color w:val="374151"/>
                                  <w:spacing w:val="-2"/>
                                  <w:sz w:val="28"/>
                                </w:rPr>
                                <w:t> orientations.</w:t>
                              </w:r>
                            </w:p>
                          </w:txbxContent>
                        </wps:txbx>
                        <wps:bodyPr wrap="square" lIns="0" tIns="0" rIns="0" bIns="0" rtlCol="0">
                          <a:noAutofit/>
                        </wps:bodyPr>
                      </wps:wsp>
                    </wpg:wgp>
                  </a:graphicData>
                </a:graphic>
              </wp:anchor>
            </w:drawing>
          </mc:Choice>
          <mc:Fallback>
            <w:pict>
              <v:group style="position:absolute;margin-left:84pt;margin-top:32.646584pt;width:353pt;height:62pt;mso-position-horizontal-relative:page;mso-position-vertical-relative:paragraph;z-index:-15689216;mso-wrap-distance-left:0;mso-wrap-distance-right:0" id="docshapegroup152" coordorigin="1680,653" coordsize="7060,1240">
                <v:shape style="position:absolute;left:1680;top:1272;width:6182;height:620" type="#_x0000_t202" id="docshape153" filled="true" fillcolor="#f7f7f8" stroked="false">
                  <v:textbox inset="0,0,0,0">
                    <w:txbxContent>
                      <w:p>
                        <w:pPr>
                          <w:spacing w:line="308" w:lineRule="exact" w:before="0"/>
                          <w:ind w:left="0" w:right="0" w:firstLine="0"/>
                          <w:jc w:val="left"/>
                          <w:rPr>
                            <w:b/>
                            <w:i/>
                            <w:color w:val="000000"/>
                            <w:sz w:val="28"/>
                          </w:rPr>
                        </w:pPr>
                        <w:r>
                          <w:rPr>
                            <w:b/>
                            <w:i/>
                            <w:color w:val="374151"/>
                            <w:sz w:val="28"/>
                          </w:rPr>
                          <w:t>Native</w:t>
                        </w:r>
                        <w:r>
                          <w:rPr>
                            <w:b/>
                            <w:i/>
                            <w:color w:val="374151"/>
                            <w:spacing w:val="-13"/>
                            <w:sz w:val="28"/>
                          </w:rPr>
                          <w:t> </w:t>
                        </w:r>
                        <w:r>
                          <w:rPr>
                            <w:b/>
                            <w:i/>
                            <w:color w:val="374151"/>
                            <w:sz w:val="28"/>
                          </w:rPr>
                          <w:t>American</w:t>
                        </w:r>
                        <w:r>
                          <w:rPr>
                            <w:b/>
                            <w:i/>
                            <w:color w:val="374151"/>
                            <w:spacing w:val="-2"/>
                            <w:sz w:val="28"/>
                          </w:rPr>
                          <w:t> </w:t>
                        </w:r>
                        <w:r>
                          <w:rPr>
                            <w:b/>
                            <w:i/>
                            <w:color w:val="374151"/>
                            <w:sz w:val="28"/>
                          </w:rPr>
                          <w:t>Cultural</w:t>
                        </w:r>
                        <w:r>
                          <w:rPr>
                            <w:b/>
                            <w:i/>
                            <w:color w:val="374151"/>
                            <w:spacing w:val="-1"/>
                            <w:sz w:val="28"/>
                          </w:rPr>
                          <w:t> </w:t>
                        </w:r>
                        <w:r>
                          <w:rPr>
                            <w:b/>
                            <w:i/>
                            <w:color w:val="374151"/>
                            <w:sz w:val="28"/>
                          </w:rPr>
                          <w:t>Norms,</w:t>
                        </w:r>
                        <w:r>
                          <w:rPr>
                            <w:b/>
                            <w:i/>
                            <w:color w:val="374151"/>
                            <w:spacing w:val="-2"/>
                            <w:sz w:val="28"/>
                          </w:rPr>
                          <w:t> </w:t>
                        </w:r>
                        <w:r>
                          <w:rPr>
                            <w:b/>
                            <w:i/>
                            <w:color w:val="374151"/>
                            <w:sz w:val="28"/>
                          </w:rPr>
                          <w:t>Beliefs,</w:t>
                        </w:r>
                        <w:r>
                          <w:rPr>
                            <w:b/>
                            <w:i/>
                            <w:color w:val="374151"/>
                            <w:spacing w:val="-2"/>
                            <w:sz w:val="28"/>
                          </w:rPr>
                          <w:t> </w:t>
                        </w:r>
                        <w:r>
                          <w:rPr>
                            <w:b/>
                            <w:i/>
                            <w:color w:val="374151"/>
                            <w:sz w:val="28"/>
                          </w:rPr>
                          <w:t>and</w:t>
                        </w:r>
                        <w:r>
                          <w:rPr>
                            <w:b/>
                            <w:i/>
                            <w:color w:val="374151"/>
                            <w:spacing w:val="-1"/>
                            <w:sz w:val="28"/>
                          </w:rPr>
                          <w:t> </w:t>
                        </w:r>
                        <w:r>
                          <w:rPr>
                            <w:b/>
                            <w:i/>
                            <w:color w:val="374151"/>
                            <w:spacing w:val="-6"/>
                            <w:sz w:val="28"/>
                          </w:rPr>
                          <w:t>Values</w:t>
                        </w:r>
                      </w:p>
                    </w:txbxContent>
                  </v:textbox>
                  <v:fill type="solid"/>
                  <w10:wrap type="none"/>
                </v:shape>
                <v:shape style="position:absolute;left:1680;top:652;width:7060;height:620" type="#_x0000_t202" id="docshape154" filled="true" fillcolor="#f7f7f8" stroked="false">
                  <v:textbox inset="0,0,0,0">
                    <w:txbxContent>
                      <w:p>
                        <w:pPr>
                          <w:spacing w:line="308" w:lineRule="exact" w:before="0"/>
                          <w:ind w:left="0" w:right="-15" w:firstLine="0"/>
                          <w:jc w:val="left"/>
                          <w:rPr>
                            <w:color w:val="000000"/>
                            <w:sz w:val="28"/>
                          </w:rPr>
                        </w:pPr>
                        <w:r>
                          <w:rPr>
                            <w:color w:val="374151"/>
                            <w:sz w:val="28"/>
                          </w:rPr>
                          <w:t>sexuality</w:t>
                        </w:r>
                        <w:r>
                          <w:rPr>
                            <w:color w:val="374151"/>
                            <w:spacing w:val="-5"/>
                            <w:sz w:val="28"/>
                          </w:rPr>
                          <w:t> </w:t>
                        </w:r>
                        <w:r>
                          <w:rPr>
                            <w:color w:val="374151"/>
                            <w:sz w:val="28"/>
                          </w:rPr>
                          <w:t>and</w:t>
                        </w:r>
                        <w:r>
                          <w:rPr>
                            <w:color w:val="374151"/>
                            <w:spacing w:val="-2"/>
                            <w:sz w:val="28"/>
                          </w:rPr>
                          <w:t> </w:t>
                        </w:r>
                        <w:r>
                          <w:rPr>
                            <w:color w:val="374151"/>
                            <w:sz w:val="28"/>
                          </w:rPr>
                          <w:t>greater</w:t>
                        </w:r>
                        <w:r>
                          <w:rPr>
                            <w:color w:val="374151"/>
                            <w:spacing w:val="-2"/>
                            <w:sz w:val="28"/>
                          </w:rPr>
                          <w:t> </w:t>
                        </w:r>
                        <w:r>
                          <w:rPr>
                            <w:color w:val="374151"/>
                            <w:sz w:val="28"/>
                          </w:rPr>
                          <w:t>acceptance</w:t>
                        </w:r>
                        <w:r>
                          <w:rPr>
                            <w:color w:val="374151"/>
                            <w:spacing w:val="-4"/>
                            <w:sz w:val="28"/>
                          </w:rPr>
                          <w:t> </w:t>
                        </w:r>
                        <w:r>
                          <w:rPr>
                            <w:color w:val="374151"/>
                            <w:sz w:val="28"/>
                          </w:rPr>
                          <w:t>of</w:t>
                        </w:r>
                        <w:r>
                          <w:rPr>
                            <w:color w:val="374151"/>
                            <w:spacing w:val="-2"/>
                            <w:sz w:val="28"/>
                          </w:rPr>
                          <w:t> </w:t>
                        </w:r>
                        <w:r>
                          <w:rPr>
                            <w:color w:val="374151"/>
                            <w:sz w:val="28"/>
                          </w:rPr>
                          <w:t>diverse</w:t>
                        </w:r>
                        <w:r>
                          <w:rPr>
                            <w:color w:val="374151"/>
                            <w:spacing w:val="-3"/>
                            <w:sz w:val="28"/>
                          </w:rPr>
                          <w:t> </w:t>
                        </w:r>
                        <w:r>
                          <w:rPr>
                            <w:color w:val="374151"/>
                            <w:sz w:val="28"/>
                          </w:rPr>
                          <w:t>sexual</w:t>
                        </w:r>
                        <w:r>
                          <w:rPr>
                            <w:color w:val="374151"/>
                            <w:spacing w:val="-2"/>
                            <w:sz w:val="28"/>
                          </w:rPr>
                          <w:t> orientations.</w:t>
                        </w:r>
                      </w:p>
                    </w:txbxContent>
                  </v:textbox>
                  <v:fill type="solid"/>
                  <w10:wrap type="none"/>
                </v:shape>
                <w10:wrap type="topAndBottom"/>
              </v:group>
            </w:pict>
          </mc:Fallback>
        </mc:AlternateContent>
      </w:r>
      <w:r>
        <w:rPr>
          <w:color w:val="374151"/>
          <w:shd w:fill="F7F7F8" w:color="auto" w:val="clear"/>
        </w:rPr>
        <w:t>attitudes towards sexuality. Exposure to</w:t>
      </w:r>
      <w:r>
        <w:rPr>
          <w:color w:val="374151"/>
          <w:spacing w:val="-4"/>
          <w:shd w:fill="F7F7F8" w:color="auto" w:val="clear"/>
        </w:rPr>
        <w:t> </w:t>
      </w:r>
      <w:r>
        <w:rPr>
          <w:color w:val="374151"/>
          <w:shd w:fill="F7F7F8" w:color="auto" w:val="clear"/>
        </w:rPr>
        <w:t>Western culture and increased </w:t>
      </w:r>
      <w:r>
        <w:rPr>
          <w:color w:val="374151"/>
        </w:rPr>
        <w:t> </w:t>
      </w:r>
      <w:r>
        <w:rPr>
          <w:color w:val="374151"/>
          <w:shd w:fill="F7F7F8" w:color="auto" w:val="clear"/>
        </w:rPr>
        <w:t>educational opportunities have contributed to more progressive views on</w:t>
      </w:r>
      <w:r>
        <w:rPr>
          <w:color w:val="374151"/>
          <w:spacing w:val="40"/>
          <w:shd w:fill="F7F7F8" w:color="auto" w:val="clear"/>
        </w:rPr>
        <w:t> </w:t>
      </w:r>
    </w:p>
    <w:p>
      <w:pPr>
        <w:pStyle w:val="Heading2"/>
        <w:spacing w:line="309" w:lineRule="exact"/>
      </w:pPr>
      <w:r>
        <w:rPr>
          <w:color w:val="665082"/>
          <w:shd w:fill="F7F7F8" w:color="auto" w:val="clear"/>
        </w:rPr>
        <w:t>Spirituality</w:t>
      </w:r>
      <w:r>
        <w:rPr>
          <w:color w:val="665082"/>
          <w:spacing w:val="-4"/>
          <w:shd w:fill="F7F7F8" w:color="auto" w:val="clear"/>
        </w:rPr>
        <w:t> </w:t>
      </w:r>
      <w:r>
        <w:rPr>
          <w:color w:val="665082"/>
          <w:shd w:fill="F7F7F8" w:color="auto" w:val="clear"/>
        </w:rPr>
        <w:t>and</w:t>
      </w:r>
      <w:r>
        <w:rPr>
          <w:color w:val="665082"/>
          <w:spacing w:val="-2"/>
          <w:shd w:fill="F7F7F8" w:color="auto" w:val="clear"/>
        </w:rPr>
        <w:t> </w:t>
      </w:r>
      <w:r>
        <w:rPr>
          <w:color w:val="665082"/>
          <w:shd w:fill="F7F7F8" w:color="auto" w:val="clear"/>
        </w:rPr>
        <w:t>connection</w:t>
      </w:r>
      <w:r>
        <w:rPr>
          <w:color w:val="665082"/>
          <w:spacing w:val="-2"/>
          <w:shd w:fill="F7F7F8" w:color="auto" w:val="clear"/>
        </w:rPr>
        <w:t> </w:t>
      </w:r>
      <w:r>
        <w:rPr>
          <w:color w:val="665082"/>
          <w:shd w:fill="F7F7F8" w:color="auto" w:val="clear"/>
        </w:rPr>
        <w:t>to</w:t>
      </w:r>
      <w:r>
        <w:rPr>
          <w:color w:val="665082"/>
          <w:spacing w:val="-2"/>
          <w:shd w:fill="F7F7F8" w:color="auto" w:val="clear"/>
        </w:rPr>
        <w:t> </w:t>
      </w:r>
      <w:r>
        <w:rPr>
          <w:color w:val="665082"/>
          <w:shd w:fill="F7F7F8" w:color="auto" w:val="clear"/>
        </w:rPr>
        <w:t>the</w:t>
      </w:r>
      <w:r>
        <w:rPr>
          <w:color w:val="665082"/>
          <w:spacing w:val="-2"/>
          <w:shd w:fill="F7F7F8" w:color="auto" w:val="clear"/>
        </w:rPr>
        <w:t> land:</w:t>
      </w:r>
    </w:p>
    <w:p>
      <w:pPr>
        <w:pStyle w:val="BodyText"/>
        <w:spacing w:before="7"/>
        <w:rPr>
          <w:b/>
          <w:sz w:val="27"/>
        </w:rPr>
      </w:pPr>
    </w:p>
    <w:p>
      <w:pPr>
        <w:pStyle w:val="BodyText"/>
        <w:ind w:left="280" w:right="502"/>
      </w:pPr>
      <w:r>
        <w:rPr>
          <w:color w:val="374151"/>
          <w:shd w:fill="F7F7F8" w:color="auto" w:val="clear"/>
        </w:rPr>
        <w:t>Native</w:t>
      </w:r>
      <w:r>
        <w:rPr>
          <w:color w:val="374151"/>
          <w:spacing w:val="-18"/>
          <w:shd w:fill="F7F7F8" w:color="auto" w:val="clear"/>
        </w:rPr>
        <w:t> </w:t>
      </w:r>
      <w:r>
        <w:rPr>
          <w:color w:val="374151"/>
          <w:shd w:fill="F7F7F8" w:color="auto" w:val="clear"/>
        </w:rPr>
        <w:t>American</w:t>
      </w:r>
      <w:r>
        <w:rPr>
          <w:color w:val="374151"/>
          <w:spacing w:val="-3"/>
          <w:shd w:fill="F7F7F8" w:color="auto" w:val="clear"/>
        </w:rPr>
        <w:t> </w:t>
      </w:r>
      <w:r>
        <w:rPr>
          <w:color w:val="374151"/>
          <w:shd w:fill="F7F7F8" w:color="auto" w:val="clear"/>
        </w:rPr>
        <w:t>cultures</w:t>
      </w:r>
      <w:r>
        <w:rPr>
          <w:color w:val="374151"/>
          <w:spacing w:val="-3"/>
          <w:shd w:fill="F7F7F8" w:color="auto" w:val="clear"/>
        </w:rPr>
        <w:t> </w:t>
      </w:r>
      <w:r>
        <w:rPr>
          <w:color w:val="374151"/>
          <w:shd w:fill="F7F7F8" w:color="auto" w:val="clear"/>
        </w:rPr>
        <w:t>have</w:t>
      </w:r>
      <w:r>
        <w:rPr>
          <w:color w:val="374151"/>
          <w:spacing w:val="-4"/>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strong</w:t>
      </w:r>
      <w:r>
        <w:rPr>
          <w:color w:val="374151"/>
          <w:spacing w:val="-3"/>
          <w:shd w:fill="F7F7F8" w:color="auto" w:val="clear"/>
        </w:rPr>
        <w:t> </w:t>
      </w:r>
      <w:r>
        <w:rPr>
          <w:color w:val="374151"/>
          <w:shd w:fill="F7F7F8" w:color="auto" w:val="clear"/>
        </w:rPr>
        <w:t>spiritual</w:t>
      </w:r>
      <w:r>
        <w:rPr>
          <w:color w:val="374151"/>
          <w:spacing w:val="-3"/>
          <w:shd w:fill="F7F7F8" w:color="auto" w:val="clear"/>
        </w:rPr>
        <w:t> </w:t>
      </w:r>
      <w:r>
        <w:rPr>
          <w:color w:val="374151"/>
          <w:shd w:fill="F7F7F8" w:color="auto" w:val="clear"/>
        </w:rPr>
        <w:t>connection</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land</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a</w:t>
      </w:r>
      <w:r>
        <w:rPr>
          <w:color w:val="374151"/>
          <w:spacing w:val="-3"/>
          <w:shd w:fill="F7F7F8" w:color="auto" w:val="clear"/>
        </w:rPr>
        <w:t> </w:t>
      </w:r>
      <w:r>
        <w:rPr>
          <w:color w:val="374151"/>
          <w:spacing w:val="-3"/>
        </w:rPr>
        <w:t> </w:t>
      </w:r>
      <w:r>
        <w:rPr>
          <w:color w:val="374151"/>
          <w:shd w:fill="F7F7F8" w:color="auto" w:val="clear"/>
        </w:rPr>
        <w:t>holistic understanding of sexuality. Many tribes view sexuality as a sacred </w:t>
      </w:r>
      <w:r>
        <w:rPr>
          <w:color w:val="374151"/>
        </w:rPr>
        <w:t> </w:t>
      </w:r>
      <w:r>
        <w:rPr>
          <w:color w:val="374151"/>
          <w:shd w:fill="F7F7F8" w:color="auto" w:val="clear"/>
        </w:rPr>
        <w:t>aspect of life, connected to the natural world and spiritual well-being.</w:t>
      </w:r>
    </w:p>
    <w:p>
      <w:pPr>
        <w:spacing w:after="0"/>
        <w:sectPr>
          <w:pgSz w:w="12240" w:h="15840"/>
          <w:pgMar w:header="0" w:footer="765" w:top="1260" w:bottom="980" w:left="1400" w:right="1180"/>
        </w:sectPr>
      </w:pPr>
    </w:p>
    <w:p>
      <w:pPr>
        <w:pStyle w:val="BodyText"/>
        <w:rPr>
          <w:sz w:val="20"/>
        </w:rPr>
      </w:pPr>
    </w:p>
    <w:p>
      <w:pPr>
        <w:pStyle w:val="BodyText"/>
        <w:rPr>
          <w:sz w:val="25"/>
        </w:rPr>
      </w:pPr>
    </w:p>
    <w:p>
      <w:pPr>
        <w:pStyle w:val="BodyText"/>
        <w:spacing w:before="88"/>
        <w:ind w:left="280" w:right="502"/>
      </w:pPr>
      <w:r>
        <w:rPr/>
        <mc:AlternateContent>
          <mc:Choice Requires="wps">
            <w:drawing>
              <wp:anchor distT="0" distB="0" distL="0" distR="0" allowOverlap="1" layoutInCell="1" locked="0" behindDoc="1" simplePos="0" relativeHeight="487627776">
                <wp:simplePos x="0" y="0"/>
                <wp:positionH relativeFrom="page">
                  <wp:posOffset>1066800</wp:posOffset>
                </wp:positionH>
                <wp:positionV relativeFrom="paragraph">
                  <wp:posOffset>673887</wp:posOffset>
                </wp:positionV>
                <wp:extent cx="3646804" cy="787400"/>
                <wp:effectExtent l="0" t="0" r="0" b="0"/>
                <wp:wrapTopAndBottom/>
                <wp:docPr id="156" name="Group 156"/>
                <wp:cNvGraphicFramePr>
                  <a:graphicFrameLocks/>
                </wp:cNvGraphicFramePr>
                <a:graphic>
                  <a:graphicData uri="http://schemas.microsoft.com/office/word/2010/wordprocessingGroup">
                    <wpg:wgp>
                      <wpg:cNvPr id="156" name="Group 156"/>
                      <wpg:cNvGrpSpPr/>
                      <wpg:grpSpPr>
                        <a:xfrm>
                          <a:off x="0" y="0"/>
                          <a:ext cx="3646804" cy="787400"/>
                          <a:chExt cx="3646804" cy="787400"/>
                        </a:xfrm>
                      </wpg:grpSpPr>
                      <wps:wsp>
                        <wps:cNvPr id="157" name="Textbox 157"/>
                        <wps:cNvSpPr txBox="1"/>
                        <wps:spPr>
                          <a:xfrm>
                            <a:off x="0" y="393700"/>
                            <a:ext cx="3646804"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Sexual</w:t>
                              </w:r>
                              <w:r>
                                <w:rPr>
                                  <w:b/>
                                  <w:color w:val="665082"/>
                                  <w:spacing w:val="-4"/>
                                  <w:sz w:val="28"/>
                                </w:rPr>
                                <w:t> </w:t>
                              </w:r>
                              <w:r>
                                <w:rPr>
                                  <w:b/>
                                  <w:color w:val="665082"/>
                                  <w:sz w:val="28"/>
                                </w:rPr>
                                <w:t>health</w:t>
                              </w:r>
                              <w:r>
                                <w:rPr>
                                  <w:b/>
                                  <w:color w:val="665082"/>
                                  <w:spacing w:val="-3"/>
                                  <w:sz w:val="28"/>
                                </w:rPr>
                                <w:t> </w:t>
                              </w:r>
                              <w:r>
                                <w:rPr>
                                  <w:b/>
                                  <w:color w:val="665082"/>
                                  <w:sz w:val="28"/>
                                </w:rPr>
                                <w:t>and</w:t>
                              </w:r>
                              <w:r>
                                <w:rPr>
                                  <w:b/>
                                  <w:color w:val="665082"/>
                                  <w:spacing w:val="-4"/>
                                  <w:sz w:val="28"/>
                                </w:rPr>
                                <w:t> </w:t>
                              </w:r>
                              <w:r>
                                <w:rPr>
                                  <w:b/>
                                  <w:color w:val="665082"/>
                                  <w:sz w:val="28"/>
                                </w:rPr>
                                <w:t>cultural</w:t>
                              </w:r>
                              <w:r>
                                <w:rPr>
                                  <w:b/>
                                  <w:color w:val="665082"/>
                                  <w:spacing w:val="-3"/>
                                  <w:sz w:val="28"/>
                                </w:rPr>
                                <w:t> </w:t>
                              </w:r>
                              <w:r>
                                <w:rPr>
                                  <w:b/>
                                  <w:color w:val="665082"/>
                                  <w:sz w:val="28"/>
                                </w:rPr>
                                <w:t>revitalization</w:t>
                              </w:r>
                              <w:r>
                                <w:rPr>
                                  <w:b/>
                                  <w:color w:val="665082"/>
                                  <w:spacing w:val="-3"/>
                                  <w:sz w:val="28"/>
                                </w:rPr>
                                <w:t> </w:t>
                              </w:r>
                              <w:r>
                                <w:rPr>
                                  <w:b/>
                                  <w:color w:val="665082"/>
                                  <w:spacing w:val="-2"/>
                                  <w:sz w:val="28"/>
                                </w:rPr>
                                <w:t>efforts:</w:t>
                              </w:r>
                            </w:p>
                          </w:txbxContent>
                        </wps:txbx>
                        <wps:bodyPr wrap="square" lIns="0" tIns="0" rIns="0" bIns="0" rtlCol="0">
                          <a:noAutofit/>
                        </wps:bodyPr>
                      </wps:wsp>
                      <wps:wsp>
                        <wps:cNvPr id="158" name="Textbox 158"/>
                        <wps:cNvSpPr txBox="1"/>
                        <wps:spPr>
                          <a:xfrm>
                            <a:off x="0" y="0"/>
                            <a:ext cx="346202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they</w:t>
                              </w:r>
                              <w:r>
                                <w:rPr>
                                  <w:color w:val="374151"/>
                                  <w:spacing w:val="-1"/>
                                  <w:sz w:val="28"/>
                                </w:rPr>
                                <w:t> </w:t>
                              </w:r>
                              <w:r>
                                <w:rPr>
                                  <w:color w:val="374151"/>
                                  <w:sz w:val="28"/>
                                </w:rPr>
                                <w:t>hold unique</w:t>
                              </w:r>
                              <w:r>
                                <w:rPr>
                                  <w:color w:val="374151"/>
                                  <w:spacing w:val="-2"/>
                                  <w:sz w:val="28"/>
                                </w:rPr>
                                <w:t> </w:t>
                              </w:r>
                              <w:r>
                                <w:rPr>
                                  <w:color w:val="374151"/>
                                  <w:sz w:val="28"/>
                                </w:rPr>
                                <w:t>roles within</w:t>
                              </w:r>
                              <w:r>
                                <w:rPr>
                                  <w:color w:val="374151"/>
                                  <w:spacing w:val="-1"/>
                                  <w:sz w:val="28"/>
                                </w:rPr>
                                <w:t> </w:t>
                              </w:r>
                              <w:r>
                                <w:rPr>
                                  <w:color w:val="374151"/>
                                  <w:sz w:val="28"/>
                                </w:rPr>
                                <w:t>their </w:t>
                              </w:r>
                              <w:r>
                                <w:rPr>
                                  <w:color w:val="374151"/>
                                  <w:spacing w:val="-2"/>
                                  <w:sz w:val="28"/>
                                </w:rPr>
                                <w:t>communities.</w:t>
                              </w:r>
                            </w:p>
                          </w:txbxContent>
                        </wps:txbx>
                        <wps:bodyPr wrap="square" lIns="0" tIns="0" rIns="0" bIns="0" rtlCol="0">
                          <a:noAutofit/>
                        </wps:bodyPr>
                      </wps:wsp>
                    </wpg:wgp>
                  </a:graphicData>
                </a:graphic>
              </wp:anchor>
            </w:drawing>
          </mc:Choice>
          <mc:Fallback>
            <w:pict>
              <v:group style="position:absolute;margin-left:84pt;margin-top:53.062pt;width:287.150pt;height:62pt;mso-position-horizontal-relative:page;mso-position-vertical-relative:paragraph;z-index:-15688704;mso-wrap-distance-left:0;mso-wrap-distance-right:0" id="docshapegroup155" coordorigin="1680,1061" coordsize="5743,1240">
                <v:shape style="position:absolute;left:1680;top:1681;width:5743;height:620" type="#_x0000_t202" id="docshape156" filled="true" fillcolor="#f7f7f8" stroked="false">
                  <v:textbox inset="0,0,0,0">
                    <w:txbxContent>
                      <w:p>
                        <w:pPr>
                          <w:spacing w:line="308" w:lineRule="exact" w:before="0"/>
                          <w:ind w:left="0" w:right="-15" w:firstLine="0"/>
                          <w:jc w:val="left"/>
                          <w:rPr>
                            <w:b/>
                            <w:color w:val="000000"/>
                            <w:sz w:val="28"/>
                          </w:rPr>
                        </w:pPr>
                        <w:r>
                          <w:rPr>
                            <w:b/>
                            <w:color w:val="665082"/>
                            <w:sz w:val="28"/>
                          </w:rPr>
                          <w:t>Sexual</w:t>
                        </w:r>
                        <w:r>
                          <w:rPr>
                            <w:b/>
                            <w:color w:val="665082"/>
                            <w:spacing w:val="-4"/>
                            <w:sz w:val="28"/>
                          </w:rPr>
                          <w:t> </w:t>
                        </w:r>
                        <w:r>
                          <w:rPr>
                            <w:b/>
                            <w:color w:val="665082"/>
                            <w:sz w:val="28"/>
                          </w:rPr>
                          <w:t>health</w:t>
                        </w:r>
                        <w:r>
                          <w:rPr>
                            <w:b/>
                            <w:color w:val="665082"/>
                            <w:spacing w:val="-3"/>
                            <w:sz w:val="28"/>
                          </w:rPr>
                          <w:t> </w:t>
                        </w:r>
                        <w:r>
                          <w:rPr>
                            <w:b/>
                            <w:color w:val="665082"/>
                            <w:sz w:val="28"/>
                          </w:rPr>
                          <w:t>and</w:t>
                        </w:r>
                        <w:r>
                          <w:rPr>
                            <w:b/>
                            <w:color w:val="665082"/>
                            <w:spacing w:val="-4"/>
                            <w:sz w:val="28"/>
                          </w:rPr>
                          <w:t> </w:t>
                        </w:r>
                        <w:r>
                          <w:rPr>
                            <w:b/>
                            <w:color w:val="665082"/>
                            <w:sz w:val="28"/>
                          </w:rPr>
                          <w:t>cultural</w:t>
                        </w:r>
                        <w:r>
                          <w:rPr>
                            <w:b/>
                            <w:color w:val="665082"/>
                            <w:spacing w:val="-3"/>
                            <w:sz w:val="28"/>
                          </w:rPr>
                          <w:t> </w:t>
                        </w:r>
                        <w:r>
                          <w:rPr>
                            <w:b/>
                            <w:color w:val="665082"/>
                            <w:sz w:val="28"/>
                          </w:rPr>
                          <w:t>revitalization</w:t>
                        </w:r>
                        <w:r>
                          <w:rPr>
                            <w:b/>
                            <w:color w:val="665082"/>
                            <w:spacing w:val="-3"/>
                            <w:sz w:val="28"/>
                          </w:rPr>
                          <w:t> </w:t>
                        </w:r>
                        <w:r>
                          <w:rPr>
                            <w:b/>
                            <w:color w:val="665082"/>
                            <w:spacing w:val="-2"/>
                            <w:sz w:val="28"/>
                          </w:rPr>
                          <w:t>efforts:</w:t>
                        </w:r>
                      </w:p>
                    </w:txbxContent>
                  </v:textbox>
                  <v:fill type="solid"/>
                  <w10:wrap type="none"/>
                </v:shape>
                <v:shape style="position:absolute;left:1680;top:1061;width:5452;height:620" type="#_x0000_t202" id="docshape157" filled="true" fillcolor="#f7f7f8" stroked="false">
                  <v:textbox inset="0,0,0,0">
                    <w:txbxContent>
                      <w:p>
                        <w:pPr>
                          <w:spacing w:line="308" w:lineRule="exact" w:before="0"/>
                          <w:ind w:left="0" w:right="-15" w:firstLine="0"/>
                          <w:jc w:val="left"/>
                          <w:rPr>
                            <w:color w:val="000000"/>
                            <w:sz w:val="28"/>
                          </w:rPr>
                        </w:pPr>
                        <w:r>
                          <w:rPr>
                            <w:color w:val="374151"/>
                            <w:sz w:val="28"/>
                          </w:rPr>
                          <w:t>they</w:t>
                        </w:r>
                        <w:r>
                          <w:rPr>
                            <w:color w:val="374151"/>
                            <w:spacing w:val="-1"/>
                            <w:sz w:val="28"/>
                          </w:rPr>
                          <w:t> </w:t>
                        </w:r>
                        <w:r>
                          <w:rPr>
                            <w:color w:val="374151"/>
                            <w:sz w:val="28"/>
                          </w:rPr>
                          <w:t>hold unique</w:t>
                        </w:r>
                        <w:r>
                          <w:rPr>
                            <w:color w:val="374151"/>
                            <w:spacing w:val="-2"/>
                            <w:sz w:val="28"/>
                          </w:rPr>
                          <w:t> </w:t>
                        </w:r>
                        <w:r>
                          <w:rPr>
                            <w:color w:val="374151"/>
                            <w:sz w:val="28"/>
                          </w:rPr>
                          <w:t>roles within</w:t>
                        </w:r>
                        <w:r>
                          <w:rPr>
                            <w:color w:val="374151"/>
                            <w:spacing w:val="-1"/>
                            <w:sz w:val="28"/>
                          </w:rPr>
                          <w:t> </w:t>
                        </w:r>
                        <w:r>
                          <w:rPr>
                            <w:color w:val="374151"/>
                            <w:sz w:val="28"/>
                          </w:rPr>
                          <w:t>their </w:t>
                        </w:r>
                        <w:r>
                          <w:rPr>
                            <w:color w:val="374151"/>
                            <w:spacing w:val="-2"/>
                            <w:sz w:val="28"/>
                          </w:rPr>
                          <w:t>communities.</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0" simplePos="0" relativeHeight="15771136">
                <wp:simplePos x="0" y="0"/>
                <wp:positionH relativeFrom="page">
                  <wp:posOffset>1066800</wp:posOffset>
                </wp:positionH>
                <wp:positionV relativeFrom="paragraph">
                  <wp:posOffset>-329015</wp:posOffset>
                </wp:positionV>
                <wp:extent cx="4096385" cy="39370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409638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Traditional</w:t>
                            </w:r>
                            <w:r>
                              <w:rPr>
                                <w:b/>
                                <w:color w:val="665082"/>
                                <w:spacing w:val="-12"/>
                                <w:sz w:val="28"/>
                              </w:rPr>
                              <w:t> </w:t>
                            </w:r>
                            <w:r>
                              <w:rPr>
                                <w:b/>
                                <w:color w:val="665082"/>
                                <w:sz w:val="28"/>
                              </w:rPr>
                              <w:t>views</w:t>
                            </w:r>
                            <w:r>
                              <w:rPr>
                                <w:b/>
                                <w:color w:val="665082"/>
                                <w:spacing w:val="-9"/>
                                <w:sz w:val="28"/>
                              </w:rPr>
                              <w:t> </w:t>
                            </w:r>
                            <w:r>
                              <w:rPr>
                                <w:b/>
                                <w:color w:val="665082"/>
                                <w:sz w:val="28"/>
                              </w:rPr>
                              <w:t>on</w:t>
                            </w:r>
                            <w:r>
                              <w:rPr>
                                <w:b/>
                                <w:color w:val="665082"/>
                                <w:spacing w:val="-9"/>
                                <w:sz w:val="28"/>
                              </w:rPr>
                              <w:t> </w:t>
                            </w:r>
                            <w:r>
                              <w:rPr>
                                <w:b/>
                                <w:color w:val="665082"/>
                                <w:sz w:val="28"/>
                              </w:rPr>
                              <w:t>gender</w:t>
                            </w:r>
                            <w:r>
                              <w:rPr>
                                <w:b/>
                                <w:color w:val="665082"/>
                                <w:spacing w:val="-14"/>
                                <w:sz w:val="28"/>
                              </w:rPr>
                              <w:t> </w:t>
                            </w:r>
                            <w:r>
                              <w:rPr>
                                <w:b/>
                                <w:color w:val="665082"/>
                                <w:sz w:val="28"/>
                              </w:rPr>
                              <w:t>and</w:t>
                            </w:r>
                            <w:r>
                              <w:rPr>
                                <w:b/>
                                <w:color w:val="665082"/>
                                <w:spacing w:val="-14"/>
                                <w:sz w:val="28"/>
                              </w:rPr>
                              <w:t> </w:t>
                            </w:r>
                            <w:r>
                              <w:rPr>
                                <w:b/>
                                <w:color w:val="665082"/>
                                <w:sz w:val="28"/>
                              </w:rPr>
                              <w:t>Two-Spirit</w:t>
                            </w:r>
                            <w:r>
                              <w:rPr>
                                <w:b/>
                                <w:color w:val="665082"/>
                                <w:spacing w:val="-9"/>
                                <w:sz w:val="28"/>
                              </w:rPr>
                              <w:t> </w:t>
                            </w:r>
                            <w:r>
                              <w:rPr>
                                <w:b/>
                                <w:color w:val="665082"/>
                                <w:spacing w:val="-2"/>
                                <w:sz w:val="28"/>
                              </w:rPr>
                              <w:t>identities:</w:t>
                            </w:r>
                          </w:p>
                        </w:txbxContent>
                      </wps:txbx>
                      <wps:bodyPr wrap="square" lIns="0" tIns="0" rIns="0" bIns="0" rtlCol="0">
                        <a:noAutofit/>
                      </wps:bodyPr>
                    </wps:wsp>
                  </a:graphicData>
                </a:graphic>
              </wp:anchor>
            </w:drawing>
          </mc:Choice>
          <mc:Fallback>
            <w:pict>
              <v:shape style="position:absolute;margin-left:84pt;margin-top:-25.906702pt;width:322.55pt;height:31pt;mso-position-horizontal-relative:page;mso-position-vertical-relative:paragraph;z-index:15771136" type="#_x0000_t202" id="docshape158" filled="true" fillcolor="#f7f7f8" stroked="false">
                <v:textbox inset="0,0,0,0">
                  <w:txbxContent>
                    <w:p>
                      <w:pPr>
                        <w:spacing w:line="308" w:lineRule="exact" w:before="0"/>
                        <w:ind w:left="0" w:right="-15" w:firstLine="0"/>
                        <w:jc w:val="left"/>
                        <w:rPr>
                          <w:b/>
                          <w:color w:val="000000"/>
                          <w:sz w:val="28"/>
                        </w:rPr>
                      </w:pPr>
                      <w:r>
                        <w:rPr>
                          <w:b/>
                          <w:color w:val="665082"/>
                          <w:sz w:val="28"/>
                        </w:rPr>
                        <w:t>Traditional</w:t>
                      </w:r>
                      <w:r>
                        <w:rPr>
                          <w:b/>
                          <w:color w:val="665082"/>
                          <w:spacing w:val="-12"/>
                          <w:sz w:val="28"/>
                        </w:rPr>
                        <w:t> </w:t>
                      </w:r>
                      <w:r>
                        <w:rPr>
                          <w:b/>
                          <w:color w:val="665082"/>
                          <w:sz w:val="28"/>
                        </w:rPr>
                        <w:t>views</w:t>
                      </w:r>
                      <w:r>
                        <w:rPr>
                          <w:b/>
                          <w:color w:val="665082"/>
                          <w:spacing w:val="-9"/>
                          <w:sz w:val="28"/>
                        </w:rPr>
                        <w:t> </w:t>
                      </w:r>
                      <w:r>
                        <w:rPr>
                          <w:b/>
                          <w:color w:val="665082"/>
                          <w:sz w:val="28"/>
                        </w:rPr>
                        <w:t>on</w:t>
                      </w:r>
                      <w:r>
                        <w:rPr>
                          <w:b/>
                          <w:color w:val="665082"/>
                          <w:spacing w:val="-9"/>
                          <w:sz w:val="28"/>
                        </w:rPr>
                        <w:t> </w:t>
                      </w:r>
                      <w:r>
                        <w:rPr>
                          <w:b/>
                          <w:color w:val="665082"/>
                          <w:sz w:val="28"/>
                        </w:rPr>
                        <w:t>gender</w:t>
                      </w:r>
                      <w:r>
                        <w:rPr>
                          <w:b/>
                          <w:color w:val="665082"/>
                          <w:spacing w:val="-14"/>
                          <w:sz w:val="28"/>
                        </w:rPr>
                        <w:t> </w:t>
                      </w:r>
                      <w:r>
                        <w:rPr>
                          <w:b/>
                          <w:color w:val="665082"/>
                          <w:sz w:val="28"/>
                        </w:rPr>
                        <w:t>and</w:t>
                      </w:r>
                      <w:r>
                        <w:rPr>
                          <w:b/>
                          <w:color w:val="665082"/>
                          <w:spacing w:val="-14"/>
                          <w:sz w:val="28"/>
                        </w:rPr>
                        <w:t> </w:t>
                      </w:r>
                      <w:r>
                        <w:rPr>
                          <w:b/>
                          <w:color w:val="665082"/>
                          <w:sz w:val="28"/>
                        </w:rPr>
                        <w:t>Two-Spirit</w:t>
                      </w:r>
                      <w:r>
                        <w:rPr>
                          <w:b/>
                          <w:color w:val="665082"/>
                          <w:spacing w:val="-9"/>
                          <w:sz w:val="28"/>
                        </w:rPr>
                        <w:t> </w:t>
                      </w:r>
                      <w:r>
                        <w:rPr>
                          <w:b/>
                          <w:color w:val="665082"/>
                          <w:spacing w:val="-2"/>
                          <w:sz w:val="28"/>
                        </w:rPr>
                        <w:t>identities:</w:t>
                      </w:r>
                    </w:p>
                  </w:txbxContent>
                </v:textbox>
                <v:fill type="solid"/>
                <w10:wrap type="none"/>
              </v:shape>
            </w:pict>
          </mc:Fallback>
        </mc:AlternateContent>
      </w:r>
      <w:r>
        <w:rPr>
          <w:color w:val="374151"/>
          <w:shd w:fill="F7F7F8" w:color="auto" w:val="clear"/>
        </w:rPr>
        <w:t>Native</w:t>
      </w:r>
      <w:r>
        <w:rPr>
          <w:color w:val="374151"/>
          <w:spacing w:val="-10"/>
          <w:shd w:fill="F7F7F8" w:color="auto" w:val="clear"/>
        </w:rPr>
        <w:t> </w:t>
      </w:r>
      <w:r>
        <w:rPr>
          <w:color w:val="374151"/>
          <w:shd w:fill="F7F7F8" w:color="auto" w:val="clear"/>
        </w:rPr>
        <w:t>American cultures often have traditional views on gender that </w:t>
      </w:r>
      <w:r>
        <w:rPr>
          <w:color w:val="374151"/>
        </w:rPr>
        <w:t> </w:t>
      </w:r>
      <w:r>
        <w:rPr>
          <w:color w:val="374151"/>
          <w:shd w:fill="F7F7F8" w:color="auto" w:val="clear"/>
        </w:rPr>
        <w:t>encompass more than a binary understanding. Some tribes recognize</w:t>
      </w:r>
      <w:r>
        <w:rPr>
          <w:color w:val="374151"/>
          <w:spacing w:val="-5"/>
          <w:shd w:fill="F7F7F8" w:color="auto" w:val="clear"/>
        </w:rPr>
        <w:t> </w:t>
      </w:r>
      <w:r>
        <w:rPr>
          <w:color w:val="374151"/>
          <w:shd w:fill="F7F7F8" w:color="auto" w:val="clear"/>
        </w:rPr>
        <w:t>Two-</w:t>
      </w:r>
      <w:r>
        <w:rPr>
          <w:color w:val="374151"/>
        </w:rPr>
        <w:t> </w:t>
      </w:r>
      <w:r>
        <w:rPr>
          <w:color w:val="374151"/>
          <w:shd w:fill="F7F7F8" w:color="auto" w:val="clear"/>
        </w:rPr>
        <w:t>Spirit</w:t>
      </w:r>
      <w:r>
        <w:rPr>
          <w:color w:val="374151"/>
          <w:spacing w:val="-3"/>
          <w:shd w:fill="F7F7F8" w:color="auto" w:val="clear"/>
        </w:rPr>
        <w:t> </w:t>
      </w:r>
      <w:r>
        <w:rPr>
          <w:color w:val="374151"/>
          <w:shd w:fill="F7F7F8" w:color="auto" w:val="clear"/>
        </w:rPr>
        <w:t>individuals</w:t>
      </w:r>
      <w:r>
        <w:rPr>
          <w:color w:val="374151"/>
          <w:spacing w:val="-1"/>
          <w:shd w:fill="F7F7F8" w:color="auto" w:val="clear"/>
        </w:rPr>
        <w:t> </w:t>
      </w:r>
      <w:r>
        <w:rPr>
          <w:color w:val="374151"/>
          <w:shd w:fill="F7F7F8" w:color="auto" w:val="clear"/>
        </w:rPr>
        <w:t>who</w:t>
      </w:r>
      <w:r>
        <w:rPr>
          <w:color w:val="374151"/>
          <w:spacing w:val="-1"/>
          <w:shd w:fill="F7F7F8" w:color="auto" w:val="clear"/>
        </w:rPr>
        <w:t> </w:t>
      </w:r>
      <w:r>
        <w:rPr>
          <w:color w:val="374151"/>
          <w:shd w:fill="F7F7F8" w:color="auto" w:val="clear"/>
        </w:rPr>
        <w:t>embody</w:t>
      </w:r>
      <w:r>
        <w:rPr>
          <w:color w:val="374151"/>
          <w:spacing w:val="-1"/>
          <w:shd w:fill="F7F7F8" w:color="auto" w:val="clear"/>
        </w:rPr>
        <w:t> </w:t>
      </w:r>
      <w:r>
        <w:rPr>
          <w:color w:val="374151"/>
          <w:shd w:fill="F7F7F8" w:color="auto" w:val="clear"/>
        </w:rPr>
        <w:t>both</w:t>
      </w:r>
      <w:r>
        <w:rPr>
          <w:color w:val="374151"/>
          <w:spacing w:val="-1"/>
          <w:shd w:fill="F7F7F8" w:color="auto" w:val="clear"/>
        </w:rPr>
        <w:t> </w:t>
      </w:r>
      <w:r>
        <w:rPr>
          <w:color w:val="374151"/>
          <w:shd w:fill="F7F7F8" w:color="auto" w:val="clear"/>
        </w:rPr>
        <w:t>masculine</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feminine</w:t>
      </w:r>
      <w:r>
        <w:rPr>
          <w:color w:val="374151"/>
          <w:spacing w:val="-2"/>
          <w:shd w:fill="F7F7F8" w:color="auto" w:val="clear"/>
        </w:rPr>
        <w:t> </w:t>
      </w:r>
      <w:r>
        <w:rPr>
          <w:color w:val="374151"/>
          <w:shd w:fill="F7F7F8" w:color="auto" w:val="clear"/>
        </w:rPr>
        <w:t>qualities, </w:t>
      </w:r>
      <w:r>
        <w:rPr>
          <w:color w:val="374151"/>
          <w:spacing w:val="-5"/>
          <w:shd w:fill="F7F7F8" w:color="auto" w:val="clear"/>
        </w:rPr>
        <w:t>and</w:t>
      </w:r>
      <w:r>
        <w:rPr>
          <w:color w:val="374151"/>
          <w:spacing w:val="40"/>
          <w:shd w:fill="F7F7F8" w:color="auto" w:val="clear"/>
        </w:rPr>
        <w:t> </w:t>
      </w:r>
    </w:p>
    <w:p>
      <w:pPr>
        <w:pStyle w:val="BodyText"/>
        <w:spacing w:line="237" w:lineRule="auto" w:after="4"/>
        <w:ind w:left="280" w:right="502"/>
      </w:pPr>
      <w:r>
        <w:rPr>
          <w:color w:val="374151"/>
          <w:shd w:fill="F7F7F8" w:color="auto" w:val="clear"/>
        </w:rPr>
        <w:t>Native</w:t>
      </w:r>
      <w:r>
        <w:rPr>
          <w:color w:val="374151"/>
          <w:spacing w:val="-18"/>
          <w:shd w:fill="F7F7F8" w:color="auto" w:val="clear"/>
        </w:rPr>
        <w:t> </w:t>
      </w:r>
      <w:r>
        <w:rPr>
          <w:color w:val="374151"/>
          <w:shd w:fill="F7F7F8" w:color="auto" w:val="clear"/>
        </w:rPr>
        <w:t>American</w:t>
      </w:r>
      <w:r>
        <w:rPr>
          <w:color w:val="374151"/>
          <w:spacing w:val="-4"/>
          <w:shd w:fill="F7F7F8" w:color="auto" w:val="clear"/>
        </w:rPr>
        <w:t> </w:t>
      </w:r>
      <w:r>
        <w:rPr>
          <w:color w:val="374151"/>
          <w:shd w:fill="F7F7F8" w:color="auto" w:val="clear"/>
        </w:rPr>
        <w:t>communities</w:t>
      </w:r>
      <w:r>
        <w:rPr>
          <w:color w:val="374151"/>
          <w:spacing w:val="-4"/>
          <w:shd w:fill="F7F7F8" w:color="auto" w:val="clear"/>
        </w:rPr>
        <w:t> </w:t>
      </w:r>
      <w:r>
        <w:rPr>
          <w:color w:val="374151"/>
          <w:shd w:fill="F7F7F8" w:color="auto" w:val="clear"/>
        </w:rPr>
        <w:t>place</w:t>
      </w:r>
      <w:r>
        <w:rPr>
          <w:color w:val="374151"/>
          <w:spacing w:val="-5"/>
          <w:shd w:fill="F7F7F8" w:color="auto" w:val="clear"/>
        </w:rPr>
        <w:t> </w:t>
      </w:r>
      <w:r>
        <w:rPr>
          <w:color w:val="374151"/>
          <w:shd w:fill="F7F7F8" w:color="auto" w:val="clear"/>
        </w:rPr>
        <w:t>importance</w:t>
      </w:r>
      <w:r>
        <w:rPr>
          <w:color w:val="374151"/>
          <w:spacing w:val="-5"/>
          <w:shd w:fill="F7F7F8" w:color="auto" w:val="clear"/>
        </w:rPr>
        <w:t> </w:t>
      </w:r>
      <w:r>
        <w:rPr>
          <w:color w:val="374151"/>
          <w:shd w:fill="F7F7F8" w:color="auto" w:val="clear"/>
        </w:rPr>
        <w:t>on</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as</w:t>
      </w:r>
      <w:r>
        <w:rPr>
          <w:color w:val="374151"/>
          <w:spacing w:val="-4"/>
          <w:shd w:fill="F7F7F8" w:color="auto" w:val="clear"/>
        </w:rPr>
        <w:t> </w:t>
      </w:r>
      <w:r>
        <w:rPr>
          <w:color w:val="374151"/>
          <w:shd w:fill="F7F7F8" w:color="auto" w:val="clear"/>
        </w:rPr>
        <w:t>part</w:t>
      </w:r>
      <w:r>
        <w:rPr>
          <w:color w:val="374151"/>
          <w:spacing w:val="-4"/>
          <w:shd w:fill="F7F7F8" w:color="auto" w:val="clear"/>
        </w:rPr>
        <w:t> </w:t>
      </w:r>
      <w:r>
        <w:rPr>
          <w:color w:val="374151"/>
          <w:shd w:fill="F7F7F8" w:color="auto" w:val="clear"/>
        </w:rPr>
        <w:t>of</w:t>
      </w:r>
      <w:r>
        <w:rPr>
          <w:color w:val="374151"/>
          <w:spacing w:val="-5"/>
          <w:shd w:fill="F7F7F8" w:color="auto" w:val="clear"/>
        </w:rPr>
        <w:t> </w:t>
      </w:r>
      <w:r>
        <w:rPr>
          <w:color w:val="374151"/>
          <w:spacing w:val="-5"/>
        </w:rPr>
        <w:t> </w:t>
      </w:r>
      <w:r>
        <w:rPr>
          <w:color w:val="374151"/>
          <w:shd w:fill="F7F7F8" w:color="auto" w:val="clear"/>
        </w:rPr>
        <w:t>overall well-being. Efforts are made to address sexual health disparities, </w:t>
      </w:r>
      <w:r>
        <w:rPr>
          <w:color w:val="374151"/>
        </w:rPr>
        <w:t> </w:t>
      </w:r>
      <w:r>
        <w:rPr>
          <w:color w:val="374151"/>
          <w:shd w:fill="F7F7F8" w:color="auto" w:val="clear"/>
        </w:rPr>
        <w:t>promote safe practices, and preserve cultural traditions related to sexuality</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773170" cy="787400"/>
                <wp:effectExtent l="0" t="0" r="0" b="3175"/>
                <wp:docPr id="160" name="Group 160"/>
                <wp:cNvGraphicFramePr>
                  <a:graphicFrameLocks/>
                </wp:cNvGraphicFramePr>
                <a:graphic>
                  <a:graphicData uri="http://schemas.microsoft.com/office/word/2010/wordprocessingGroup">
                    <wpg:wgp>
                      <wpg:cNvPr id="160" name="Group 160"/>
                      <wpg:cNvGrpSpPr/>
                      <wpg:grpSpPr>
                        <a:xfrm>
                          <a:off x="0" y="0"/>
                          <a:ext cx="3773170" cy="787400"/>
                          <a:chExt cx="3773170" cy="787400"/>
                        </a:xfrm>
                      </wpg:grpSpPr>
                      <wps:wsp>
                        <wps:cNvPr id="161" name="Textbox 161"/>
                        <wps:cNvSpPr txBox="1"/>
                        <wps:spPr>
                          <a:xfrm>
                            <a:off x="0" y="393700"/>
                            <a:ext cx="377317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The</w:t>
                              </w:r>
                              <w:r>
                                <w:rPr>
                                  <w:b/>
                                  <w:color w:val="665082"/>
                                  <w:spacing w:val="-3"/>
                                  <w:sz w:val="28"/>
                                </w:rPr>
                                <w:t> </w:t>
                              </w:r>
                              <w:r>
                                <w:rPr>
                                  <w:b/>
                                  <w:color w:val="665082"/>
                                  <w:sz w:val="28"/>
                                </w:rPr>
                                <w:t>impact</w:t>
                              </w:r>
                              <w:r>
                                <w:rPr>
                                  <w:b/>
                                  <w:color w:val="665082"/>
                                  <w:spacing w:val="-1"/>
                                  <w:sz w:val="28"/>
                                </w:rPr>
                                <w:t> </w:t>
                              </w:r>
                              <w:r>
                                <w:rPr>
                                  <w:b/>
                                  <w:color w:val="665082"/>
                                  <w:sz w:val="28"/>
                                </w:rPr>
                                <w:t>of</w:t>
                              </w:r>
                              <w:r>
                                <w:rPr>
                                  <w:b/>
                                  <w:color w:val="665082"/>
                                  <w:spacing w:val="-1"/>
                                  <w:sz w:val="28"/>
                                </w:rPr>
                                <w:t> </w:t>
                              </w:r>
                              <w:r>
                                <w:rPr>
                                  <w:b/>
                                  <w:color w:val="665082"/>
                                  <w:sz w:val="28"/>
                                </w:rPr>
                                <w:t>historical</w:t>
                              </w:r>
                              <w:r>
                                <w:rPr>
                                  <w:b/>
                                  <w:color w:val="665082"/>
                                  <w:spacing w:val="-2"/>
                                  <w:sz w:val="28"/>
                                </w:rPr>
                                <w:t> </w:t>
                              </w:r>
                              <w:r>
                                <w:rPr>
                                  <w:b/>
                                  <w:color w:val="665082"/>
                                  <w:sz w:val="28"/>
                                </w:rPr>
                                <w:t>trauma</w:t>
                              </w:r>
                              <w:r>
                                <w:rPr>
                                  <w:b/>
                                  <w:color w:val="665082"/>
                                  <w:spacing w:val="-1"/>
                                  <w:sz w:val="28"/>
                                </w:rPr>
                                <w:t> </w:t>
                              </w:r>
                              <w:r>
                                <w:rPr>
                                  <w:b/>
                                  <w:color w:val="665082"/>
                                  <w:sz w:val="28"/>
                                </w:rPr>
                                <w:t>and</w:t>
                              </w:r>
                              <w:r>
                                <w:rPr>
                                  <w:b/>
                                  <w:color w:val="665082"/>
                                  <w:spacing w:val="-1"/>
                                  <w:sz w:val="28"/>
                                </w:rPr>
                                <w:t> </w:t>
                              </w:r>
                              <w:r>
                                <w:rPr>
                                  <w:b/>
                                  <w:color w:val="665082"/>
                                  <w:spacing w:val="-2"/>
                                  <w:sz w:val="28"/>
                                </w:rPr>
                                <w:t>colonization:</w:t>
                              </w:r>
                            </w:p>
                          </w:txbxContent>
                        </wps:txbx>
                        <wps:bodyPr wrap="square" lIns="0" tIns="0" rIns="0" bIns="0" rtlCol="0">
                          <a:noAutofit/>
                        </wps:bodyPr>
                      </wps:wsp>
                      <wps:wsp>
                        <wps:cNvPr id="162" name="Textbox 162"/>
                        <wps:cNvSpPr txBox="1"/>
                        <wps:spPr>
                          <a:xfrm>
                            <a:off x="0" y="0"/>
                            <a:ext cx="291338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through</w:t>
                              </w:r>
                              <w:r>
                                <w:rPr>
                                  <w:color w:val="374151"/>
                                  <w:spacing w:val="-2"/>
                                  <w:sz w:val="28"/>
                                </w:rPr>
                                <w:t> </w:t>
                              </w:r>
                              <w:r>
                                <w:rPr>
                                  <w:color w:val="374151"/>
                                  <w:sz w:val="28"/>
                                </w:rPr>
                                <w:t>cultural</w:t>
                              </w:r>
                              <w:r>
                                <w:rPr>
                                  <w:color w:val="374151"/>
                                  <w:spacing w:val="-2"/>
                                  <w:sz w:val="28"/>
                                </w:rPr>
                                <w:t> </w:t>
                              </w:r>
                              <w:r>
                                <w:rPr>
                                  <w:color w:val="374151"/>
                                  <w:sz w:val="28"/>
                                </w:rPr>
                                <w:t>revitalization</w:t>
                              </w:r>
                              <w:r>
                                <w:rPr>
                                  <w:color w:val="374151"/>
                                  <w:spacing w:val="-2"/>
                                  <w:sz w:val="28"/>
                                </w:rPr>
                                <w:t> initiatives.</w:t>
                              </w:r>
                            </w:p>
                          </w:txbxContent>
                        </wps:txbx>
                        <wps:bodyPr wrap="square" lIns="0" tIns="0" rIns="0" bIns="0" rtlCol="0">
                          <a:noAutofit/>
                        </wps:bodyPr>
                      </wps:wsp>
                    </wpg:wgp>
                  </a:graphicData>
                </a:graphic>
              </wp:inline>
            </w:drawing>
          </mc:Choice>
          <mc:Fallback>
            <w:pict>
              <v:group style="width:297.1pt;height:62pt;mso-position-horizontal-relative:char;mso-position-vertical-relative:line" id="docshapegroup159" coordorigin="0,0" coordsize="5942,1240">
                <v:shape style="position:absolute;left:0;top:620;width:5942;height:620" type="#_x0000_t202" id="docshape160" filled="true" fillcolor="#f7f7f8" stroked="false">
                  <v:textbox inset="0,0,0,0">
                    <w:txbxContent>
                      <w:p>
                        <w:pPr>
                          <w:spacing w:line="308" w:lineRule="exact" w:before="0"/>
                          <w:ind w:left="0" w:right="-15" w:firstLine="0"/>
                          <w:jc w:val="left"/>
                          <w:rPr>
                            <w:b/>
                            <w:color w:val="000000"/>
                            <w:sz w:val="28"/>
                          </w:rPr>
                        </w:pPr>
                        <w:r>
                          <w:rPr>
                            <w:b/>
                            <w:color w:val="665082"/>
                            <w:sz w:val="28"/>
                          </w:rPr>
                          <w:t>The</w:t>
                        </w:r>
                        <w:r>
                          <w:rPr>
                            <w:b/>
                            <w:color w:val="665082"/>
                            <w:spacing w:val="-3"/>
                            <w:sz w:val="28"/>
                          </w:rPr>
                          <w:t> </w:t>
                        </w:r>
                        <w:r>
                          <w:rPr>
                            <w:b/>
                            <w:color w:val="665082"/>
                            <w:sz w:val="28"/>
                          </w:rPr>
                          <w:t>impact</w:t>
                        </w:r>
                        <w:r>
                          <w:rPr>
                            <w:b/>
                            <w:color w:val="665082"/>
                            <w:spacing w:val="-1"/>
                            <w:sz w:val="28"/>
                          </w:rPr>
                          <w:t> </w:t>
                        </w:r>
                        <w:r>
                          <w:rPr>
                            <w:b/>
                            <w:color w:val="665082"/>
                            <w:sz w:val="28"/>
                          </w:rPr>
                          <w:t>of</w:t>
                        </w:r>
                        <w:r>
                          <w:rPr>
                            <w:b/>
                            <w:color w:val="665082"/>
                            <w:spacing w:val="-1"/>
                            <w:sz w:val="28"/>
                          </w:rPr>
                          <w:t> </w:t>
                        </w:r>
                        <w:r>
                          <w:rPr>
                            <w:b/>
                            <w:color w:val="665082"/>
                            <w:sz w:val="28"/>
                          </w:rPr>
                          <w:t>historical</w:t>
                        </w:r>
                        <w:r>
                          <w:rPr>
                            <w:b/>
                            <w:color w:val="665082"/>
                            <w:spacing w:val="-2"/>
                            <w:sz w:val="28"/>
                          </w:rPr>
                          <w:t> </w:t>
                        </w:r>
                        <w:r>
                          <w:rPr>
                            <w:b/>
                            <w:color w:val="665082"/>
                            <w:sz w:val="28"/>
                          </w:rPr>
                          <w:t>trauma</w:t>
                        </w:r>
                        <w:r>
                          <w:rPr>
                            <w:b/>
                            <w:color w:val="665082"/>
                            <w:spacing w:val="-1"/>
                            <w:sz w:val="28"/>
                          </w:rPr>
                          <w:t> </w:t>
                        </w:r>
                        <w:r>
                          <w:rPr>
                            <w:b/>
                            <w:color w:val="665082"/>
                            <w:sz w:val="28"/>
                          </w:rPr>
                          <w:t>and</w:t>
                        </w:r>
                        <w:r>
                          <w:rPr>
                            <w:b/>
                            <w:color w:val="665082"/>
                            <w:spacing w:val="-1"/>
                            <w:sz w:val="28"/>
                          </w:rPr>
                          <w:t> </w:t>
                        </w:r>
                        <w:r>
                          <w:rPr>
                            <w:b/>
                            <w:color w:val="665082"/>
                            <w:spacing w:val="-2"/>
                            <w:sz w:val="28"/>
                          </w:rPr>
                          <w:t>colonization:</w:t>
                        </w:r>
                      </w:p>
                    </w:txbxContent>
                  </v:textbox>
                  <v:fill type="solid"/>
                  <w10:wrap type="none"/>
                </v:shape>
                <v:shape style="position:absolute;left:0;top:0;width:4588;height:620" type="#_x0000_t202" id="docshape161" filled="true" fillcolor="#f7f7f8" stroked="false">
                  <v:textbox inset="0,0,0,0">
                    <w:txbxContent>
                      <w:p>
                        <w:pPr>
                          <w:spacing w:line="308" w:lineRule="exact" w:before="0"/>
                          <w:ind w:left="0" w:right="-15" w:firstLine="0"/>
                          <w:jc w:val="left"/>
                          <w:rPr>
                            <w:color w:val="000000"/>
                            <w:sz w:val="28"/>
                          </w:rPr>
                        </w:pPr>
                        <w:r>
                          <w:rPr>
                            <w:color w:val="374151"/>
                            <w:sz w:val="28"/>
                          </w:rPr>
                          <w:t>through</w:t>
                        </w:r>
                        <w:r>
                          <w:rPr>
                            <w:color w:val="374151"/>
                            <w:spacing w:val="-2"/>
                            <w:sz w:val="28"/>
                          </w:rPr>
                          <w:t> </w:t>
                        </w:r>
                        <w:r>
                          <w:rPr>
                            <w:color w:val="374151"/>
                            <w:sz w:val="28"/>
                          </w:rPr>
                          <w:t>cultural</w:t>
                        </w:r>
                        <w:r>
                          <w:rPr>
                            <w:color w:val="374151"/>
                            <w:spacing w:val="-2"/>
                            <w:sz w:val="28"/>
                          </w:rPr>
                          <w:t> </w:t>
                        </w:r>
                        <w:r>
                          <w:rPr>
                            <w:color w:val="374151"/>
                            <w:sz w:val="28"/>
                          </w:rPr>
                          <w:t>revitalization</w:t>
                        </w:r>
                        <w:r>
                          <w:rPr>
                            <w:color w:val="374151"/>
                            <w:spacing w:val="-2"/>
                            <w:sz w:val="28"/>
                          </w:rPr>
                          <w:t> initiatives.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Historical</w:t>
      </w:r>
      <w:r>
        <w:rPr>
          <w:color w:val="374151"/>
          <w:spacing w:val="-2"/>
          <w:shd w:fill="F7F7F8" w:color="auto" w:val="clear"/>
        </w:rPr>
        <w:t> </w:t>
      </w:r>
      <w:r>
        <w:rPr>
          <w:color w:val="374151"/>
          <w:shd w:fill="F7F7F8" w:color="auto" w:val="clear"/>
        </w:rPr>
        <w:t>trauma</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legacy</w:t>
      </w:r>
      <w:r>
        <w:rPr>
          <w:color w:val="374151"/>
          <w:spacing w:val="-1"/>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colonization</w:t>
      </w:r>
      <w:r>
        <w:rPr>
          <w:color w:val="374151"/>
          <w:spacing w:val="-1"/>
          <w:shd w:fill="F7F7F8" w:color="auto" w:val="clear"/>
        </w:rPr>
        <w:t> </w:t>
      </w:r>
      <w:r>
        <w:rPr>
          <w:color w:val="374151"/>
          <w:shd w:fill="F7F7F8" w:color="auto" w:val="clear"/>
        </w:rPr>
        <w:t>have</w:t>
      </w:r>
      <w:r>
        <w:rPr>
          <w:color w:val="374151"/>
          <w:spacing w:val="-2"/>
          <w:shd w:fill="F7F7F8" w:color="auto" w:val="clear"/>
        </w:rPr>
        <w:t> </w:t>
      </w:r>
      <w:r>
        <w:rPr>
          <w:color w:val="374151"/>
          <w:shd w:fill="F7F7F8" w:color="auto" w:val="clear"/>
        </w:rPr>
        <w:t>had</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profound</w:t>
      </w:r>
      <w:r>
        <w:rPr>
          <w:color w:val="374151"/>
          <w:spacing w:val="-1"/>
          <w:shd w:fill="F7F7F8" w:color="auto" w:val="clear"/>
        </w:rPr>
        <w:t> </w:t>
      </w:r>
      <w:r>
        <w:rPr>
          <w:color w:val="374151"/>
          <w:spacing w:val="-2"/>
          <w:shd w:fill="F7F7F8" w:color="auto" w:val="clear"/>
        </w:rPr>
        <w:t>impact</w:t>
      </w:r>
      <w:r>
        <w:rPr>
          <w:color w:val="374151"/>
          <w:spacing w:val="40"/>
          <w:shd w:fill="F7F7F8" w:color="auto" w:val="clear"/>
        </w:rPr>
        <w:t> </w:t>
      </w:r>
    </w:p>
    <w:p>
      <w:pPr>
        <w:pStyle w:val="BodyText"/>
        <w:spacing w:after="7"/>
        <w:ind w:left="280" w:right="502"/>
      </w:pPr>
      <w:r>
        <w:rPr>
          <w:color w:val="374151"/>
          <w:shd w:fill="F7F7F8" w:color="auto" w:val="clear"/>
        </w:rPr>
        <w:t>on</w:t>
      </w:r>
      <w:r>
        <w:rPr>
          <w:color w:val="374151"/>
          <w:spacing w:val="-8"/>
          <w:shd w:fill="F7F7F8" w:color="auto" w:val="clear"/>
        </w:rPr>
        <w:t> </w:t>
      </w:r>
      <w:r>
        <w:rPr>
          <w:color w:val="374151"/>
          <w:shd w:fill="F7F7F8" w:color="auto" w:val="clear"/>
        </w:rPr>
        <w:t>Native</w:t>
      </w:r>
      <w:r>
        <w:rPr>
          <w:color w:val="374151"/>
          <w:spacing w:val="-18"/>
          <w:shd w:fill="F7F7F8" w:color="auto" w:val="clear"/>
        </w:rPr>
        <w:t> </w:t>
      </w:r>
      <w:r>
        <w:rPr>
          <w:color w:val="374151"/>
          <w:shd w:fill="F7F7F8" w:color="auto" w:val="clear"/>
        </w:rPr>
        <w:t>American</w:t>
      </w:r>
      <w:r>
        <w:rPr>
          <w:color w:val="374151"/>
          <w:spacing w:val="-5"/>
          <w:shd w:fill="F7F7F8" w:color="auto" w:val="clear"/>
        </w:rPr>
        <w:t> </w:t>
      </w:r>
      <w:r>
        <w:rPr>
          <w:color w:val="374151"/>
          <w:shd w:fill="F7F7F8" w:color="auto" w:val="clear"/>
        </w:rPr>
        <w:t>cultures</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attitudes</w:t>
      </w:r>
      <w:r>
        <w:rPr>
          <w:color w:val="374151"/>
          <w:spacing w:val="-5"/>
          <w:shd w:fill="F7F7F8" w:color="auto" w:val="clear"/>
        </w:rPr>
        <w:t> </w:t>
      </w:r>
      <w:r>
        <w:rPr>
          <w:color w:val="374151"/>
          <w:shd w:fill="F7F7F8" w:color="auto" w:val="clear"/>
        </w:rPr>
        <w:t>towards</w:t>
      </w:r>
      <w:r>
        <w:rPr>
          <w:color w:val="374151"/>
          <w:spacing w:val="-5"/>
          <w:shd w:fill="F7F7F8" w:color="auto" w:val="clear"/>
        </w:rPr>
        <w:t> </w:t>
      </w:r>
      <w:r>
        <w:rPr>
          <w:color w:val="374151"/>
          <w:shd w:fill="F7F7F8" w:color="auto" w:val="clear"/>
        </w:rPr>
        <w:t>sexuality.</w:t>
      </w:r>
      <w:r>
        <w:rPr>
          <w:color w:val="374151"/>
          <w:spacing w:val="-11"/>
          <w:shd w:fill="F7F7F8" w:color="auto" w:val="clear"/>
        </w:rPr>
        <w:t> </w:t>
      </w:r>
      <w:r>
        <w:rPr>
          <w:color w:val="374151"/>
          <w:shd w:fill="F7F7F8" w:color="auto" w:val="clear"/>
        </w:rPr>
        <w:t>The</w:t>
      </w:r>
      <w:r>
        <w:rPr>
          <w:color w:val="374151"/>
          <w:spacing w:val="-6"/>
          <w:shd w:fill="F7F7F8" w:color="auto" w:val="clear"/>
        </w:rPr>
        <w:t> </w:t>
      </w:r>
      <w:r>
        <w:rPr>
          <w:color w:val="374151"/>
          <w:shd w:fill="F7F7F8" w:color="auto" w:val="clear"/>
        </w:rPr>
        <w:t>disruption</w:t>
      </w:r>
      <w:r>
        <w:rPr>
          <w:color w:val="374151"/>
          <w:spacing w:val="-5"/>
          <w:shd w:fill="F7F7F8" w:color="auto" w:val="clear"/>
        </w:rPr>
        <w:t> </w:t>
      </w:r>
      <w:r>
        <w:rPr>
          <w:color w:val="374151"/>
          <w:shd w:fill="F7F7F8" w:color="auto" w:val="clear"/>
        </w:rPr>
        <w:t>of</w:t>
      </w:r>
      <w:r>
        <w:rPr>
          <w:color w:val="374151"/>
          <w:spacing w:val="-6"/>
          <w:shd w:fill="F7F7F8" w:color="auto" w:val="clear"/>
        </w:rPr>
        <w:t> </w:t>
      </w:r>
      <w:r>
        <w:rPr>
          <w:color w:val="374151"/>
          <w:spacing w:val="-6"/>
        </w:rPr>
        <w:t> </w:t>
      </w:r>
      <w:r>
        <w:rPr>
          <w:color w:val="374151"/>
          <w:shd w:fill="F7F7F8" w:color="auto" w:val="clear"/>
        </w:rPr>
        <w:t>traditional practices, forced assimilation, and cultural erasure have influenced </w:t>
      </w:r>
      <w:r>
        <w:rPr>
          <w:color w:val="374151"/>
        </w:rPr>
        <w:t> </w:t>
      </w:r>
      <w:r>
        <w:rPr>
          <w:color w:val="374151"/>
          <w:shd w:fill="F7F7F8" w:color="auto" w:val="clear"/>
        </w:rPr>
        <w:t>the way sexuality is perceived and expressed within Native</w:t>
      </w:r>
      <w:r>
        <w:rPr>
          <w:color w:val="374151"/>
          <w:spacing w:val="-4"/>
          <w:shd w:fill="F7F7F8" w:color="auto" w:val="clear"/>
        </w:rPr>
        <w:t> </w:t>
      </w:r>
      <w:r>
        <w:rPr>
          <w:color w:val="374151"/>
          <w:shd w:fill="F7F7F8" w:color="auto" w:val="clear"/>
        </w:rPr>
        <w:t>American</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823970" cy="1181100"/>
                <wp:effectExtent l="0" t="0" r="0" b="0"/>
                <wp:docPr id="163" name="Group 163"/>
                <wp:cNvGraphicFramePr>
                  <a:graphicFrameLocks/>
                </wp:cNvGraphicFramePr>
                <a:graphic>
                  <a:graphicData uri="http://schemas.microsoft.com/office/word/2010/wordprocessingGroup">
                    <wpg:wgp>
                      <wpg:cNvPr id="163" name="Group 163"/>
                      <wpg:cNvGrpSpPr/>
                      <wpg:grpSpPr>
                        <a:xfrm>
                          <a:off x="0" y="0"/>
                          <a:ext cx="3823970" cy="1181100"/>
                          <a:chExt cx="3823970" cy="1181100"/>
                        </a:xfrm>
                      </wpg:grpSpPr>
                      <wps:wsp>
                        <wps:cNvPr id="164" name="Textbox 164"/>
                        <wps:cNvSpPr txBox="1"/>
                        <wps:spPr>
                          <a:xfrm>
                            <a:off x="0" y="787400"/>
                            <a:ext cx="343789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Islamic</w:t>
                              </w:r>
                              <w:r>
                                <w:rPr>
                                  <w:b/>
                                  <w:color w:val="665082"/>
                                  <w:spacing w:val="-5"/>
                                  <w:sz w:val="28"/>
                                </w:rPr>
                                <w:t> </w:t>
                              </w:r>
                              <w:r>
                                <w:rPr>
                                  <w:b/>
                                  <w:color w:val="665082"/>
                                  <w:sz w:val="28"/>
                                </w:rPr>
                                <w:t>influences</w:t>
                              </w:r>
                              <w:r>
                                <w:rPr>
                                  <w:b/>
                                  <w:color w:val="665082"/>
                                  <w:spacing w:val="-2"/>
                                  <w:sz w:val="28"/>
                                </w:rPr>
                                <w:t> </w:t>
                              </w:r>
                              <w:r>
                                <w:rPr>
                                  <w:b/>
                                  <w:color w:val="665082"/>
                                  <w:sz w:val="28"/>
                                </w:rPr>
                                <w:t>and</w:t>
                              </w:r>
                              <w:r>
                                <w:rPr>
                                  <w:b/>
                                  <w:color w:val="665082"/>
                                  <w:spacing w:val="-2"/>
                                  <w:sz w:val="28"/>
                                </w:rPr>
                                <w:t> </w:t>
                              </w:r>
                              <w:r>
                                <w:rPr>
                                  <w:b/>
                                  <w:color w:val="665082"/>
                                  <w:sz w:val="28"/>
                                </w:rPr>
                                <w:t>cultural</w:t>
                              </w:r>
                              <w:r>
                                <w:rPr>
                                  <w:b/>
                                  <w:color w:val="665082"/>
                                  <w:spacing w:val="-1"/>
                                  <w:sz w:val="28"/>
                                </w:rPr>
                                <w:t> </w:t>
                              </w:r>
                              <w:r>
                                <w:rPr>
                                  <w:b/>
                                  <w:color w:val="665082"/>
                                  <w:spacing w:val="-2"/>
                                  <w:sz w:val="28"/>
                                </w:rPr>
                                <w:t>conservatism:</w:t>
                              </w:r>
                            </w:p>
                          </w:txbxContent>
                        </wps:txbx>
                        <wps:bodyPr wrap="square" lIns="0" tIns="0" rIns="0" bIns="0" rtlCol="0">
                          <a:noAutofit/>
                        </wps:bodyPr>
                      </wps:wsp>
                      <wps:wsp>
                        <wps:cNvPr id="165" name="Textbox 165"/>
                        <wps:cNvSpPr txBox="1"/>
                        <wps:spPr>
                          <a:xfrm>
                            <a:off x="0" y="393700"/>
                            <a:ext cx="3823970"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Middle</w:t>
                              </w:r>
                              <w:r>
                                <w:rPr>
                                  <w:b/>
                                  <w:i/>
                                  <w:color w:val="374151"/>
                                  <w:spacing w:val="-5"/>
                                  <w:sz w:val="28"/>
                                </w:rPr>
                                <w:t> </w:t>
                              </w:r>
                              <w:r>
                                <w:rPr>
                                  <w:b/>
                                  <w:i/>
                                  <w:color w:val="374151"/>
                                  <w:sz w:val="28"/>
                                </w:rPr>
                                <w:t>Eastern</w:t>
                              </w:r>
                              <w:r>
                                <w:rPr>
                                  <w:b/>
                                  <w:i/>
                                  <w:color w:val="374151"/>
                                  <w:spacing w:val="-1"/>
                                  <w:sz w:val="28"/>
                                </w:rPr>
                                <w:t> </w:t>
                              </w:r>
                              <w:r>
                                <w:rPr>
                                  <w:b/>
                                  <w:i/>
                                  <w:color w:val="374151"/>
                                  <w:sz w:val="28"/>
                                </w:rPr>
                                <w:t>Cultural</w:t>
                              </w:r>
                              <w:r>
                                <w:rPr>
                                  <w:b/>
                                  <w:i/>
                                  <w:color w:val="374151"/>
                                  <w:spacing w:val="-2"/>
                                  <w:sz w:val="28"/>
                                </w:rPr>
                                <w:t> </w:t>
                              </w:r>
                              <w:r>
                                <w:rPr>
                                  <w:b/>
                                  <w:i/>
                                  <w:color w:val="374151"/>
                                  <w:sz w:val="28"/>
                                </w:rPr>
                                <w:t>Norms,</w:t>
                              </w:r>
                              <w:r>
                                <w:rPr>
                                  <w:b/>
                                  <w:i/>
                                  <w:color w:val="374151"/>
                                  <w:spacing w:val="-1"/>
                                  <w:sz w:val="28"/>
                                </w:rPr>
                                <w:t> </w:t>
                              </w:r>
                              <w:r>
                                <w:rPr>
                                  <w:b/>
                                  <w:i/>
                                  <w:color w:val="374151"/>
                                  <w:sz w:val="28"/>
                                </w:rPr>
                                <w:t>Beliefs,</w:t>
                              </w:r>
                              <w:r>
                                <w:rPr>
                                  <w:b/>
                                  <w:i/>
                                  <w:color w:val="374151"/>
                                  <w:spacing w:val="-2"/>
                                  <w:sz w:val="28"/>
                                </w:rPr>
                                <w:t> </w:t>
                              </w:r>
                              <w:r>
                                <w:rPr>
                                  <w:b/>
                                  <w:i/>
                                  <w:color w:val="374151"/>
                                  <w:sz w:val="28"/>
                                </w:rPr>
                                <w:t>and</w:t>
                              </w:r>
                              <w:r>
                                <w:rPr>
                                  <w:b/>
                                  <w:i/>
                                  <w:color w:val="374151"/>
                                  <w:spacing w:val="-1"/>
                                  <w:sz w:val="28"/>
                                </w:rPr>
                                <w:t> </w:t>
                              </w:r>
                              <w:r>
                                <w:rPr>
                                  <w:b/>
                                  <w:i/>
                                  <w:color w:val="374151"/>
                                  <w:spacing w:val="-6"/>
                                  <w:sz w:val="28"/>
                                </w:rPr>
                                <w:t>Values</w:t>
                              </w:r>
                            </w:p>
                          </w:txbxContent>
                        </wps:txbx>
                        <wps:bodyPr wrap="square" lIns="0" tIns="0" rIns="0" bIns="0" rtlCol="0">
                          <a:noAutofit/>
                        </wps:bodyPr>
                      </wps:wsp>
                      <wps:wsp>
                        <wps:cNvPr id="166" name="Textbox 166"/>
                        <wps:cNvSpPr txBox="1"/>
                        <wps:spPr>
                          <a:xfrm>
                            <a:off x="0" y="0"/>
                            <a:ext cx="963294"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pacing w:val="-2"/>
                                  <w:sz w:val="28"/>
                                </w:rPr>
                                <w:t>communities.</w:t>
                              </w:r>
                            </w:p>
                          </w:txbxContent>
                        </wps:txbx>
                        <wps:bodyPr wrap="square" lIns="0" tIns="0" rIns="0" bIns="0" rtlCol="0">
                          <a:noAutofit/>
                        </wps:bodyPr>
                      </wps:wsp>
                    </wpg:wgp>
                  </a:graphicData>
                </a:graphic>
              </wp:inline>
            </w:drawing>
          </mc:Choice>
          <mc:Fallback>
            <w:pict>
              <v:group style="width:301.1pt;height:93pt;mso-position-horizontal-relative:char;mso-position-vertical-relative:line" id="docshapegroup162" coordorigin="0,0" coordsize="6022,1860">
                <v:shape style="position:absolute;left:0;top:1240;width:5414;height:620" type="#_x0000_t202" id="docshape163" filled="true" fillcolor="#f7f7f8" stroked="false">
                  <v:textbox inset="0,0,0,0">
                    <w:txbxContent>
                      <w:p>
                        <w:pPr>
                          <w:spacing w:line="308" w:lineRule="exact" w:before="0"/>
                          <w:ind w:left="0" w:right="-15" w:firstLine="0"/>
                          <w:jc w:val="left"/>
                          <w:rPr>
                            <w:b/>
                            <w:color w:val="000000"/>
                            <w:sz w:val="28"/>
                          </w:rPr>
                        </w:pPr>
                        <w:r>
                          <w:rPr>
                            <w:b/>
                            <w:color w:val="665082"/>
                            <w:sz w:val="28"/>
                          </w:rPr>
                          <w:t>Islamic</w:t>
                        </w:r>
                        <w:r>
                          <w:rPr>
                            <w:b/>
                            <w:color w:val="665082"/>
                            <w:spacing w:val="-5"/>
                            <w:sz w:val="28"/>
                          </w:rPr>
                          <w:t> </w:t>
                        </w:r>
                        <w:r>
                          <w:rPr>
                            <w:b/>
                            <w:color w:val="665082"/>
                            <w:sz w:val="28"/>
                          </w:rPr>
                          <w:t>influences</w:t>
                        </w:r>
                        <w:r>
                          <w:rPr>
                            <w:b/>
                            <w:color w:val="665082"/>
                            <w:spacing w:val="-2"/>
                            <w:sz w:val="28"/>
                          </w:rPr>
                          <w:t> </w:t>
                        </w:r>
                        <w:r>
                          <w:rPr>
                            <w:b/>
                            <w:color w:val="665082"/>
                            <w:sz w:val="28"/>
                          </w:rPr>
                          <w:t>and</w:t>
                        </w:r>
                        <w:r>
                          <w:rPr>
                            <w:b/>
                            <w:color w:val="665082"/>
                            <w:spacing w:val="-2"/>
                            <w:sz w:val="28"/>
                          </w:rPr>
                          <w:t> </w:t>
                        </w:r>
                        <w:r>
                          <w:rPr>
                            <w:b/>
                            <w:color w:val="665082"/>
                            <w:sz w:val="28"/>
                          </w:rPr>
                          <w:t>cultural</w:t>
                        </w:r>
                        <w:r>
                          <w:rPr>
                            <w:b/>
                            <w:color w:val="665082"/>
                            <w:spacing w:val="-1"/>
                            <w:sz w:val="28"/>
                          </w:rPr>
                          <w:t> </w:t>
                        </w:r>
                        <w:r>
                          <w:rPr>
                            <w:b/>
                            <w:color w:val="665082"/>
                            <w:spacing w:val="-2"/>
                            <w:sz w:val="28"/>
                          </w:rPr>
                          <w:t>conservatism:</w:t>
                        </w:r>
                      </w:p>
                    </w:txbxContent>
                  </v:textbox>
                  <v:fill type="solid"/>
                  <w10:wrap type="none"/>
                </v:shape>
                <v:shape style="position:absolute;left:0;top:620;width:6022;height:620" type="#_x0000_t202" id="docshape164" filled="true" fillcolor="#f7f7f8" stroked="false">
                  <v:textbox inset="0,0,0,0">
                    <w:txbxContent>
                      <w:p>
                        <w:pPr>
                          <w:spacing w:line="308" w:lineRule="exact" w:before="0"/>
                          <w:ind w:left="0" w:right="0" w:firstLine="0"/>
                          <w:jc w:val="left"/>
                          <w:rPr>
                            <w:b/>
                            <w:i/>
                            <w:color w:val="000000"/>
                            <w:sz w:val="28"/>
                          </w:rPr>
                        </w:pPr>
                        <w:r>
                          <w:rPr>
                            <w:b/>
                            <w:i/>
                            <w:color w:val="374151"/>
                            <w:sz w:val="28"/>
                          </w:rPr>
                          <w:t>Middle</w:t>
                        </w:r>
                        <w:r>
                          <w:rPr>
                            <w:b/>
                            <w:i/>
                            <w:color w:val="374151"/>
                            <w:spacing w:val="-5"/>
                            <w:sz w:val="28"/>
                          </w:rPr>
                          <w:t> </w:t>
                        </w:r>
                        <w:r>
                          <w:rPr>
                            <w:b/>
                            <w:i/>
                            <w:color w:val="374151"/>
                            <w:sz w:val="28"/>
                          </w:rPr>
                          <w:t>Eastern</w:t>
                        </w:r>
                        <w:r>
                          <w:rPr>
                            <w:b/>
                            <w:i/>
                            <w:color w:val="374151"/>
                            <w:spacing w:val="-1"/>
                            <w:sz w:val="28"/>
                          </w:rPr>
                          <w:t> </w:t>
                        </w:r>
                        <w:r>
                          <w:rPr>
                            <w:b/>
                            <w:i/>
                            <w:color w:val="374151"/>
                            <w:sz w:val="28"/>
                          </w:rPr>
                          <w:t>Cultural</w:t>
                        </w:r>
                        <w:r>
                          <w:rPr>
                            <w:b/>
                            <w:i/>
                            <w:color w:val="374151"/>
                            <w:spacing w:val="-2"/>
                            <w:sz w:val="28"/>
                          </w:rPr>
                          <w:t> </w:t>
                        </w:r>
                        <w:r>
                          <w:rPr>
                            <w:b/>
                            <w:i/>
                            <w:color w:val="374151"/>
                            <w:sz w:val="28"/>
                          </w:rPr>
                          <w:t>Norms,</w:t>
                        </w:r>
                        <w:r>
                          <w:rPr>
                            <w:b/>
                            <w:i/>
                            <w:color w:val="374151"/>
                            <w:spacing w:val="-1"/>
                            <w:sz w:val="28"/>
                          </w:rPr>
                          <w:t> </w:t>
                        </w:r>
                        <w:r>
                          <w:rPr>
                            <w:b/>
                            <w:i/>
                            <w:color w:val="374151"/>
                            <w:sz w:val="28"/>
                          </w:rPr>
                          <w:t>Beliefs,</w:t>
                        </w:r>
                        <w:r>
                          <w:rPr>
                            <w:b/>
                            <w:i/>
                            <w:color w:val="374151"/>
                            <w:spacing w:val="-2"/>
                            <w:sz w:val="28"/>
                          </w:rPr>
                          <w:t> </w:t>
                        </w:r>
                        <w:r>
                          <w:rPr>
                            <w:b/>
                            <w:i/>
                            <w:color w:val="374151"/>
                            <w:sz w:val="28"/>
                          </w:rPr>
                          <w:t>and</w:t>
                        </w:r>
                        <w:r>
                          <w:rPr>
                            <w:b/>
                            <w:i/>
                            <w:color w:val="374151"/>
                            <w:spacing w:val="-1"/>
                            <w:sz w:val="28"/>
                          </w:rPr>
                          <w:t> </w:t>
                        </w:r>
                        <w:r>
                          <w:rPr>
                            <w:b/>
                            <w:i/>
                            <w:color w:val="374151"/>
                            <w:spacing w:val="-6"/>
                            <w:sz w:val="28"/>
                          </w:rPr>
                          <w:t>Values</w:t>
                        </w:r>
                      </w:p>
                    </w:txbxContent>
                  </v:textbox>
                  <v:fill type="solid"/>
                  <w10:wrap type="none"/>
                </v:shape>
                <v:shape style="position:absolute;left:0;top:0;width:1517;height:620" type="#_x0000_t202" id="docshape165" filled="true" fillcolor="#f7f7f8" stroked="false">
                  <v:textbox inset="0,0,0,0">
                    <w:txbxContent>
                      <w:p>
                        <w:pPr>
                          <w:spacing w:line="308" w:lineRule="exact" w:before="0"/>
                          <w:ind w:left="0" w:right="-15" w:firstLine="0"/>
                          <w:jc w:val="left"/>
                          <w:rPr>
                            <w:color w:val="000000"/>
                            <w:sz w:val="28"/>
                          </w:rPr>
                        </w:pPr>
                        <w:r>
                          <w:rPr>
                            <w:color w:val="374151"/>
                            <w:spacing w:val="-2"/>
                            <w:sz w:val="28"/>
                          </w:rPr>
                          <w:t>communities.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Islamic</w:t>
      </w:r>
      <w:r>
        <w:rPr>
          <w:color w:val="374151"/>
          <w:spacing w:val="-5"/>
          <w:shd w:fill="F7F7F8" w:color="auto" w:val="clear"/>
        </w:rPr>
        <w:t> </w:t>
      </w:r>
      <w:r>
        <w:rPr>
          <w:color w:val="374151"/>
          <w:shd w:fill="F7F7F8" w:color="auto" w:val="clear"/>
        </w:rPr>
        <w:t>influences</w:t>
      </w:r>
      <w:r>
        <w:rPr>
          <w:color w:val="374151"/>
          <w:spacing w:val="-2"/>
          <w:shd w:fill="F7F7F8" w:color="auto" w:val="clear"/>
        </w:rPr>
        <w:t> </w:t>
      </w:r>
      <w:r>
        <w:rPr>
          <w:color w:val="374151"/>
          <w:shd w:fill="F7F7F8" w:color="auto" w:val="clear"/>
        </w:rPr>
        <w:t>shape</w:t>
      </w:r>
      <w:r>
        <w:rPr>
          <w:color w:val="374151"/>
          <w:spacing w:val="-2"/>
          <w:shd w:fill="F7F7F8" w:color="auto" w:val="clear"/>
        </w:rPr>
        <w:t> </w:t>
      </w:r>
      <w:r>
        <w:rPr>
          <w:color w:val="374151"/>
          <w:shd w:fill="F7F7F8" w:color="auto" w:val="clear"/>
        </w:rPr>
        <w:t>cultural</w:t>
      </w:r>
      <w:r>
        <w:rPr>
          <w:color w:val="374151"/>
          <w:spacing w:val="-2"/>
          <w:shd w:fill="F7F7F8" w:color="auto" w:val="clear"/>
        </w:rPr>
        <w:t> </w:t>
      </w:r>
      <w:r>
        <w:rPr>
          <w:color w:val="374151"/>
          <w:shd w:fill="F7F7F8" w:color="auto" w:val="clear"/>
        </w:rPr>
        <w:t>norms</w:t>
      </w:r>
      <w:r>
        <w:rPr>
          <w:color w:val="374151"/>
          <w:spacing w:val="-1"/>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values</w:t>
      </w:r>
      <w:r>
        <w:rPr>
          <w:color w:val="374151"/>
          <w:spacing w:val="-2"/>
          <w:shd w:fill="F7F7F8" w:color="auto" w:val="clear"/>
        </w:rPr>
        <w:t> </w:t>
      </w:r>
      <w:r>
        <w:rPr>
          <w:color w:val="374151"/>
          <w:shd w:fill="F7F7F8" w:color="auto" w:val="clear"/>
        </w:rPr>
        <w:t>related</w:t>
      </w:r>
      <w:r>
        <w:rPr>
          <w:color w:val="374151"/>
          <w:spacing w:val="-1"/>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sexuality</w:t>
      </w:r>
      <w:r>
        <w:rPr>
          <w:color w:val="374151"/>
          <w:spacing w:val="-1"/>
          <w:shd w:fill="F7F7F8" w:color="auto" w:val="clear"/>
        </w:rPr>
        <w:t> </w:t>
      </w:r>
      <w:r>
        <w:rPr>
          <w:color w:val="374151"/>
          <w:spacing w:val="-5"/>
          <w:shd w:fill="F7F7F8" w:color="auto" w:val="clear"/>
        </w:rPr>
        <w:t>in</w:t>
      </w:r>
      <w:r>
        <w:rPr>
          <w:color w:val="374151"/>
          <w:spacing w:val="40"/>
          <w:shd w:fill="F7F7F8" w:color="auto" w:val="clear"/>
        </w:rPr>
        <w:t> </w:t>
      </w:r>
    </w:p>
    <w:p>
      <w:pPr>
        <w:pStyle w:val="BodyText"/>
        <w:ind w:left="280" w:right="499"/>
      </w:pPr>
      <w:r>
        <w:rPr/>
        <mc:AlternateContent>
          <mc:Choice Requires="wps">
            <w:drawing>
              <wp:anchor distT="0" distB="0" distL="0" distR="0" allowOverlap="1" layoutInCell="1" locked="0" behindDoc="1" simplePos="0" relativeHeight="487629312">
                <wp:simplePos x="0" y="0"/>
                <wp:positionH relativeFrom="page">
                  <wp:posOffset>1066800</wp:posOffset>
                </wp:positionH>
                <wp:positionV relativeFrom="paragraph">
                  <wp:posOffset>414611</wp:posOffset>
                </wp:positionV>
                <wp:extent cx="3639185" cy="787400"/>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3639185" cy="787400"/>
                          <a:chExt cx="3639185" cy="787400"/>
                        </a:xfrm>
                      </wpg:grpSpPr>
                      <wps:wsp>
                        <wps:cNvPr id="168" name="Textbox 168"/>
                        <wps:cNvSpPr txBox="1"/>
                        <wps:spPr>
                          <a:xfrm>
                            <a:off x="0" y="393700"/>
                            <a:ext cx="204343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665082"/>
                                  <w:sz w:val="28"/>
                                </w:rPr>
                                <w:t>Gender</w:t>
                              </w:r>
                              <w:r>
                                <w:rPr>
                                  <w:b/>
                                  <w:color w:val="665082"/>
                                  <w:spacing w:val="-10"/>
                                  <w:sz w:val="28"/>
                                </w:rPr>
                                <w:t> </w:t>
                              </w:r>
                              <w:r>
                                <w:rPr>
                                  <w:b/>
                                  <w:color w:val="665082"/>
                                  <w:sz w:val="28"/>
                                </w:rPr>
                                <w:t>roles</w:t>
                              </w:r>
                              <w:r>
                                <w:rPr>
                                  <w:b/>
                                  <w:color w:val="665082"/>
                                  <w:spacing w:val="-3"/>
                                  <w:sz w:val="28"/>
                                </w:rPr>
                                <w:t> </w:t>
                              </w:r>
                              <w:r>
                                <w:rPr>
                                  <w:b/>
                                  <w:color w:val="665082"/>
                                  <w:sz w:val="28"/>
                                </w:rPr>
                                <w:t>and</w:t>
                              </w:r>
                              <w:r>
                                <w:rPr>
                                  <w:b/>
                                  <w:color w:val="665082"/>
                                  <w:spacing w:val="-3"/>
                                  <w:sz w:val="28"/>
                                </w:rPr>
                                <w:t> </w:t>
                              </w:r>
                              <w:r>
                                <w:rPr>
                                  <w:b/>
                                  <w:color w:val="665082"/>
                                  <w:spacing w:val="-2"/>
                                  <w:sz w:val="28"/>
                                </w:rPr>
                                <w:t>modesty:</w:t>
                              </w:r>
                            </w:p>
                          </w:txbxContent>
                        </wps:txbx>
                        <wps:bodyPr wrap="square" lIns="0" tIns="0" rIns="0" bIns="0" rtlCol="0">
                          <a:noAutofit/>
                        </wps:bodyPr>
                      </wps:wsp>
                      <wps:wsp>
                        <wps:cNvPr id="169" name="Textbox 169"/>
                        <wps:cNvSpPr txBox="1"/>
                        <wps:spPr>
                          <a:xfrm>
                            <a:off x="0" y="0"/>
                            <a:ext cx="363918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premarital</w:t>
                              </w:r>
                              <w:r>
                                <w:rPr>
                                  <w:color w:val="374151"/>
                                  <w:spacing w:val="-4"/>
                                  <w:sz w:val="28"/>
                                </w:rPr>
                                <w:t> </w:t>
                              </w:r>
                              <w:r>
                                <w:rPr>
                                  <w:color w:val="374151"/>
                                  <w:sz w:val="28"/>
                                </w:rPr>
                                <w:t>sex</w:t>
                              </w:r>
                              <w:r>
                                <w:rPr>
                                  <w:color w:val="374151"/>
                                  <w:spacing w:val="-2"/>
                                  <w:sz w:val="28"/>
                                </w:rPr>
                                <w:t> </w:t>
                              </w:r>
                              <w:r>
                                <w:rPr>
                                  <w:color w:val="374151"/>
                                  <w:sz w:val="28"/>
                                </w:rPr>
                                <w:t>and</w:t>
                              </w:r>
                              <w:r>
                                <w:rPr>
                                  <w:color w:val="374151"/>
                                  <w:spacing w:val="-2"/>
                                  <w:sz w:val="28"/>
                                </w:rPr>
                                <w:t> </w:t>
                              </w:r>
                              <w:r>
                                <w:rPr>
                                  <w:color w:val="374151"/>
                                  <w:sz w:val="28"/>
                                </w:rPr>
                                <w:t>homosexuality</w:t>
                              </w:r>
                              <w:r>
                                <w:rPr>
                                  <w:color w:val="374151"/>
                                  <w:spacing w:val="-2"/>
                                  <w:sz w:val="28"/>
                                </w:rPr>
                                <w:t> </w:t>
                              </w:r>
                              <w:r>
                                <w:rPr>
                                  <w:color w:val="374151"/>
                                  <w:sz w:val="28"/>
                                </w:rPr>
                                <w:t>viewed</w:t>
                              </w:r>
                              <w:r>
                                <w:rPr>
                                  <w:color w:val="374151"/>
                                  <w:spacing w:val="-2"/>
                                  <w:sz w:val="28"/>
                                </w:rPr>
                                <w:t> </w:t>
                              </w:r>
                              <w:r>
                                <w:rPr>
                                  <w:color w:val="374151"/>
                                  <w:sz w:val="28"/>
                                </w:rPr>
                                <w:t>as</w:t>
                              </w:r>
                              <w:r>
                                <w:rPr>
                                  <w:color w:val="374151"/>
                                  <w:spacing w:val="-1"/>
                                  <w:sz w:val="28"/>
                                </w:rPr>
                                <w:t> </w:t>
                              </w:r>
                              <w:r>
                                <w:rPr>
                                  <w:color w:val="374151"/>
                                  <w:spacing w:val="-2"/>
                                  <w:sz w:val="28"/>
                                </w:rPr>
                                <w:t>taboo.</w:t>
                              </w:r>
                            </w:p>
                          </w:txbxContent>
                        </wps:txbx>
                        <wps:bodyPr wrap="square" lIns="0" tIns="0" rIns="0" bIns="0" rtlCol="0">
                          <a:noAutofit/>
                        </wps:bodyPr>
                      </wps:wsp>
                    </wpg:wgp>
                  </a:graphicData>
                </a:graphic>
              </wp:anchor>
            </w:drawing>
          </mc:Choice>
          <mc:Fallback>
            <w:pict>
              <v:group style="position:absolute;margin-left:84pt;margin-top:32.646584pt;width:286.55pt;height:62pt;mso-position-horizontal-relative:page;mso-position-vertical-relative:paragraph;z-index:-15687168;mso-wrap-distance-left:0;mso-wrap-distance-right:0" id="docshapegroup166" coordorigin="1680,653" coordsize="5731,1240">
                <v:shape style="position:absolute;left:1680;top:1272;width:3218;height:620" type="#_x0000_t202" id="docshape167" filled="true" fillcolor="#f7f7f8" stroked="false">
                  <v:textbox inset="0,0,0,0">
                    <w:txbxContent>
                      <w:p>
                        <w:pPr>
                          <w:spacing w:line="308" w:lineRule="exact" w:before="0"/>
                          <w:ind w:left="0" w:right="0" w:firstLine="0"/>
                          <w:jc w:val="left"/>
                          <w:rPr>
                            <w:b/>
                            <w:color w:val="000000"/>
                            <w:sz w:val="28"/>
                          </w:rPr>
                        </w:pPr>
                        <w:r>
                          <w:rPr>
                            <w:b/>
                            <w:color w:val="665082"/>
                            <w:sz w:val="28"/>
                          </w:rPr>
                          <w:t>Gender</w:t>
                        </w:r>
                        <w:r>
                          <w:rPr>
                            <w:b/>
                            <w:color w:val="665082"/>
                            <w:spacing w:val="-10"/>
                            <w:sz w:val="28"/>
                          </w:rPr>
                          <w:t> </w:t>
                        </w:r>
                        <w:r>
                          <w:rPr>
                            <w:b/>
                            <w:color w:val="665082"/>
                            <w:sz w:val="28"/>
                          </w:rPr>
                          <w:t>roles</w:t>
                        </w:r>
                        <w:r>
                          <w:rPr>
                            <w:b/>
                            <w:color w:val="665082"/>
                            <w:spacing w:val="-3"/>
                            <w:sz w:val="28"/>
                          </w:rPr>
                          <w:t> </w:t>
                        </w:r>
                        <w:r>
                          <w:rPr>
                            <w:b/>
                            <w:color w:val="665082"/>
                            <w:sz w:val="28"/>
                          </w:rPr>
                          <w:t>and</w:t>
                        </w:r>
                        <w:r>
                          <w:rPr>
                            <w:b/>
                            <w:color w:val="665082"/>
                            <w:spacing w:val="-3"/>
                            <w:sz w:val="28"/>
                          </w:rPr>
                          <w:t> </w:t>
                        </w:r>
                        <w:r>
                          <w:rPr>
                            <w:b/>
                            <w:color w:val="665082"/>
                            <w:spacing w:val="-2"/>
                            <w:sz w:val="28"/>
                          </w:rPr>
                          <w:t>modesty:</w:t>
                        </w:r>
                      </w:p>
                    </w:txbxContent>
                  </v:textbox>
                  <v:fill type="solid"/>
                  <w10:wrap type="none"/>
                </v:shape>
                <v:shape style="position:absolute;left:1680;top:652;width:5731;height:620" type="#_x0000_t202" id="docshape168" filled="true" fillcolor="#f7f7f8" stroked="false">
                  <v:textbox inset="0,0,0,0">
                    <w:txbxContent>
                      <w:p>
                        <w:pPr>
                          <w:spacing w:line="308" w:lineRule="exact" w:before="0"/>
                          <w:ind w:left="0" w:right="-15" w:firstLine="0"/>
                          <w:jc w:val="left"/>
                          <w:rPr>
                            <w:color w:val="000000"/>
                            <w:sz w:val="28"/>
                          </w:rPr>
                        </w:pPr>
                        <w:r>
                          <w:rPr>
                            <w:color w:val="374151"/>
                            <w:sz w:val="28"/>
                          </w:rPr>
                          <w:t>premarital</w:t>
                        </w:r>
                        <w:r>
                          <w:rPr>
                            <w:color w:val="374151"/>
                            <w:spacing w:val="-4"/>
                            <w:sz w:val="28"/>
                          </w:rPr>
                          <w:t> </w:t>
                        </w:r>
                        <w:r>
                          <w:rPr>
                            <w:color w:val="374151"/>
                            <w:sz w:val="28"/>
                          </w:rPr>
                          <w:t>sex</w:t>
                        </w:r>
                        <w:r>
                          <w:rPr>
                            <w:color w:val="374151"/>
                            <w:spacing w:val="-2"/>
                            <w:sz w:val="28"/>
                          </w:rPr>
                          <w:t> </w:t>
                        </w:r>
                        <w:r>
                          <w:rPr>
                            <w:color w:val="374151"/>
                            <w:sz w:val="28"/>
                          </w:rPr>
                          <w:t>and</w:t>
                        </w:r>
                        <w:r>
                          <w:rPr>
                            <w:color w:val="374151"/>
                            <w:spacing w:val="-2"/>
                            <w:sz w:val="28"/>
                          </w:rPr>
                          <w:t> </w:t>
                        </w:r>
                        <w:r>
                          <w:rPr>
                            <w:color w:val="374151"/>
                            <w:sz w:val="28"/>
                          </w:rPr>
                          <w:t>homosexuality</w:t>
                        </w:r>
                        <w:r>
                          <w:rPr>
                            <w:color w:val="374151"/>
                            <w:spacing w:val="-2"/>
                            <w:sz w:val="28"/>
                          </w:rPr>
                          <w:t> </w:t>
                        </w:r>
                        <w:r>
                          <w:rPr>
                            <w:color w:val="374151"/>
                            <w:sz w:val="28"/>
                          </w:rPr>
                          <w:t>viewed</w:t>
                        </w:r>
                        <w:r>
                          <w:rPr>
                            <w:color w:val="374151"/>
                            <w:spacing w:val="-2"/>
                            <w:sz w:val="28"/>
                          </w:rPr>
                          <w:t> </w:t>
                        </w:r>
                        <w:r>
                          <w:rPr>
                            <w:color w:val="374151"/>
                            <w:sz w:val="28"/>
                          </w:rPr>
                          <w:t>as</w:t>
                        </w:r>
                        <w:r>
                          <w:rPr>
                            <w:color w:val="374151"/>
                            <w:spacing w:val="-1"/>
                            <w:sz w:val="28"/>
                          </w:rPr>
                          <w:t> </w:t>
                        </w:r>
                        <w:r>
                          <w:rPr>
                            <w:color w:val="374151"/>
                            <w:spacing w:val="-2"/>
                            <w:sz w:val="28"/>
                          </w:rPr>
                          <w:t>taboo.</w:t>
                        </w:r>
                      </w:p>
                    </w:txbxContent>
                  </v:textbox>
                  <v:fill type="solid"/>
                  <w10:wrap type="none"/>
                </v:shape>
                <w10:wrap type="topAndBottom"/>
              </v:group>
            </w:pict>
          </mc:Fallback>
        </mc:AlternateContent>
      </w:r>
      <w:r>
        <w:rPr>
          <w:color w:val="374151"/>
          <w:shd w:fill="F7F7F8" w:color="auto" w:val="clear"/>
        </w:rPr>
        <w:t>many</w:t>
      </w:r>
      <w:r>
        <w:rPr>
          <w:color w:val="374151"/>
          <w:spacing w:val="-6"/>
          <w:shd w:fill="F7F7F8" w:color="auto" w:val="clear"/>
        </w:rPr>
        <w:t> </w:t>
      </w:r>
      <w:r>
        <w:rPr>
          <w:color w:val="374151"/>
          <w:shd w:fill="F7F7F8" w:color="auto" w:val="clear"/>
        </w:rPr>
        <w:t>Middle</w:t>
      </w:r>
      <w:r>
        <w:rPr>
          <w:color w:val="374151"/>
          <w:spacing w:val="-7"/>
          <w:shd w:fill="F7F7F8" w:color="auto" w:val="clear"/>
        </w:rPr>
        <w:t> </w:t>
      </w:r>
      <w:r>
        <w:rPr>
          <w:color w:val="374151"/>
          <w:shd w:fill="F7F7F8" w:color="auto" w:val="clear"/>
        </w:rPr>
        <w:t>Eastern</w:t>
      </w:r>
      <w:r>
        <w:rPr>
          <w:color w:val="374151"/>
          <w:spacing w:val="-6"/>
          <w:shd w:fill="F7F7F8" w:color="auto" w:val="clear"/>
        </w:rPr>
        <w:t> </w:t>
      </w:r>
      <w:r>
        <w:rPr>
          <w:color w:val="374151"/>
          <w:shd w:fill="F7F7F8" w:color="auto" w:val="clear"/>
        </w:rPr>
        <w:t>countries.</w:t>
      </w:r>
      <w:r>
        <w:rPr>
          <w:color w:val="374151"/>
          <w:spacing w:val="-6"/>
          <w:shd w:fill="F7F7F8" w:color="auto" w:val="clear"/>
        </w:rPr>
        <w:t> </w:t>
      </w:r>
      <w:r>
        <w:rPr>
          <w:color w:val="374151"/>
          <w:shd w:fill="F7F7F8" w:color="auto" w:val="clear"/>
        </w:rPr>
        <w:t>Modesty,</w:t>
      </w:r>
      <w:r>
        <w:rPr>
          <w:color w:val="374151"/>
          <w:spacing w:val="-6"/>
          <w:shd w:fill="F7F7F8" w:color="auto" w:val="clear"/>
        </w:rPr>
        <w:t> </w:t>
      </w:r>
      <w:r>
        <w:rPr>
          <w:color w:val="374151"/>
          <w:shd w:fill="F7F7F8" w:color="auto" w:val="clear"/>
        </w:rPr>
        <w:t>sexual</w:t>
      </w:r>
      <w:r>
        <w:rPr>
          <w:color w:val="374151"/>
          <w:spacing w:val="-6"/>
          <w:shd w:fill="F7F7F8" w:color="auto" w:val="clear"/>
        </w:rPr>
        <w:t> </w:t>
      </w:r>
      <w:r>
        <w:rPr>
          <w:color w:val="374151"/>
          <w:shd w:fill="F7F7F8" w:color="auto" w:val="clear"/>
        </w:rPr>
        <w:t>restraint,</w:t>
      </w:r>
      <w:r>
        <w:rPr>
          <w:color w:val="374151"/>
          <w:spacing w:val="-6"/>
          <w:shd w:fill="F7F7F8" w:color="auto" w:val="clear"/>
        </w:rPr>
        <w:t> </w:t>
      </w:r>
      <w:r>
        <w:rPr>
          <w:color w:val="374151"/>
          <w:shd w:fill="F7F7F8" w:color="auto" w:val="clear"/>
        </w:rPr>
        <w:t>and</w:t>
      </w:r>
      <w:r>
        <w:rPr>
          <w:color w:val="374151"/>
          <w:spacing w:val="-6"/>
          <w:shd w:fill="F7F7F8" w:color="auto" w:val="clear"/>
        </w:rPr>
        <w:t> </w:t>
      </w:r>
      <w:r>
        <w:rPr>
          <w:color w:val="374151"/>
          <w:shd w:fill="F7F7F8" w:color="auto" w:val="clear"/>
        </w:rPr>
        <w:t>adherence</w:t>
      </w:r>
      <w:r>
        <w:rPr>
          <w:color w:val="374151"/>
          <w:spacing w:val="-7"/>
          <w:shd w:fill="F7F7F8" w:color="auto" w:val="clear"/>
        </w:rPr>
        <w:t> </w:t>
      </w:r>
      <w:r>
        <w:rPr>
          <w:color w:val="374151"/>
          <w:shd w:fill="F7F7F8" w:color="auto" w:val="clear"/>
        </w:rPr>
        <w:t>to</w:t>
      </w:r>
      <w:r>
        <w:rPr>
          <w:color w:val="374151"/>
          <w:spacing w:val="-7"/>
          <w:shd w:fill="F7F7F8" w:color="auto" w:val="clear"/>
        </w:rPr>
        <w:t> </w:t>
      </w:r>
      <w:r>
        <w:rPr>
          <w:color w:val="374151"/>
          <w:spacing w:val="-7"/>
        </w:rPr>
        <w:t> </w:t>
      </w:r>
      <w:r>
        <w:rPr>
          <w:color w:val="374151"/>
          <w:shd w:fill="F7F7F8" w:color="auto" w:val="clear"/>
        </w:rPr>
        <w:t>religious teachings regarding sexual behavior are often emphasized, with</w:t>
      </w:r>
      <w:r>
        <w:rPr>
          <w:color w:val="374151"/>
          <w:spacing w:val="40"/>
          <w:shd w:fill="F7F7F8" w:color="auto" w:val="clear"/>
        </w:rPr>
        <w:t> </w:t>
      </w:r>
    </w:p>
    <w:p>
      <w:pPr>
        <w:pStyle w:val="BodyText"/>
        <w:spacing w:line="237" w:lineRule="auto" w:after="4"/>
        <w:ind w:left="280" w:right="498"/>
      </w:pPr>
      <w:r>
        <w:rPr>
          <w:color w:val="374151"/>
          <w:shd w:fill="F7F7F8" w:color="auto" w:val="clear"/>
        </w:rPr>
        <w:t>Middle</w:t>
      </w:r>
      <w:r>
        <w:rPr>
          <w:color w:val="374151"/>
          <w:spacing w:val="-1"/>
          <w:shd w:fill="F7F7F8" w:color="auto" w:val="clear"/>
        </w:rPr>
        <w:t> </w:t>
      </w:r>
      <w:r>
        <w:rPr>
          <w:color w:val="374151"/>
          <w:shd w:fill="F7F7F8" w:color="auto" w:val="clear"/>
        </w:rPr>
        <w:t>Eastern cultures often have</w:t>
      </w:r>
      <w:r>
        <w:rPr>
          <w:color w:val="374151"/>
          <w:spacing w:val="-1"/>
          <w:shd w:fill="F7F7F8" w:color="auto" w:val="clear"/>
        </w:rPr>
        <w:t> </w:t>
      </w:r>
      <w:r>
        <w:rPr>
          <w:color w:val="374151"/>
          <w:shd w:fill="F7F7F8" w:color="auto" w:val="clear"/>
        </w:rPr>
        <w:t>distinct gender roles and expectations, with</w:t>
      </w:r>
      <w:r>
        <w:rPr>
          <w:color w:val="374151"/>
        </w:rPr>
        <w:t> </w:t>
      </w:r>
      <w:r>
        <w:rPr>
          <w:color w:val="374151"/>
          <w:shd w:fill="F7F7F8" w:color="auto" w:val="clear"/>
        </w:rPr>
        <w:t>an emphasis on modesty and the preservation of family honor. Modesty in </w:t>
      </w:r>
      <w:r>
        <w:rPr>
          <w:color w:val="374151"/>
        </w:rPr>
        <w:t> </w:t>
      </w:r>
      <w:r>
        <w:rPr>
          <w:color w:val="374151"/>
          <w:shd w:fill="F7F7F8" w:color="auto" w:val="clear"/>
        </w:rPr>
        <w:t>dress and behavior, particularly for women, is highly valued and considered an</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575685" cy="787400"/>
                <wp:effectExtent l="0" t="0" r="0" b="3175"/>
                <wp:docPr id="170" name="Group 170"/>
                <wp:cNvGraphicFramePr>
                  <a:graphicFrameLocks/>
                </wp:cNvGraphicFramePr>
                <a:graphic>
                  <a:graphicData uri="http://schemas.microsoft.com/office/word/2010/wordprocessingGroup">
                    <wpg:wgp>
                      <wpg:cNvPr id="170" name="Group 170"/>
                      <wpg:cNvGrpSpPr/>
                      <wpg:grpSpPr>
                        <a:xfrm>
                          <a:off x="0" y="0"/>
                          <a:ext cx="3575685" cy="787400"/>
                          <a:chExt cx="3575685" cy="787400"/>
                        </a:xfrm>
                      </wpg:grpSpPr>
                      <wps:wsp>
                        <wps:cNvPr id="171" name="Textbox 171"/>
                        <wps:cNvSpPr txBox="1"/>
                        <wps:spPr>
                          <a:xfrm>
                            <a:off x="0" y="393700"/>
                            <a:ext cx="357568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Arranged</w:t>
                              </w:r>
                              <w:r>
                                <w:rPr>
                                  <w:b/>
                                  <w:color w:val="665082"/>
                                  <w:spacing w:val="-3"/>
                                  <w:sz w:val="28"/>
                                </w:rPr>
                                <w:t> </w:t>
                              </w:r>
                              <w:r>
                                <w:rPr>
                                  <w:b/>
                                  <w:color w:val="665082"/>
                                  <w:sz w:val="28"/>
                                </w:rPr>
                                <w:t>marriages</w:t>
                              </w:r>
                              <w:r>
                                <w:rPr>
                                  <w:b/>
                                  <w:color w:val="665082"/>
                                  <w:spacing w:val="-3"/>
                                  <w:sz w:val="28"/>
                                </w:rPr>
                                <w:t> </w:t>
                              </w:r>
                              <w:r>
                                <w:rPr>
                                  <w:b/>
                                  <w:color w:val="665082"/>
                                  <w:sz w:val="28"/>
                                </w:rPr>
                                <w:t>and</w:t>
                              </w:r>
                              <w:r>
                                <w:rPr>
                                  <w:b/>
                                  <w:color w:val="665082"/>
                                  <w:spacing w:val="-3"/>
                                  <w:sz w:val="28"/>
                                </w:rPr>
                                <w:t> </w:t>
                              </w:r>
                              <w:r>
                                <w:rPr>
                                  <w:b/>
                                  <w:color w:val="665082"/>
                                  <w:sz w:val="28"/>
                                </w:rPr>
                                <w:t>cultural</w:t>
                              </w:r>
                              <w:r>
                                <w:rPr>
                                  <w:b/>
                                  <w:color w:val="665082"/>
                                  <w:spacing w:val="-2"/>
                                  <w:sz w:val="28"/>
                                </w:rPr>
                                <w:t> expectations:</w:t>
                              </w:r>
                            </w:p>
                          </w:txbxContent>
                        </wps:txbx>
                        <wps:bodyPr wrap="square" lIns="0" tIns="0" rIns="0" bIns="0" rtlCol="0">
                          <a:noAutofit/>
                        </wps:bodyPr>
                      </wps:wsp>
                      <wps:wsp>
                        <wps:cNvPr id="172" name="Textbox 172"/>
                        <wps:cNvSpPr txBox="1"/>
                        <wps:spPr>
                          <a:xfrm>
                            <a:off x="0" y="0"/>
                            <a:ext cx="260032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important</w:t>
                              </w:r>
                              <w:r>
                                <w:rPr>
                                  <w:color w:val="374151"/>
                                  <w:spacing w:val="-2"/>
                                  <w:sz w:val="28"/>
                                </w:rPr>
                                <w:t> </w:t>
                              </w:r>
                              <w:r>
                                <w:rPr>
                                  <w:color w:val="374151"/>
                                  <w:sz w:val="28"/>
                                </w:rPr>
                                <w:t>aspect</w:t>
                              </w:r>
                              <w:r>
                                <w:rPr>
                                  <w:color w:val="374151"/>
                                  <w:spacing w:val="-1"/>
                                  <w:sz w:val="28"/>
                                </w:rPr>
                                <w:t> </w:t>
                              </w:r>
                              <w:r>
                                <w:rPr>
                                  <w:color w:val="374151"/>
                                  <w:sz w:val="28"/>
                                </w:rPr>
                                <w:t>of</w:t>
                              </w:r>
                              <w:r>
                                <w:rPr>
                                  <w:color w:val="374151"/>
                                  <w:spacing w:val="-2"/>
                                  <w:sz w:val="28"/>
                                </w:rPr>
                                <w:t> </w:t>
                              </w:r>
                              <w:r>
                                <w:rPr>
                                  <w:color w:val="374151"/>
                                  <w:sz w:val="28"/>
                                </w:rPr>
                                <w:t>sexual</w:t>
                              </w:r>
                              <w:r>
                                <w:rPr>
                                  <w:color w:val="374151"/>
                                  <w:spacing w:val="-1"/>
                                  <w:sz w:val="28"/>
                                </w:rPr>
                                <w:t> </w:t>
                              </w:r>
                              <w:r>
                                <w:rPr>
                                  <w:color w:val="374151"/>
                                  <w:spacing w:val="-2"/>
                                  <w:sz w:val="28"/>
                                </w:rPr>
                                <w:t>propriety.</w:t>
                              </w:r>
                            </w:p>
                          </w:txbxContent>
                        </wps:txbx>
                        <wps:bodyPr wrap="square" lIns="0" tIns="0" rIns="0" bIns="0" rtlCol="0">
                          <a:noAutofit/>
                        </wps:bodyPr>
                      </wps:wsp>
                    </wpg:wgp>
                  </a:graphicData>
                </a:graphic>
              </wp:inline>
            </w:drawing>
          </mc:Choice>
          <mc:Fallback>
            <w:pict>
              <v:group style="width:281.55pt;height:62pt;mso-position-horizontal-relative:char;mso-position-vertical-relative:line" id="docshapegroup169" coordorigin="0,0" coordsize="5631,1240">
                <v:shape style="position:absolute;left:0;top:620;width:5631;height:620" type="#_x0000_t202" id="docshape170" filled="true" fillcolor="#f7f7f8" stroked="false">
                  <v:textbox inset="0,0,0,0">
                    <w:txbxContent>
                      <w:p>
                        <w:pPr>
                          <w:spacing w:line="308" w:lineRule="exact" w:before="0"/>
                          <w:ind w:left="0" w:right="-15" w:firstLine="0"/>
                          <w:jc w:val="left"/>
                          <w:rPr>
                            <w:b/>
                            <w:color w:val="000000"/>
                            <w:sz w:val="28"/>
                          </w:rPr>
                        </w:pPr>
                        <w:r>
                          <w:rPr>
                            <w:b/>
                            <w:color w:val="665082"/>
                            <w:sz w:val="28"/>
                          </w:rPr>
                          <w:t>Arranged</w:t>
                        </w:r>
                        <w:r>
                          <w:rPr>
                            <w:b/>
                            <w:color w:val="665082"/>
                            <w:spacing w:val="-3"/>
                            <w:sz w:val="28"/>
                          </w:rPr>
                          <w:t> </w:t>
                        </w:r>
                        <w:r>
                          <w:rPr>
                            <w:b/>
                            <w:color w:val="665082"/>
                            <w:sz w:val="28"/>
                          </w:rPr>
                          <w:t>marriages</w:t>
                        </w:r>
                        <w:r>
                          <w:rPr>
                            <w:b/>
                            <w:color w:val="665082"/>
                            <w:spacing w:val="-3"/>
                            <w:sz w:val="28"/>
                          </w:rPr>
                          <w:t> </w:t>
                        </w:r>
                        <w:r>
                          <w:rPr>
                            <w:b/>
                            <w:color w:val="665082"/>
                            <w:sz w:val="28"/>
                          </w:rPr>
                          <w:t>and</w:t>
                        </w:r>
                        <w:r>
                          <w:rPr>
                            <w:b/>
                            <w:color w:val="665082"/>
                            <w:spacing w:val="-3"/>
                            <w:sz w:val="28"/>
                          </w:rPr>
                          <w:t> </w:t>
                        </w:r>
                        <w:r>
                          <w:rPr>
                            <w:b/>
                            <w:color w:val="665082"/>
                            <w:sz w:val="28"/>
                          </w:rPr>
                          <w:t>cultural</w:t>
                        </w:r>
                        <w:r>
                          <w:rPr>
                            <w:b/>
                            <w:color w:val="665082"/>
                            <w:spacing w:val="-2"/>
                            <w:sz w:val="28"/>
                          </w:rPr>
                          <w:t> expectations:</w:t>
                        </w:r>
                      </w:p>
                    </w:txbxContent>
                  </v:textbox>
                  <v:fill type="solid"/>
                  <w10:wrap type="none"/>
                </v:shape>
                <v:shape style="position:absolute;left:0;top:0;width:4095;height:620" type="#_x0000_t202" id="docshape171" filled="true" fillcolor="#f7f7f8" stroked="false">
                  <v:textbox inset="0,0,0,0">
                    <w:txbxContent>
                      <w:p>
                        <w:pPr>
                          <w:spacing w:line="308" w:lineRule="exact" w:before="0"/>
                          <w:ind w:left="0" w:right="-15" w:firstLine="0"/>
                          <w:jc w:val="left"/>
                          <w:rPr>
                            <w:color w:val="000000"/>
                            <w:sz w:val="28"/>
                          </w:rPr>
                        </w:pPr>
                        <w:r>
                          <w:rPr>
                            <w:color w:val="374151"/>
                            <w:sz w:val="28"/>
                          </w:rPr>
                          <w:t>important</w:t>
                        </w:r>
                        <w:r>
                          <w:rPr>
                            <w:color w:val="374151"/>
                            <w:spacing w:val="-2"/>
                            <w:sz w:val="28"/>
                          </w:rPr>
                          <w:t> </w:t>
                        </w:r>
                        <w:r>
                          <w:rPr>
                            <w:color w:val="374151"/>
                            <w:sz w:val="28"/>
                          </w:rPr>
                          <w:t>aspect</w:t>
                        </w:r>
                        <w:r>
                          <w:rPr>
                            <w:color w:val="374151"/>
                            <w:spacing w:val="-1"/>
                            <w:sz w:val="28"/>
                          </w:rPr>
                          <w:t> </w:t>
                        </w:r>
                        <w:r>
                          <w:rPr>
                            <w:color w:val="374151"/>
                            <w:sz w:val="28"/>
                          </w:rPr>
                          <w:t>of</w:t>
                        </w:r>
                        <w:r>
                          <w:rPr>
                            <w:color w:val="374151"/>
                            <w:spacing w:val="-2"/>
                            <w:sz w:val="28"/>
                          </w:rPr>
                          <w:t> </w:t>
                        </w:r>
                        <w:r>
                          <w:rPr>
                            <w:color w:val="374151"/>
                            <w:sz w:val="28"/>
                          </w:rPr>
                          <w:t>sexual</w:t>
                        </w:r>
                        <w:r>
                          <w:rPr>
                            <w:color w:val="374151"/>
                            <w:spacing w:val="-1"/>
                            <w:sz w:val="28"/>
                          </w:rPr>
                          <w:t> </w:t>
                        </w:r>
                        <w:r>
                          <w:rPr>
                            <w:color w:val="374151"/>
                            <w:spacing w:val="-2"/>
                            <w:sz w:val="28"/>
                          </w:rPr>
                          <w:t>propriety.</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Arranged</w:t>
      </w:r>
      <w:r>
        <w:rPr>
          <w:color w:val="374151"/>
          <w:spacing w:val="-4"/>
          <w:shd w:fill="F7F7F8" w:color="auto" w:val="clear"/>
        </w:rPr>
        <w:t> </w:t>
      </w:r>
      <w:r>
        <w:rPr>
          <w:color w:val="374151"/>
          <w:shd w:fill="F7F7F8" w:color="auto" w:val="clear"/>
        </w:rPr>
        <w:t>marriages,</w:t>
      </w:r>
      <w:r>
        <w:rPr>
          <w:color w:val="374151"/>
          <w:spacing w:val="-2"/>
          <w:shd w:fill="F7F7F8" w:color="auto" w:val="clear"/>
        </w:rPr>
        <w:t> </w:t>
      </w:r>
      <w:r>
        <w:rPr>
          <w:color w:val="374151"/>
          <w:shd w:fill="F7F7F8" w:color="auto" w:val="clear"/>
        </w:rPr>
        <w:t>prevalent</w:t>
      </w:r>
      <w:r>
        <w:rPr>
          <w:color w:val="374151"/>
          <w:spacing w:val="-1"/>
          <w:shd w:fill="F7F7F8" w:color="auto" w:val="clear"/>
        </w:rPr>
        <w:t> </w:t>
      </w:r>
      <w:r>
        <w:rPr>
          <w:color w:val="374151"/>
          <w:shd w:fill="F7F7F8" w:color="auto" w:val="clear"/>
        </w:rPr>
        <w:t>in</w:t>
      </w:r>
      <w:r>
        <w:rPr>
          <w:color w:val="374151"/>
          <w:spacing w:val="-2"/>
          <w:shd w:fill="F7F7F8" w:color="auto" w:val="clear"/>
        </w:rPr>
        <w:t> </w:t>
      </w:r>
      <w:r>
        <w:rPr>
          <w:color w:val="374151"/>
          <w:shd w:fill="F7F7F8" w:color="auto" w:val="clear"/>
        </w:rPr>
        <w:t>some</w:t>
      </w:r>
      <w:r>
        <w:rPr>
          <w:color w:val="374151"/>
          <w:spacing w:val="-2"/>
          <w:shd w:fill="F7F7F8" w:color="auto" w:val="clear"/>
        </w:rPr>
        <w:t> </w:t>
      </w:r>
      <w:r>
        <w:rPr>
          <w:color w:val="374151"/>
          <w:shd w:fill="F7F7F8" w:color="auto" w:val="clear"/>
        </w:rPr>
        <w:t>Middle</w:t>
      </w:r>
      <w:r>
        <w:rPr>
          <w:color w:val="374151"/>
          <w:spacing w:val="-3"/>
          <w:shd w:fill="F7F7F8" w:color="auto" w:val="clear"/>
        </w:rPr>
        <w:t> </w:t>
      </w:r>
      <w:r>
        <w:rPr>
          <w:color w:val="374151"/>
          <w:shd w:fill="F7F7F8" w:color="auto" w:val="clear"/>
        </w:rPr>
        <w:t>Eastern</w:t>
      </w:r>
      <w:r>
        <w:rPr>
          <w:color w:val="374151"/>
          <w:spacing w:val="-1"/>
          <w:shd w:fill="F7F7F8" w:color="auto" w:val="clear"/>
        </w:rPr>
        <w:t> </w:t>
      </w:r>
      <w:r>
        <w:rPr>
          <w:color w:val="374151"/>
          <w:shd w:fill="F7F7F8" w:color="auto" w:val="clear"/>
        </w:rPr>
        <w:t>cultures,</w:t>
      </w:r>
      <w:r>
        <w:rPr>
          <w:color w:val="374151"/>
          <w:spacing w:val="-2"/>
          <w:shd w:fill="F7F7F8" w:color="auto" w:val="clear"/>
        </w:rPr>
        <w:t> </w:t>
      </w:r>
      <w:r>
        <w:rPr>
          <w:color w:val="374151"/>
          <w:shd w:fill="F7F7F8" w:color="auto" w:val="clear"/>
        </w:rPr>
        <w:t>play</w:t>
      </w:r>
      <w:r>
        <w:rPr>
          <w:color w:val="374151"/>
          <w:spacing w:val="-1"/>
          <w:shd w:fill="F7F7F8" w:color="auto" w:val="clear"/>
        </w:rPr>
        <w:t> </w:t>
      </w:r>
      <w:r>
        <w:rPr>
          <w:color w:val="374151"/>
          <w:spacing w:val="-10"/>
          <w:shd w:fill="F7F7F8" w:color="auto" w:val="clear"/>
        </w:rPr>
        <w:t>a</w:t>
      </w:r>
      <w:r>
        <w:rPr>
          <w:color w:val="374151"/>
          <w:spacing w:val="40"/>
          <w:shd w:fill="F7F7F8" w:color="auto" w:val="clear"/>
        </w:rPr>
        <w:t> </w:t>
      </w:r>
    </w:p>
    <w:p>
      <w:pPr>
        <w:pStyle w:val="BodyText"/>
        <w:spacing w:line="321" w:lineRule="exact"/>
        <w:ind w:left="280"/>
      </w:pPr>
      <w:r>
        <w:rPr>
          <w:color w:val="374151"/>
          <w:shd w:fill="F7F7F8" w:color="auto" w:val="clear"/>
        </w:rPr>
        <w:t>significant</w:t>
      </w:r>
      <w:r>
        <w:rPr>
          <w:color w:val="374151"/>
          <w:spacing w:val="-7"/>
          <w:shd w:fill="F7F7F8" w:color="auto" w:val="clear"/>
        </w:rPr>
        <w:t> </w:t>
      </w:r>
      <w:r>
        <w:rPr>
          <w:color w:val="374151"/>
          <w:shd w:fill="F7F7F8" w:color="auto" w:val="clear"/>
        </w:rPr>
        <w:t>role</w:t>
      </w:r>
      <w:r>
        <w:rPr>
          <w:color w:val="374151"/>
          <w:spacing w:val="-5"/>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shaping</w:t>
      </w:r>
      <w:r>
        <w:rPr>
          <w:color w:val="374151"/>
          <w:spacing w:val="-4"/>
          <w:shd w:fill="F7F7F8" w:color="auto" w:val="clear"/>
        </w:rPr>
        <w:t> </w:t>
      </w:r>
      <w:r>
        <w:rPr>
          <w:color w:val="374151"/>
          <w:shd w:fill="F7F7F8" w:color="auto" w:val="clear"/>
        </w:rPr>
        <w:t>attitudes</w:t>
      </w:r>
      <w:r>
        <w:rPr>
          <w:color w:val="374151"/>
          <w:spacing w:val="-4"/>
          <w:shd w:fill="F7F7F8" w:color="auto" w:val="clear"/>
        </w:rPr>
        <w:t> </w:t>
      </w:r>
      <w:r>
        <w:rPr>
          <w:color w:val="374151"/>
          <w:shd w:fill="F7F7F8" w:color="auto" w:val="clear"/>
        </w:rPr>
        <w:t>towards</w:t>
      </w:r>
      <w:r>
        <w:rPr>
          <w:color w:val="374151"/>
          <w:spacing w:val="-4"/>
          <w:shd w:fill="F7F7F8" w:color="auto" w:val="clear"/>
        </w:rPr>
        <w:t> </w:t>
      </w:r>
      <w:r>
        <w:rPr>
          <w:color w:val="374151"/>
          <w:shd w:fill="F7F7F8" w:color="auto" w:val="clear"/>
        </w:rPr>
        <w:t>sexuality.</w:t>
      </w:r>
      <w:r>
        <w:rPr>
          <w:color w:val="374151"/>
          <w:spacing w:val="-4"/>
          <w:shd w:fill="F7F7F8" w:color="auto" w:val="clear"/>
        </w:rPr>
        <w:t> </w:t>
      </w:r>
      <w:r>
        <w:rPr>
          <w:color w:val="374151"/>
          <w:shd w:fill="F7F7F8" w:color="auto" w:val="clear"/>
        </w:rPr>
        <w:t>Marital</w:t>
      </w:r>
      <w:r>
        <w:rPr>
          <w:color w:val="374151"/>
          <w:spacing w:val="-4"/>
          <w:shd w:fill="F7F7F8" w:color="auto" w:val="clear"/>
        </w:rPr>
        <w:t> </w:t>
      </w:r>
      <w:r>
        <w:rPr>
          <w:color w:val="374151"/>
          <w:shd w:fill="F7F7F8" w:color="auto" w:val="clear"/>
        </w:rPr>
        <w:t>relationships</w:t>
      </w:r>
      <w:r>
        <w:rPr>
          <w:color w:val="374151"/>
          <w:spacing w:val="-4"/>
          <w:shd w:fill="F7F7F8" w:color="auto" w:val="clear"/>
        </w:rPr>
        <w:t> </w:t>
      </w:r>
      <w:r>
        <w:rPr>
          <w:color w:val="374151"/>
          <w:spacing w:val="-5"/>
          <w:shd w:fill="F7F7F8" w:color="auto" w:val="clear"/>
        </w:rPr>
        <w:t>are</w:t>
      </w:r>
      <w:r>
        <w:rPr>
          <w:color w:val="374151"/>
          <w:spacing w:val="40"/>
          <w:shd w:fill="F7F7F8" w:color="auto" w:val="clear"/>
        </w:rPr>
        <w:t> </w:t>
      </w:r>
    </w:p>
    <w:p>
      <w:pPr>
        <w:spacing w:after="0" w:line="321" w:lineRule="exact"/>
        <w:sectPr>
          <w:pgSz w:w="12240" w:h="15840"/>
          <w:pgMar w:header="0" w:footer="765" w:top="134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30848">
                <wp:simplePos x="0" y="0"/>
                <wp:positionH relativeFrom="page">
                  <wp:posOffset>1066800</wp:posOffset>
                </wp:positionH>
                <wp:positionV relativeFrom="paragraph">
                  <wp:posOffset>251357</wp:posOffset>
                </wp:positionV>
                <wp:extent cx="3961765" cy="787400"/>
                <wp:effectExtent l="0" t="0" r="0" b="0"/>
                <wp:wrapTopAndBottom/>
                <wp:docPr id="173" name="Group 173"/>
                <wp:cNvGraphicFramePr>
                  <a:graphicFrameLocks/>
                </wp:cNvGraphicFramePr>
                <a:graphic>
                  <a:graphicData uri="http://schemas.microsoft.com/office/word/2010/wordprocessingGroup">
                    <wpg:wgp>
                      <wpg:cNvPr id="173" name="Group 173"/>
                      <wpg:cNvGrpSpPr/>
                      <wpg:grpSpPr>
                        <a:xfrm>
                          <a:off x="0" y="0"/>
                          <a:ext cx="3961765" cy="787400"/>
                          <a:chExt cx="3961765" cy="787400"/>
                        </a:xfrm>
                      </wpg:grpSpPr>
                      <wps:wsp>
                        <wps:cNvPr id="174" name="Textbox 174"/>
                        <wps:cNvSpPr txBox="1"/>
                        <wps:spPr>
                          <a:xfrm>
                            <a:off x="0" y="393700"/>
                            <a:ext cx="396176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665082"/>
                                  <w:sz w:val="28"/>
                                </w:rPr>
                                <w:t>The</w:t>
                              </w:r>
                              <w:r>
                                <w:rPr>
                                  <w:b/>
                                  <w:color w:val="665082"/>
                                  <w:spacing w:val="-3"/>
                                  <w:sz w:val="28"/>
                                </w:rPr>
                                <w:t> </w:t>
                              </w:r>
                              <w:r>
                                <w:rPr>
                                  <w:b/>
                                  <w:color w:val="665082"/>
                                  <w:sz w:val="28"/>
                                </w:rPr>
                                <w:t>influence</w:t>
                              </w:r>
                              <w:r>
                                <w:rPr>
                                  <w:b/>
                                  <w:color w:val="665082"/>
                                  <w:spacing w:val="-2"/>
                                  <w:sz w:val="28"/>
                                </w:rPr>
                                <w:t> </w:t>
                              </w:r>
                              <w:r>
                                <w:rPr>
                                  <w:b/>
                                  <w:color w:val="665082"/>
                                  <w:sz w:val="28"/>
                                </w:rPr>
                                <w:t>of</w:t>
                              </w:r>
                              <w:r>
                                <w:rPr>
                                  <w:b/>
                                  <w:color w:val="665082"/>
                                  <w:spacing w:val="-1"/>
                                  <w:sz w:val="28"/>
                                </w:rPr>
                                <w:t> </w:t>
                              </w:r>
                              <w:r>
                                <w:rPr>
                                  <w:b/>
                                  <w:color w:val="665082"/>
                                  <w:sz w:val="28"/>
                                </w:rPr>
                                <w:t>globalization</w:t>
                              </w:r>
                              <w:r>
                                <w:rPr>
                                  <w:b/>
                                  <w:color w:val="665082"/>
                                  <w:spacing w:val="-1"/>
                                  <w:sz w:val="28"/>
                                </w:rPr>
                                <w:t> </w:t>
                              </w:r>
                              <w:r>
                                <w:rPr>
                                  <w:b/>
                                  <w:color w:val="665082"/>
                                  <w:sz w:val="28"/>
                                </w:rPr>
                                <w:t>and</w:t>
                              </w:r>
                              <w:r>
                                <w:rPr>
                                  <w:b/>
                                  <w:color w:val="665082"/>
                                  <w:spacing w:val="-1"/>
                                  <w:sz w:val="28"/>
                                </w:rPr>
                                <w:t> </w:t>
                              </w:r>
                              <w:r>
                                <w:rPr>
                                  <w:b/>
                                  <w:color w:val="665082"/>
                                  <w:sz w:val="28"/>
                                </w:rPr>
                                <w:t>shifting</w:t>
                              </w:r>
                              <w:r>
                                <w:rPr>
                                  <w:b/>
                                  <w:color w:val="665082"/>
                                  <w:spacing w:val="-1"/>
                                  <w:sz w:val="28"/>
                                </w:rPr>
                                <w:t> </w:t>
                              </w:r>
                              <w:r>
                                <w:rPr>
                                  <w:b/>
                                  <w:color w:val="665082"/>
                                  <w:spacing w:val="-2"/>
                                  <w:sz w:val="28"/>
                                </w:rPr>
                                <w:t>attitudes:</w:t>
                              </w:r>
                            </w:p>
                          </w:txbxContent>
                        </wps:txbx>
                        <wps:bodyPr wrap="square" lIns="0" tIns="0" rIns="0" bIns="0" rtlCol="0">
                          <a:noAutofit/>
                        </wps:bodyPr>
                      </wps:wsp>
                      <wps:wsp>
                        <wps:cNvPr id="175" name="Textbox 175"/>
                        <wps:cNvSpPr txBox="1"/>
                        <wps:spPr>
                          <a:xfrm>
                            <a:off x="0" y="0"/>
                            <a:ext cx="3446779"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their</w:t>
                              </w:r>
                              <w:r>
                                <w:rPr>
                                  <w:color w:val="374151"/>
                                  <w:spacing w:val="-2"/>
                                  <w:sz w:val="28"/>
                                </w:rPr>
                                <w:t> </w:t>
                              </w:r>
                              <w:r>
                                <w:rPr>
                                  <w:color w:val="374151"/>
                                  <w:sz w:val="28"/>
                                </w:rPr>
                                <w:t>marital</w:t>
                              </w:r>
                              <w:r>
                                <w:rPr>
                                  <w:color w:val="374151"/>
                                  <w:spacing w:val="-1"/>
                                  <w:sz w:val="28"/>
                                </w:rPr>
                                <w:t> </w:t>
                              </w:r>
                              <w:r>
                                <w:rPr>
                                  <w:color w:val="374151"/>
                                  <w:sz w:val="28"/>
                                </w:rPr>
                                <w:t>duties</w:t>
                              </w:r>
                              <w:r>
                                <w:rPr>
                                  <w:color w:val="374151"/>
                                  <w:spacing w:val="-1"/>
                                  <w:sz w:val="28"/>
                                </w:rPr>
                                <w:t> </w:t>
                              </w:r>
                              <w:r>
                                <w:rPr>
                                  <w:color w:val="374151"/>
                                  <w:sz w:val="28"/>
                                </w:rPr>
                                <w:t>and</w:t>
                              </w:r>
                              <w:r>
                                <w:rPr>
                                  <w:color w:val="374151"/>
                                  <w:spacing w:val="-1"/>
                                  <w:sz w:val="28"/>
                                </w:rPr>
                                <w:t> </w:t>
                              </w:r>
                              <w:r>
                                <w:rPr>
                                  <w:color w:val="374151"/>
                                  <w:sz w:val="28"/>
                                </w:rPr>
                                <w:t>maintain</w:t>
                              </w:r>
                              <w:r>
                                <w:rPr>
                                  <w:color w:val="374151"/>
                                  <w:spacing w:val="-1"/>
                                  <w:sz w:val="28"/>
                                </w:rPr>
                                <w:t> </w:t>
                              </w:r>
                              <w:r>
                                <w:rPr>
                                  <w:color w:val="374151"/>
                                  <w:sz w:val="28"/>
                                </w:rPr>
                                <w:t>the</w:t>
                              </w:r>
                              <w:r>
                                <w:rPr>
                                  <w:color w:val="374151"/>
                                  <w:spacing w:val="-2"/>
                                  <w:sz w:val="28"/>
                                </w:rPr>
                                <w:t> </w:t>
                              </w:r>
                              <w:r>
                                <w:rPr>
                                  <w:color w:val="374151"/>
                                  <w:sz w:val="28"/>
                                </w:rPr>
                                <w:t>family</w:t>
                              </w:r>
                              <w:r>
                                <w:rPr>
                                  <w:color w:val="374151"/>
                                  <w:spacing w:val="-1"/>
                                  <w:sz w:val="28"/>
                                </w:rPr>
                                <w:t> </w:t>
                              </w:r>
                              <w:r>
                                <w:rPr>
                                  <w:color w:val="374151"/>
                                  <w:spacing w:val="-2"/>
                                  <w:sz w:val="28"/>
                                </w:rPr>
                                <w:t>unit.</w:t>
                              </w:r>
                            </w:p>
                          </w:txbxContent>
                        </wps:txbx>
                        <wps:bodyPr wrap="square" lIns="0" tIns="0" rIns="0" bIns="0" rtlCol="0">
                          <a:noAutofit/>
                        </wps:bodyPr>
                      </wps:wsp>
                    </wpg:wgp>
                  </a:graphicData>
                </a:graphic>
              </wp:anchor>
            </w:drawing>
          </mc:Choice>
          <mc:Fallback>
            <w:pict>
              <v:group style="position:absolute;margin-left:84pt;margin-top:19.791931pt;width:311.95pt;height:62pt;mso-position-horizontal-relative:page;mso-position-vertical-relative:paragraph;z-index:-15685632;mso-wrap-distance-left:0;mso-wrap-distance-right:0" id="docshapegroup172" coordorigin="1680,396" coordsize="6239,1240">
                <v:shape style="position:absolute;left:1680;top:1015;width:6239;height:620" type="#_x0000_t202" id="docshape173" filled="true" fillcolor="#f7f7f8" stroked="false">
                  <v:textbox inset="0,0,0,0">
                    <w:txbxContent>
                      <w:p>
                        <w:pPr>
                          <w:spacing w:line="308" w:lineRule="exact" w:before="0"/>
                          <w:ind w:left="0" w:right="-15" w:firstLine="0"/>
                          <w:jc w:val="left"/>
                          <w:rPr>
                            <w:b/>
                            <w:color w:val="000000"/>
                            <w:sz w:val="28"/>
                          </w:rPr>
                        </w:pPr>
                        <w:r>
                          <w:rPr>
                            <w:b/>
                            <w:color w:val="665082"/>
                            <w:sz w:val="28"/>
                          </w:rPr>
                          <w:t>The</w:t>
                        </w:r>
                        <w:r>
                          <w:rPr>
                            <w:b/>
                            <w:color w:val="665082"/>
                            <w:spacing w:val="-3"/>
                            <w:sz w:val="28"/>
                          </w:rPr>
                          <w:t> </w:t>
                        </w:r>
                        <w:r>
                          <w:rPr>
                            <w:b/>
                            <w:color w:val="665082"/>
                            <w:sz w:val="28"/>
                          </w:rPr>
                          <w:t>influence</w:t>
                        </w:r>
                        <w:r>
                          <w:rPr>
                            <w:b/>
                            <w:color w:val="665082"/>
                            <w:spacing w:val="-2"/>
                            <w:sz w:val="28"/>
                          </w:rPr>
                          <w:t> </w:t>
                        </w:r>
                        <w:r>
                          <w:rPr>
                            <w:b/>
                            <w:color w:val="665082"/>
                            <w:sz w:val="28"/>
                          </w:rPr>
                          <w:t>of</w:t>
                        </w:r>
                        <w:r>
                          <w:rPr>
                            <w:b/>
                            <w:color w:val="665082"/>
                            <w:spacing w:val="-1"/>
                            <w:sz w:val="28"/>
                          </w:rPr>
                          <w:t> </w:t>
                        </w:r>
                        <w:r>
                          <w:rPr>
                            <w:b/>
                            <w:color w:val="665082"/>
                            <w:sz w:val="28"/>
                          </w:rPr>
                          <w:t>globalization</w:t>
                        </w:r>
                        <w:r>
                          <w:rPr>
                            <w:b/>
                            <w:color w:val="665082"/>
                            <w:spacing w:val="-1"/>
                            <w:sz w:val="28"/>
                          </w:rPr>
                          <w:t> </w:t>
                        </w:r>
                        <w:r>
                          <w:rPr>
                            <w:b/>
                            <w:color w:val="665082"/>
                            <w:sz w:val="28"/>
                          </w:rPr>
                          <w:t>and</w:t>
                        </w:r>
                        <w:r>
                          <w:rPr>
                            <w:b/>
                            <w:color w:val="665082"/>
                            <w:spacing w:val="-1"/>
                            <w:sz w:val="28"/>
                          </w:rPr>
                          <w:t> </w:t>
                        </w:r>
                        <w:r>
                          <w:rPr>
                            <w:b/>
                            <w:color w:val="665082"/>
                            <w:sz w:val="28"/>
                          </w:rPr>
                          <w:t>shifting</w:t>
                        </w:r>
                        <w:r>
                          <w:rPr>
                            <w:b/>
                            <w:color w:val="665082"/>
                            <w:spacing w:val="-1"/>
                            <w:sz w:val="28"/>
                          </w:rPr>
                          <w:t> </w:t>
                        </w:r>
                        <w:r>
                          <w:rPr>
                            <w:b/>
                            <w:color w:val="665082"/>
                            <w:spacing w:val="-2"/>
                            <w:sz w:val="28"/>
                          </w:rPr>
                          <w:t>attitudes:</w:t>
                        </w:r>
                      </w:p>
                    </w:txbxContent>
                  </v:textbox>
                  <v:fill type="solid"/>
                  <w10:wrap type="none"/>
                </v:shape>
                <v:shape style="position:absolute;left:1680;top:395;width:5428;height:620" type="#_x0000_t202" id="docshape174" filled="true" fillcolor="#f7f7f8" stroked="false">
                  <v:textbox inset="0,0,0,0">
                    <w:txbxContent>
                      <w:p>
                        <w:pPr>
                          <w:spacing w:line="308" w:lineRule="exact" w:before="0"/>
                          <w:ind w:left="0" w:right="-15" w:firstLine="0"/>
                          <w:jc w:val="left"/>
                          <w:rPr>
                            <w:color w:val="000000"/>
                            <w:sz w:val="28"/>
                          </w:rPr>
                        </w:pPr>
                        <w:r>
                          <w:rPr>
                            <w:color w:val="374151"/>
                            <w:sz w:val="28"/>
                          </w:rPr>
                          <w:t>their</w:t>
                        </w:r>
                        <w:r>
                          <w:rPr>
                            <w:color w:val="374151"/>
                            <w:spacing w:val="-2"/>
                            <w:sz w:val="28"/>
                          </w:rPr>
                          <w:t> </w:t>
                        </w:r>
                        <w:r>
                          <w:rPr>
                            <w:color w:val="374151"/>
                            <w:sz w:val="28"/>
                          </w:rPr>
                          <w:t>marital</w:t>
                        </w:r>
                        <w:r>
                          <w:rPr>
                            <w:color w:val="374151"/>
                            <w:spacing w:val="-1"/>
                            <w:sz w:val="28"/>
                          </w:rPr>
                          <w:t> </w:t>
                        </w:r>
                        <w:r>
                          <w:rPr>
                            <w:color w:val="374151"/>
                            <w:sz w:val="28"/>
                          </w:rPr>
                          <w:t>duties</w:t>
                        </w:r>
                        <w:r>
                          <w:rPr>
                            <w:color w:val="374151"/>
                            <w:spacing w:val="-1"/>
                            <w:sz w:val="28"/>
                          </w:rPr>
                          <w:t> </w:t>
                        </w:r>
                        <w:r>
                          <w:rPr>
                            <w:color w:val="374151"/>
                            <w:sz w:val="28"/>
                          </w:rPr>
                          <w:t>and</w:t>
                        </w:r>
                        <w:r>
                          <w:rPr>
                            <w:color w:val="374151"/>
                            <w:spacing w:val="-1"/>
                            <w:sz w:val="28"/>
                          </w:rPr>
                          <w:t> </w:t>
                        </w:r>
                        <w:r>
                          <w:rPr>
                            <w:color w:val="374151"/>
                            <w:sz w:val="28"/>
                          </w:rPr>
                          <w:t>maintain</w:t>
                        </w:r>
                        <w:r>
                          <w:rPr>
                            <w:color w:val="374151"/>
                            <w:spacing w:val="-1"/>
                            <w:sz w:val="28"/>
                          </w:rPr>
                          <w:t> </w:t>
                        </w:r>
                        <w:r>
                          <w:rPr>
                            <w:color w:val="374151"/>
                            <w:sz w:val="28"/>
                          </w:rPr>
                          <w:t>the</w:t>
                        </w:r>
                        <w:r>
                          <w:rPr>
                            <w:color w:val="374151"/>
                            <w:spacing w:val="-2"/>
                            <w:sz w:val="28"/>
                          </w:rPr>
                          <w:t> </w:t>
                        </w:r>
                        <w:r>
                          <w:rPr>
                            <w:color w:val="374151"/>
                            <w:sz w:val="28"/>
                          </w:rPr>
                          <w:t>family</w:t>
                        </w:r>
                        <w:r>
                          <w:rPr>
                            <w:color w:val="374151"/>
                            <w:spacing w:val="-1"/>
                            <w:sz w:val="28"/>
                          </w:rPr>
                          <w:t> </w:t>
                        </w:r>
                        <w:r>
                          <w:rPr>
                            <w:color w:val="374151"/>
                            <w:spacing w:val="-2"/>
                            <w:sz w:val="28"/>
                          </w:rPr>
                          <w:t>unit.</w:t>
                        </w:r>
                      </w:p>
                    </w:txbxContent>
                  </v:textbox>
                  <v:fill type="solid"/>
                  <w10:wrap type="none"/>
                </v:shape>
                <w10:wrap type="topAndBottom"/>
              </v:group>
            </w:pict>
          </mc:Fallback>
        </mc:AlternateContent>
      </w:r>
      <w:r>
        <w:rPr>
          <w:color w:val="374151"/>
          <w:shd w:fill="F7F7F8" w:color="auto" w:val="clear"/>
        </w:rPr>
        <w:t>seen</w:t>
      </w:r>
      <w:r>
        <w:rPr>
          <w:color w:val="374151"/>
          <w:spacing w:val="-2"/>
          <w:shd w:fill="F7F7F8" w:color="auto" w:val="clear"/>
        </w:rPr>
        <w:t> </w:t>
      </w:r>
      <w:r>
        <w:rPr>
          <w:color w:val="374151"/>
          <w:shd w:fill="F7F7F8" w:color="auto" w:val="clear"/>
        </w:rPr>
        <w:t>as</w:t>
      </w:r>
      <w:r>
        <w:rPr>
          <w:color w:val="374151"/>
          <w:spacing w:val="-2"/>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social</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familial</w:t>
      </w:r>
      <w:r>
        <w:rPr>
          <w:color w:val="374151"/>
          <w:spacing w:val="-2"/>
          <w:shd w:fill="F7F7F8" w:color="auto" w:val="clear"/>
        </w:rPr>
        <w:t> </w:t>
      </w:r>
      <w:r>
        <w:rPr>
          <w:color w:val="374151"/>
          <w:shd w:fill="F7F7F8" w:color="auto" w:val="clear"/>
        </w:rPr>
        <w:t>contract,</w:t>
      </w:r>
      <w:r>
        <w:rPr>
          <w:color w:val="374151"/>
          <w:spacing w:val="-2"/>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expectations</w:t>
      </w:r>
      <w:r>
        <w:rPr>
          <w:color w:val="374151"/>
          <w:spacing w:val="-2"/>
          <w:shd w:fill="F7F7F8" w:color="auto" w:val="clear"/>
        </w:rPr>
        <w:t> </w:t>
      </w:r>
      <w:r>
        <w:rPr>
          <w:color w:val="374151"/>
          <w:shd w:fill="F7F7F8" w:color="auto" w:val="clear"/>
        </w:rPr>
        <w:t>for</w:t>
      </w:r>
      <w:r>
        <w:rPr>
          <w:color w:val="374151"/>
          <w:spacing w:val="-1"/>
          <w:shd w:fill="F7F7F8" w:color="auto" w:val="clear"/>
        </w:rPr>
        <w:t> </w:t>
      </w:r>
      <w:r>
        <w:rPr>
          <w:color w:val="374151"/>
          <w:shd w:fill="F7F7F8" w:color="auto" w:val="clear"/>
        </w:rPr>
        <w:t>couples</w:t>
      </w:r>
      <w:r>
        <w:rPr>
          <w:color w:val="374151"/>
          <w:spacing w:val="-2"/>
          <w:shd w:fill="F7F7F8" w:color="auto" w:val="clear"/>
        </w:rPr>
        <w:t> </w:t>
      </w:r>
      <w:r>
        <w:rPr>
          <w:color w:val="374151"/>
          <w:shd w:fill="F7F7F8" w:color="auto" w:val="clear"/>
        </w:rPr>
        <w:t>to</w:t>
      </w:r>
      <w:r>
        <w:rPr>
          <w:color w:val="374151"/>
          <w:spacing w:val="-1"/>
          <w:shd w:fill="F7F7F8" w:color="auto" w:val="clear"/>
        </w:rPr>
        <w:t> </w:t>
      </w:r>
      <w:r>
        <w:rPr>
          <w:color w:val="374151"/>
          <w:spacing w:val="-2"/>
          <w:shd w:fill="F7F7F8" w:color="auto" w:val="clear"/>
        </w:rPr>
        <w:t>fulfill</w:t>
      </w:r>
      <w:r>
        <w:rPr>
          <w:color w:val="374151"/>
          <w:spacing w:val="40"/>
          <w:shd w:fill="F7F7F8" w:color="auto" w:val="clear"/>
        </w:rPr>
        <w:t> </w:t>
      </w:r>
    </w:p>
    <w:p>
      <w:pPr>
        <w:pStyle w:val="BodyText"/>
        <w:spacing w:line="237" w:lineRule="auto"/>
        <w:ind w:left="280" w:right="499"/>
      </w:pPr>
      <w:r>
        <w:rPr>
          <w:color w:val="374151"/>
          <w:shd w:fill="F7F7F8" w:color="auto" w:val="clear"/>
        </w:rPr>
        <w:t>Globalization, exposure to</w:t>
      </w:r>
      <w:r>
        <w:rPr>
          <w:color w:val="374151"/>
          <w:spacing w:val="-1"/>
          <w:shd w:fill="F7F7F8" w:color="auto" w:val="clear"/>
        </w:rPr>
        <w:t> </w:t>
      </w:r>
      <w:r>
        <w:rPr>
          <w:color w:val="374151"/>
          <w:shd w:fill="F7F7F8" w:color="auto" w:val="clear"/>
        </w:rPr>
        <w:t>Western values, and increased mobility have </w:t>
      </w:r>
      <w:r>
        <w:rPr>
          <w:color w:val="374151"/>
        </w:rPr>
        <w:t> </w:t>
      </w:r>
      <w:r>
        <w:rPr>
          <w:color w:val="374151"/>
          <w:shd w:fill="F7F7F8" w:color="auto" w:val="clear"/>
        </w:rPr>
        <w:t>resulted</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shifting</w:t>
      </w:r>
      <w:r>
        <w:rPr>
          <w:color w:val="374151"/>
          <w:spacing w:val="-4"/>
          <w:shd w:fill="F7F7F8" w:color="auto" w:val="clear"/>
        </w:rPr>
        <w:t> </w:t>
      </w:r>
      <w:r>
        <w:rPr>
          <w:color w:val="374151"/>
          <w:shd w:fill="F7F7F8" w:color="auto" w:val="clear"/>
        </w:rPr>
        <w:t>attitudes</w:t>
      </w:r>
      <w:r>
        <w:rPr>
          <w:color w:val="374151"/>
          <w:spacing w:val="-4"/>
          <w:shd w:fill="F7F7F8" w:color="auto" w:val="clear"/>
        </w:rPr>
        <w:t> </w:t>
      </w:r>
      <w:r>
        <w:rPr>
          <w:color w:val="374151"/>
          <w:shd w:fill="F7F7F8" w:color="auto" w:val="clear"/>
        </w:rPr>
        <w:t>towards</w:t>
      </w:r>
      <w:r>
        <w:rPr>
          <w:color w:val="374151"/>
          <w:spacing w:val="-4"/>
          <w:shd w:fill="F7F7F8" w:color="auto" w:val="clear"/>
        </w:rPr>
        <w:t> </w:t>
      </w:r>
      <w:r>
        <w:rPr>
          <w:color w:val="374151"/>
          <w:shd w:fill="F7F7F8" w:color="auto" w:val="clear"/>
        </w:rPr>
        <w:t>sexuality</w:t>
      </w:r>
      <w:r>
        <w:rPr>
          <w:color w:val="374151"/>
          <w:spacing w:val="-4"/>
          <w:shd w:fill="F7F7F8" w:color="auto" w:val="clear"/>
        </w:rPr>
        <w:t> </w:t>
      </w:r>
      <w:r>
        <w:rPr>
          <w:color w:val="374151"/>
          <w:shd w:fill="F7F7F8" w:color="auto" w:val="clear"/>
        </w:rPr>
        <w:t>among</w:t>
      </w:r>
      <w:r>
        <w:rPr>
          <w:color w:val="374151"/>
          <w:spacing w:val="-4"/>
          <w:shd w:fill="F7F7F8" w:color="auto" w:val="clear"/>
        </w:rPr>
        <w:t> </w:t>
      </w:r>
      <w:r>
        <w:rPr>
          <w:color w:val="374151"/>
          <w:shd w:fill="F7F7F8" w:color="auto" w:val="clear"/>
        </w:rPr>
        <w:t>younger</w:t>
      </w:r>
      <w:r>
        <w:rPr>
          <w:color w:val="374151"/>
          <w:spacing w:val="-4"/>
          <w:shd w:fill="F7F7F8" w:color="auto" w:val="clear"/>
        </w:rPr>
        <w:t> </w:t>
      </w:r>
      <w:r>
        <w:rPr>
          <w:color w:val="374151"/>
          <w:shd w:fill="F7F7F8" w:color="auto" w:val="clear"/>
        </w:rPr>
        <w:t>generations</w:t>
      </w:r>
      <w:r>
        <w:rPr>
          <w:color w:val="374151"/>
          <w:spacing w:val="-4"/>
          <w:shd w:fill="F7F7F8" w:color="auto" w:val="clear"/>
        </w:rPr>
        <w:t> </w:t>
      </w:r>
      <w:r>
        <w:rPr>
          <w:color w:val="374151"/>
          <w:shd w:fill="F7F7F8" w:color="auto" w:val="clear"/>
        </w:rPr>
        <w:t>in</w:t>
      </w:r>
      <w:r>
        <w:rPr>
          <w:color w:val="374151"/>
          <w:spacing w:val="-5"/>
          <w:shd w:fill="F7F7F8" w:color="auto" w:val="clear"/>
        </w:rPr>
        <w:t> </w:t>
      </w:r>
      <w:r>
        <w:rPr>
          <w:color w:val="374151"/>
          <w:spacing w:val="-5"/>
        </w:rPr>
        <w:t> </w:t>
      </w:r>
      <w:r>
        <w:rPr>
          <w:color w:val="374151"/>
          <w:shd w:fill="F7F7F8" w:color="auto" w:val="clear"/>
        </w:rPr>
        <w:t>some Middle Eastern countries.</w:t>
      </w:r>
      <w:r>
        <w:rPr>
          <w:color w:val="374151"/>
          <w:spacing w:val="-2"/>
          <w:shd w:fill="F7F7F8" w:color="auto" w:val="clear"/>
        </w:rPr>
        <w:t> </w:t>
      </w:r>
      <w:r>
        <w:rPr>
          <w:color w:val="374151"/>
          <w:shd w:fill="F7F7F8" w:color="auto" w:val="clear"/>
        </w:rPr>
        <w:t>Western media, the internet, and increased </w:t>
      </w:r>
      <w:r>
        <w:rPr>
          <w:color w:val="374151"/>
        </w:rPr>
        <w:t> </w:t>
      </w:r>
      <w:r>
        <w:rPr>
          <w:color w:val="374151"/>
          <w:shd w:fill="F7F7F8" w:color="auto" w:val="clear"/>
        </w:rPr>
        <w:t>access to information have contributed to more open discussions and diverse</w:t>
      </w:r>
      <w:r>
        <w:rPr>
          <w:color w:val="374151"/>
          <w:spacing w:val="40"/>
          <w:shd w:fill="F7F7F8" w:color="auto" w:val="clear"/>
        </w:rPr>
        <w:t> </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28"/>
        <w:ind w:left="280" w:right="0" w:firstLine="0"/>
        <w:jc w:val="left"/>
        <w:rPr>
          <w:rFonts w:ascii="Segoe UI Symbol" w:hAnsi="Segoe UI Symbol"/>
          <w:sz w:val="28"/>
        </w:rPr>
      </w:pPr>
      <w:r>
        <w:rPr/>
        <mc:AlternateContent>
          <mc:Choice Requires="wps">
            <w:drawing>
              <wp:anchor distT="0" distB="0" distL="0" distR="0" allowOverlap="1" layoutInCell="1" locked="0" behindDoc="1" simplePos="0" relativeHeight="485117952">
                <wp:simplePos x="0" y="0"/>
                <wp:positionH relativeFrom="page">
                  <wp:posOffset>1066800</wp:posOffset>
                </wp:positionH>
                <wp:positionV relativeFrom="paragraph">
                  <wp:posOffset>-726701</wp:posOffset>
                </wp:positionV>
                <wp:extent cx="3855720" cy="118110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3855720" cy="1181100"/>
                          <a:chExt cx="3855720" cy="1181100"/>
                        </a:xfrm>
                      </wpg:grpSpPr>
                      <wps:wsp>
                        <wps:cNvPr id="177" name="Textbox 177"/>
                        <wps:cNvSpPr txBox="1"/>
                        <wps:spPr>
                          <a:xfrm>
                            <a:off x="147240" y="787400"/>
                            <a:ext cx="249872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Cultivating</w:t>
                              </w:r>
                              <w:r>
                                <w:rPr>
                                  <w:b/>
                                  <w:color w:val="374151"/>
                                  <w:spacing w:val="-2"/>
                                  <w:sz w:val="28"/>
                                </w:rPr>
                                <w:t> </w:t>
                              </w:r>
                              <w:r>
                                <w:rPr>
                                  <w:b/>
                                  <w:color w:val="374151"/>
                                  <w:sz w:val="28"/>
                                </w:rPr>
                                <w:t>cultural</w:t>
                              </w:r>
                              <w:r>
                                <w:rPr>
                                  <w:b/>
                                  <w:color w:val="374151"/>
                                  <w:spacing w:val="-1"/>
                                  <w:sz w:val="28"/>
                                </w:rPr>
                                <w:t> </w:t>
                              </w:r>
                              <w:r>
                                <w:rPr>
                                  <w:b/>
                                  <w:color w:val="374151"/>
                                  <w:spacing w:val="-2"/>
                                  <w:sz w:val="28"/>
                                </w:rPr>
                                <w:t>competence:</w:t>
                              </w:r>
                            </w:p>
                          </w:txbxContent>
                        </wps:txbx>
                        <wps:bodyPr wrap="square" lIns="0" tIns="0" rIns="0" bIns="0" rtlCol="0">
                          <a:noAutofit/>
                        </wps:bodyPr>
                      </wps:wsp>
                      <wps:wsp>
                        <wps:cNvPr id="178" name="Textbox 178"/>
                        <wps:cNvSpPr txBox="1"/>
                        <wps:spPr>
                          <a:xfrm>
                            <a:off x="0" y="393700"/>
                            <a:ext cx="385572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Recommendations</w:t>
                              </w:r>
                              <w:r>
                                <w:rPr>
                                  <w:b/>
                                  <w:color w:val="374151"/>
                                  <w:spacing w:val="-3"/>
                                  <w:sz w:val="28"/>
                                </w:rPr>
                                <w:t> </w:t>
                              </w:r>
                              <w:r>
                                <w:rPr>
                                  <w:b/>
                                  <w:color w:val="374151"/>
                                  <w:sz w:val="28"/>
                                </w:rPr>
                                <w:t>for</w:t>
                              </w:r>
                              <w:r>
                                <w:rPr>
                                  <w:b/>
                                  <w:color w:val="374151"/>
                                  <w:spacing w:val="-7"/>
                                  <w:sz w:val="28"/>
                                </w:rPr>
                                <w:t> </w:t>
                              </w:r>
                              <w:r>
                                <w:rPr>
                                  <w:b/>
                                  <w:color w:val="374151"/>
                                  <w:sz w:val="28"/>
                                </w:rPr>
                                <w:t>Mental</w:t>
                              </w:r>
                              <w:r>
                                <w:rPr>
                                  <w:b/>
                                  <w:color w:val="374151"/>
                                  <w:spacing w:val="-2"/>
                                  <w:sz w:val="28"/>
                                </w:rPr>
                                <w:t> </w:t>
                              </w:r>
                              <w:r>
                                <w:rPr>
                                  <w:b/>
                                  <w:color w:val="374151"/>
                                  <w:sz w:val="28"/>
                                </w:rPr>
                                <w:t>Health</w:t>
                              </w:r>
                              <w:r>
                                <w:rPr>
                                  <w:b/>
                                  <w:color w:val="374151"/>
                                  <w:spacing w:val="-2"/>
                                  <w:sz w:val="28"/>
                                </w:rPr>
                                <w:t> Professionals</w:t>
                              </w:r>
                            </w:p>
                          </w:txbxContent>
                        </wps:txbx>
                        <wps:bodyPr wrap="square" lIns="0" tIns="0" rIns="0" bIns="0" rtlCol="0">
                          <a:noAutofit/>
                        </wps:bodyPr>
                      </wps:wsp>
                      <wps:wsp>
                        <wps:cNvPr id="179" name="Textbox 179"/>
                        <wps:cNvSpPr txBox="1"/>
                        <wps:spPr>
                          <a:xfrm>
                            <a:off x="0" y="0"/>
                            <a:ext cx="182054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perspectives</w:t>
                              </w:r>
                              <w:r>
                                <w:rPr>
                                  <w:color w:val="374151"/>
                                  <w:spacing w:val="-3"/>
                                  <w:sz w:val="28"/>
                                </w:rPr>
                                <w:t> </w:t>
                              </w:r>
                              <w:r>
                                <w:rPr>
                                  <w:color w:val="374151"/>
                                  <w:sz w:val="28"/>
                                </w:rPr>
                                <w:t>on</w:t>
                              </w:r>
                              <w:r>
                                <w:rPr>
                                  <w:color w:val="374151"/>
                                  <w:spacing w:val="-2"/>
                                  <w:sz w:val="28"/>
                                </w:rPr>
                                <w:t> sexuality.</w:t>
                              </w:r>
                            </w:p>
                          </w:txbxContent>
                        </wps:txbx>
                        <wps:bodyPr wrap="square" lIns="0" tIns="0" rIns="0" bIns="0" rtlCol="0">
                          <a:noAutofit/>
                        </wps:bodyPr>
                      </wps:wsp>
                    </wpg:wgp>
                  </a:graphicData>
                </a:graphic>
              </wp:anchor>
            </w:drawing>
          </mc:Choice>
          <mc:Fallback>
            <w:pict>
              <v:group style="position:absolute;margin-left:84pt;margin-top:-57.220573pt;width:303.6pt;height:93pt;mso-position-horizontal-relative:page;mso-position-vertical-relative:paragraph;z-index:-18198528" id="docshapegroup175" coordorigin="1680,-1144" coordsize="6072,1860">
                <v:shape style="position:absolute;left:1911;top:95;width:3935;height:620" type="#_x0000_t202" id="docshape176" filled="true" fillcolor="#f7f7f8" stroked="false">
                  <v:textbox inset="0,0,0,0">
                    <w:txbxContent>
                      <w:p>
                        <w:pPr>
                          <w:spacing w:line="308" w:lineRule="exact" w:before="0"/>
                          <w:ind w:left="0" w:right="-15" w:firstLine="0"/>
                          <w:jc w:val="left"/>
                          <w:rPr>
                            <w:b/>
                            <w:color w:val="000000"/>
                            <w:sz w:val="28"/>
                          </w:rPr>
                        </w:pPr>
                        <w:r>
                          <w:rPr>
                            <w:b/>
                            <w:color w:val="374151"/>
                            <w:sz w:val="28"/>
                          </w:rPr>
                          <w:t>Cultivating</w:t>
                        </w:r>
                        <w:r>
                          <w:rPr>
                            <w:b/>
                            <w:color w:val="374151"/>
                            <w:spacing w:val="-2"/>
                            <w:sz w:val="28"/>
                          </w:rPr>
                          <w:t> </w:t>
                        </w:r>
                        <w:r>
                          <w:rPr>
                            <w:b/>
                            <w:color w:val="374151"/>
                            <w:sz w:val="28"/>
                          </w:rPr>
                          <w:t>cultural</w:t>
                        </w:r>
                        <w:r>
                          <w:rPr>
                            <w:b/>
                            <w:color w:val="374151"/>
                            <w:spacing w:val="-1"/>
                            <w:sz w:val="28"/>
                          </w:rPr>
                          <w:t> </w:t>
                        </w:r>
                        <w:r>
                          <w:rPr>
                            <w:b/>
                            <w:color w:val="374151"/>
                            <w:spacing w:val="-2"/>
                            <w:sz w:val="28"/>
                          </w:rPr>
                          <w:t>competence:</w:t>
                        </w:r>
                      </w:p>
                    </w:txbxContent>
                  </v:textbox>
                  <v:fill type="solid"/>
                  <w10:wrap type="none"/>
                </v:shape>
                <v:shape style="position:absolute;left:1680;top:-525;width:6072;height:620" type="#_x0000_t202" id="docshape177" filled="true" fillcolor="#f7f7f8" stroked="false">
                  <v:textbox inset="0,0,0,0">
                    <w:txbxContent>
                      <w:p>
                        <w:pPr>
                          <w:spacing w:line="308" w:lineRule="exact" w:before="0"/>
                          <w:ind w:left="0" w:right="-15" w:firstLine="0"/>
                          <w:jc w:val="left"/>
                          <w:rPr>
                            <w:b/>
                            <w:color w:val="000000"/>
                            <w:sz w:val="28"/>
                          </w:rPr>
                        </w:pPr>
                        <w:r>
                          <w:rPr>
                            <w:b/>
                            <w:color w:val="374151"/>
                            <w:sz w:val="28"/>
                          </w:rPr>
                          <w:t>Recommendations</w:t>
                        </w:r>
                        <w:r>
                          <w:rPr>
                            <w:b/>
                            <w:color w:val="374151"/>
                            <w:spacing w:val="-3"/>
                            <w:sz w:val="28"/>
                          </w:rPr>
                          <w:t> </w:t>
                        </w:r>
                        <w:r>
                          <w:rPr>
                            <w:b/>
                            <w:color w:val="374151"/>
                            <w:sz w:val="28"/>
                          </w:rPr>
                          <w:t>for</w:t>
                        </w:r>
                        <w:r>
                          <w:rPr>
                            <w:b/>
                            <w:color w:val="374151"/>
                            <w:spacing w:val="-7"/>
                            <w:sz w:val="28"/>
                          </w:rPr>
                          <w:t> </w:t>
                        </w:r>
                        <w:r>
                          <w:rPr>
                            <w:b/>
                            <w:color w:val="374151"/>
                            <w:sz w:val="28"/>
                          </w:rPr>
                          <w:t>Mental</w:t>
                        </w:r>
                        <w:r>
                          <w:rPr>
                            <w:b/>
                            <w:color w:val="374151"/>
                            <w:spacing w:val="-2"/>
                            <w:sz w:val="28"/>
                          </w:rPr>
                          <w:t> </w:t>
                        </w:r>
                        <w:r>
                          <w:rPr>
                            <w:b/>
                            <w:color w:val="374151"/>
                            <w:sz w:val="28"/>
                          </w:rPr>
                          <w:t>Health</w:t>
                        </w:r>
                        <w:r>
                          <w:rPr>
                            <w:b/>
                            <w:color w:val="374151"/>
                            <w:spacing w:val="-2"/>
                            <w:sz w:val="28"/>
                          </w:rPr>
                          <w:t> Professionals</w:t>
                        </w:r>
                      </w:p>
                    </w:txbxContent>
                  </v:textbox>
                  <v:fill type="solid"/>
                  <w10:wrap type="none"/>
                </v:shape>
                <v:shape style="position:absolute;left:1680;top:-1145;width:2867;height:620" type="#_x0000_t202" id="docshape178" filled="true" fillcolor="#f7f7f8" stroked="false">
                  <v:textbox inset="0,0,0,0">
                    <w:txbxContent>
                      <w:p>
                        <w:pPr>
                          <w:spacing w:line="308" w:lineRule="exact" w:before="0"/>
                          <w:ind w:left="0" w:right="-15" w:firstLine="0"/>
                          <w:jc w:val="left"/>
                          <w:rPr>
                            <w:color w:val="000000"/>
                            <w:sz w:val="28"/>
                          </w:rPr>
                        </w:pPr>
                        <w:r>
                          <w:rPr>
                            <w:color w:val="374151"/>
                            <w:sz w:val="28"/>
                          </w:rPr>
                          <w:t>perspectives</w:t>
                        </w:r>
                        <w:r>
                          <w:rPr>
                            <w:color w:val="374151"/>
                            <w:spacing w:val="-3"/>
                            <w:sz w:val="28"/>
                          </w:rPr>
                          <w:t> </w:t>
                        </w:r>
                        <w:r>
                          <w:rPr>
                            <w:color w:val="374151"/>
                            <w:sz w:val="28"/>
                          </w:rPr>
                          <w:t>on</w:t>
                        </w:r>
                        <w:r>
                          <w:rPr>
                            <w:color w:val="374151"/>
                            <w:spacing w:val="-2"/>
                            <w:sz w:val="28"/>
                          </w:rPr>
                          <w:t> sexuality.</w:t>
                        </w:r>
                      </w:p>
                    </w:txbxContent>
                  </v:textbox>
                  <v:fill type="solid"/>
                  <w10:wrap type="none"/>
                </v:shape>
                <w10:wrap type="none"/>
              </v:group>
            </w:pict>
          </mc:Fallback>
        </mc:AlternateContent>
      </w:r>
      <w:r>
        <w:rPr>
          <w:rFonts w:ascii="Segoe UI Symbol" w:hAnsi="Segoe UI Symbol"/>
          <w:color w:val="374151"/>
          <w:w w:val="82"/>
          <w:sz w:val="28"/>
        </w:rPr>
        <w:t>➡</w:t>
      </w:r>
    </w:p>
    <w:p>
      <w:pPr>
        <w:pStyle w:val="BodyText"/>
        <w:spacing w:before="9"/>
        <w:rPr>
          <w:rFonts w:ascii="Segoe UI Symbol"/>
          <w:sz w:val="22"/>
        </w:rPr>
      </w:pPr>
    </w:p>
    <w:p>
      <w:pPr>
        <w:pStyle w:val="BodyText"/>
        <w:ind w:left="280" w:right="502"/>
      </w:pP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should</w:t>
      </w:r>
      <w:r>
        <w:rPr>
          <w:color w:val="374151"/>
          <w:spacing w:val="-4"/>
          <w:shd w:fill="F7F7F8" w:color="auto" w:val="clear"/>
        </w:rPr>
        <w:t> </w:t>
      </w:r>
      <w:r>
        <w:rPr>
          <w:color w:val="374151"/>
          <w:shd w:fill="F7F7F8" w:color="auto" w:val="clear"/>
        </w:rPr>
        <w:t>actively</w:t>
      </w:r>
      <w:r>
        <w:rPr>
          <w:color w:val="374151"/>
          <w:spacing w:val="-4"/>
          <w:shd w:fill="F7F7F8" w:color="auto" w:val="clear"/>
        </w:rPr>
        <w:t> </w:t>
      </w:r>
      <w:r>
        <w:rPr>
          <w:color w:val="374151"/>
          <w:shd w:fill="F7F7F8" w:color="auto" w:val="clear"/>
        </w:rPr>
        <w:t>engage</w:t>
      </w:r>
      <w:r>
        <w:rPr>
          <w:color w:val="374151"/>
          <w:spacing w:val="-5"/>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cultural</w:t>
      </w:r>
      <w:r>
        <w:rPr>
          <w:color w:val="374151"/>
          <w:spacing w:val="-4"/>
          <w:shd w:fill="F7F7F8" w:color="auto" w:val="clear"/>
        </w:rPr>
        <w:t> </w:t>
      </w:r>
      <w:r>
        <w:rPr>
          <w:color w:val="374151"/>
          <w:shd w:fill="F7F7F8" w:color="auto" w:val="clear"/>
        </w:rPr>
        <w:t>competence</w:t>
      </w:r>
      <w:r>
        <w:rPr>
          <w:color w:val="374151"/>
          <w:spacing w:val="-5"/>
          <w:shd w:fill="F7F7F8" w:color="auto" w:val="clear"/>
        </w:rPr>
        <w:t> </w:t>
      </w:r>
      <w:r>
        <w:rPr>
          <w:color w:val="374151"/>
          <w:spacing w:val="-5"/>
        </w:rPr>
        <w:t> </w:t>
      </w:r>
      <w:r>
        <w:rPr>
          <w:color w:val="374151"/>
          <w:shd w:fill="F7F7F8" w:color="auto" w:val="clear"/>
        </w:rPr>
        <w:t>training to understand and respect the diverse cultural norms, beliefs, and </w:t>
      </w:r>
      <w:r>
        <w:rPr>
          <w:color w:val="374151"/>
        </w:rPr>
        <w:t> </w:t>
      </w:r>
      <w:r>
        <w:rPr>
          <w:color w:val="374151"/>
          <w:shd w:fill="F7F7F8" w:color="auto" w:val="clear"/>
        </w:rPr>
        <w:t>values related to sexuality within different ethnic groups. This includes</w:t>
      </w:r>
      <w:r>
        <w:rPr>
          <w:color w:val="374151"/>
          <w:spacing w:val="40"/>
          <w:shd w:fill="F7F7F8" w:color="auto" w:val="clear"/>
        </w:rPr>
        <w:t> </w:t>
      </w:r>
    </w:p>
    <w:p>
      <w:pPr>
        <w:pStyle w:val="BodyText"/>
        <w:rPr>
          <w:sz w:val="20"/>
        </w:rPr>
      </w:pPr>
    </w:p>
    <w:p>
      <w:pPr>
        <w:pStyle w:val="BodyText"/>
        <w:spacing w:before="3"/>
        <w:rPr>
          <w:sz w:val="26"/>
        </w:rPr>
      </w:pPr>
    </w:p>
    <w:p>
      <w:pPr>
        <w:spacing w:before="28"/>
        <w:ind w:left="280" w:right="0" w:firstLine="0"/>
        <w:jc w:val="left"/>
        <w:rPr>
          <w:rFonts w:ascii="Segoe UI Symbol" w:hAnsi="Segoe UI Symbol"/>
          <w:sz w:val="28"/>
        </w:rPr>
      </w:pPr>
      <w:r>
        <w:rPr/>
        <mc:AlternateContent>
          <mc:Choice Requires="wps">
            <w:drawing>
              <wp:anchor distT="0" distB="0" distL="0" distR="0" allowOverlap="1" layoutInCell="1" locked="0" behindDoc="1" simplePos="0" relativeHeight="485117440">
                <wp:simplePos x="0" y="0"/>
                <wp:positionH relativeFrom="page">
                  <wp:posOffset>1066800</wp:posOffset>
                </wp:positionH>
                <wp:positionV relativeFrom="paragraph">
                  <wp:posOffset>-333001</wp:posOffset>
                </wp:positionV>
                <wp:extent cx="5589905" cy="78740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5589905" cy="787400"/>
                          <a:chExt cx="5589905" cy="787400"/>
                        </a:xfrm>
                      </wpg:grpSpPr>
                      <wps:wsp>
                        <wps:cNvPr id="181" name="Textbox 181"/>
                        <wps:cNvSpPr txBox="1"/>
                        <wps:spPr>
                          <a:xfrm>
                            <a:off x="147240" y="393700"/>
                            <a:ext cx="3622040"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Recognizing</w:t>
                              </w:r>
                              <w:r>
                                <w:rPr>
                                  <w:b/>
                                  <w:color w:val="374151"/>
                                  <w:spacing w:val="-3"/>
                                  <w:sz w:val="28"/>
                                </w:rPr>
                                <w:t> </w:t>
                              </w:r>
                              <w:r>
                                <w:rPr>
                                  <w:b/>
                                  <w:color w:val="374151"/>
                                  <w:sz w:val="28"/>
                                </w:rPr>
                                <w:t>biases</w:t>
                              </w:r>
                              <w:r>
                                <w:rPr>
                                  <w:b/>
                                  <w:color w:val="374151"/>
                                  <w:spacing w:val="-2"/>
                                  <w:sz w:val="28"/>
                                </w:rPr>
                                <w:t> </w:t>
                              </w:r>
                              <w:r>
                                <w:rPr>
                                  <w:b/>
                                  <w:color w:val="374151"/>
                                  <w:sz w:val="28"/>
                                </w:rPr>
                                <w:t>and</w:t>
                              </w:r>
                              <w:r>
                                <w:rPr>
                                  <w:b/>
                                  <w:color w:val="374151"/>
                                  <w:spacing w:val="-3"/>
                                  <w:sz w:val="28"/>
                                </w:rPr>
                                <w:t> </w:t>
                              </w:r>
                              <w:r>
                                <w:rPr>
                                  <w:b/>
                                  <w:color w:val="374151"/>
                                  <w:sz w:val="28"/>
                                </w:rPr>
                                <w:t>challenging</w:t>
                              </w:r>
                              <w:r>
                                <w:rPr>
                                  <w:b/>
                                  <w:color w:val="374151"/>
                                  <w:spacing w:val="-2"/>
                                  <w:sz w:val="28"/>
                                </w:rPr>
                                <w:t> stereotypes:</w:t>
                              </w:r>
                            </w:p>
                          </w:txbxContent>
                        </wps:txbx>
                        <wps:bodyPr wrap="square" lIns="0" tIns="0" rIns="0" bIns="0" rtlCol="0">
                          <a:noAutofit/>
                        </wps:bodyPr>
                      </wps:wsp>
                      <wps:wsp>
                        <wps:cNvPr id="182" name="Textbox 182"/>
                        <wps:cNvSpPr txBox="1"/>
                        <wps:spPr>
                          <a:xfrm>
                            <a:off x="0" y="0"/>
                            <a:ext cx="558990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acknowledging</w:t>
                              </w:r>
                              <w:r>
                                <w:rPr>
                                  <w:color w:val="374151"/>
                                  <w:spacing w:val="-5"/>
                                  <w:sz w:val="28"/>
                                </w:rPr>
                                <w:t> </w:t>
                              </w:r>
                              <w:r>
                                <w:rPr>
                                  <w:color w:val="374151"/>
                                  <w:sz w:val="28"/>
                                </w:rPr>
                                <w:t>and</w:t>
                              </w:r>
                              <w:r>
                                <w:rPr>
                                  <w:color w:val="374151"/>
                                  <w:spacing w:val="-3"/>
                                  <w:sz w:val="28"/>
                                </w:rPr>
                                <w:t> </w:t>
                              </w:r>
                              <w:r>
                                <w:rPr>
                                  <w:color w:val="374151"/>
                                  <w:sz w:val="28"/>
                                </w:rPr>
                                <w:t>challenging</w:t>
                              </w:r>
                              <w:r>
                                <w:rPr>
                                  <w:color w:val="374151"/>
                                  <w:spacing w:val="-3"/>
                                  <w:sz w:val="28"/>
                                </w:rPr>
                                <w:t> </w:t>
                              </w:r>
                              <w:r>
                                <w:rPr>
                                  <w:color w:val="374151"/>
                                  <w:sz w:val="28"/>
                                </w:rPr>
                                <w:t>personal</w:t>
                              </w:r>
                              <w:r>
                                <w:rPr>
                                  <w:color w:val="374151"/>
                                  <w:spacing w:val="-2"/>
                                  <w:sz w:val="28"/>
                                </w:rPr>
                                <w:t> </w:t>
                              </w:r>
                              <w:r>
                                <w:rPr>
                                  <w:color w:val="374151"/>
                                  <w:sz w:val="28"/>
                                </w:rPr>
                                <w:t>biases,</w:t>
                              </w:r>
                              <w:r>
                                <w:rPr>
                                  <w:color w:val="374151"/>
                                  <w:spacing w:val="-3"/>
                                  <w:sz w:val="28"/>
                                </w:rPr>
                                <w:t> </w:t>
                              </w:r>
                              <w:r>
                                <w:rPr>
                                  <w:color w:val="374151"/>
                                  <w:sz w:val="28"/>
                                </w:rPr>
                                <w:t>stereotypes,</w:t>
                              </w:r>
                              <w:r>
                                <w:rPr>
                                  <w:color w:val="374151"/>
                                  <w:spacing w:val="-3"/>
                                  <w:sz w:val="28"/>
                                </w:rPr>
                                <w:t> </w:t>
                              </w:r>
                              <w:r>
                                <w:rPr>
                                  <w:color w:val="374151"/>
                                  <w:sz w:val="28"/>
                                </w:rPr>
                                <w:t>and</w:t>
                              </w:r>
                              <w:r>
                                <w:rPr>
                                  <w:color w:val="374151"/>
                                  <w:spacing w:val="-2"/>
                                  <w:sz w:val="28"/>
                                </w:rPr>
                                <w:t> assumptions.</w:t>
                              </w:r>
                            </w:p>
                          </w:txbxContent>
                        </wps:txbx>
                        <wps:bodyPr wrap="square" lIns="0" tIns="0" rIns="0" bIns="0" rtlCol="0">
                          <a:noAutofit/>
                        </wps:bodyPr>
                      </wps:wsp>
                    </wpg:wgp>
                  </a:graphicData>
                </a:graphic>
              </wp:anchor>
            </w:drawing>
          </mc:Choice>
          <mc:Fallback>
            <w:pict>
              <v:group style="position:absolute;margin-left:84pt;margin-top:-26.220575pt;width:440.15pt;height:62pt;mso-position-horizontal-relative:page;mso-position-vertical-relative:paragraph;z-index:-18199040" id="docshapegroup179" coordorigin="1680,-524" coordsize="8803,1240">
                <v:shape style="position:absolute;left:1911;top:95;width:5704;height:620" type="#_x0000_t202" id="docshape180" filled="true" fillcolor="#f7f7f8" stroked="false">
                  <v:textbox inset="0,0,0,0">
                    <w:txbxContent>
                      <w:p>
                        <w:pPr>
                          <w:spacing w:line="308" w:lineRule="exact" w:before="0"/>
                          <w:ind w:left="0" w:right="0" w:firstLine="0"/>
                          <w:jc w:val="left"/>
                          <w:rPr>
                            <w:b/>
                            <w:color w:val="000000"/>
                            <w:sz w:val="28"/>
                          </w:rPr>
                        </w:pPr>
                        <w:r>
                          <w:rPr>
                            <w:b/>
                            <w:color w:val="374151"/>
                            <w:sz w:val="28"/>
                          </w:rPr>
                          <w:t>Recognizing</w:t>
                        </w:r>
                        <w:r>
                          <w:rPr>
                            <w:b/>
                            <w:color w:val="374151"/>
                            <w:spacing w:val="-3"/>
                            <w:sz w:val="28"/>
                          </w:rPr>
                          <w:t> </w:t>
                        </w:r>
                        <w:r>
                          <w:rPr>
                            <w:b/>
                            <w:color w:val="374151"/>
                            <w:sz w:val="28"/>
                          </w:rPr>
                          <w:t>biases</w:t>
                        </w:r>
                        <w:r>
                          <w:rPr>
                            <w:b/>
                            <w:color w:val="374151"/>
                            <w:spacing w:val="-2"/>
                            <w:sz w:val="28"/>
                          </w:rPr>
                          <w:t> </w:t>
                        </w:r>
                        <w:r>
                          <w:rPr>
                            <w:b/>
                            <w:color w:val="374151"/>
                            <w:sz w:val="28"/>
                          </w:rPr>
                          <w:t>and</w:t>
                        </w:r>
                        <w:r>
                          <w:rPr>
                            <w:b/>
                            <w:color w:val="374151"/>
                            <w:spacing w:val="-3"/>
                            <w:sz w:val="28"/>
                          </w:rPr>
                          <w:t> </w:t>
                        </w:r>
                        <w:r>
                          <w:rPr>
                            <w:b/>
                            <w:color w:val="374151"/>
                            <w:sz w:val="28"/>
                          </w:rPr>
                          <w:t>challenging</w:t>
                        </w:r>
                        <w:r>
                          <w:rPr>
                            <w:b/>
                            <w:color w:val="374151"/>
                            <w:spacing w:val="-2"/>
                            <w:sz w:val="28"/>
                          </w:rPr>
                          <w:t> stereotypes:</w:t>
                        </w:r>
                      </w:p>
                    </w:txbxContent>
                  </v:textbox>
                  <v:fill type="solid"/>
                  <w10:wrap type="none"/>
                </v:shape>
                <v:shape style="position:absolute;left:1680;top:-525;width:8803;height:620" type="#_x0000_t202" id="docshape181" filled="true" fillcolor="#f7f7f8" stroked="false">
                  <v:textbox inset="0,0,0,0">
                    <w:txbxContent>
                      <w:p>
                        <w:pPr>
                          <w:spacing w:line="308" w:lineRule="exact" w:before="0"/>
                          <w:ind w:left="0" w:right="-15" w:firstLine="0"/>
                          <w:jc w:val="left"/>
                          <w:rPr>
                            <w:color w:val="000000"/>
                            <w:sz w:val="28"/>
                          </w:rPr>
                        </w:pPr>
                        <w:r>
                          <w:rPr>
                            <w:color w:val="374151"/>
                            <w:sz w:val="28"/>
                          </w:rPr>
                          <w:t>acknowledging</w:t>
                        </w:r>
                        <w:r>
                          <w:rPr>
                            <w:color w:val="374151"/>
                            <w:spacing w:val="-5"/>
                            <w:sz w:val="28"/>
                          </w:rPr>
                          <w:t> </w:t>
                        </w:r>
                        <w:r>
                          <w:rPr>
                            <w:color w:val="374151"/>
                            <w:sz w:val="28"/>
                          </w:rPr>
                          <w:t>and</w:t>
                        </w:r>
                        <w:r>
                          <w:rPr>
                            <w:color w:val="374151"/>
                            <w:spacing w:val="-3"/>
                            <w:sz w:val="28"/>
                          </w:rPr>
                          <w:t> </w:t>
                        </w:r>
                        <w:r>
                          <w:rPr>
                            <w:color w:val="374151"/>
                            <w:sz w:val="28"/>
                          </w:rPr>
                          <w:t>challenging</w:t>
                        </w:r>
                        <w:r>
                          <w:rPr>
                            <w:color w:val="374151"/>
                            <w:spacing w:val="-3"/>
                            <w:sz w:val="28"/>
                          </w:rPr>
                          <w:t> </w:t>
                        </w:r>
                        <w:r>
                          <w:rPr>
                            <w:color w:val="374151"/>
                            <w:sz w:val="28"/>
                          </w:rPr>
                          <w:t>personal</w:t>
                        </w:r>
                        <w:r>
                          <w:rPr>
                            <w:color w:val="374151"/>
                            <w:spacing w:val="-2"/>
                            <w:sz w:val="28"/>
                          </w:rPr>
                          <w:t> </w:t>
                        </w:r>
                        <w:r>
                          <w:rPr>
                            <w:color w:val="374151"/>
                            <w:sz w:val="28"/>
                          </w:rPr>
                          <w:t>biases,</w:t>
                        </w:r>
                        <w:r>
                          <w:rPr>
                            <w:color w:val="374151"/>
                            <w:spacing w:val="-3"/>
                            <w:sz w:val="28"/>
                          </w:rPr>
                          <w:t> </w:t>
                        </w:r>
                        <w:r>
                          <w:rPr>
                            <w:color w:val="374151"/>
                            <w:sz w:val="28"/>
                          </w:rPr>
                          <w:t>stereotypes,</w:t>
                        </w:r>
                        <w:r>
                          <w:rPr>
                            <w:color w:val="374151"/>
                            <w:spacing w:val="-3"/>
                            <w:sz w:val="28"/>
                          </w:rPr>
                          <w:t> </w:t>
                        </w:r>
                        <w:r>
                          <w:rPr>
                            <w:color w:val="374151"/>
                            <w:sz w:val="28"/>
                          </w:rPr>
                          <w:t>and</w:t>
                        </w:r>
                        <w:r>
                          <w:rPr>
                            <w:color w:val="374151"/>
                            <w:spacing w:val="-2"/>
                            <w:sz w:val="28"/>
                          </w:rPr>
                          <w:t> assumptions.</w:t>
                        </w:r>
                      </w:p>
                    </w:txbxContent>
                  </v:textbox>
                  <v:fill type="solid"/>
                  <w10:wrap type="none"/>
                </v:shape>
                <w10:wrap type="none"/>
              </v:group>
            </w:pict>
          </mc:Fallback>
        </mc:AlternateContent>
      </w:r>
      <w:r>
        <w:rPr>
          <w:rFonts w:ascii="Segoe UI Symbol" w:hAnsi="Segoe UI Symbol"/>
          <w:color w:val="374151"/>
          <w:w w:val="82"/>
          <w:sz w:val="28"/>
        </w:rPr>
        <w:t>➡</w:t>
      </w:r>
    </w:p>
    <w:p>
      <w:pPr>
        <w:pStyle w:val="BodyText"/>
        <w:spacing w:before="9"/>
        <w:rPr>
          <w:rFonts w:ascii="Segoe UI Symbol"/>
          <w:sz w:val="22"/>
        </w:rPr>
      </w:pPr>
    </w:p>
    <w:p>
      <w:pPr>
        <w:pStyle w:val="BodyText"/>
        <w:ind w:left="280" w:right="502"/>
      </w:pPr>
      <w:r>
        <w:rPr>
          <w:color w:val="374151"/>
          <w:shd w:fill="F7F7F8" w:color="auto" w:val="clear"/>
        </w:rPr>
        <w:t>It is important for mental health professionals to be aware of their own biases </w:t>
      </w:r>
      <w:r>
        <w:rPr>
          <w:color w:val="374151"/>
        </w:rPr>
        <w:t> </w:t>
      </w:r>
      <w:r>
        <w:rPr>
          <w:color w:val="374151"/>
          <w:shd w:fill="F7F7F8" w:color="auto" w:val="clear"/>
        </w:rPr>
        <w:t>and stereotypes that may influence their understanding and interactions with </w:t>
      </w:r>
      <w:r>
        <w:rPr>
          <w:color w:val="374151"/>
        </w:rPr>
        <w:t> </w:t>
      </w:r>
      <w:r>
        <w:rPr>
          <w:color w:val="374151"/>
          <w:shd w:fill="F7F7F8" w:color="auto" w:val="clear"/>
        </w:rPr>
        <w:t>individuals from diverse cultural backgrounds.</w:t>
      </w:r>
      <w:r>
        <w:rPr>
          <w:color w:val="374151"/>
          <w:spacing w:val="-9"/>
          <w:shd w:fill="F7F7F8" w:color="auto" w:val="clear"/>
        </w:rPr>
        <w:t> </w:t>
      </w:r>
      <w:r>
        <w:rPr>
          <w:color w:val="374151"/>
          <w:shd w:fill="F7F7F8" w:color="auto" w:val="clear"/>
        </w:rPr>
        <w:t>Active self-reflection and </w:t>
      </w:r>
      <w:r>
        <w:rPr>
          <w:color w:val="374151"/>
        </w:rPr>
        <w:t> </w:t>
      </w:r>
      <w:r>
        <w:rPr>
          <w:color w:val="374151"/>
          <w:shd w:fill="F7F7F8" w:color="auto" w:val="clear"/>
        </w:rPr>
        <w:t>continuous</w:t>
      </w:r>
      <w:r>
        <w:rPr>
          <w:color w:val="374151"/>
          <w:spacing w:val="-5"/>
          <w:shd w:fill="F7F7F8" w:color="auto" w:val="clear"/>
        </w:rPr>
        <w:t> </w:t>
      </w:r>
      <w:r>
        <w:rPr>
          <w:color w:val="374151"/>
          <w:shd w:fill="F7F7F8" w:color="auto" w:val="clear"/>
        </w:rPr>
        <w:t>learning</w:t>
      </w:r>
      <w:r>
        <w:rPr>
          <w:color w:val="374151"/>
          <w:spacing w:val="-5"/>
          <w:shd w:fill="F7F7F8" w:color="auto" w:val="clear"/>
        </w:rPr>
        <w:t> </w:t>
      </w:r>
      <w:r>
        <w:rPr>
          <w:color w:val="374151"/>
          <w:shd w:fill="F7F7F8" w:color="auto" w:val="clear"/>
        </w:rPr>
        <w:t>are</w:t>
      </w:r>
      <w:r>
        <w:rPr>
          <w:color w:val="374151"/>
          <w:spacing w:val="-5"/>
          <w:shd w:fill="F7F7F8" w:color="auto" w:val="clear"/>
        </w:rPr>
        <w:t> </w:t>
      </w:r>
      <w:r>
        <w:rPr>
          <w:color w:val="374151"/>
          <w:shd w:fill="F7F7F8" w:color="auto" w:val="clear"/>
        </w:rPr>
        <w:t>essential</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providing</w:t>
      </w:r>
      <w:r>
        <w:rPr>
          <w:color w:val="374151"/>
          <w:spacing w:val="-5"/>
          <w:shd w:fill="F7F7F8" w:color="auto" w:val="clear"/>
        </w:rPr>
        <w:t> </w:t>
      </w:r>
      <w:r>
        <w:rPr>
          <w:color w:val="374151"/>
          <w:shd w:fill="F7F7F8" w:color="auto" w:val="clear"/>
        </w:rPr>
        <w:t>unbiased</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culturally</w:t>
      </w:r>
      <w:r>
        <w:rPr>
          <w:color w:val="374151"/>
          <w:spacing w:val="-5"/>
          <w:shd w:fill="F7F7F8" w:color="auto" w:val="clear"/>
        </w:rPr>
        <w:t> </w:t>
      </w:r>
      <w:r>
        <w:rPr>
          <w:color w:val="374151"/>
          <w:shd w:fill="F7F7F8" w:color="auto" w:val="clear"/>
        </w:rPr>
        <w:t>sensitive</w:t>
      </w:r>
    </w:p>
    <w:p>
      <w:pPr>
        <w:pStyle w:val="BodyText"/>
        <w:rPr>
          <w:sz w:val="20"/>
        </w:rPr>
      </w:pPr>
    </w:p>
    <w:p>
      <w:pPr>
        <w:pStyle w:val="BodyText"/>
        <w:spacing w:before="1"/>
        <w:rPr>
          <w:sz w:val="26"/>
        </w:rPr>
      </w:pPr>
    </w:p>
    <w:p>
      <w:pPr>
        <w:spacing w:before="28"/>
        <w:ind w:left="280" w:right="0" w:firstLine="0"/>
        <w:jc w:val="left"/>
        <w:rPr>
          <w:rFonts w:ascii="Segoe UI Symbol" w:hAnsi="Segoe UI Symbol"/>
          <w:sz w:val="28"/>
        </w:rPr>
      </w:pPr>
      <w:r>
        <w:rPr/>
        <mc:AlternateContent>
          <mc:Choice Requires="wps">
            <w:drawing>
              <wp:anchor distT="0" distB="0" distL="0" distR="0" allowOverlap="1" layoutInCell="1" locked="0" behindDoc="1" simplePos="0" relativeHeight="485116928">
                <wp:simplePos x="0" y="0"/>
                <wp:positionH relativeFrom="page">
                  <wp:posOffset>1066800</wp:posOffset>
                </wp:positionH>
                <wp:positionV relativeFrom="paragraph">
                  <wp:posOffset>-333001</wp:posOffset>
                </wp:positionV>
                <wp:extent cx="3962400" cy="78740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3962400" cy="787400"/>
                          <a:chExt cx="3962400" cy="787400"/>
                        </a:xfrm>
                      </wpg:grpSpPr>
                      <wps:wsp>
                        <wps:cNvPr id="184" name="Textbox 184"/>
                        <wps:cNvSpPr txBox="1"/>
                        <wps:spPr>
                          <a:xfrm>
                            <a:off x="147240" y="393700"/>
                            <a:ext cx="3815079"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Engaging</w:t>
                              </w:r>
                              <w:r>
                                <w:rPr>
                                  <w:b/>
                                  <w:color w:val="374151"/>
                                  <w:spacing w:val="-2"/>
                                  <w:sz w:val="28"/>
                                </w:rPr>
                                <w:t> </w:t>
                              </w:r>
                              <w:r>
                                <w:rPr>
                                  <w:b/>
                                  <w:color w:val="374151"/>
                                  <w:sz w:val="28"/>
                                </w:rPr>
                                <w:t>in</w:t>
                              </w:r>
                              <w:r>
                                <w:rPr>
                                  <w:b/>
                                  <w:color w:val="374151"/>
                                  <w:spacing w:val="-1"/>
                                  <w:sz w:val="28"/>
                                </w:rPr>
                                <w:t> </w:t>
                              </w:r>
                              <w:r>
                                <w:rPr>
                                  <w:b/>
                                  <w:color w:val="374151"/>
                                  <w:sz w:val="28"/>
                                </w:rPr>
                                <w:t>ongoing</w:t>
                              </w:r>
                              <w:r>
                                <w:rPr>
                                  <w:b/>
                                  <w:color w:val="374151"/>
                                  <w:spacing w:val="-2"/>
                                  <w:sz w:val="28"/>
                                </w:rPr>
                                <w:t> </w:t>
                              </w:r>
                              <w:r>
                                <w:rPr>
                                  <w:b/>
                                  <w:color w:val="374151"/>
                                  <w:sz w:val="28"/>
                                </w:rPr>
                                <w:t>education</w:t>
                              </w:r>
                              <w:r>
                                <w:rPr>
                                  <w:b/>
                                  <w:color w:val="374151"/>
                                  <w:spacing w:val="-1"/>
                                  <w:sz w:val="28"/>
                                </w:rPr>
                                <w:t> </w:t>
                              </w:r>
                              <w:r>
                                <w:rPr>
                                  <w:b/>
                                  <w:color w:val="374151"/>
                                  <w:sz w:val="28"/>
                                </w:rPr>
                                <w:t>and</w:t>
                              </w:r>
                              <w:r>
                                <w:rPr>
                                  <w:b/>
                                  <w:color w:val="374151"/>
                                  <w:spacing w:val="-1"/>
                                  <w:sz w:val="28"/>
                                </w:rPr>
                                <w:t> </w:t>
                              </w:r>
                              <w:r>
                                <w:rPr>
                                  <w:b/>
                                  <w:color w:val="374151"/>
                                  <w:sz w:val="28"/>
                                </w:rPr>
                                <w:t>self-</w:t>
                              </w:r>
                              <w:r>
                                <w:rPr>
                                  <w:b/>
                                  <w:color w:val="374151"/>
                                  <w:spacing w:val="-2"/>
                                  <w:sz w:val="28"/>
                                </w:rPr>
                                <w:t>reflection:</w:t>
                              </w:r>
                            </w:p>
                          </w:txbxContent>
                        </wps:txbx>
                        <wps:bodyPr wrap="square" lIns="0" tIns="0" rIns="0" bIns="0" rtlCol="0">
                          <a:noAutofit/>
                        </wps:bodyPr>
                      </wps:wsp>
                      <wps:wsp>
                        <wps:cNvPr id="185" name="Textbox 185"/>
                        <wps:cNvSpPr txBox="1"/>
                        <wps:spPr>
                          <a:xfrm>
                            <a:off x="0" y="0"/>
                            <a:ext cx="34099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pacing w:val="-2"/>
                                  <w:sz w:val="28"/>
                                </w:rPr>
                                <w:t>care.</w:t>
                              </w:r>
                            </w:p>
                          </w:txbxContent>
                        </wps:txbx>
                        <wps:bodyPr wrap="square" lIns="0" tIns="0" rIns="0" bIns="0" rtlCol="0">
                          <a:noAutofit/>
                        </wps:bodyPr>
                      </wps:wsp>
                    </wpg:wgp>
                  </a:graphicData>
                </a:graphic>
              </wp:anchor>
            </w:drawing>
          </mc:Choice>
          <mc:Fallback>
            <w:pict>
              <v:group style="position:absolute;margin-left:84pt;margin-top:-26.220575pt;width:312pt;height:62pt;mso-position-horizontal-relative:page;mso-position-vertical-relative:paragraph;z-index:-18199552" id="docshapegroup182" coordorigin="1680,-524" coordsize="6240,1240">
                <v:shape style="position:absolute;left:1911;top:95;width:6008;height:620" type="#_x0000_t202" id="docshape183" filled="true" fillcolor="#f7f7f8" stroked="false">
                  <v:textbox inset="0,0,0,0">
                    <w:txbxContent>
                      <w:p>
                        <w:pPr>
                          <w:spacing w:line="308" w:lineRule="exact" w:before="0"/>
                          <w:ind w:left="0" w:right="-15" w:firstLine="0"/>
                          <w:jc w:val="left"/>
                          <w:rPr>
                            <w:b/>
                            <w:color w:val="000000"/>
                            <w:sz w:val="28"/>
                          </w:rPr>
                        </w:pPr>
                        <w:r>
                          <w:rPr>
                            <w:b/>
                            <w:color w:val="374151"/>
                            <w:sz w:val="28"/>
                          </w:rPr>
                          <w:t>Engaging</w:t>
                        </w:r>
                        <w:r>
                          <w:rPr>
                            <w:b/>
                            <w:color w:val="374151"/>
                            <w:spacing w:val="-2"/>
                            <w:sz w:val="28"/>
                          </w:rPr>
                          <w:t> </w:t>
                        </w:r>
                        <w:r>
                          <w:rPr>
                            <w:b/>
                            <w:color w:val="374151"/>
                            <w:sz w:val="28"/>
                          </w:rPr>
                          <w:t>in</w:t>
                        </w:r>
                        <w:r>
                          <w:rPr>
                            <w:b/>
                            <w:color w:val="374151"/>
                            <w:spacing w:val="-1"/>
                            <w:sz w:val="28"/>
                          </w:rPr>
                          <w:t> </w:t>
                        </w:r>
                        <w:r>
                          <w:rPr>
                            <w:b/>
                            <w:color w:val="374151"/>
                            <w:sz w:val="28"/>
                          </w:rPr>
                          <w:t>ongoing</w:t>
                        </w:r>
                        <w:r>
                          <w:rPr>
                            <w:b/>
                            <w:color w:val="374151"/>
                            <w:spacing w:val="-2"/>
                            <w:sz w:val="28"/>
                          </w:rPr>
                          <w:t> </w:t>
                        </w:r>
                        <w:r>
                          <w:rPr>
                            <w:b/>
                            <w:color w:val="374151"/>
                            <w:sz w:val="28"/>
                          </w:rPr>
                          <w:t>education</w:t>
                        </w:r>
                        <w:r>
                          <w:rPr>
                            <w:b/>
                            <w:color w:val="374151"/>
                            <w:spacing w:val="-1"/>
                            <w:sz w:val="28"/>
                          </w:rPr>
                          <w:t> </w:t>
                        </w:r>
                        <w:r>
                          <w:rPr>
                            <w:b/>
                            <w:color w:val="374151"/>
                            <w:sz w:val="28"/>
                          </w:rPr>
                          <w:t>and</w:t>
                        </w:r>
                        <w:r>
                          <w:rPr>
                            <w:b/>
                            <w:color w:val="374151"/>
                            <w:spacing w:val="-1"/>
                            <w:sz w:val="28"/>
                          </w:rPr>
                          <w:t> </w:t>
                        </w:r>
                        <w:r>
                          <w:rPr>
                            <w:b/>
                            <w:color w:val="374151"/>
                            <w:sz w:val="28"/>
                          </w:rPr>
                          <w:t>self-</w:t>
                        </w:r>
                        <w:r>
                          <w:rPr>
                            <w:b/>
                            <w:color w:val="374151"/>
                            <w:spacing w:val="-2"/>
                            <w:sz w:val="28"/>
                          </w:rPr>
                          <w:t>reflection:</w:t>
                        </w:r>
                      </w:p>
                    </w:txbxContent>
                  </v:textbox>
                  <v:fill type="solid"/>
                  <w10:wrap type="none"/>
                </v:shape>
                <v:shape style="position:absolute;left:1680;top:-525;width:537;height:620" type="#_x0000_t202" id="docshape184" filled="true" fillcolor="#f7f7f8" stroked="false">
                  <v:textbox inset="0,0,0,0">
                    <w:txbxContent>
                      <w:p>
                        <w:pPr>
                          <w:spacing w:line="308" w:lineRule="exact" w:before="0"/>
                          <w:ind w:left="0" w:right="-15" w:firstLine="0"/>
                          <w:jc w:val="left"/>
                          <w:rPr>
                            <w:color w:val="000000"/>
                            <w:sz w:val="28"/>
                          </w:rPr>
                        </w:pPr>
                        <w:r>
                          <w:rPr>
                            <w:color w:val="374151"/>
                            <w:spacing w:val="-2"/>
                            <w:sz w:val="28"/>
                          </w:rPr>
                          <w:t>care.</w:t>
                        </w:r>
                      </w:p>
                    </w:txbxContent>
                  </v:textbox>
                  <v:fill type="solid"/>
                  <w10:wrap type="none"/>
                </v:shape>
                <w10:wrap type="none"/>
              </v:group>
            </w:pict>
          </mc:Fallback>
        </mc:AlternateContent>
      </w:r>
      <w:r>
        <w:rPr>
          <w:rFonts w:ascii="Segoe UI Symbol" w:hAnsi="Segoe UI Symbol"/>
          <w:color w:val="374151"/>
          <w:w w:val="82"/>
          <w:sz w:val="28"/>
        </w:rPr>
        <w:t>➡</w:t>
      </w:r>
    </w:p>
    <w:p>
      <w:pPr>
        <w:pStyle w:val="BodyText"/>
        <w:spacing w:before="9"/>
        <w:rPr>
          <w:rFonts w:ascii="Segoe UI Symbol"/>
          <w:sz w:val="22"/>
        </w:rPr>
      </w:pPr>
    </w:p>
    <w:p>
      <w:pPr>
        <w:pStyle w:val="BodyText"/>
        <w:ind w:left="280" w:right="502"/>
        <w:rPr>
          <w:rFonts w:ascii="Arial"/>
          <w:sz w:val="24"/>
        </w:rPr>
      </w:pP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should</w:t>
      </w:r>
      <w:r>
        <w:rPr>
          <w:color w:val="374151"/>
          <w:spacing w:val="-4"/>
          <w:shd w:fill="F7F7F8" w:color="auto" w:val="clear"/>
        </w:rPr>
        <w:t> </w:t>
      </w:r>
      <w:r>
        <w:rPr>
          <w:color w:val="374151"/>
          <w:shd w:fill="F7F7F8" w:color="auto" w:val="clear"/>
        </w:rPr>
        <w:t>stay</w:t>
      </w:r>
      <w:r>
        <w:rPr>
          <w:color w:val="374151"/>
          <w:spacing w:val="-4"/>
          <w:shd w:fill="F7F7F8" w:color="auto" w:val="clear"/>
        </w:rPr>
        <w:t> </w:t>
      </w:r>
      <w:r>
        <w:rPr>
          <w:color w:val="374151"/>
          <w:shd w:fill="F7F7F8" w:color="auto" w:val="clear"/>
        </w:rPr>
        <w:t>informed</w:t>
      </w:r>
      <w:r>
        <w:rPr>
          <w:color w:val="374151"/>
          <w:spacing w:val="-4"/>
          <w:shd w:fill="F7F7F8" w:color="auto" w:val="clear"/>
        </w:rPr>
        <w:t> </w:t>
      </w:r>
      <w:r>
        <w:rPr>
          <w:color w:val="374151"/>
          <w:shd w:fill="F7F7F8" w:color="auto" w:val="clear"/>
        </w:rPr>
        <w:t>about</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unique</w:t>
      </w:r>
      <w:r>
        <w:rPr>
          <w:color w:val="374151"/>
          <w:spacing w:val="-5"/>
          <w:shd w:fill="F7F7F8" w:color="auto" w:val="clear"/>
        </w:rPr>
        <w:t> </w:t>
      </w:r>
      <w:r>
        <w:rPr>
          <w:color w:val="374151"/>
          <w:shd w:fill="F7F7F8" w:color="auto" w:val="clear"/>
        </w:rPr>
        <w:t>cultural</w:t>
      </w:r>
      <w:r>
        <w:rPr>
          <w:color w:val="374151"/>
          <w:spacing w:val="-5"/>
          <w:shd w:fill="F7F7F8" w:color="auto" w:val="clear"/>
        </w:rPr>
        <w:t> </w:t>
      </w:r>
      <w:r>
        <w:rPr>
          <w:color w:val="374151"/>
          <w:spacing w:val="-5"/>
        </w:rPr>
        <w:t> </w:t>
      </w:r>
      <w:r>
        <w:rPr>
          <w:color w:val="374151"/>
          <w:shd w:fill="F7F7F8" w:color="auto" w:val="clear"/>
        </w:rPr>
        <w:t>perspectives on sexuality within different ethnic groups through ongoing </w:t>
      </w:r>
      <w:r>
        <w:rPr>
          <w:color w:val="374151"/>
        </w:rPr>
        <w:t> </w:t>
      </w:r>
      <w:r>
        <w:rPr>
          <w:color w:val="374151"/>
          <w:shd w:fill="F7F7F8" w:color="auto" w:val="clear"/>
        </w:rPr>
        <w:t>education, attending cultural competen</w:t>
      </w:r>
      <w:r>
        <w:rPr>
          <w:rFonts w:ascii="Arial"/>
          <w:color w:val="374151"/>
          <w:sz w:val="24"/>
          <w:shd w:fill="F7F7F8" w:color="auto" w:val="clear"/>
        </w:rPr>
        <w:t>cy workshops, and actively seeking</w:t>
      </w:r>
      <w:r>
        <w:rPr>
          <w:rFonts w:ascii="Arial"/>
          <w:color w:val="374151"/>
          <w:spacing w:val="40"/>
          <w:sz w:val="24"/>
          <w:shd w:fill="F7F7F8" w:color="auto" w:val="clear"/>
        </w:rPr>
        <w:t> </w:t>
      </w:r>
    </w:p>
    <w:p>
      <w:pPr>
        <w:pStyle w:val="BodyText"/>
        <w:rPr>
          <w:rFonts w:ascii="Arial"/>
          <w:sz w:val="20"/>
        </w:rPr>
      </w:pPr>
    </w:p>
    <w:p>
      <w:pPr>
        <w:pStyle w:val="BodyText"/>
        <w:spacing w:before="3"/>
        <w:rPr>
          <w:rFonts w:ascii="Arial"/>
          <w:sz w:val="22"/>
        </w:rPr>
      </w:pPr>
    </w:p>
    <w:p>
      <w:pPr>
        <w:spacing w:before="35"/>
        <w:ind w:left="280" w:right="0" w:firstLine="0"/>
        <w:jc w:val="left"/>
        <w:rPr>
          <w:rFonts w:ascii="Segoe UI Symbol" w:hAnsi="Segoe UI Symbol"/>
          <w:sz w:val="28"/>
        </w:rPr>
      </w:pPr>
      <w:r>
        <w:rPr/>
        <mc:AlternateContent>
          <mc:Choice Requires="wps">
            <w:drawing>
              <wp:anchor distT="0" distB="0" distL="0" distR="0" allowOverlap="1" layoutInCell="1" locked="0" behindDoc="1" simplePos="0" relativeHeight="485116416">
                <wp:simplePos x="0" y="0"/>
                <wp:positionH relativeFrom="page">
                  <wp:posOffset>1066800</wp:posOffset>
                </wp:positionH>
                <wp:positionV relativeFrom="paragraph">
                  <wp:posOffset>-303156</wp:posOffset>
                </wp:positionV>
                <wp:extent cx="3306445" cy="76200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3306445" cy="762000"/>
                          <a:chExt cx="3306445" cy="762000"/>
                        </a:xfrm>
                      </wpg:grpSpPr>
                      <wps:wsp>
                        <wps:cNvPr id="187" name="Textbox 187"/>
                        <wps:cNvSpPr txBox="1"/>
                        <wps:spPr>
                          <a:xfrm>
                            <a:off x="147240" y="368300"/>
                            <a:ext cx="315912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Collaborating</w:t>
                              </w:r>
                              <w:r>
                                <w:rPr>
                                  <w:b/>
                                  <w:color w:val="374151"/>
                                  <w:spacing w:val="-3"/>
                                  <w:sz w:val="28"/>
                                </w:rPr>
                                <w:t> </w:t>
                              </w:r>
                              <w:r>
                                <w:rPr>
                                  <w:b/>
                                  <w:color w:val="374151"/>
                                  <w:sz w:val="28"/>
                                </w:rPr>
                                <w:t>with</w:t>
                              </w:r>
                              <w:r>
                                <w:rPr>
                                  <w:b/>
                                  <w:color w:val="374151"/>
                                  <w:spacing w:val="-2"/>
                                  <w:sz w:val="28"/>
                                </w:rPr>
                                <w:t> </w:t>
                              </w:r>
                              <w:r>
                                <w:rPr>
                                  <w:b/>
                                  <w:color w:val="374151"/>
                                  <w:sz w:val="28"/>
                                </w:rPr>
                                <w:t>community</w:t>
                              </w:r>
                              <w:r>
                                <w:rPr>
                                  <w:b/>
                                  <w:color w:val="374151"/>
                                  <w:spacing w:val="-2"/>
                                  <w:sz w:val="28"/>
                                </w:rPr>
                                <w:t> resources:</w:t>
                              </w:r>
                            </w:p>
                          </w:txbxContent>
                        </wps:txbx>
                        <wps:bodyPr wrap="square" lIns="0" tIns="0" rIns="0" bIns="0" rtlCol="0">
                          <a:noAutofit/>
                        </wps:bodyPr>
                      </wps:wsp>
                      <wps:wsp>
                        <wps:cNvPr id="188" name="Textbox 188"/>
                        <wps:cNvSpPr txBox="1"/>
                        <wps:spPr>
                          <a:xfrm>
                            <a:off x="0" y="0"/>
                            <a:ext cx="2880360" cy="368300"/>
                          </a:xfrm>
                          <a:prstGeom prst="rect">
                            <a:avLst/>
                          </a:prstGeom>
                          <a:solidFill>
                            <a:srgbClr val="F7F7F8"/>
                          </a:solidFill>
                        </wps:spPr>
                        <wps:txbx>
                          <w:txbxContent>
                            <w:p>
                              <w:pPr>
                                <w:spacing w:line="276" w:lineRule="exact" w:before="0"/>
                                <w:ind w:left="0" w:right="-15" w:firstLine="0"/>
                                <w:jc w:val="left"/>
                                <w:rPr>
                                  <w:rFonts w:ascii="Arial"/>
                                  <w:color w:val="000000"/>
                                  <w:sz w:val="24"/>
                                </w:rPr>
                              </w:pPr>
                              <w:r>
                                <w:rPr>
                                  <w:rFonts w:ascii="Arial"/>
                                  <w:color w:val="374151"/>
                                  <w:sz w:val="24"/>
                                </w:rPr>
                                <w:t>opportunities</w:t>
                              </w:r>
                              <w:r>
                                <w:rPr>
                                  <w:rFonts w:ascii="Arial"/>
                                  <w:color w:val="374151"/>
                                  <w:spacing w:val="-1"/>
                                  <w:sz w:val="24"/>
                                </w:rPr>
                                <w:t> </w:t>
                              </w:r>
                              <w:r>
                                <w:rPr>
                                  <w:rFonts w:ascii="Arial"/>
                                  <w:color w:val="374151"/>
                                  <w:sz w:val="24"/>
                                </w:rPr>
                                <w:t>for</w:t>
                              </w:r>
                              <w:r>
                                <w:rPr>
                                  <w:rFonts w:ascii="Arial"/>
                                  <w:color w:val="374151"/>
                                  <w:spacing w:val="-1"/>
                                  <w:sz w:val="24"/>
                                </w:rPr>
                                <w:t> </w:t>
                              </w:r>
                              <w:r>
                                <w:rPr>
                                  <w:rFonts w:ascii="Arial"/>
                                  <w:color w:val="374151"/>
                                  <w:sz w:val="24"/>
                                </w:rPr>
                                <w:t>self-reflection</w:t>
                              </w:r>
                              <w:r>
                                <w:rPr>
                                  <w:rFonts w:ascii="Arial"/>
                                  <w:color w:val="374151"/>
                                  <w:spacing w:val="-1"/>
                                  <w:sz w:val="24"/>
                                </w:rPr>
                                <w:t> </w:t>
                              </w:r>
                              <w:r>
                                <w:rPr>
                                  <w:rFonts w:ascii="Arial"/>
                                  <w:color w:val="374151"/>
                                  <w:sz w:val="24"/>
                                </w:rPr>
                                <w:t>and </w:t>
                              </w:r>
                              <w:r>
                                <w:rPr>
                                  <w:rFonts w:ascii="Arial"/>
                                  <w:color w:val="374151"/>
                                  <w:spacing w:val="-2"/>
                                  <w:sz w:val="24"/>
                                </w:rPr>
                                <w:t>growth.</w:t>
                              </w:r>
                            </w:p>
                          </w:txbxContent>
                        </wps:txbx>
                        <wps:bodyPr wrap="square" lIns="0" tIns="0" rIns="0" bIns="0" rtlCol="0">
                          <a:noAutofit/>
                        </wps:bodyPr>
                      </wps:wsp>
                    </wpg:wgp>
                  </a:graphicData>
                </a:graphic>
              </wp:anchor>
            </w:drawing>
          </mc:Choice>
          <mc:Fallback>
            <w:pict>
              <v:group style="position:absolute;margin-left:84pt;margin-top:-23.870575pt;width:260.3500pt;height:60pt;mso-position-horizontal-relative:page;mso-position-vertical-relative:paragraph;z-index:-18200064" id="docshapegroup185" coordorigin="1680,-477" coordsize="5207,1200">
                <v:shape style="position:absolute;left:1911;top:102;width:4975;height:620" type="#_x0000_t202" id="docshape186" filled="true" fillcolor="#f7f7f8" stroked="false">
                  <v:textbox inset="0,0,0,0">
                    <w:txbxContent>
                      <w:p>
                        <w:pPr>
                          <w:spacing w:line="308" w:lineRule="exact" w:before="0"/>
                          <w:ind w:left="0" w:right="0" w:firstLine="0"/>
                          <w:jc w:val="left"/>
                          <w:rPr>
                            <w:b/>
                            <w:color w:val="000000"/>
                            <w:sz w:val="28"/>
                          </w:rPr>
                        </w:pPr>
                        <w:r>
                          <w:rPr>
                            <w:b/>
                            <w:color w:val="374151"/>
                            <w:sz w:val="28"/>
                          </w:rPr>
                          <w:t>Collaborating</w:t>
                        </w:r>
                        <w:r>
                          <w:rPr>
                            <w:b/>
                            <w:color w:val="374151"/>
                            <w:spacing w:val="-3"/>
                            <w:sz w:val="28"/>
                          </w:rPr>
                          <w:t> </w:t>
                        </w:r>
                        <w:r>
                          <w:rPr>
                            <w:b/>
                            <w:color w:val="374151"/>
                            <w:sz w:val="28"/>
                          </w:rPr>
                          <w:t>with</w:t>
                        </w:r>
                        <w:r>
                          <w:rPr>
                            <w:b/>
                            <w:color w:val="374151"/>
                            <w:spacing w:val="-2"/>
                            <w:sz w:val="28"/>
                          </w:rPr>
                          <w:t> </w:t>
                        </w:r>
                        <w:r>
                          <w:rPr>
                            <w:b/>
                            <w:color w:val="374151"/>
                            <w:sz w:val="28"/>
                          </w:rPr>
                          <w:t>community</w:t>
                        </w:r>
                        <w:r>
                          <w:rPr>
                            <w:b/>
                            <w:color w:val="374151"/>
                            <w:spacing w:val="-2"/>
                            <w:sz w:val="28"/>
                          </w:rPr>
                          <w:t> resources:</w:t>
                        </w:r>
                      </w:p>
                    </w:txbxContent>
                  </v:textbox>
                  <v:fill type="solid"/>
                  <w10:wrap type="none"/>
                </v:shape>
                <v:shape style="position:absolute;left:1680;top:-478;width:4536;height:580" type="#_x0000_t202" id="docshape187" filled="true" fillcolor="#f7f7f8" stroked="false">
                  <v:textbox inset="0,0,0,0">
                    <w:txbxContent>
                      <w:p>
                        <w:pPr>
                          <w:spacing w:line="276" w:lineRule="exact" w:before="0"/>
                          <w:ind w:left="0" w:right="-15" w:firstLine="0"/>
                          <w:jc w:val="left"/>
                          <w:rPr>
                            <w:rFonts w:ascii="Arial"/>
                            <w:color w:val="000000"/>
                            <w:sz w:val="24"/>
                          </w:rPr>
                        </w:pPr>
                        <w:r>
                          <w:rPr>
                            <w:rFonts w:ascii="Arial"/>
                            <w:color w:val="374151"/>
                            <w:sz w:val="24"/>
                          </w:rPr>
                          <w:t>opportunities</w:t>
                        </w:r>
                        <w:r>
                          <w:rPr>
                            <w:rFonts w:ascii="Arial"/>
                            <w:color w:val="374151"/>
                            <w:spacing w:val="-1"/>
                            <w:sz w:val="24"/>
                          </w:rPr>
                          <w:t> </w:t>
                        </w:r>
                        <w:r>
                          <w:rPr>
                            <w:rFonts w:ascii="Arial"/>
                            <w:color w:val="374151"/>
                            <w:sz w:val="24"/>
                          </w:rPr>
                          <w:t>for</w:t>
                        </w:r>
                        <w:r>
                          <w:rPr>
                            <w:rFonts w:ascii="Arial"/>
                            <w:color w:val="374151"/>
                            <w:spacing w:val="-1"/>
                            <w:sz w:val="24"/>
                          </w:rPr>
                          <w:t> </w:t>
                        </w:r>
                        <w:r>
                          <w:rPr>
                            <w:rFonts w:ascii="Arial"/>
                            <w:color w:val="374151"/>
                            <w:sz w:val="24"/>
                          </w:rPr>
                          <w:t>self-reflection</w:t>
                        </w:r>
                        <w:r>
                          <w:rPr>
                            <w:rFonts w:ascii="Arial"/>
                            <w:color w:val="374151"/>
                            <w:spacing w:val="-1"/>
                            <w:sz w:val="24"/>
                          </w:rPr>
                          <w:t> </w:t>
                        </w:r>
                        <w:r>
                          <w:rPr>
                            <w:rFonts w:ascii="Arial"/>
                            <w:color w:val="374151"/>
                            <w:sz w:val="24"/>
                          </w:rPr>
                          <w:t>and </w:t>
                        </w:r>
                        <w:r>
                          <w:rPr>
                            <w:rFonts w:ascii="Arial"/>
                            <w:color w:val="374151"/>
                            <w:spacing w:val="-2"/>
                            <w:sz w:val="24"/>
                          </w:rPr>
                          <w:t>growth.</w:t>
                        </w:r>
                      </w:p>
                    </w:txbxContent>
                  </v:textbox>
                  <v:fill type="solid"/>
                  <w10:wrap type="none"/>
                </v:shape>
                <w10:wrap type="none"/>
              </v:group>
            </w:pict>
          </mc:Fallback>
        </mc:AlternateContent>
      </w:r>
      <w:r>
        <w:rPr>
          <w:rFonts w:ascii="Segoe UI Symbol" w:hAnsi="Segoe UI Symbol"/>
          <w:color w:val="374151"/>
          <w:w w:val="82"/>
          <w:sz w:val="28"/>
        </w:rPr>
        <w:t>➡</w:t>
      </w:r>
    </w:p>
    <w:p>
      <w:pPr>
        <w:pStyle w:val="BodyText"/>
        <w:spacing w:before="8"/>
        <w:rPr>
          <w:rFonts w:ascii="Segoe UI Symbol"/>
          <w:sz w:val="22"/>
        </w:rPr>
      </w:pPr>
    </w:p>
    <w:p>
      <w:pPr>
        <w:pStyle w:val="BodyText"/>
        <w:ind w:left="280" w:right="502"/>
      </w:pPr>
      <w:r>
        <w:rPr>
          <w:color w:val="374151"/>
          <w:shd w:fill="F7F7F8" w:color="auto" w:val="clear"/>
        </w:rPr>
        <w:t>Building partnerships with community organizations and cultural leaders can </w:t>
      </w:r>
      <w:r>
        <w:rPr>
          <w:color w:val="374151"/>
        </w:rPr>
        <w:t> </w:t>
      </w:r>
      <w:r>
        <w:rPr>
          <w:color w:val="374151"/>
          <w:shd w:fill="F7F7F8" w:color="auto" w:val="clear"/>
        </w:rPr>
        <w:t>enhance mental health professionals' understanding of cultural norms, beliefs, </w:t>
      </w:r>
      <w:r>
        <w:rPr>
          <w:color w:val="374151"/>
        </w:rPr>
        <w:t> </w:t>
      </w:r>
      <w:r>
        <w:rPr>
          <w:color w:val="374151"/>
          <w:shd w:fill="F7F7F8" w:color="auto" w:val="clear"/>
        </w:rPr>
        <w:t>and values related to sexuality.</w:t>
      </w:r>
      <w:r>
        <w:rPr>
          <w:color w:val="374151"/>
          <w:spacing w:val="-1"/>
          <w:shd w:fill="F7F7F8" w:color="auto" w:val="clear"/>
        </w:rPr>
        <w:t> </w:t>
      </w:r>
      <w:r>
        <w:rPr>
          <w:color w:val="374151"/>
          <w:shd w:fill="F7F7F8" w:color="auto" w:val="clear"/>
        </w:rPr>
        <w:t>This collaboration allows for more </w:t>
      </w:r>
      <w:r>
        <w:rPr>
          <w:color w:val="374151"/>
        </w:rPr>
        <w:t> </w:t>
      </w:r>
      <w:r>
        <w:rPr>
          <w:color w:val="374151"/>
          <w:shd w:fill="F7F7F8" w:color="auto" w:val="clear"/>
        </w:rPr>
        <w:t>comprehensive</w:t>
      </w:r>
      <w:r>
        <w:rPr>
          <w:color w:val="374151"/>
          <w:spacing w:val="-5"/>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culturally</w:t>
      </w:r>
      <w:r>
        <w:rPr>
          <w:color w:val="374151"/>
          <w:spacing w:val="-4"/>
          <w:shd w:fill="F7F7F8" w:color="auto" w:val="clear"/>
        </w:rPr>
        <w:t> </w:t>
      </w:r>
      <w:r>
        <w:rPr>
          <w:color w:val="374151"/>
          <w:shd w:fill="F7F7F8" w:color="auto" w:val="clear"/>
        </w:rPr>
        <w:t>appropriate</w:t>
      </w:r>
      <w:r>
        <w:rPr>
          <w:color w:val="374151"/>
          <w:spacing w:val="-5"/>
          <w:shd w:fill="F7F7F8" w:color="auto" w:val="clear"/>
        </w:rPr>
        <w:t> </w:t>
      </w:r>
      <w:r>
        <w:rPr>
          <w:color w:val="374151"/>
          <w:shd w:fill="F7F7F8" w:color="auto" w:val="clear"/>
        </w:rPr>
        <w:t>support</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individuals</w:t>
      </w:r>
      <w:r>
        <w:rPr>
          <w:color w:val="374151"/>
          <w:spacing w:val="-4"/>
          <w:shd w:fill="F7F7F8" w:color="auto" w:val="clear"/>
        </w:rPr>
        <w:t> </w:t>
      </w:r>
      <w:r>
        <w:rPr>
          <w:color w:val="374151"/>
          <w:shd w:fill="F7F7F8" w:color="auto" w:val="clear"/>
        </w:rPr>
        <w:t>from</w:t>
      </w:r>
      <w:r>
        <w:rPr>
          <w:color w:val="374151"/>
          <w:spacing w:val="-4"/>
          <w:shd w:fill="F7F7F8" w:color="auto" w:val="clear"/>
        </w:rPr>
        <w:t> </w:t>
      </w:r>
      <w:r>
        <w:rPr>
          <w:color w:val="374151"/>
          <w:shd w:fill="F7F7F8" w:color="auto" w:val="clear"/>
        </w:rPr>
        <w:t>diverse</w:t>
      </w:r>
      <w:r>
        <w:rPr>
          <w:color w:val="374151"/>
          <w:spacing w:val="-5"/>
          <w:shd w:fill="F7F7F8" w:color="auto" w:val="clear"/>
        </w:rPr>
        <w:t> </w:t>
      </w:r>
      <w:r>
        <w:rPr>
          <w:color w:val="374151"/>
          <w:spacing w:val="-5"/>
        </w:rPr>
        <w:t> </w:t>
      </w:r>
      <w:r>
        <w:rPr>
          <w:color w:val="374151"/>
          <w:shd w:fill="F7F7F8" w:color="auto" w:val="clear"/>
        </w:rPr>
        <w:t>ethnic backgrounds.</w:t>
      </w:r>
    </w:p>
    <w:p>
      <w:pPr>
        <w:spacing w:after="0"/>
        <w:sectPr>
          <w:pgSz w:w="12240" w:h="15840"/>
          <w:pgMar w:header="0" w:footer="765" w:top="1260" w:bottom="980" w:left="1400" w:right="1180"/>
        </w:sectPr>
      </w:pPr>
    </w:p>
    <w:p>
      <w:pPr>
        <w:pStyle w:val="BodyText"/>
        <w:rPr>
          <w:sz w:val="20"/>
        </w:rPr>
      </w:pPr>
    </w:p>
    <w:p>
      <w:pPr>
        <w:pStyle w:val="BodyText"/>
        <w:rPr>
          <w:sz w:val="25"/>
        </w:rPr>
      </w:pPr>
    </w:p>
    <w:p>
      <w:pPr>
        <w:pStyle w:val="BodyText"/>
        <w:spacing w:before="88"/>
        <w:ind w:left="280" w:right="579"/>
      </w:pPr>
      <w:r>
        <w:rPr/>
        <mc:AlternateContent>
          <mc:Choice Requires="wps">
            <w:drawing>
              <wp:anchor distT="0" distB="0" distL="0" distR="0" allowOverlap="1" layoutInCell="1" locked="0" behindDoc="0" simplePos="0" relativeHeight="15774720">
                <wp:simplePos x="0" y="0"/>
                <wp:positionH relativeFrom="page">
                  <wp:posOffset>1066800</wp:posOffset>
                </wp:positionH>
                <wp:positionV relativeFrom="paragraph">
                  <wp:posOffset>-329015</wp:posOffset>
                </wp:positionV>
                <wp:extent cx="850265" cy="3937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85026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pacing w:val="-2"/>
                                <w:sz w:val="28"/>
                              </w:rPr>
                              <w:t>Conclusion</w:t>
                            </w:r>
                          </w:p>
                        </w:txbxContent>
                      </wps:txbx>
                      <wps:bodyPr wrap="square" lIns="0" tIns="0" rIns="0" bIns="0" rtlCol="0">
                        <a:noAutofit/>
                      </wps:bodyPr>
                    </wps:wsp>
                  </a:graphicData>
                </a:graphic>
              </wp:anchor>
            </w:drawing>
          </mc:Choice>
          <mc:Fallback>
            <w:pict>
              <v:shape style="position:absolute;margin-left:84pt;margin-top:-25.906702pt;width:66.95pt;height:31pt;mso-position-horizontal-relative:page;mso-position-vertical-relative:paragraph;z-index:15774720" type="#_x0000_t202" id="docshape188" filled="true" fillcolor="#f7f7f8" stroked="false">
                <v:textbox inset="0,0,0,0">
                  <w:txbxContent>
                    <w:p>
                      <w:pPr>
                        <w:spacing w:line="308" w:lineRule="exact" w:before="0"/>
                        <w:ind w:left="0" w:right="0" w:firstLine="0"/>
                        <w:jc w:val="left"/>
                        <w:rPr>
                          <w:b/>
                          <w:color w:val="000000"/>
                          <w:sz w:val="28"/>
                        </w:rPr>
                      </w:pPr>
                      <w:r>
                        <w:rPr>
                          <w:b/>
                          <w:color w:val="374151"/>
                          <w:spacing w:val="-2"/>
                          <w:sz w:val="28"/>
                        </w:rPr>
                        <w:t>Conclusion</w:t>
                      </w:r>
                    </w:p>
                  </w:txbxContent>
                </v:textbox>
                <v:fill type="solid"/>
                <w10:wrap type="none"/>
              </v:shape>
            </w:pict>
          </mc:Fallback>
        </mc:AlternateContent>
      </w:r>
      <w:r>
        <w:rPr>
          <w:color w:val="374151"/>
          <w:shd w:fill="F7F7F8" w:color="auto" w:val="clear"/>
        </w:rPr>
        <w:t>This section has explored the diverse cultural norms, beliefs, and values </w:t>
      </w:r>
      <w:r>
        <w:rPr>
          <w:color w:val="374151"/>
        </w:rPr>
        <w:t> </w:t>
      </w:r>
      <w:r>
        <w:rPr>
          <w:color w:val="374151"/>
          <w:shd w:fill="F7F7F8" w:color="auto" w:val="clear"/>
        </w:rPr>
        <w:t>related</w:t>
      </w:r>
      <w:r>
        <w:rPr>
          <w:color w:val="374151"/>
          <w:spacing w:val="-2"/>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human</w:t>
      </w:r>
      <w:r>
        <w:rPr>
          <w:color w:val="374151"/>
          <w:spacing w:val="-2"/>
          <w:shd w:fill="F7F7F8" w:color="auto" w:val="clear"/>
        </w:rPr>
        <w:t> </w:t>
      </w:r>
      <w:r>
        <w:rPr>
          <w:color w:val="374151"/>
          <w:shd w:fill="F7F7F8" w:color="auto" w:val="clear"/>
        </w:rPr>
        <w:t>sexuality</w:t>
      </w:r>
      <w:r>
        <w:rPr>
          <w:color w:val="374151"/>
          <w:spacing w:val="-2"/>
          <w:shd w:fill="F7F7F8" w:color="auto" w:val="clear"/>
        </w:rPr>
        <w:t> </w:t>
      </w:r>
      <w:r>
        <w:rPr>
          <w:color w:val="374151"/>
          <w:shd w:fill="F7F7F8" w:color="auto" w:val="clear"/>
        </w:rPr>
        <w:t>within</w:t>
      </w:r>
      <w:r>
        <w:rPr>
          <w:color w:val="374151"/>
          <w:spacing w:val="-2"/>
          <w:shd w:fill="F7F7F8" w:color="auto" w:val="clear"/>
        </w:rPr>
        <w:t> </w:t>
      </w:r>
      <w:r>
        <w:rPr>
          <w:color w:val="374151"/>
          <w:shd w:fill="F7F7F8" w:color="auto" w:val="clear"/>
        </w:rPr>
        <w:t>various</w:t>
      </w:r>
      <w:r>
        <w:rPr>
          <w:color w:val="374151"/>
          <w:spacing w:val="-2"/>
          <w:shd w:fill="F7F7F8" w:color="auto" w:val="clear"/>
        </w:rPr>
        <w:t> </w:t>
      </w:r>
      <w:r>
        <w:rPr>
          <w:color w:val="374151"/>
          <w:shd w:fill="F7F7F8" w:color="auto" w:val="clear"/>
        </w:rPr>
        <w:t>ethnic</w:t>
      </w:r>
      <w:r>
        <w:rPr>
          <w:color w:val="374151"/>
          <w:spacing w:val="-3"/>
          <w:shd w:fill="F7F7F8" w:color="auto" w:val="clear"/>
        </w:rPr>
        <w:t> </w:t>
      </w:r>
      <w:r>
        <w:rPr>
          <w:color w:val="374151"/>
          <w:shd w:fill="F7F7F8" w:color="auto" w:val="clear"/>
        </w:rPr>
        <w:t>groups.</w:t>
      </w:r>
      <w:r>
        <w:rPr>
          <w:color w:val="374151"/>
          <w:spacing w:val="-2"/>
          <w:shd w:fill="F7F7F8" w:color="auto" w:val="clear"/>
        </w:rPr>
        <w:t> </w:t>
      </w:r>
      <w:r>
        <w:rPr>
          <w:color w:val="374151"/>
          <w:shd w:fill="F7F7F8" w:color="auto" w:val="clear"/>
        </w:rPr>
        <w:t>By</w:t>
      </w:r>
      <w:r>
        <w:rPr>
          <w:color w:val="374151"/>
          <w:spacing w:val="-2"/>
          <w:shd w:fill="F7F7F8" w:color="auto" w:val="clear"/>
        </w:rPr>
        <w:t> </w:t>
      </w:r>
      <w:r>
        <w:rPr>
          <w:color w:val="374151"/>
          <w:shd w:fill="F7F7F8" w:color="auto" w:val="clear"/>
        </w:rPr>
        <w:t>understanding</w:t>
      </w:r>
      <w:r>
        <w:rPr>
          <w:color w:val="374151"/>
          <w:spacing w:val="-2"/>
          <w:shd w:fill="F7F7F8" w:color="auto" w:val="clear"/>
        </w:rPr>
        <w:t> </w:t>
      </w:r>
      <w:r>
        <w:rPr>
          <w:color w:val="374151"/>
          <w:shd w:fill="F7F7F8" w:color="auto" w:val="clear"/>
        </w:rPr>
        <w:t>the</w:t>
      </w:r>
      <w:r>
        <w:rPr>
          <w:color w:val="374151"/>
          <w:spacing w:val="-3"/>
          <w:shd w:fill="F7F7F8" w:color="auto" w:val="clear"/>
        </w:rPr>
        <w:t> </w:t>
      </w:r>
      <w:r>
        <w:rPr>
          <w:color w:val="374151"/>
          <w:spacing w:val="-3"/>
        </w:rPr>
        <w:t> </w:t>
      </w:r>
      <w:r>
        <w:rPr>
          <w:color w:val="374151"/>
          <w:shd w:fill="F7F7F8" w:color="auto" w:val="clear"/>
        </w:rPr>
        <w:t>unique perspectives of different cultures, mental health professionals can </w:t>
      </w:r>
      <w:r>
        <w:rPr>
          <w:color w:val="374151"/>
        </w:rPr>
        <w:t> </w:t>
      </w:r>
      <w:r>
        <w:rPr>
          <w:color w:val="374151"/>
          <w:shd w:fill="F7F7F8" w:color="auto" w:val="clear"/>
        </w:rPr>
        <w:t>provide culturally sensitive care that respects individual diversity and </w:t>
      </w:r>
      <w:r>
        <w:rPr>
          <w:color w:val="374151"/>
        </w:rPr>
        <w:t> </w:t>
      </w:r>
      <w:r>
        <w:rPr>
          <w:color w:val="374151"/>
          <w:shd w:fill="F7F7F8" w:color="auto" w:val="clear"/>
        </w:rPr>
        <w:t>promotes</w:t>
      </w:r>
      <w:r>
        <w:rPr>
          <w:color w:val="374151"/>
          <w:spacing w:val="-4"/>
          <w:shd w:fill="F7F7F8" w:color="auto" w:val="clear"/>
        </w:rPr>
        <w:t> </w:t>
      </w:r>
      <w:r>
        <w:rPr>
          <w:color w:val="374151"/>
          <w:shd w:fill="F7F7F8" w:color="auto" w:val="clear"/>
        </w:rPr>
        <w:t>positive</w:t>
      </w:r>
      <w:r>
        <w:rPr>
          <w:color w:val="374151"/>
          <w:spacing w:val="-5"/>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well-being.</w:t>
      </w:r>
      <w:r>
        <w:rPr>
          <w:color w:val="374151"/>
          <w:spacing w:val="-4"/>
          <w:shd w:fill="F7F7F8" w:color="auto" w:val="clear"/>
        </w:rPr>
        <w:t> </w:t>
      </w:r>
      <w:r>
        <w:rPr>
          <w:color w:val="374151"/>
          <w:shd w:fill="F7F7F8" w:color="auto" w:val="clear"/>
        </w:rPr>
        <w:t>Recognizing</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embracing</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richness</w:t>
      </w:r>
      <w:r>
        <w:rPr>
          <w:color w:val="374151"/>
          <w:spacing w:val="-5"/>
          <w:shd w:fill="F7F7F8" w:color="auto" w:val="clear"/>
        </w:rPr>
        <w:t> </w:t>
      </w:r>
      <w:r>
        <w:rPr>
          <w:color w:val="374151"/>
          <w:spacing w:val="-5"/>
        </w:rPr>
        <w:t> </w:t>
      </w:r>
      <w:r>
        <w:rPr>
          <w:color w:val="374151"/>
          <w:shd w:fill="F7F7F8" w:color="auto" w:val="clear"/>
        </w:rPr>
        <w:t>of cultural diversity is essential for fostering inclusive and effective mental </w:t>
      </w:r>
      <w:r>
        <w:rPr>
          <w:color w:val="374151"/>
        </w:rPr>
        <w:t> </w:t>
      </w:r>
      <w:r>
        <w:rPr>
          <w:color w:val="374151"/>
          <w:shd w:fill="F7F7F8" w:color="auto" w:val="clear"/>
        </w:rPr>
        <w:t>health practices. Through continuous education, self-reflection, and </w:t>
      </w:r>
      <w:r>
        <w:rPr>
          <w:color w:val="374151"/>
        </w:rPr>
        <w:t> </w:t>
      </w:r>
      <w:r>
        <w:rPr>
          <w:color w:val="374151"/>
          <w:shd w:fill="F7F7F8" w:color="auto" w:val="clear"/>
        </w:rPr>
        <w:t>collaboration with community resources, mental health professionals can </w:t>
      </w:r>
      <w:r>
        <w:rPr>
          <w:color w:val="374151"/>
        </w:rPr>
        <w:t> </w:t>
      </w:r>
      <w:r>
        <w:rPr>
          <w:color w:val="374151"/>
          <w:shd w:fill="F7F7F8" w:color="auto" w:val="clear"/>
        </w:rPr>
        <w:t>enhance</w:t>
      </w:r>
      <w:r>
        <w:rPr>
          <w:color w:val="374151"/>
          <w:spacing w:val="-5"/>
          <w:shd w:fill="F7F7F8" w:color="auto" w:val="clear"/>
        </w:rPr>
        <w:t> </w:t>
      </w:r>
      <w:r>
        <w:rPr>
          <w:color w:val="374151"/>
          <w:shd w:fill="F7F7F8" w:color="auto" w:val="clear"/>
        </w:rPr>
        <w:t>their</w:t>
      </w:r>
      <w:r>
        <w:rPr>
          <w:color w:val="374151"/>
          <w:spacing w:val="-4"/>
          <w:shd w:fill="F7F7F8" w:color="auto" w:val="clear"/>
        </w:rPr>
        <w:t> </w:t>
      </w:r>
      <w:r>
        <w:rPr>
          <w:color w:val="374151"/>
          <w:shd w:fill="F7F7F8" w:color="auto" w:val="clear"/>
        </w:rPr>
        <w:t>cultural</w:t>
      </w:r>
      <w:r>
        <w:rPr>
          <w:color w:val="374151"/>
          <w:spacing w:val="-4"/>
          <w:shd w:fill="F7F7F8" w:color="auto" w:val="clear"/>
        </w:rPr>
        <w:t> </w:t>
      </w:r>
      <w:r>
        <w:rPr>
          <w:color w:val="374151"/>
          <w:shd w:fill="F7F7F8" w:color="auto" w:val="clear"/>
        </w:rPr>
        <w:t>competence</w:t>
      </w:r>
      <w:r>
        <w:rPr>
          <w:color w:val="374151"/>
          <w:spacing w:val="-5"/>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support</w:t>
      </w:r>
      <w:r>
        <w:rPr>
          <w:color w:val="374151"/>
          <w:spacing w:val="-4"/>
          <w:shd w:fill="F7F7F8" w:color="auto" w:val="clear"/>
        </w:rPr>
        <w:t> </w:t>
      </w:r>
      <w:r>
        <w:rPr>
          <w:color w:val="374151"/>
          <w:shd w:fill="F7F7F8" w:color="auto" w:val="clear"/>
        </w:rPr>
        <w:t>individuals</w:t>
      </w:r>
      <w:r>
        <w:rPr>
          <w:color w:val="374151"/>
          <w:spacing w:val="-4"/>
          <w:shd w:fill="F7F7F8" w:color="auto" w:val="clear"/>
        </w:rPr>
        <w:t> </w:t>
      </w:r>
      <w:r>
        <w:rPr>
          <w:color w:val="374151"/>
          <w:shd w:fill="F7F7F8" w:color="auto" w:val="clear"/>
        </w:rPr>
        <w:t>from</w:t>
      </w:r>
      <w:r>
        <w:rPr>
          <w:color w:val="374151"/>
          <w:spacing w:val="-4"/>
          <w:shd w:fill="F7F7F8" w:color="auto" w:val="clear"/>
        </w:rPr>
        <w:t> </w:t>
      </w:r>
      <w:r>
        <w:rPr>
          <w:color w:val="374151"/>
          <w:shd w:fill="F7F7F8" w:color="auto" w:val="clear"/>
        </w:rPr>
        <w:t>diverse</w:t>
      </w:r>
      <w:r>
        <w:rPr>
          <w:color w:val="374151"/>
          <w:spacing w:val="-5"/>
          <w:shd w:fill="F7F7F8" w:color="auto" w:val="clear"/>
        </w:rPr>
        <w:t> </w:t>
      </w:r>
      <w:r>
        <w:rPr>
          <w:color w:val="374151"/>
          <w:shd w:fill="F7F7F8" w:color="auto" w:val="clear"/>
        </w:rPr>
        <w:t>ethnic</w:t>
      </w:r>
      <w:r>
        <w:rPr>
          <w:color w:val="374151"/>
          <w:spacing w:val="-5"/>
          <w:shd w:fill="F7F7F8" w:color="auto" w:val="clear"/>
        </w:rPr>
        <w:t> </w:t>
      </w:r>
      <w:r>
        <w:rPr>
          <w:color w:val="374151"/>
          <w:spacing w:val="-5"/>
        </w:rPr>
        <w:t> </w:t>
      </w:r>
      <w:r>
        <w:rPr>
          <w:color w:val="374151"/>
          <w:shd w:fill="F7F7F8" w:color="auto" w:val="clear"/>
        </w:rPr>
        <w:t>backgrounds in a respectful and empowering manner.</w:t>
      </w:r>
    </w:p>
    <w:p>
      <w:pPr>
        <w:pStyle w:val="Heading2"/>
        <w:spacing w:before="261"/>
      </w:pPr>
      <w:r>
        <w:rPr/>
        <w:t>Culturally</w:t>
      </w:r>
      <w:r>
        <w:rPr>
          <w:spacing w:val="-3"/>
        </w:rPr>
        <w:t> </w:t>
      </w:r>
      <w:r>
        <w:rPr/>
        <w:t>Competent</w:t>
      </w:r>
      <w:r>
        <w:rPr>
          <w:spacing w:val="-2"/>
        </w:rPr>
        <w:t> </w:t>
      </w:r>
      <w:r>
        <w:rPr/>
        <w:t>Best</w:t>
      </w:r>
      <w:r>
        <w:rPr>
          <w:spacing w:val="-2"/>
        </w:rPr>
        <w:t> Practices</w:t>
      </w:r>
    </w:p>
    <w:p>
      <w:pPr>
        <w:pStyle w:val="BodyText"/>
        <w:spacing w:before="7"/>
        <w:rPr>
          <w:b/>
          <w:sz w:val="27"/>
        </w:rPr>
      </w:pPr>
    </w:p>
    <w:p>
      <w:pPr>
        <w:pStyle w:val="BodyText"/>
        <w:ind w:left="280" w:right="499"/>
      </w:pPr>
      <w:r>
        <w:rPr>
          <w:color w:val="374151"/>
          <w:shd w:fill="F7F7F8" w:color="auto" w:val="clear"/>
        </w:rPr>
        <w:t>This section provides clinicians with a comprehensive understanding of the </w:t>
      </w:r>
      <w:r>
        <w:rPr>
          <w:color w:val="374151"/>
        </w:rPr>
        <w:t> </w:t>
      </w:r>
      <w:r>
        <w:rPr>
          <w:color w:val="374151"/>
          <w:shd w:fill="F7F7F8" w:color="auto" w:val="clear"/>
        </w:rPr>
        <w:t>significance of cultural competence in working with diverse populations </w:t>
      </w:r>
      <w:r>
        <w:rPr>
          <w:color w:val="374151"/>
        </w:rPr>
        <w:t> </w:t>
      </w:r>
      <w:r>
        <w:rPr>
          <w:color w:val="374151"/>
          <w:shd w:fill="F7F7F8" w:color="auto" w:val="clear"/>
        </w:rPr>
        <w:t>regarding human sexuality. By implementing the best practices discussed and </w:t>
      </w:r>
      <w:r>
        <w:rPr>
          <w:color w:val="374151"/>
        </w:rPr>
        <w:t> </w:t>
      </w:r>
      <w:r>
        <w:rPr>
          <w:color w:val="374151"/>
          <w:shd w:fill="F7F7F8" w:color="auto" w:val="clear"/>
        </w:rPr>
        <w:t>applying the culturally informed clinical strategies outlined, professionals can </w:t>
      </w:r>
      <w:r>
        <w:rPr>
          <w:color w:val="374151"/>
        </w:rPr>
        <w:t> </w:t>
      </w:r>
      <w:r>
        <w:rPr>
          <w:color w:val="374151"/>
          <w:shd w:fill="F7F7F8" w:color="auto" w:val="clear"/>
        </w:rPr>
        <w:t>foster</w:t>
      </w:r>
      <w:r>
        <w:rPr>
          <w:color w:val="374151"/>
          <w:spacing w:val="-3"/>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safe,</w:t>
      </w:r>
      <w:r>
        <w:rPr>
          <w:color w:val="374151"/>
          <w:spacing w:val="-3"/>
          <w:shd w:fill="F7F7F8" w:color="auto" w:val="clear"/>
        </w:rPr>
        <w:t> </w:t>
      </w:r>
      <w:r>
        <w:rPr>
          <w:color w:val="374151"/>
          <w:shd w:fill="F7F7F8" w:color="auto" w:val="clear"/>
        </w:rPr>
        <w:t>inclusive,</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effective</w:t>
      </w:r>
      <w:r>
        <w:rPr>
          <w:color w:val="374151"/>
          <w:spacing w:val="-4"/>
          <w:shd w:fill="F7F7F8" w:color="auto" w:val="clear"/>
        </w:rPr>
        <w:t> </w:t>
      </w:r>
      <w:r>
        <w:rPr>
          <w:color w:val="374151"/>
          <w:shd w:fill="F7F7F8" w:color="auto" w:val="clear"/>
        </w:rPr>
        <w:t>therapeutic</w:t>
      </w:r>
      <w:r>
        <w:rPr>
          <w:color w:val="374151"/>
          <w:spacing w:val="-4"/>
          <w:shd w:fill="F7F7F8" w:color="auto" w:val="clear"/>
        </w:rPr>
        <w:t> </w:t>
      </w:r>
      <w:r>
        <w:rPr>
          <w:color w:val="374151"/>
          <w:shd w:fill="F7F7F8" w:color="auto" w:val="clear"/>
        </w:rPr>
        <w:t>environment</w:t>
      </w:r>
      <w:r>
        <w:rPr>
          <w:color w:val="374151"/>
          <w:spacing w:val="-3"/>
          <w:shd w:fill="F7F7F8" w:color="auto" w:val="clear"/>
        </w:rPr>
        <w:t> </w:t>
      </w:r>
      <w:r>
        <w:rPr>
          <w:color w:val="374151"/>
          <w:shd w:fill="F7F7F8" w:color="auto" w:val="clear"/>
        </w:rPr>
        <w:t>that</w:t>
      </w:r>
      <w:r>
        <w:rPr>
          <w:color w:val="374151"/>
          <w:spacing w:val="-3"/>
          <w:shd w:fill="F7F7F8" w:color="auto" w:val="clear"/>
        </w:rPr>
        <w:t> </w:t>
      </w:r>
      <w:r>
        <w:rPr>
          <w:color w:val="374151"/>
          <w:shd w:fill="F7F7F8" w:color="auto" w:val="clear"/>
        </w:rPr>
        <w:t>respects</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pacing w:val="-4"/>
        </w:rPr>
        <w:t> </w:t>
      </w:r>
      <w:r>
        <w:rPr>
          <w:color w:val="374151"/>
          <w:shd w:fill="F7F7F8" w:color="auto" w:val="clear"/>
        </w:rPr>
        <w:t>cultural</w:t>
      </w:r>
      <w:r>
        <w:rPr>
          <w:color w:val="374151"/>
          <w:spacing w:val="-4"/>
          <w:shd w:fill="F7F7F8" w:color="auto" w:val="clear"/>
        </w:rPr>
        <w:t> </w:t>
      </w:r>
      <w:r>
        <w:rPr>
          <w:color w:val="374151"/>
          <w:shd w:fill="F7F7F8" w:color="auto" w:val="clear"/>
        </w:rPr>
        <w:t>norms,</w:t>
      </w:r>
      <w:r>
        <w:rPr>
          <w:color w:val="374151"/>
          <w:spacing w:val="-4"/>
          <w:shd w:fill="F7F7F8" w:color="auto" w:val="clear"/>
        </w:rPr>
        <w:t> </w:t>
      </w:r>
      <w:r>
        <w:rPr>
          <w:color w:val="374151"/>
          <w:shd w:fill="F7F7F8" w:color="auto" w:val="clear"/>
        </w:rPr>
        <w:t>beliefs,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values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clients</w:t>
      </w:r>
      <w:r>
        <w:rPr>
          <w:color w:val="374151"/>
          <w:spacing w:val="-4"/>
          <w:shd w:fill="F7F7F8" w:color="auto" w:val="clear"/>
        </w:rPr>
        <w:t> </w:t>
      </w:r>
      <w:r>
        <w:rPr>
          <w:color w:val="374151"/>
          <w:shd w:fill="F7F7F8" w:color="auto" w:val="clear"/>
        </w:rPr>
        <w:t>from</w:t>
      </w:r>
      <w:r>
        <w:rPr>
          <w:color w:val="374151"/>
          <w:spacing w:val="-4"/>
          <w:shd w:fill="F7F7F8" w:color="auto" w:val="clear"/>
        </w:rPr>
        <w:t> </w:t>
      </w:r>
      <w:r>
        <w:rPr>
          <w:color w:val="374151"/>
          <w:shd w:fill="F7F7F8" w:color="auto" w:val="clear"/>
        </w:rPr>
        <w:t>various</w:t>
      </w:r>
      <w:r>
        <w:rPr>
          <w:color w:val="374151"/>
          <w:spacing w:val="-4"/>
          <w:shd w:fill="F7F7F8" w:color="auto" w:val="clear"/>
        </w:rPr>
        <w:t> </w:t>
      </w:r>
      <w:r>
        <w:rPr>
          <w:color w:val="374151"/>
          <w:shd w:fill="F7F7F8" w:color="auto" w:val="clear"/>
        </w:rPr>
        <w:t>ethnic</w:t>
      </w:r>
      <w:r>
        <w:rPr>
          <w:color w:val="374151"/>
          <w:spacing w:val="-5"/>
          <w:shd w:fill="F7F7F8" w:color="auto" w:val="clear"/>
        </w:rPr>
        <w:t> </w:t>
      </w:r>
      <w:r>
        <w:rPr>
          <w:color w:val="374151"/>
          <w:shd w:fill="F7F7F8" w:color="auto" w:val="clear"/>
        </w:rPr>
        <w:t>backgrounds.</w:t>
      </w:r>
      <w:r>
        <w:rPr>
          <w:color w:val="374151"/>
          <w:spacing w:val="-10"/>
          <w:shd w:fill="F7F7F8" w:color="auto" w:val="clear"/>
        </w:rPr>
        <w:t> </w:t>
      </w:r>
      <w:r>
        <w:rPr>
          <w:color w:val="374151"/>
          <w:spacing w:val="-10"/>
        </w:rPr>
        <w:t> </w:t>
      </w:r>
      <w:r>
        <w:rPr>
          <w:color w:val="374151"/>
          <w:shd w:fill="F7F7F8" w:color="auto" w:val="clear"/>
        </w:rPr>
        <w:t>Through continuous learning and self-reflection, mental health professionals </w:t>
      </w:r>
      <w:r>
        <w:rPr>
          <w:color w:val="374151"/>
        </w:rPr>
        <w:t> </w:t>
      </w:r>
      <w:r>
        <w:rPr>
          <w:color w:val="374151"/>
          <w:shd w:fill="F7F7F8" w:color="auto" w:val="clear"/>
        </w:rPr>
        <w:t>can enhance</w:t>
      </w:r>
      <w:r>
        <w:rPr>
          <w:color w:val="374151"/>
          <w:spacing w:val="-1"/>
          <w:shd w:fill="F7F7F8" w:color="auto" w:val="clear"/>
        </w:rPr>
        <w:t> </w:t>
      </w:r>
      <w:r>
        <w:rPr>
          <w:color w:val="374151"/>
          <w:shd w:fill="F7F7F8" w:color="auto" w:val="clear"/>
        </w:rPr>
        <w:t>their cultural competence</w:t>
      </w:r>
      <w:r>
        <w:rPr>
          <w:color w:val="374151"/>
          <w:spacing w:val="-1"/>
          <w:shd w:fill="F7F7F8" w:color="auto" w:val="clear"/>
        </w:rPr>
        <w:t> </w:t>
      </w:r>
      <w:r>
        <w:rPr>
          <w:color w:val="374151"/>
          <w:shd w:fill="F7F7F8" w:color="auto" w:val="clear"/>
        </w:rPr>
        <w:t>and promote</w:t>
      </w:r>
      <w:r>
        <w:rPr>
          <w:color w:val="374151"/>
          <w:spacing w:val="-1"/>
          <w:shd w:fill="F7F7F8" w:color="auto" w:val="clear"/>
        </w:rPr>
        <w:t> </w:t>
      </w:r>
      <w:r>
        <w:rPr>
          <w:color w:val="374151"/>
          <w:shd w:fill="F7F7F8" w:color="auto" w:val="clear"/>
        </w:rPr>
        <w:t>positive</w:t>
      </w:r>
      <w:r>
        <w:rPr>
          <w:color w:val="374151"/>
          <w:spacing w:val="-1"/>
          <w:shd w:fill="F7F7F8" w:color="auto" w:val="clear"/>
        </w:rPr>
        <w:t> </w:t>
      </w:r>
      <w:r>
        <w:rPr>
          <w:color w:val="374151"/>
          <w:shd w:fill="F7F7F8" w:color="auto" w:val="clear"/>
        </w:rPr>
        <w:t>outcomes in their</w:t>
      </w:r>
      <w:r>
        <w:rPr>
          <w:color w:val="374151"/>
          <w:spacing w:val="-1"/>
          <w:shd w:fill="F7F7F8" w:color="auto" w:val="clear"/>
        </w:rPr>
        <w:t> </w:t>
      </w:r>
      <w:r>
        <w:rPr>
          <w:color w:val="374151"/>
          <w:spacing w:val="-1"/>
        </w:rPr>
        <w:t> </w:t>
      </w:r>
      <w:r>
        <w:rPr>
          <w:color w:val="374151"/>
          <w:spacing w:val="-2"/>
          <w:shd w:fill="F7F7F8" w:color="auto" w:val="clear"/>
        </w:rPr>
        <w:t>practice.</w:t>
      </w:r>
    </w:p>
    <w:p>
      <w:pPr>
        <w:pStyle w:val="BodyText"/>
        <w:spacing w:before="3"/>
        <w:rPr>
          <w:sz w:val="36"/>
        </w:rPr>
      </w:pPr>
    </w:p>
    <w:p>
      <w:pPr>
        <w:spacing w:before="1"/>
        <w:ind w:left="280" w:right="0" w:firstLine="0"/>
        <w:jc w:val="left"/>
        <w:rPr>
          <w:b/>
          <w:i/>
          <w:sz w:val="28"/>
        </w:rPr>
      </w:pPr>
      <w:r>
        <w:rPr>
          <w:b/>
          <w:i/>
          <w:color w:val="374151"/>
          <w:sz w:val="28"/>
          <w:shd w:fill="F7F7F8" w:color="auto" w:val="clear"/>
        </w:rPr>
        <w:t>Culturally</w:t>
      </w:r>
      <w:r>
        <w:rPr>
          <w:b/>
          <w:i/>
          <w:color w:val="374151"/>
          <w:spacing w:val="-4"/>
          <w:sz w:val="28"/>
          <w:shd w:fill="F7F7F8" w:color="auto" w:val="clear"/>
        </w:rPr>
        <w:t> </w:t>
      </w:r>
      <w:r>
        <w:rPr>
          <w:b/>
          <w:i/>
          <w:color w:val="374151"/>
          <w:sz w:val="28"/>
          <w:shd w:fill="F7F7F8" w:color="auto" w:val="clear"/>
        </w:rPr>
        <w:t>Competent</w:t>
      </w:r>
      <w:r>
        <w:rPr>
          <w:b/>
          <w:i/>
          <w:color w:val="374151"/>
          <w:spacing w:val="-12"/>
          <w:sz w:val="28"/>
          <w:shd w:fill="F7F7F8" w:color="auto" w:val="clear"/>
        </w:rPr>
        <w:t> </w:t>
      </w:r>
      <w:r>
        <w:rPr>
          <w:b/>
          <w:i/>
          <w:color w:val="374151"/>
          <w:sz w:val="28"/>
          <w:shd w:fill="F7F7F8" w:color="auto" w:val="clear"/>
        </w:rPr>
        <w:t>Assessment</w:t>
      </w:r>
      <w:r>
        <w:rPr>
          <w:b/>
          <w:i/>
          <w:color w:val="374151"/>
          <w:spacing w:val="-2"/>
          <w:sz w:val="28"/>
          <w:shd w:fill="F7F7F8" w:color="auto" w:val="clear"/>
        </w:rPr>
        <w:t> Strategies:</w:t>
      </w:r>
    </w:p>
    <w:p>
      <w:pPr>
        <w:pStyle w:val="Heading2"/>
        <w:spacing w:before="113"/>
      </w:pPr>
      <w:r>
        <w:rPr>
          <w:color w:val="665082"/>
          <w:spacing w:val="-2"/>
          <w:shd w:fill="F7F7F8" w:color="auto" w:val="clear"/>
        </w:rPr>
        <w:t>Culturally</w:t>
      </w:r>
      <w:r>
        <w:rPr>
          <w:color w:val="665082"/>
          <w:shd w:fill="F7F7F8" w:color="auto" w:val="clear"/>
        </w:rPr>
        <w:t> </w:t>
      </w:r>
      <w:r>
        <w:rPr>
          <w:color w:val="665082"/>
          <w:spacing w:val="-2"/>
          <w:shd w:fill="F7F7F8" w:color="auto" w:val="clear"/>
        </w:rPr>
        <w:t>Tailored</w:t>
      </w:r>
      <w:r>
        <w:rPr>
          <w:color w:val="665082"/>
          <w:spacing w:val="-11"/>
          <w:shd w:fill="F7F7F8" w:color="auto" w:val="clear"/>
        </w:rPr>
        <w:t> </w:t>
      </w:r>
      <w:r>
        <w:rPr>
          <w:color w:val="665082"/>
          <w:spacing w:val="-2"/>
          <w:shd w:fill="F7F7F8" w:color="auto" w:val="clear"/>
        </w:rPr>
        <w:t>Assessment</w:t>
      </w:r>
      <w:r>
        <w:rPr>
          <w:color w:val="665082"/>
          <w:spacing w:val="8"/>
          <w:shd w:fill="F7F7F8" w:color="auto" w:val="clear"/>
        </w:rPr>
        <w:t> </w:t>
      </w:r>
      <w:r>
        <w:rPr>
          <w:color w:val="665082"/>
          <w:spacing w:val="-2"/>
          <w:shd w:fill="F7F7F8" w:color="auto" w:val="clear"/>
        </w:rPr>
        <w:t>Measures:</w:t>
      </w:r>
      <w:r>
        <w:rPr>
          <w:color w:val="665082"/>
          <w:spacing w:val="40"/>
          <w:shd w:fill="F7F7F8" w:color="auto" w:val="clear"/>
        </w:rPr>
        <w:t> </w:t>
      </w:r>
    </w:p>
    <w:p>
      <w:pPr>
        <w:spacing w:before="59"/>
        <w:ind w:left="280" w:right="0" w:firstLine="0"/>
        <w:jc w:val="left"/>
        <w:rPr>
          <w:rFonts w:ascii="Segoe UI Symbol" w:hAnsi="Segoe UI Symbol"/>
          <w:sz w:val="28"/>
        </w:rPr>
      </w:pPr>
      <w:r>
        <w:rPr/>
        <mc:AlternateContent>
          <mc:Choice Requires="wps">
            <w:drawing>
              <wp:anchor distT="0" distB="0" distL="0" distR="0" allowOverlap="1" layoutInCell="1" locked="0" behindDoc="0" simplePos="0" relativeHeight="15774208">
                <wp:simplePos x="0" y="0"/>
                <wp:positionH relativeFrom="page">
                  <wp:posOffset>1207168</wp:posOffset>
                </wp:positionH>
                <wp:positionV relativeFrom="paragraph">
                  <wp:posOffset>80383</wp:posOffset>
                </wp:positionV>
                <wp:extent cx="5498465" cy="278828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5498465" cy="2788285"/>
                          <a:chExt cx="5498465" cy="2788285"/>
                        </a:xfrm>
                      </wpg:grpSpPr>
                      <wps:wsp>
                        <wps:cNvPr id="191" name="Textbox 191"/>
                        <wps:cNvSpPr txBox="1"/>
                        <wps:spPr>
                          <a:xfrm>
                            <a:off x="0" y="2604188"/>
                            <a:ext cx="5330190" cy="184150"/>
                          </a:xfrm>
                          <a:prstGeom prst="rect">
                            <a:avLst/>
                          </a:prstGeom>
                          <a:solidFill>
                            <a:srgbClr val="F7F7F8"/>
                          </a:solidFill>
                        </wps:spPr>
                        <wps:txbx>
                          <w:txbxContent>
                            <w:p>
                              <w:pPr>
                                <w:spacing w:line="277" w:lineRule="exact" w:before="0"/>
                                <w:ind w:left="0" w:right="0" w:firstLine="0"/>
                                <w:jc w:val="left"/>
                                <w:rPr>
                                  <w:color w:val="000000"/>
                                  <w:sz w:val="28"/>
                                </w:rPr>
                              </w:pPr>
                              <w:r>
                                <w:rPr>
                                  <w:color w:val="374151"/>
                                  <w:sz w:val="28"/>
                                </w:rPr>
                                <w:t>beliefs</w:t>
                              </w:r>
                              <w:r>
                                <w:rPr>
                                  <w:color w:val="374151"/>
                                  <w:spacing w:val="-6"/>
                                  <w:sz w:val="28"/>
                                </w:rPr>
                                <w:t> </w:t>
                              </w:r>
                              <w:r>
                                <w:rPr>
                                  <w:color w:val="374151"/>
                                  <w:sz w:val="28"/>
                                </w:rPr>
                                <w:t>related</w:t>
                              </w:r>
                              <w:r>
                                <w:rPr>
                                  <w:color w:val="374151"/>
                                  <w:spacing w:val="-4"/>
                                  <w:sz w:val="28"/>
                                </w:rPr>
                                <w:t> </w:t>
                              </w:r>
                              <w:r>
                                <w:rPr>
                                  <w:color w:val="374151"/>
                                  <w:sz w:val="28"/>
                                </w:rPr>
                                <w:t>to</w:t>
                              </w:r>
                              <w:r>
                                <w:rPr>
                                  <w:color w:val="374151"/>
                                  <w:spacing w:val="-4"/>
                                  <w:sz w:val="28"/>
                                </w:rPr>
                                <w:t> </w:t>
                              </w:r>
                              <w:r>
                                <w:rPr>
                                  <w:color w:val="374151"/>
                                  <w:sz w:val="28"/>
                                </w:rPr>
                                <w:t>their</w:t>
                              </w:r>
                              <w:r>
                                <w:rPr>
                                  <w:color w:val="374151"/>
                                  <w:spacing w:val="-4"/>
                                  <w:sz w:val="28"/>
                                </w:rPr>
                                <w:t> </w:t>
                              </w:r>
                              <w:r>
                                <w:rPr>
                                  <w:color w:val="374151"/>
                                  <w:sz w:val="28"/>
                                </w:rPr>
                                <w:t>sexuality.</w:t>
                              </w:r>
                              <w:r>
                                <w:rPr>
                                  <w:color w:val="374151"/>
                                  <w:spacing w:val="-9"/>
                                  <w:sz w:val="28"/>
                                </w:rPr>
                                <w:t> </w:t>
                              </w:r>
                              <w:r>
                                <w:rPr>
                                  <w:color w:val="374151"/>
                                  <w:sz w:val="28"/>
                                </w:rPr>
                                <w:t>This</w:t>
                              </w:r>
                              <w:r>
                                <w:rPr>
                                  <w:color w:val="374151"/>
                                  <w:spacing w:val="-4"/>
                                  <w:sz w:val="28"/>
                                </w:rPr>
                                <w:t> </w:t>
                              </w:r>
                              <w:r>
                                <w:rPr>
                                  <w:color w:val="374151"/>
                                  <w:sz w:val="28"/>
                                </w:rPr>
                                <w:t>approach</w:t>
                              </w:r>
                              <w:r>
                                <w:rPr>
                                  <w:color w:val="374151"/>
                                  <w:spacing w:val="-4"/>
                                  <w:sz w:val="28"/>
                                </w:rPr>
                                <w:t> </w:t>
                              </w:r>
                              <w:r>
                                <w:rPr>
                                  <w:color w:val="374151"/>
                                  <w:sz w:val="28"/>
                                </w:rPr>
                                <w:t>encourages</w:t>
                              </w:r>
                              <w:r>
                                <w:rPr>
                                  <w:color w:val="374151"/>
                                  <w:spacing w:val="-4"/>
                                  <w:sz w:val="28"/>
                                </w:rPr>
                                <w:t> </w:t>
                              </w:r>
                              <w:r>
                                <w:rPr>
                                  <w:color w:val="374151"/>
                                  <w:sz w:val="28"/>
                                </w:rPr>
                                <w:t>clients</w:t>
                              </w:r>
                              <w:r>
                                <w:rPr>
                                  <w:color w:val="374151"/>
                                  <w:spacing w:val="-4"/>
                                  <w:sz w:val="28"/>
                                </w:rPr>
                                <w:t> </w:t>
                              </w:r>
                              <w:r>
                                <w:rPr>
                                  <w:color w:val="374151"/>
                                  <w:sz w:val="28"/>
                                </w:rPr>
                                <w:t>to</w:t>
                              </w:r>
                              <w:r>
                                <w:rPr>
                                  <w:color w:val="374151"/>
                                  <w:spacing w:val="-3"/>
                                  <w:sz w:val="28"/>
                                </w:rPr>
                                <w:t> </w:t>
                              </w:r>
                              <w:r>
                                <w:rPr>
                                  <w:color w:val="374151"/>
                                  <w:spacing w:val="-2"/>
                                  <w:sz w:val="28"/>
                                </w:rPr>
                                <w:t>share</w:t>
                              </w:r>
                            </w:p>
                          </w:txbxContent>
                        </wps:txbx>
                        <wps:bodyPr wrap="square" lIns="0" tIns="0" rIns="0" bIns="0" rtlCol="0">
                          <a:noAutofit/>
                        </wps:bodyPr>
                      </wps:wsp>
                      <wps:wsp>
                        <wps:cNvPr id="192" name="Textbox 192"/>
                        <wps:cNvSpPr txBox="1"/>
                        <wps:spPr>
                          <a:xfrm>
                            <a:off x="0" y="2406367"/>
                            <a:ext cx="5233035" cy="198120"/>
                          </a:xfrm>
                          <a:prstGeom prst="rect">
                            <a:avLst/>
                          </a:prstGeom>
                          <a:solidFill>
                            <a:srgbClr val="F7F7F8"/>
                          </a:solidFill>
                        </wps:spPr>
                        <wps:txbx>
                          <w:txbxContent>
                            <w:p>
                              <w:pPr>
                                <w:spacing w:line="300" w:lineRule="exact" w:before="0"/>
                                <w:ind w:left="0" w:right="0" w:firstLine="0"/>
                                <w:jc w:val="left"/>
                                <w:rPr>
                                  <w:color w:val="000000"/>
                                  <w:sz w:val="28"/>
                                </w:rPr>
                              </w:pPr>
                              <w:r>
                                <w:rPr>
                                  <w:color w:val="374151"/>
                                  <w:sz w:val="28"/>
                                </w:rPr>
                                <w:t>allow</w:t>
                              </w:r>
                              <w:r>
                                <w:rPr>
                                  <w:color w:val="374151"/>
                                  <w:spacing w:val="-4"/>
                                  <w:sz w:val="28"/>
                                </w:rPr>
                                <w:t> </w:t>
                              </w:r>
                              <w:r>
                                <w:rPr>
                                  <w:color w:val="374151"/>
                                  <w:sz w:val="28"/>
                                </w:rPr>
                                <w:t>individuals</w:t>
                              </w:r>
                              <w:r>
                                <w:rPr>
                                  <w:color w:val="374151"/>
                                  <w:spacing w:val="-2"/>
                                  <w:sz w:val="28"/>
                                </w:rPr>
                                <w:t> </w:t>
                              </w:r>
                              <w:r>
                                <w:rPr>
                                  <w:color w:val="374151"/>
                                  <w:sz w:val="28"/>
                                </w:rPr>
                                <w:t>to</w:t>
                              </w:r>
                              <w:r>
                                <w:rPr>
                                  <w:color w:val="374151"/>
                                  <w:spacing w:val="-2"/>
                                  <w:sz w:val="28"/>
                                </w:rPr>
                                <w:t> </w:t>
                              </w:r>
                              <w:r>
                                <w:rPr>
                                  <w:color w:val="374151"/>
                                  <w:sz w:val="28"/>
                                </w:rPr>
                                <w:t>freely</w:t>
                              </w:r>
                              <w:r>
                                <w:rPr>
                                  <w:color w:val="374151"/>
                                  <w:spacing w:val="-2"/>
                                  <w:sz w:val="28"/>
                                </w:rPr>
                                <w:t> </w:t>
                              </w:r>
                              <w:r>
                                <w:rPr>
                                  <w:color w:val="374151"/>
                                  <w:sz w:val="28"/>
                                </w:rPr>
                                <w:t>express</w:t>
                              </w:r>
                              <w:r>
                                <w:rPr>
                                  <w:color w:val="374151"/>
                                  <w:spacing w:val="-2"/>
                                  <w:sz w:val="28"/>
                                </w:rPr>
                                <w:t> </w:t>
                              </w:r>
                              <w:r>
                                <w:rPr>
                                  <w:color w:val="374151"/>
                                  <w:sz w:val="28"/>
                                </w:rPr>
                                <w:t>their</w:t>
                              </w:r>
                              <w:r>
                                <w:rPr>
                                  <w:color w:val="374151"/>
                                  <w:spacing w:val="-2"/>
                                  <w:sz w:val="28"/>
                                </w:rPr>
                                <w:t> </w:t>
                              </w:r>
                              <w:r>
                                <w:rPr>
                                  <w:color w:val="374151"/>
                                  <w:sz w:val="28"/>
                                </w:rPr>
                                <w:t>cultural</w:t>
                              </w:r>
                              <w:r>
                                <w:rPr>
                                  <w:color w:val="374151"/>
                                  <w:spacing w:val="-2"/>
                                  <w:sz w:val="28"/>
                                </w:rPr>
                                <w:t> </w:t>
                              </w:r>
                              <w:r>
                                <w:rPr>
                                  <w:color w:val="374151"/>
                                  <w:sz w:val="28"/>
                                </w:rPr>
                                <w:t>perspectives,</w:t>
                              </w:r>
                              <w:r>
                                <w:rPr>
                                  <w:color w:val="374151"/>
                                  <w:spacing w:val="-2"/>
                                  <w:sz w:val="28"/>
                                </w:rPr>
                                <w:t> </w:t>
                              </w:r>
                              <w:r>
                                <w:rPr>
                                  <w:color w:val="374151"/>
                                  <w:sz w:val="28"/>
                                </w:rPr>
                                <w:t>values,</w:t>
                              </w:r>
                              <w:r>
                                <w:rPr>
                                  <w:color w:val="374151"/>
                                  <w:spacing w:val="-1"/>
                                  <w:sz w:val="28"/>
                                </w:rPr>
                                <w:t> </w:t>
                              </w:r>
                              <w:r>
                                <w:rPr>
                                  <w:color w:val="374151"/>
                                  <w:spacing w:val="-5"/>
                                  <w:sz w:val="28"/>
                                </w:rPr>
                                <w:t>and</w:t>
                              </w:r>
                            </w:p>
                          </w:txbxContent>
                        </wps:txbx>
                        <wps:bodyPr wrap="square" lIns="0" tIns="0" rIns="0" bIns="0" rtlCol="0">
                          <a:noAutofit/>
                        </wps:bodyPr>
                      </wps:wsp>
                      <wps:wsp>
                        <wps:cNvPr id="193" name="Textbox 193"/>
                        <wps:cNvSpPr txBox="1"/>
                        <wps:spPr>
                          <a:xfrm>
                            <a:off x="0" y="2217352"/>
                            <a:ext cx="5233035" cy="189230"/>
                          </a:xfrm>
                          <a:prstGeom prst="rect">
                            <a:avLst/>
                          </a:prstGeom>
                          <a:solidFill>
                            <a:srgbClr val="F7F7F8"/>
                          </a:solidFill>
                        </wps:spPr>
                        <wps:txbx>
                          <w:txbxContent>
                            <w:p>
                              <w:pPr>
                                <w:spacing w:line="298" w:lineRule="exact" w:before="0"/>
                                <w:ind w:left="10" w:right="0" w:firstLine="0"/>
                                <w:jc w:val="left"/>
                                <w:rPr>
                                  <w:color w:val="000000"/>
                                  <w:sz w:val="28"/>
                                </w:rPr>
                              </w:pPr>
                              <w:r>
                                <w:rPr>
                                  <w:color w:val="374151"/>
                                  <w:sz w:val="28"/>
                                </w:rPr>
                                <w:t>Open-Ended</w:t>
                              </w:r>
                              <w:r>
                                <w:rPr>
                                  <w:color w:val="374151"/>
                                  <w:spacing w:val="-5"/>
                                  <w:sz w:val="28"/>
                                </w:rPr>
                                <w:t> </w:t>
                              </w:r>
                              <w:r>
                                <w:rPr>
                                  <w:color w:val="374151"/>
                                  <w:sz w:val="28"/>
                                </w:rPr>
                                <w:t>Questions:</w:t>
                              </w:r>
                              <w:r>
                                <w:rPr>
                                  <w:color w:val="374151"/>
                                  <w:spacing w:val="-2"/>
                                  <w:sz w:val="28"/>
                                </w:rPr>
                                <w:t> </w:t>
                              </w:r>
                              <w:r>
                                <w:rPr>
                                  <w:color w:val="374151"/>
                                  <w:sz w:val="28"/>
                                </w:rPr>
                                <w:t>Use</w:t>
                              </w:r>
                              <w:r>
                                <w:rPr>
                                  <w:color w:val="374151"/>
                                  <w:spacing w:val="-3"/>
                                  <w:sz w:val="28"/>
                                </w:rPr>
                                <w:t> </w:t>
                              </w:r>
                              <w:r>
                                <w:rPr>
                                  <w:color w:val="374151"/>
                                  <w:sz w:val="28"/>
                                </w:rPr>
                                <w:t>open-ended</w:t>
                              </w:r>
                              <w:r>
                                <w:rPr>
                                  <w:color w:val="374151"/>
                                  <w:spacing w:val="-2"/>
                                  <w:sz w:val="28"/>
                                </w:rPr>
                                <w:t> </w:t>
                              </w:r>
                              <w:r>
                                <w:rPr>
                                  <w:color w:val="374151"/>
                                  <w:sz w:val="28"/>
                                </w:rPr>
                                <w:t>questions</w:t>
                              </w:r>
                              <w:r>
                                <w:rPr>
                                  <w:color w:val="374151"/>
                                  <w:spacing w:val="-2"/>
                                  <w:sz w:val="28"/>
                                </w:rPr>
                                <w:t> </w:t>
                              </w:r>
                              <w:r>
                                <w:rPr>
                                  <w:color w:val="374151"/>
                                  <w:sz w:val="28"/>
                                </w:rPr>
                                <w:t>during</w:t>
                              </w:r>
                              <w:r>
                                <w:rPr>
                                  <w:color w:val="374151"/>
                                  <w:spacing w:val="-2"/>
                                  <w:sz w:val="28"/>
                                </w:rPr>
                                <w:t> </w:t>
                              </w:r>
                              <w:r>
                                <w:rPr>
                                  <w:color w:val="374151"/>
                                  <w:sz w:val="28"/>
                                </w:rPr>
                                <w:t>assessments</w:t>
                              </w:r>
                              <w:r>
                                <w:rPr>
                                  <w:color w:val="374151"/>
                                  <w:spacing w:val="-2"/>
                                  <w:sz w:val="28"/>
                                </w:rPr>
                                <w:t> </w:t>
                              </w:r>
                              <w:r>
                                <w:rPr>
                                  <w:color w:val="374151"/>
                                  <w:spacing w:val="-5"/>
                                  <w:sz w:val="28"/>
                                </w:rPr>
                                <w:t>to</w:t>
                              </w:r>
                            </w:p>
                          </w:txbxContent>
                        </wps:txbx>
                        <wps:bodyPr wrap="square" lIns="0" tIns="0" rIns="0" bIns="0" rtlCol="0">
                          <a:noAutofit/>
                        </wps:bodyPr>
                      </wps:wsp>
                      <wps:wsp>
                        <wps:cNvPr id="194" name="Textbox 194"/>
                        <wps:cNvSpPr txBox="1"/>
                        <wps:spPr>
                          <a:xfrm>
                            <a:off x="0" y="1862782"/>
                            <a:ext cx="568325" cy="354965"/>
                          </a:xfrm>
                          <a:prstGeom prst="rect">
                            <a:avLst/>
                          </a:prstGeom>
                          <a:solidFill>
                            <a:srgbClr val="F7F7F8"/>
                          </a:solidFill>
                        </wps:spPr>
                        <wps:txbx>
                          <w:txbxContent>
                            <w:p>
                              <w:pPr>
                                <w:spacing w:line="277" w:lineRule="exact" w:before="0"/>
                                <w:ind w:left="0" w:right="-15" w:firstLine="0"/>
                                <w:jc w:val="left"/>
                                <w:rPr>
                                  <w:color w:val="000000"/>
                                  <w:sz w:val="28"/>
                                </w:rPr>
                              </w:pPr>
                              <w:r>
                                <w:rPr>
                                  <w:color w:val="374151"/>
                                  <w:spacing w:val="-2"/>
                                  <w:sz w:val="28"/>
                                </w:rPr>
                                <w:t>context.</w:t>
                              </w:r>
                            </w:p>
                          </w:txbxContent>
                        </wps:txbx>
                        <wps:bodyPr wrap="square" lIns="0" tIns="0" rIns="0" bIns="0" rtlCol="0">
                          <a:noAutofit/>
                        </wps:bodyPr>
                      </wps:wsp>
                      <wps:wsp>
                        <wps:cNvPr id="195" name="Textbox 195"/>
                        <wps:cNvSpPr txBox="1"/>
                        <wps:spPr>
                          <a:xfrm>
                            <a:off x="0" y="1664961"/>
                            <a:ext cx="5498465" cy="198120"/>
                          </a:xfrm>
                          <a:prstGeom prst="rect">
                            <a:avLst/>
                          </a:prstGeom>
                          <a:solidFill>
                            <a:srgbClr val="F7F7F8"/>
                          </a:solidFill>
                        </wps:spPr>
                        <wps:txbx>
                          <w:txbxContent>
                            <w:p>
                              <w:pPr>
                                <w:spacing w:line="300" w:lineRule="exact" w:before="0"/>
                                <w:ind w:left="0" w:right="0" w:firstLine="0"/>
                                <w:jc w:val="left"/>
                                <w:rPr>
                                  <w:color w:val="000000"/>
                                  <w:sz w:val="28"/>
                                </w:rPr>
                              </w:pPr>
                              <w:r>
                                <w:rPr>
                                  <w:color w:val="374151"/>
                                  <w:sz w:val="28"/>
                                </w:rPr>
                                <w:t>clinicians</w:t>
                              </w:r>
                              <w:r>
                                <w:rPr>
                                  <w:color w:val="374151"/>
                                  <w:spacing w:val="-4"/>
                                  <w:sz w:val="28"/>
                                </w:rPr>
                                <w:t> </w:t>
                              </w:r>
                              <w:r>
                                <w:rPr>
                                  <w:color w:val="374151"/>
                                  <w:sz w:val="28"/>
                                </w:rPr>
                                <w:t>develop</w:t>
                              </w:r>
                              <w:r>
                                <w:rPr>
                                  <w:color w:val="374151"/>
                                  <w:spacing w:val="-2"/>
                                  <w:sz w:val="28"/>
                                </w:rPr>
                                <w:t> </w:t>
                              </w:r>
                              <w:r>
                                <w:rPr>
                                  <w:color w:val="374151"/>
                                  <w:sz w:val="28"/>
                                </w:rPr>
                                <w:t>a</w:t>
                              </w:r>
                              <w:r>
                                <w:rPr>
                                  <w:color w:val="374151"/>
                                  <w:spacing w:val="-3"/>
                                  <w:sz w:val="28"/>
                                </w:rPr>
                                <w:t> </w:t>
                              </w:r>
                              <w:r>
                                <w:rPr>
                                  <w:color w:val="374151"/>
                                  <w:sz w:val="28"/>
                                </w:rPr>
                                <w:t>comprehensive</w:t>
                              </w:r>
                              <w:r>
                                <w:rPr>
                                  <w:color w:val="374151"/>
                                  <w:spacing w:val="-2"/>
                                  <w:sz w:val="28"/>
                                </w:rPr>
                                <w:t> </w:t>
                              </w:r>
                              <w:r>
                                <w:rPr>
                                  <w:color w:val="374151"/>
                                  <w:sz w:val="28"/>
                                </w:rPr>
                                <w:t>understanding</w:t>
                              </w:r>
                              <w:r>
                                <w:rPr>
                                  <w:color w:val="374151"/>
                                  <w:spacing w:val="-2"/>
                                  <w:sz w:val="28"/>
                                </w:rPr>
                                <w:t> </w:t>
                              </w:r>
                              <w:r>
                                <w:rPr>
                                  <w:color w:val="374151"/>
                                  <w:sz w:val="28"/>
                                </w:rPr>
                                <w:t>of</w:t>
                              </w:r>
                              <w:r>
                                <w:rPr>
                                  <w:color w:val="374151"/>
                                  <w:spacing w:val="-2"/>
                                  <w:sz w:val="28"/>
                                </w:rPr>
                                <w:t> </w:t>
                              </w:r>
                              <w:r>
                                <w:rPr>
                                  <w:color w:val="374151"/>
                                  <w:sz w:val="28"/>
                                </w:rPr>
                                <w:t>the</w:t>
                              </w:r>
                              <w:r>
                                <w:rPr>
                                  <w:color w:val="374151"/>
                                  <w:spacing w:val="-3"/>
                                  <w:sz w:val="28"/>
                                </w:rPr>
                                <w:t> </w:t>
                              </w:r>
                              <w:r>
                                <w:rPr>
                                  <w:color w:val="374151"/>
                                  <w:sz w:val="28"/>
                                </w:rPr>
                                <w:t>individual's</w:t>
                              </w:r>
                              <w:r>
                                <w:rPr>
                                  <w:color w:val="374151"/>
                                  <w:spacing w:val="-1"/>
                                  <w:sz w:val="28"/>
                                </w:rPr>
                                <w:t> </w:t>
                              </w:r>
                              <w:r>
                                <w:rPr>
                                  <w:color w:val="374151"/>
                                  <w:spacing w:val="-2"/>
                                  <w:sz w:val="28"/>
                                </w:rPr>
                                <w:t>cultural</w:t>
                              </w:r>
                            </w:p>
                          </w:txbxContent>
                        </wps:txbx>
                        <wps:bodyPr wrap="square" lIns="0" tIns="0" rIns="0" bIns="0" rtlCol="0">
                          <a:noAutofit/>
                        </wps:bodyPr>
                      </wps:wsp>
                      <wps:wsp>
                        <wps:cNvPr id="196" name="Textbox 196"/>
                        <wps:cNvSpPr txBox="1"/>
                        <wps:spPr>
                          <a:xfrm>
                            <a:off x="0" y="1495511"/>
                            <a:ext cx="5498465" cy="169545"/>
                          </a:xfrm>
                          <a:prstGeom prst="rect">
                            <a:avLst/>
                          </a:prstGeom>
                          <a:solidFill>
                            <a:srgbClr val="F7F7F8"/>
                          </a:solidFill>
                        </wps:spPr>
                        <wps:txbx>
                          <w:txbxContent>
                            <w:p>
                              <w:pPr>
                                <w:spacing w:line="267" w:lineRule="exact" w:before="0"/>
                                <w:ind w:left="0" w:right="0" w:firstLine="0"/>
                                <w:jc w:val="left"/>
                                <w:rPr>
                                  <w:color w:val="000000"/>
                                  <w:sz w:val="28"/>
                                </w:rPr>
                              </w:pPr>
                              <w:r>
                                <w:rPr>
                                  <w:color w:val="374151"/>
                                  <w:sz w:val="28"/>
                                </w:rPr>
                                <w:t>values,</w:t>
                              </w:r>
                              <w:r>
                                <w:rPr>
                                  <w:color w:val="374151"/>
                                  <w:spacing w:val="-2"/>
                                  <w:sz w:val="28"/>
                                </w:rPr>
                                <w:t> </w:t>
                              </w:r>
                              <w:r>
                                <w:rPr>
                                  <w:color w:val="374151"/>
                                  <w:sz w:val="28"/>
                                </w:rPr>
                                <w:t>and</w:t>
                              </w:r>
                              <w:r>
                                <w:rPr>
                                  <w:color w:val="374151"/>
                                  <w:spacing w:val="-1"/>
                                  <w:sz w:val="28"/>
                                </w:rPr>
                                <w:t> </w:t>
                              </w:r>
                              <w:r>
                                <w:rPr>
                                  <w:color w:val="374151"/>
                                  <w:sz w:val="28"/>
                                </w:rPr>
                                <w:t>the</w:t>
                              </w:r>
                              <w:r>
                                <w:rPr>
                                  <w:color w:val="374151"/>
                                  <w:spacing w:val="-3"/>
                                  <w:sz w:val="28"/>
                                </w:rPr>
                                <w:t> </w:t>
                              </w:r>
                              <w:r>
                                <w:rPr>
                                  <w:color w:val="374151"/>
                                  <w:sz w:val="28"/>
                                </w:rPr>
                                <w:t>impact</w:t>
                              </w:r>
                              <w:r>
                                <w:rPr>
                                  <w:color w:val="374151"/>
                                  <w:spacing w:val="-1"/>
                                  <w:sz w:val="28"/>
                                </w:rPr>
                                <w:t> </w:t>
                              </w:r>
                              <w:r>
                                <w:rPr>
                                  <w:color w:val="374151"/>
                                  <w:sz w:val="28"/>
                                </w:rPr>
                                <w:t>of</w:t>
                              </w:r>
                              <w:r>
                                <w:rPr>
                                  <w:color w:val="374151"/>
                                  <w:spacing w:val="-1"/>
                                  <w:sz w:val="28"/>
                                </w:rPr>
                                <w:t> </w:t>
                              </w:r>
                              <w:r>
                                <w:rPr>
                                  <w:color w:val="374151"/>
                                  <w:sz w:val="28"/>
                                </w:rPr>
                                <w:t>culture</w:t>
                              </w:r>
                              <w:r>
                                <w:rPr>
                                  <w:color w:val="374151"/>
                                  <w:spacing w:val="-3"/>
                                  <w:sz w:val="28"/>
                                </w:rPr>
                                <w:t> </w:t>
                              </w:r>
                              <w:r>
                                <w:rPr>
                                  <w:color w:val="374151"/>
                                  <w:sz w:val="28"/>
                                </w:rPr>
                                <w:t>on</w:t>
                              </w:r>
                              <w:r>
                                <w:rPr>
                                  <w:color w:val="374151"/>
                                  <w:spacing w:val="-1"/>
                                  <w:sz w:val="28"/>
                                </w:rPr>
                                <w:t> </w:t>
                              </w:r>
                              <w:r>
                                <w:rPr>
                                  <w:color w:val="374151"/>
                                  <w:sz w:val="28"/>
                                </w:rPr>
                                <w:t>their</w:t>
                              </w:r>
                              <w:r>
                                <w:rPr>
                                  <w:color w:val="374151"/>
                                  <w:spacing w:val="-1"/>
                                  <w:sz w:val="28"/>
                                </w:rPr>
                                <w:t> </w:t>
                              </w:r>
                              <w:r>
                                <w:rPr>
                                  <w:color w:val="374151"/>
                                  <w:sz w:val="28"/>
                                </w:rPr>
                                <w:t>presenting</w:t>
                              </w:r>
                              <w:r>
                                <w:rPr>
                                  <w:color w:val="374151"/>
                                  <w:spacing w:val="-2"/>
                                  <w:sz w:val="28"/>
                                </w:rPr>
                                <w:t> </w:t>
                              </w:r>
                              <w:r>
                                <w:rPr>
                                  <w:color w:val="374151"/>
                                  <w:sz w:val="28"/>
                                </w:rPr>
                                <w:t>concerns.</w:t>
                              </w:r>
                              <w:r>
                                <w:rPr>
                                  <w:color w:val="374151"/>
                                  <w:spacing w:val="-7"/>
                                  <w:sz w:val="28"/>
                                </w:rPr>
                                <w:t> </w:t>
                              </w:r>
                              <w:r>
                                <w:rPr>
                                  <w:color w:val="374151"/>
                                  <w:sz w:val="28"/>
                                </w:rPr>
                                <w:t>The</w:t>
                              </w:r>
                              <w:r>
                                <w:rPr>
                                  <w:color w:val="374151"/>
                                  <w:spacing w:val="-2"/>
                                  <w:sz w:val="28"/>
                                </w:rPr>
                                <w:t> </w:t>
                              </w:r>
                              <w:r>
                                <w:rPr>
                                  <w:color w:val="374151"/>
                                  <w:sz w:val="28"/>
                                </w:rPr>
                                <w:t>CFI</w:t>
                              </w:r>
                              <w:r>
                                <w:rPr>
                                  <w:color w:val="374151"/>
                                  <w:spacing w:val="-1"/>
                                  <w:sz w:val="28"/>
                                </w:rPr>
                                <w:t> </w:t>
                              </w:r>
                              <w:r>
                                <w:rPr>
                                  <w:color w:val="374151"/>
                                  <w:spacing w:val="-2"/>
                                  <w:sz w:val="28"/>
                                </w:rPr>
                                <w:t>helps</w:t>
                              </w:r>
                            </w:p>
                          </w:txbxContent>
                        </wps:txbx>
                        <wps:bodyPr wrap="square" lIns="0" tIns="0" rIns="0" bIns="0" rtlCol="0">
                          <a:noAutofit/>
                        </wps:bodyPr>
                      </wps:wsp>
                      <wps:wsp>
                        <wps:cNvPr id="197" name="Textbox 197"/>
                        <wps:cNvSpPr txBox="1"/>
                        <wps:spPr>
                          <a:xfrm>
                            <a:off x="0" y="1311876"/>
                            <a:ext cx="5233035" cy="184150"/>
                          </a:xfrm>
                          <a:prstGeom prst="rect">
                            <a:avLst/>
                          </a:prstGeom>
                          <a:solidFill>
                            <a:srgbClr val="F7F7F8"/>
                          </a:solidFill>
                        </wps:spPr>
                        <wps:txbx>
                          <w:txbxContent>
                            <w:p>
                              <w:pPr>
                                <w:spacing w:line="277" w:lineRule="exact" w:before="0"/>
                                <w:ind w:left="0" w:right="0" w:firstLine="0"/>
                                <w:jc w:val="left"/>
                                <w:rPr>
                                  <w:color w:val="000000"/>
                                  <w:sz w:val="28"/>
                                </w:rPr>
                              </w:pPr>
                              <w:r>
                                <w:rPr>
                                  <w:color w:val="374151"/>
                                  <w:sz w:val="28"/>
                                </w:rPr>
                                <w:t>gathering</w:t>
                              </w:r>
                              <w:r>
                                <w:rPr>
                                  <w:color w:val="374151"/>
                                  <w:spacing w:val="-4"/>
                                  <w:sz w:val="28"/>
                                </w:rPr>
                                <w:t> </w:t>
                              </w:r>
                              <w:r>
                                <w:rPr>
                                  <w:color w:val="374151"/>
                                  <w:sz w:val="28"/>
                                </w:rPr>
                                <w:t>information</w:t>
                              </w:r>
                              <w:r>
                                <w:rPr>
                                  <w:color w:val="374151"/>
                                  <w:spacing w:val="-1"/>
                                  <w:sz w:val="28"/>
                                </w:rPr>
                                <w:t> </w:t>
                              </w:r>
                              <w:r>
                                <w:rPr>
                                  <w:color w:val="374151"/>
                                  <w:sz w:val="28"/>
                                </w:rPr>
                                <w:t>about</w:t>
                              </w:r>
                              <w:r>
                                <w:rPr>
                                  <w:color w:val="374151"/>
                                  <w:spacing w:val="-2"/>
                                  <w:sz w:val="28"/>
                                </w:rPr>
                                <w:t> </w:t>
                              </w:r>
                              <w:r>
                                <w:rPr>
                                  <w:color w:val="374151"/>
                                  <w:sz w:val="28"/>
                                </w:rPr>
                                <w:t>an</w:t>
                              </w:r>
                              <w:r>
                                <w:rPr>
                                  <w:color w:val="374151"/>
                                  <w:spacing w:val="-1"/>
                                  <w:sz w:val="28"/>
                                </w:rPr>
                                <w:t> </w:t>
                              </w:r>
                              <w:r>
                                <w:rPr>
                                  <w:color w:val="374151"/>
                                  <w:sz w:val="28"/>
                                </w:rPr>
                                <w:t>individual's</w:t>
                              </w:r>
                              <w:r>
                                <w:rPr>
                                  <w:color w:val="374151"/>
                                  <w:spacing w:val="-2"/>
                                  <w:sz w:val="28"/>
                                </w:rPr>
                                <w:t> </w:t>
                              </w:r>
                              <w:r>
                                <w:rPr>
                                  <w:color w:val="374151"/>
                                  <w:sz w:val="28"/>
                                </w:rPr>
                                <w:t>cultural</w:t>
                              </w:r>
                              <w:r>
                                <w:rPr>
                                  <w:color w:val="374151"/>
                                  <w:spacing w:val="-1"/>
                                  <w:sz w:val="28"/>
                                </w:rPr>
                                <w:t> </w:t>
                              </w:r>
                              <w:r>
                                <w:rPr>
                                  <w:color w:val="374151"/>
                                  <w:sz w:val="28"/>
                                </w:rPr>
                                <w:t>background,</w:t>
                              </w:r>
                              <w:r>
                                <w:rPr>
                                  <w:color w:val="374151"/>
                                  <w:spacing w:val="-1"/>
                                  <w:sz w:val="28"/>
                                </w:rPr>
                                <w:t> </w:t>
                              </w:r>
                              <w:r>
                                <w:rPr>
                                  <w:color w:val="374151"/>
                                  <w:spacing w:val="-2"/>
                                  <w:sz w:val="28"/>
                                </w:rPr>
                                <w:t>beliefs,</w:t>
                              </w:r>
                            </w:p>
                          </w:txbxContent>
                        </wps:txbx>
                        <wps:bodyPr wrap="square" lIns="0" tIns="0" rIns="0" bIns="0" rtlCol="0">
                          <a:noAutofit/>
                        </wps:bodyPr>
                      </wps:wsp>
                      <wps:wsp>
                        <wps:cNvPr id="198" name="Textbox 198"/>
                        <wps:cNvSpPr txBox="1"/>
                        <wps:spPr>
                          <a:xfrm>
                            <a:off x="0" y="1128241"/>
                            <a:ext cx="5330190" cy="184150"/>
                          </a:xfrm>
                          <a:prstGeom prst="rect">
                            <a:avLst/>
                          </a:prstGeom>
                          <a:solidFill>
                            <a:srgbClr val="F7F7F8"/>
                          </a:solidFill>
                        </wps:spPr>
                        <wps:txbx>
                          <w:txbxContent>
                            <w:p>
                              <w:pPr>
                                <w:spacing w:line="277" w:lineRule="exact" w:before="0"/>
                                <w:ind w:left="0" w:right="0" w:firstLine="0"/>
                                <w:jc w:val="left"/>
                                <w:rPr>
                                  <w:color w:val="000000"/>
                                  <w:sz w:val="28"/>
                                </w:rPr>
                              </w:pPr>
                              <w:r>
                                <w:rPr>
                                  <w:color w:val="374151"/>
                                  <w:sz w:val="28"/>
                                </w:rPr>
                                <w:t>Interview</w:t>
                              </w:r>
                              <w:r>
                                <w:rPr>
                                  <w:color w:val="374151"/>
                                  <w:spacing w:val="-4"/>
                                  <w:sz w:val="28"/>
                                </w:rPr>
                                <w:t> </w:t>
                              </w:r>
                              <w:r>
                                <w:rPr>
                                  <w:color w:val="374151"/>
                                  <w:sz w:val="28"/>
                                </w:rPr>
                                <w:t>(CFI)</w:t>
                              </w:r>
                              <w:r>
                                <w:rPr>
                                  <w:color w:val="374151"/>
                                  <w:spacing w:val="-1"/>
                                  <w:sz w:val="28"/>
                                </w:rPr>
                                <w:t> </w:t>
                              </w:r>
                              <w:r>
                                <w:rPr>
                                  <w:color w:val="374151"/>
                                  <w:sz w:val="28"/>
                                </w:rPr>
                                <w:t>from</w:t>
                              </w:r>
                              <w:r>
                                <w:rPr>
                                  <w:color w:val="374151"/>
                                  <w:spacing w:val="-1"/>
                                  <w:sz w:val="28"/>
                                </w:rPr>
                                <w:t> </w:t>
                              </w:r>
                              <w:r>
                                <w:rPr>
                                  <w:color w:val="374151"/>
                                  <w:sz w:val="28"/>
                                </w:rPr>
                                <w:t>the</w:t>
                              </w:r>
                              <w:r>
                                <w:rPr>
                                  <w:color w:val="374151"/>
                                  <w:spacing w:val="-2"/>
                                  <w:sz w:val="28"/>
                                </w:rPr>
                                <w:t> </w:t>
                              </w:r>
                              <w:r>
                                <w:rPr>
                                  <w:color w:val="374151"/>
                                  <w:sz w:val="28"/>
                                </w:rPr>
                                <w:t>DSM-5,</w:t>
                              </w:r>
                              <w:r>
                                <w:rPr>
                                  <w:color w:val="374151"/>
                                  <w:spacing w:val="-1"/>
                                  <w:sz w:val="28"/>
                                </w:rPr>
                                <w:t> </w:t>
                              </w:r>
                              <w:r>
                                <w:rPr>
                                  <w:color w:val="374151"/>
                                  <w:sz w:val="28"/>
                                </w:rPr>
                                <w:t>which</w:t>
                              </w:r>
                              <w:r>
                                <w:rPr>
                                  <w:color w:val="374151"/>
                                  <w:spacing w:val="-1"/>
                                  <w:sz w:val="28"/>
                                </w:rPr>
                                <w:t> </w:t>
                              </w:r>
                              <w:r>
                                <w:rPr>
                                  <w:color w:val="374151"/>
                                  <w:sz w:val="28"/>
                                </w:rPr>
                                <w:t>provides</w:t>
                              </w:r>
                              <w:r>
                                <w:rPr>
                                  <w:color w:val="374151"/>
                                  <w:spacing w:val="-1"/>
                                  <w:sz w:val="28"/>
                                </w:rPr>
                                <w:t> </w:t>
                              </w:r>
                              <w:r>
                                <w:rPr>
                                  <w:color w:val="374151"/>
                                  <w:sz w:val="28"/>
                                </w:rPr>
                                <w:t>a</w:t>
                              </w:r>
                              <w:r>
                                <w:rPr>
                                  <w:color w:val="374151"/>
                                  <w:spacing w:val="-2"/>
                                  <w:sz w:val="28"/>
                                </w:rPr>
                                <w:t> </w:t>
                              </w:r>
                              <w:r>
                                <w:rPr>
                                  <w:color w:val="374151"/>
                                  <w:sz w:val="28"/>
                                </w:rPr>
                                <w:t>structured</w:t>
                              </w:r>
                              <w:r>
                                <w:rPr>
                                  <w:color w:val="374151"/>
                                  <w:spacing w:val="-1"/>
                                  <w:sz w:val="28"/>
                                </w:rPr>
                                <w:t> </w:t>
                              </w:r>
                              <w:r>
                                <w:rPr>
                                  <w:color w:val="374151"/>
                                  <w:sz w:val="28"/>
                                </w:rPr>
                                <w:t>approach</w:t>
                              </w:r>
                              <w:r>
                                <w:rPr>
                                  <w:color w:val="374151"/>
                                  <w:spacing w:val="-1"/>
                                  <w:sz w:val="28"/>
                                </w:rPr>
                                <w:t> </w:t>
                              </w:r>
                              <w:r>
                                <w:rPr>
                                  <w:color w:val="374151"/>
                                  <w:spacing w:val="-5"/>
                                  <w:sz w:val="28"/>
                                </w:rPr>
                                <w:t>to</w:t>
                              </w:r>
                            </w:p>
                          </w:txbxContent>
                        </wps:txbx>
                        <wps:bodyPr wrap="square" lIns="0" tIns="0" rIns="0" bIns="0" rtlCol="0">
                          <a:noAutofit/>
                        </wps:bodyPr>
                      </wps:wsp>
                      <wps:wsp>
                        <wps:cNvPr id="199" name="Textbox 199"/>
                        <wps:cNvSpPr txBox="1"/>
                        <wps:spPr>
                          <a:xfrm>
                            <a:off x="0" y="925041"/>
                            <a:ext cx="5008880" cy="203200"/>
                          </a:xfrm>
                          <a:prstGeom prst="rect">
                            <a:avLst/>
                          </a:prstGeom>
                          <a:solidFill>
                            <a:srgbClr val="F7F7F8"/>
                          </a:solidFill>
                        </wps:spPr>
                        <wps:txbx>
                          <w:txbxContent>
                            <w:p>
                              <w:pPr>
                                <w:spacing w:line="308" w:lineRule="exact" w:before="0"/>
                                <w:ind w:left="10" w:right="0" w:firstLine="0"/>
                                <w:jc w:val="left"/>
                                <w:rPr>
                                  <w:color w:val="000000"/>
                                  <w:sz w:val="28"/>
                                </w:rPr>
                              </w:pPr>
                              <w:r>
                                <w:rPr>
                                  <w:color w:val="374151"/>
                                  <w:sz w:val="28"/>
                                </w:rPr>
                                <w:t>Cultural</w:t>
                              </w:r>
                              <w:r>
                                <w:rPr>
                                  <w:color w:val="374151"/>
                                  <w:spacing w:val="-4"/>
                                  <w:sz w:val="28"/>
                                </w:rPr>
                                <w:t> </w:t>
                              </w:r>
                              <w:r>
                                <w:rPr>
                                  <w:color w:val="374151"/>
                                  <w:sz w:val="28"/>
                                </w:rPr>
                                <w:t>Formulation</w:t>
                              </w:r>
                              <w:r>
                                <w:rPr>
                                  <w:color w:val="374151"/>
                                  <w:spacing w:val="-1"/>
                                  <w:sz w:val="28"/>
                                </w:rPr>
                                <w:t> </w:t>
                              </w:r>
                              <w:r>
                                <w:rPr>
                                  <w:color w:val="374151"/>
                                  <w:sz w:val="28"/>
                                </w:rPr>
                                <w:t>Interview:</w:t>
                              </w:r>
                              <w:r>
                                <w:rPr>
                                  <w:color w:val="374151"/>
                                  <w:spacing w:val="-1"/>
                                  <w:sz w:val="28"/>
                                </w:rPr>
                                <w:t> </w:t>
                              </w:r>
                              <w:r>
                                <w:rPr>
                                  <w:color w:val="374151"/>
                                  <w:sz w:val="28"/>
                                </w:rPr>
                                <w:t>Incorporate</w:t>
                              </w:r>
                              <w:r>
                                <w:rPr>
                                  <w:color w:val="374151"/>
                                  <w:spacing w:val="-2"/>
                                  <w:sz w:val="28"/>
                                </w:rPr>
                                <w:t> </w:t>
                              </w:r>
                              <w:r>
                                <w:rPr>
                                  <w:color w:val="374151"/>
                                  <w:sz w:val="28"/>
                                </w:rPr>
                                <w:t>the</w:t>
                              </w:r>
                              <w:r>
                                <w:rPr>
                                  <w:color w:val="374151"/>
                                  <w:spacing w:val="-2"/>
                                  <w:sz w:val="28"/>
                                </w:rPr>
                                <w:t> </w:t>
                              </w:r>
                              <w:r>
                                <w:rPr>
                                  <w:color w:val="374151"/>
                                  <w:sz w:val="28"/>
                                </w:rPr>
                                <w:t>Cultural</w:t>
                              </w:r>
                              <w:r>
                                <w:rPr>
                                  <w:color w:val="374151"/>
                                  <w:spacing w:val="-1"/>
                                  <w:sz w:val="28"/>
                                </w:rPr>
                                <w:t> </w:t>
                              </w:r>
                              <w:r>
                                <w:rPr>
                                  <w:color w:val="374151"/>
                                  <w:spacing w:val="-2"/>
                                  <w:sz w:val="28"/>
                                </w:rPr>
                                <w:t>Formulation</w:t>
                              </w:r>
                            </w:p>
                          </w:txbxContent>
                        </wps:txbx>
                        <wps:bodyPr wrap="square" lIns="0" tIns="0" rIns="0" bIns="0" rtlCol="0">
                          <a:noAutofit/>
                        </wps:bodyPr>
                      </wps:wsp>
                      <wps:wsp>
                        <wps:cNvPr id="200" name="Textbox 200"/>
                        <wps:cNvSpPr txBox="1"/>
                        <wps:spPr>
                          <a:xfrm>
                            <a:off x="0" y="570471"/>
                            <a:ext cx="1981835" cy="354965"/>
                          </a:xfrm>
                          <a:prstGeom prst="rect">
                            <a:avLst/>
                          </a:prstGeom>
                          <a:solidFill>
                            <a:srgbClr val="F7F7F8"/>
                          </a:solidFill>
                        </wps:spPr>
                        <wps:txbx>
                          <w:txbxContent>
                            <w:p>
                              <w:pPr>
                                <w:spacing w:line="277" w:lineRule="exact" w:before="0"/>
                                <w:ind w:left="0" w:right="-15" w:firstLine="0"/>
                                <w:jc w:val="left"/>
                                <w:rPr>
                                  <w:color w:val="000000"/>
                                  <w:sz w:val="28"/>
                                </w:rPr>
                              </w:pPr>
                              <w:r>
                                <w:rPr>
                                  <w:color w:val="374151"/>
                                  <w:sz w:val="28"/>
                                </w:rPr>
                                <w:t>target</w:t>
                              </w:r>
                              <w:r>
                                <w:rPr>
                                  <w:color w:val="374151"/>
                                  <w:spacing w:val="-4"/>
                                  <w:sz w:val="28"/>
                                </w:rPr>
                                <w:t> </w:t>
                              </w:r>
                              <w:r>
                                <w:rPr>
                                  <w:color w:val="374151"/>
                                  <w:sz w:val="28"/>
                                </w:rPr>
                                <w:t>culture</w:t>
                              </w:r>
                              <w:r>
                                <w:rPr>
                                  <w:color w:val="374151"/>
                                  <w:spacing w:val="-3"/>
                                  <w:sz w:val="28"/>
                                </w:rPr>
                                <w:t> </w:t>
                              </w:r>
                              <w:r>
                                <w:rPr>
                                  <w:color w:val="374151"/>
                                  <w:sz w:val="28"/>
                                </w:rPr>
                                <w:t>or</w:t>
                              </w:r>
                              <w:r>
                                <w:rPr>
                                  <w:color w:val="374151"/>
                                  <w:spacing w:val="-3"/>
                                  <w:sz w:val="28"/>
                                </w:rPr>
                                <w:t> </w:t>
                              </w:r>
                              <w:r>
                                <w:rPr>
                                  <w:color w:val="374151"/>
                                  <w:spacing w:val="-2"/>
                                  <w:sz w:val="28"/>
                                </w:rPr>
                                <w:t>population.</w:t>
                              </w:r>
                            </w:p>
                          </w:txbxContent>
                        </wps:txbx>
                        <wps:bodyPr wrap="square" lIns="0" tIns="0" rIns="0" bIns="0" rtlCol="0">
                          <a:noAutofit/>
                        </wps:bodyPr>
                      </wps:wsp>
                      <wps:wsp>
                        <wps:cNvPr id="201" name="Textbox 201"/>
                        <wps:cNvSpPr txBox="1"/>
                        <wps:spPr>
                          <a:xfrm>
                            <a:off x="0" y="386835"/>
                            <a:ext cx="5233035" cy="184150"/>
                          </a:xfrm>
                          <a:prstGeom prst="rect">
                            <a:avLst/>
                          </a:prstGeom>
                          <a:solidFill>
                            <a:srgbClr val="F7F7F8"/>
                          </a:solidFill>
                        </wps:spPr>
                        <wps:txbx>
                          <w:txbxContent>
                            <w:p>
                              <w:pPr>
                                <w:spacing w:line="277" w:lineRule="exact" w:before="0"/>
                                <w:ind w:left="0" w:right="0" w:firstLine="0"/>
                                <w:jc w:val="left"/>
                                <w:rPr>
                                  <w:color w:val="000000"/>
                                  <w:sz w:val="28"/>
                                </w:rPr>
                              </w:pPr>
                              <w:r>
                                <w:rPr>
                                  <w:color w:val="374151"/>
                                  <w:sz w:val="28"/>
                                </w:rPr>
                                <w:t>assessment</w:t>
                              </w:r>
                              <w:r>
                                <w:rPr>
                                  <w:color w:val="374151"/>
                                  <w:spacing w:val="-4"/>
                                  <w:sz w:val="28"/>
                                </w:rPr>
                                <w:t> </w:t>
                              </w:r>
                              <w:r>
                                <w:rPr>
                                  <w:color w:val="374151"/>
                                  <w:sz w:val="28"/>
                                </w:rPr>
                                <w:t>tools</w:t>
                              </w:r>
                              <w:r>
                                <w:rPr>
                                  <w:color w:val="374151"/>
                                  <w:spacing w:val="-2"/>
                                  <w:sz w:val="28"/>
                                </w:rPr>
                                <w:t> </w:t>
                              </w:r>
                              <w:r>
                                <w:rPr>
                                  <w:color w:val="374151"/>
                                  <w:sz w:val="28"/>
                                </w:rPr>
                                <w:t>that</w:t>
                              </w:r>
                              <w:r>
                                <w:rPr>
                                  <w:color w:val="374151"/>
                                  <w:spacing w:val="-2"/>
                                  <w:sz w:val="28"/>
                                </w:rPr>
                                <w:t> </w:t>
                              </w:r>
                              <w:r>
                                <w:rPr>
                                  <w:color w:val="374151"/>
                                  <w:sz w:val="28"/>
                                </w:rPr>
                                <w:t>have</w:t>
                              </w:r>
                              <w:r>
                                <w:rPr>
                                  <w:color w:val="374151"/>
                                  <w:spacing w:val="-2"/>
                                  <w:sz w:val="28"/>
                                </w:rPr>
                                <w:t> </w:t>
                              </w:r>
                              <w:r>
                                <w:rPr>
                                  <w:color w:val="374151"/>
                                  <w:sz w:val="28"/>
                                </w:rPr>
                                <w:t>been</w:t>
                              </w:r>
                              <w:r>
                                <w:rPr>
                                  <w:color w:val="374151"/>
                                  <w:spacing w:val="-2"/>
                                  <w:sz w:val="28"/>
                                </w:rPr>
                                <w:t> </w:t>
                              </w:r>
                              <w:r>
                                <w:rPr>
                                  <w:color w:val="374151"/>
                                  <w:sz w:val="28"/>
                                </w:rPr>
                                <w:t>adapted</w:t>
                              </w:r>
                              <w:r>
                                <w:rPr>
                                  <w:color w:val="374151"/>
                                  <w:spacing w:val="-2"/>
                                  <w:sz w:val="28"/>
                                </w:rPr>
                                <w:t> </w:t>
                              </w:r>
                              <w:r>
                                <w:rPr>
                                  <w:color w:val="374151"/>
                                  <w:sz w:val="28"/>
                                </w:rPr>
                                <w:t>or</w:t>
                              </w:r>
                              <w:r>
                                <w:rPr>
                                  <w:color w:val="374151"/>
                                  <w:spacing w:val="-1"/>
                                  <w:sz w:val="28"/>
                                </w:rPr>
                                <w:t> </w:t>
                              </w:r>
                              <w:r>
                                <w:rPr>
                                  <w:color w:val="374151"/>
                                  <w:sz w:val="28"/>
                                </w:rPr>
                                <w:t>developed</w:t>
                              </w:r>
                              <w:r>
                                <w:rPr>
                                  <w:color w:val="374151"/>
                                  <w:spacing w:val="-2"/>
                                  <w:sz w:val="28"/>
                                </w:rPr>
                                <w:t> </w:t>
                              </w:r>
                              <w:r>
                                <w:rPr>
                                  <w:color w:val="374151"/>
                                  <w:sz w:val="28"/>
                                </w:rPr>
                                <w:t>specifically</w:t>
                              </w:r>
                              <w:r>
                                <w:rPr>
                                  <w:color w:val="374151"/>
                                  <w:spacing w:val="-2"/>
                                  <w:sz w:val="28"/>
                                </w:rPr>
                                <w:t> </w:t>
                              </w:r>
                              <w:r>
                                <w:rPr>
                                  <w:color w:val="374151"/>
                                  <w:sz w:val="28"/>
                                </w:rPr>
                                <w:t>for</w:t>
                              </w:r>
                              <w:r>
                                <w:rPr>
                                  <w:color w:val="374151"/>
                                  <w:spacing w:val="-1"/>
                                  <w:sz w:val="28"/>
                                </w:rPr>
                                <w:t> </w:t>
                              </w:r>
                              <w:r>
                                <w:rPr>
                                  <w:color w:val="374151"/>
                                  <w:spacing w:val="-5"/>
                                  <w:sz w:val="28"/>
                                </w:rPr>
                                <w:t>the</w:t>
                              </w:r>
                            </w:p>
                          </w:txbxContent>
                        </wps:txbx>
                        <wps:bodyPr wrap="square" lIns="0" tIns="0" rIns="0" bIns="0" rtlCol="0">
                          <a:noAutofit/>
                        </wps:bodyPr>
                      </wps:wsp>
                      <wps:wsp>
                        <wps:cNvPr id="202" name="Textbox 202"/>
                        <wps:cNvSpPr txBox="1"/>
                        <wps:spPr>
                          <a:xfrm>
                            <a:off x="0" y="203200"/>
                            <a:ext cx="5408930" cy="184150"/>
                          </a:xfrm>
                          <a:prstGeom prst="rect">
                            <a:avLst/>
                          </a:prstGeom>
                          <a:solidFill>
                            <a:srgbClr val="F7F7F8"/>
                          </a:solidFill>
                        </wps:spPr>
                        <wps:txbx>
                          <w:txbxContent>
                            <w:p>
                              <w:pPr>
                                <w:spacing w:line="277" w:lineRule="exact" w:before="0"/>
                                <w:ind w:left="0" w:right="0" w:firstLine="0"/>
                                <w:jc w:val="left"/>
                                <w:rPr>
                                  <w:color w:val="000000"/>
                                  <w:sz w:val="28"/>
                                </w:rPr>
                              </w:pPr>
                              <w:r>
                                <w:rPr>
                                  <w:color w:val="374151"/>
                                  <w:sz w:val="28"/>
                                </w:rPr>
                                <w:t>the</w:t>
                              </w:r>
                              <w:r>
                                <w:rPr>
                                  <w:color w:val="374151"/>
                                  <w:spacing w:val="-4"/>
                                  <w:sz w:val="28"/>
                                </w:rPr>
                                <w:t> </w:t>
                              </w:r>
                              <w:r>
                                <w:rPr>
                                  <w:color w:val="374151"/>
                                  <w:sz w:val="28"/>
                                </w:rPr>
                                <w:t>cultural</w:t>
                              </w:r>
                              <w:r>
                                <w:rPr>
                                  <w:color w:val="374151"/>
                                  <w:spacing w:val="-1"/>
                                  <w:sz w:val="28"/>
                                </w:rPr>
                                <w:t> </w:t>
                              </w:r>
                              <w:r>
                                <w:rPr>
                                  <w:color w:val="374151"/>
                                  <w:sz w:val="28"/>
                                </w:rPr>
                                <w:t>background</w:t>
                              </w:r>
                              <w:r>
                                <w:rPr>
                                  <w:color w:val="374151"/>
                                  <w:spacing w:val="-1"/>
                                  <w:sz w:val="28"/>
                                </w:rPr>
                                <w:t> </w:t>
                              </w:r>
                              <w:r>
                                <w:rPr>
                                  <w:color w:val="374151"/>
                                  <w:sz w:val="28"/>
                                </w:rPr>
                                <w:t>of</w:t>
                              </w:r>
                              <w:r>
                                <w:rPr>
                                  <w:color w:val="374151"/>
                                  <w:spacing w:val="-1"/>
                                  <w:sz w:val="28"/>
                                </w:rPr>
                                <w:t> </w:t>
                              </w:r>
                              <w:r>
                                <w:rPr>
                                  <w:color w:val="374151"/>
                                  <w:sz w:val="28"/>
                                </w:rPr>
                                <w:t>the</w:t>
                              </w:r>
                              <w:r>
                                <w:rPr>
                                  <w:color w:val="374151"/>
                                  <w:spacing w:val="-2"/>
                                  <w:sz w:val="28"/>
                                </w:rPr>
                                <w:t> </w:t>
                              </w:r>
                              <w:r>
                                <w:rPr>
                                  <w:color w:val="374151"/>
                                  <w:sz w:val="28"/>
                                </w:rPr>
                                <w:t>individual.</w:t>
                              </w:r>
                              <w:r>
                                <w:rPr>
                                  <w:color w:val="374151"/>
                                  <w:spacing w:val="-6"/>
                                  <w:sz w:val="28"/>
                                </w:rPr>
                                <w:t> </w:t>
                              </w:r>
                              <w:r>
                                <w:rPr>
                                  <w:color w:val="374151"/>
                                  <w:sz w:val="28"/>
                                </w:rPr>
                                <w:t>This</w:t>
                              </w:r>
                              <w:r>
                                <w:rPr>
                                  <w:color w:val="374151"/>
                                  <w:spacing w:val="-1"/>
                                  <w:sz w:val="28"/>
                                </w:rPr>
                                <w:t> </w:t>
                              </w:r>
                              <w:r>
                                <w:rPr>
                                  <w:color w:val="374151"/>
                                  <w:sz w:val="28"/>
                                </w:rPr>
                                <w:t>may</w:t>
                              </w:r>
                              <w:r>
                                <w:rPr>
                                  <w:color w:val="374151"/>
                                  <w:spacing w:val="-1"/>
                                  <w:sz w:val="28"/>
                                </w:rPr>
                                <w:t> </w:t>
                              </w:r>
                              <w:r>
                                <w:rPr>
                                  <w:color w:val="374151"/>
                                  <w:sz w:val="28"/>
                                </w:rPr>
                                <w:t>involve</w:t>
                              </w:r>
                              <w:r>
                                <w:rPr>
                                  <w:color w:val="374151"/>
                                  <w:spacing w:val="-2"/>
                                  <w:sz w:val="28"/>
                                </w:rPr>
                                <w:t> </w:t>
                              </w:r>
                              <w:r>
                                <w:rPr>
                                  <w:color w:val="374151"/>
                                  <w:sz w:val="28"/>
                                </w:rPr>
                                <w:t>using </w:t>
                              </w:r>
                              <w:r>
                                <w:rPr>
                                  <w:color w:val="374151"/>
                                  <w:spacing w:val="-2"/>
                                  <w:sz w:val="28"/>
                                </w:rPr>
                                <w:t>validated</w:t>
                              </w:r>
                            </w:p>
                          </w:txbxContent>
                        </wps:txbx>
                        <wps:bodyPr wrap="square" lIns="0" tIns="0" rIns="0" bIns="0" rtlCol="0">
                          <a:noAutofit/>
                        </wps:bodyPr>
                      </wps:wsp>
                      <wps:wsp>
                        <wps:cNvPr id="203" name="Textbox 203"/>
                        <wps:cNvSpPr txBox="1"/>
                        <wps:spPr>
                          <a:xfrm>
                            <a:off x="0" y="0"/>
                            <a:ext cx="5408930" cy="203200"/>
                          </a:xfrm>
                          <a:prstGeom prst="rect">
                            <a:avLst/>
                          </a:prstGeom>
                          <a:solidFill>
                            <a:srgbClr val="F7F7F8"/>
                          </a:solidFill>
                        </wps:spPr>
                        <wps:txbx>
                          <w:txbxContent>
                            <w:p>
                              <w:pPr>
                                <w:spacing w:line="308" w:lineRule="exact" w:before="0"/>
                                <w:ind w:left="10" w:right="0" w:firstLine="0"/>
                                <w:jc w:val="left"/>
                                <w:rPr>
                                  <w:color w:val="000000"/>
                                  <w:sz w:val="28"/>
                                </w:rPr>
                              </w:pPr>
                              <w:r>
                                <w:rPr>
                                  <w:color w:val="374151"/>
                                  <w:sz w:val="28"/>
                                </w:rPr>
                                <w:t>Utilize</w:t>
                              </w:r>
                              <w:r>
                                <w:rPr>
                                  <w:color w:val="374151"/>
                                  <w:spacing w:val="-5"/>
                                  <w:sz w:val="28"/>
                                </w:rPr>
                                <w:t> </w:t>
                              </w:r>
                              <w:r>
                                <w:rPr>
                                  <w:color w:val="374151"/>
                                  <w:sz w:val="28"/>
                                </w:rPr>
                                <w:t>assessment</w:t>
                              </w:r>
                              <w:r>
                                <w:rPr>
                                  <w:color w:val="374151"/>
                                  <w:spacing w:val="-2"/>
                                  <w:sz w:val="28"/>
                                </w:rPr>
                                <w:t> </w:t>
                              </w:r>
                              <w:r>
                                <w:rPr>
                                  <w:color w:val="374151"/>
                                  <w:sz w:val="28"/>
                                </w:rPr>
                                <w:t>measures</w:t>
                              </w:r>
                              <w:r>
                                <w:rPr>
                                  <w:color w:val="374151"/>
                                  <w:spacing w:val="-2"/>
                                  <w:sz w:val="28"/>
                                </w:rPr>
                                <w:t> </w:t>
                              </w:r>
                              <w:r>
                                <w:rPr>
                                  <w:color w:val="374151"/>
                                  <w:sz w:val="28"/>
                                </w:rPr>
                                <w:t>that</w:t>
                              </w:r>
                              <w:r>
                                <w:rPr>
                                  <w:color w:val="374151"/>
                                  <w:spacing w:val="-2"/>
                                  <w:sz w:val="28"/>
                                </w:rPr>
                                <w:t> </w:t>
                              </w:r>
                              <w:r>
                                <w:rPr>
                                  <w:color w:val="374151"/>
                                  <w:sz w:val="28"/>
                                </w:rPr>
                                <w:t>are</w:t>
                              </w:r>
                              <w:r>
                                <w:rPr>
                                  <w:color w:val="374151"/>
                                  <w:spacing w:val="-2"/>
                                  <w:sz w:val="28"/>
                                </w:rPr>
                                <w:t> </w:t>
                              </w:r>
                              <w:r>
                                <w:rPr>
                                  <w:color w:val="374151"/>
                                  <w:sz w:val="28"/>
                                </w:rPr>
                                <w:t>culturally</w:t>
                              </w:r>
                              <w:r>
                                <w:rPr>
                                  <w:color w:val="374151"/>
                                  <w:spacing w:val="-2"/>
                                  <w:sz w:val="28"/>
                                </w:rPr>
                                <w:t> </w:t>
                              </w:r>
                              <w:r>
                                <w:rPr>
                                  <w:color w:val="374151"/>
                                  <w:sz w:val="28"/>
                                </w:rPr>
                                <w:t>appropriate</w:t>
                              </w:r>
                              <w:r>
                                <w:rPr>
                                  <w:color w:val="374151"/>
                                  <w:spacing w:val="-3"/>
                                  <w:sz w:val="28"/>
                                </w:rPr>
                                <w:t> </w:t>
                              </w:r>
                              <w:r>
                                <w:rPr>
                                  <w:color w:val="374151"/>
                                  <w:sz w:val="28"/>
                                </w:rPr>
                                <w:t>and</w:t>
                              </w:r>
                              <w:r>
                                <w:rPr>
                                  <w:color w:val="374151"/>
                                  <w:spacing w:val="-2"/>
                                  <w:sz w:val="28"/>
                                </w:rPr>
                                <w:t> </w:t>
                              </w:r>
                              <w:r>
                                <w:rPr>
                                  <w:color w:val="374151"/>
                                  <w:sz w:val="28"/>
                                </w:rPr>
                                <w:t>sensitive</w:t>
                              </w:r>
                              <w:r>
                                <w:rPr>
                                  <w:color w:val="374151"/>
                                  <w:spacing w:val="-2"/>
                                  <w:sz w:val="28"/>
                                </w:rPr>
                                <w:t> </w:t>
                              </w:r>
                              <w:r>
                                <w:rPr>
                                  <w:color w:val="374151"/>
                                  <w:spacing w:val="-5"/>
                                  <w:sz w:val="28"/>
                                </w:rPr>
                                <w:t>to</w:t>
                              </w:r>
                            </w:p>
                          </w:txbxContent>
                        </wps:txbx>
                        <wps:bodyPr wrap="square" lIns="0" tIns="0" rIns="0" bIns="0" rtlCol="0">
                          <a:noAutofit/>
                        </wps:bodyPr>
                      </wps:wsp>
                    </wpg:wgp>
                  </a:graphicData>
                </a:graphic>
              </wp:anchor>
            </w:drawing>
          </mc:Choice>
          <mc:Fallback>
            <w:pict>
              <v:group style="position:absolute;margin-left:95.052628pt;margin-top:6.329417pt;width:432.95pt;height:219.55pt;mso-position-horizontal-relative:page;mso-position-vertical-relative:paragraph;z-index:15774208" id="docshapegroup189" coordorigin="1901,127" coordsize="8659,4391">
                <v:shape style="position:absolute;left:1901;top:4227;width:8394;height:290" type="#_x0000_t202" id="docshape190" filled="true" fillcolor="#f7f7f8" stroked="false">
                  <v:textbox inset="0,0,0,0">
                    <w:txbxContent>
                      <w:p>
                        <w:pPr>
                          <w:spacing w:line="277" w:lineRule="exact" w:before="0"/>
                          <w:ind w:left="0" w:right="0" w:firstLine="0"/>
                          <w:jc w:val="left"/>
                          <w:rPr>
                            <w:color w:val="000000"/>
                            <w:sz w:val="28"/>
                          </w:rPr>
                        </w:pPr>
                        <w:r>
                          <w:rPr>
                            <w:color w:val="374151"/>
                            <w:sz w:val="28"/>
                          </w:rPr>
                          <w:t>beliefs</w:t>
                        </w:r>
                        <w:r>
                          <w:rPr>
                            <w:color w:val="374151"/>
                            <w:spacing w:val="-6"/>
                            <w:sz w:val="28"/>
                          </w:rPr>
                          <w:t> </w:t>
                        </w:r>
                        <w:r>
                          <w:rPr>
                            <w:color w:val="374151"/>
                            <w:sz w:val="28"/>
                          </w:rPr>
                          <w:t>related</w:t>
                        </w:r>
                        <w:r>
                          <w:rPr>
                            <w:color w:val="374151"/>
                            <w:spacing w:val="-4"/>
                            <w:sz w:val="28"/>
                          </w:rPr>
                          <w:t> </w:t>
                        </w:r>
                        <w:r>
                          <w:rPr>
                            <w:color w:val="374151"/>
                            <w:sz w:val="28"/>
                          </w:rPr>
                          <w:t>to</w:t>
                        </w:r>
                        <w:r>
                          <w:rPr>
                            <w:color w:val="374151"/>
                            <w:spacing w:val="-4"/>
                            <w:sz w:val="28"/>
                          </w:rPr>
                          <w:t> </w:t>
                        </w:r>
                        <w:r>
                          <w:rPr>
                            <w:color w:val="374151"/>
                            <w:sz w:val="28"/>
                          </w:rPr>
                          <w:t>their</w:t>
                        </w:r>
                        <w:r>
                          <w:rPr>
                            <w:color w:val="374151"/>
                            <w:spacing w:val="-4"/>
                            <w:sz w:val="28"/>
                          </w:rPr>
                          <w:t> </w:t>
                        </w:r>
                        <w:r>
                          <w:rPr>
                            <w:color w:val="374151"/>
                            <w:sz w:val="28"/>
                          </w:rPr>
                          <w:t>sexuality.</w:t>
                        </w:r>
                        <w:r>
                          <w:rPr>
                            <w:color w:val="374151"/>
                            <w:spacing w:val="-9"/>
                            <w:sz w:val="28"/>
                          </w:rPr>
                          <w:t> </w:t>
                        </w:r>
                        <w:r>
                          <w:rPr>
                            <w:color w:val="374151"/>
                            <w:sz w:val="28"/>
                          </w:rPr>
                          <w:t>This</w:t>
                        </w:r>
                        <w:r>
                          <w:rPr>
                            <w:color w:val="374151"/>
                            <w:spacing w:val="-4"/>
                            <w:sz w:val="28"/>
                          </w:rPr>
                          <w:t> </w:t>
                        </w:r>
                        <w:r>
                          <w:rPr>
                            <w:color w:val="374151"/>
                            <w:sz w:val="28"/>
                          </w:rPr>
                          <w:t>approach</w:t>
                        </w:r>
                        <w:r>
                          <w:rPr>
                            <w:color w:val="374151"/>
                            <w:spacing w:val="-4"/>
                            <w:sz w:val="28"/>
                          </w:rPr>
                          <w:t> </w:t>
                        </w:r>
                        <w:r>
                          <w:rPr>
                            <w:color w:val="374151"/>
                            <w:sz w:val="28"/>
                          </w:rPr>
                          <w:t>encourages</w:t>
                        </w:r>
                        <w:r>
                          <w:rPr>
                            <w:color w:val="374151"/>
                            <w:spacing w:val="-4"/>
                            <w:sz w:val="28"/>
                          </w:rPr>
                          <w:t> </w:t>
                        </w:r>
                        <w:r>
                          <w:rPr>
                            <w:color w:val="374151"/>
                            <w:sz w:val="28"/>
                          </w:rPr>
                          <w:t>clients</w:t>
                        </w:r>
                        <w:r>
                          <w:rPr>
                            <w:color w:val="374151"/>
                            <w:spacing w:val="-4"/>
                            <w:sz w:val="28"/>
                          </w:rPr>
                          <w:t> </w:t>
                        </w:r>
                        <w:r>
                          <w:rPr>
                            <w:color w:val="374151"/>
                            <w:sz w:val="28"/>
                          </w:rPr>
                          <w:t>to</w:t>
                        </w:r>
                        <w:r>
                          <w:rPr>
                            <w:color w:val="374151"/>
                            <w:spacing w:val="-3"/>
                            <w:sz w:val="28"/>
                          </w:rPr>
                          <w:t> </w:t>
                        </w:r>
                        <w:r>
                          <w:rPr>
                            <w:color w:val="374151"/>
                            <w:spacing w:val="-2"/>
                            <w:sz w:val="28"/>
                          </w:rPr>
                          <w:t>share</w:t>
                        </w:r>
                      </w:p>
                    </w:txbxContent>
                  </v:textbox>
                  <v:fill type="solid"/>
                  <w10:wrap type="none"/>
                </v:shape>
                <v:shape style="position:absolute;left:1901;top:3916;width:8241;height:312" type="#_x0000_t202" id="docshape191" filled="true" fillcolor="#f7f7f8" stroked="false">
                  <v:textbox inset="0,0,0,0">
                    <w:txbxContent>
                      <w:p>
                        <w:pPr>
                          <w:spacing w:line="300" w:lineRule="exact" w:before="0"/>
                          <w:ind w:left="0" w:right="0" w:firstLine="0"/>
                          <w:jc w:val="left"/>
                          <w:rPr>
                            <w:color w:val="000000"/>
                            <w:sz w:val="28"/>
                          </w:rPr>
                        </w:pPr>
                        <w:r>
                          <w:rPr>
                            <w:color w:val="374151"/>
                            <w:sz w:val="28"/>
                          </w:rPr>
                          <w:t>allow</w:t>
                        </w:r>
                        <w:r>
                          <w:rPr>
                            <w:color w:val="374151"/>
                            <w:spacing w:val="-4"/>
                            <w:sz w:val="28"/>
                          </w:rPr>
                          <w:t> </w:t>
                        </w:r>
                        <w:r>
                          <w:rPr>
                            <w:color w:val="374151"/>
                            <w:sz w:val="28"/>
                          </w:rPr>
                          <w:t>individuals</w:t>
                        </w:r>
                        <w:r>
                          <w:rPr>
                            <w:color w:val="374151"/>
                            <w:spacing w:val="-2"/>
                            <w:sz w:val="28"/>
                          </w:rPr>
                          <w:t> </w:t>
                        </w:r>
                        <w:r>
                          <w:rPr>
                            <w:color w:val="374151"/>
                            <w:sz w:val="28"/>
                          </w:rPr>
                          <w:t>to</w:t>
                        </w:r>
                        <w:r>
                          <w:rPr>
                            <w:color w:val="374151"/>
                            <w:spacing w:val="-2"/>
                            <w:sz w:val="28"/>
                          </w:rPr>
                          <w:t> </w:t>
                        </w:r>
                        <w:r>
                          <w:rPr>
                            <w:color w:val="374151"/>
                            <w:sz w:val="28"/>
                          </w:rPr>
                          <w:t>freely</w:t>
                        </w:r>
                        <w:r>
                          <w:rPr>
                            <w:color w:val="374151"/>
                            <w:spacing w:val="-2"/>
                            <w:sz w:val="28"/>
                          </w:rPr>
                          <w:t> </w:t>
                        </w:r>
                        <w:r>
                          <w:rPr>
                            <w:color w:val="374151"/>
                            <w:sz w:val="28"/>
                          </w:rPr>
                          <w:t>express</w:t>
                        </w:r>
                        <w:r>
                          <w:rPr>
                            <w:color w:val="374151"/>
                            <w:spacing w:val="-2"/>
                            <w:sz w:val="28"/>
                          </w:rPr>
                          <w:t> </w:t>
                        </w:r>
                        <w:r>
                          <w:rPr>
                            <w:color w:val="374151"/>
                            <w:sz w:val="28"/>
                          </w:rPr>
                          <w:t>their</w:t>
                        </w:r>
                        <w:r>
                          <w:rPr>
                            <w:color w:val="374151"/>
                            <w:spacing w:val="-2"/>
                            <w:sz w:val="28"/>
                          </w:rPr>
                          <w:t> </w:t>
                        </w:r>
                        <w:r>
                          <w:rPr>
                            <w:color w:val="374151"/>
                            <w:sz w:val="28"/>
                          </w:rPr>
                          <w:t>cultural</w:t>
                        </w:r>
                        <w:r>
                          <w:rPr>
                            <w:color w:val="374151"/>
                            <w:spacing w:val="-2"/>
                            <w:sz w:val="28"/>
                          </w:rPr>
                          <w:t> </w:t>
                        </w:r>
                        <w:r>
                          <w:rPr>
                            <w:color w:val="374151"/>
                            <w:sz w:val="28"/>
                          </w:rPr>
                          <w:t>perspectives,</w:t>
                        </w:r>
                        <w:r>
                          <w:rPr>
                            <w:color w:val="374151"/>
                            <w:spacing w:val="-2"/>
                            <w:sz w:val="28"/>
                          </w:rPr>
                          <w:t> </w:t>
                        </w:r>
                        <w:r>
                          <w:rPr>
                            <w:color w:val="374151"/>
                            <w:sz w:val="28"/>
                          </w:rPr>
                          <w:t>values,</w:t>
                        </w:r>
                        <w:r>
                          <w:rPr>
                            <w:color w:val="374151"/>
                            <w:spacing w:val="-1"/>
                            <w:sz w:val="28"/>
                          </w:rPr>
                          <w:t> </w:t>
                        </w:r>
                        <w:r>
                          <w:rPr>
                            <w:color w:val="374151"/>
                            <w:spacing w:val="-5"/>
                            <w:sz w:val="28"/>
                          </w:rPr>
                          <w:t>and</w:t>
                        </w:r>
                      </w:p>
                    </w:txbxContent>
                  </v:textbox>
                  <v:fill type="solid"/>
                  <w10:wrap type="none"/>
                </v:shape>
                <v:shape style="position:absolute;left:1901;top:3618;width:8241;height:298" type="#_x0000_t202" id="docshape192" filled="true" fillcolor="#f7f7f8" stroked="false">
                  <v:textbox inset="0,0,0,0">
                    <w:txbxContent>
                      <w:p>
                        <w:pPr>
                          <w:spacing w:line="298" w:lineRule="exact" w:before="0"/>
                          <w:ind w:left="10" w:right="0" w:firstLine="0"/>
                          <w:jc w:val="left"/>
                          <w:rPr>
                            <w:color w:val="000000"/>
                            <w:sz w:val="28"/>
                          </w:rPr>
                        </w:pPr>
                        <w:r>
                          <w:rPr>
                            <w:color w:val="374151"/>
                            <w:sz w:val="28"/>
                          </w:rPr>
                          <w:t>Open-Ended</w:t>
                        </w:r>
                        <w:r>
                          <w:rPr>
                            <w:color w:val="374151"/>
                            <w:spacing w:val="-5"/>
                            <w:sz w:val="28"/>
                          </w:rPr>
                          <w:t> </w:t>
                        </w:r>
                        <w:r>
                          <w:rPr>
                            <w:color w:val="374151"/>
                            <w:sz w:val="28"/>
                          </w:rPr>
                          <w:t>Questions:</w:t>
                        </w:r>
                        <w:r>
                          <w:rPr>
                            <w:color w:val="374151"/>
                            <w:spacing w:val="-2"/>
                            <w:sz w:val="28"/>
                          </w:rPr>
                          <w:t> </w:t>
                        </w:r>
                        <w:r>
                          <w:rPr>
                            <w:color w:val="374151"/>
                            <w:sz w:val="28"/>
                          </w:rPr>
                          <w:t>Use</w:t>
                        </w:r>
                        <w:r>
                          <w:rPr>
                            <w:color w:val="374151"/>
                            <w:spacing w:val="-3"/>
                            <w:sz w:val="28"/>
                          </w:rPr>
                          <w:t> </w:t>
                        </w:r>
                        <w:r>
                          <w:rPr>
                            <w:color w:val="374151"/>
                            <w:sz w:val="28"/>
                          </w:rPr>
                          <w:t>open-ended</w:t>
                        </w:r>
                        <w:r>
                          <w:rPr>
                            <w:color w:val="374151"/>
                            <w:spacing w:val="-2"/>
                            <w:sz w:val="28"/>
                          </w:rPr>
                          <w:t> </w:t>
                        </w:r>
                        <w:r>
                          <w:rPr>
                            <w:color w:val="374151"/>
                            <w:sz w:val="28"/>
                          </w:rPr>
                          <w:t>questions</w:t>
                        </w:r>
                        <w:r>
                          <w:rPr>
                            <w:color w:val="374151"/>
                            <w:spacing w:val="-2"/>
                            <w:sz w:val="28"/>
                          </w:rPr>
                          <w:t> </w:t>
                        </w:r>
                        <w:r>
                          <w:rPr>
                            <w:color w:val="374151"/>
                            <w:sz w:val="28"/>
                          </w:rPr>
                          <w:t>during</w:t>
                        </w:r>
                        <w:r>
                          <w:rPr>
                            <w:color w:val="374151"/>
                            <w:spacing w:val="-2"/>
                            <w:sz w:val="28"/>
                          </w:rPr>
                          <w:t> </w:t>
                        </w:r>
                        <w:r>
                          <w:rPr>
                            <w:color w:val="374151"/>
                            <w:sz w:val="28"/>
                          </w:rPr>
                          <w:t>assessments</w:t>
                        </w:r>
                        <w:r>
                          <w:rPr>
                            <w:color w:val="374151"/>
                            <w:spacing w:val="-2"/>
                            <w:sz w:val="28"/>
                          </w:rPr>
                          <w:t> </w:t>
                        </w:r>
                        <w:r>
                          <w:rPr>
                            <w:color w:val="374151"/>
                            <w:spacing w:val="-5"/>
                            <w:sz w:val="28"/>
                          </w:rPr>
                          <w:t>to</w:t>
                        </w:r>
                      </w:p>
                    </w:txbxContent>
                  </v:textbox>
                  <v:fill type="solid"/>
                  <w10:wrap type="none"/>
                </v:shape>
                <v:shape style="position:absolute;left:1901;top:3060;width:895;height:559" type="#_x0000_t202" id="docshape193" filled="true" fillcolor="#f7f7f8" stroked="false">
                  <v:textbox inset="0,0,0,0">
                    <w:txbxContent>
                      <w:p>
                        <w:pPr>
                          <w:spacing w:line="277" w:lineRule="exact" w:before="0"/>
                          <w:ind w:left="0" w:right="-15" w:firstLine="0"/>
                          <w:jc w:val="left"/>
                          <w:rPr>
                            <w:color w:val="000000"/>
                            <w:sz w:val="28"/>
                          </w:rPr>
                        </w:pPr>
                        <w:r>
                          <w:rPr>
                            <w:color w:val="374151"/>
                            <w:spacing w:val="-2"/>
                            <w:sz w:val="28"/>
                          </w:rPr>
                          <w:t>context.</w:t>
                        </w:r>
                      </w:p>
                    </w:txbxContent>
                  </v:textbox>
                  <v:fill type="solid"/>
                  <w10:wrap type="none"/>
                </v:shape>
                <v:shape style="position:absolute;left:1901;top:2748;width:8659;height:312" type="#_x0000_t202" id="docshape194" filled="true" fillcolor="#f7f7f8" stroked="false">
                  <v:textbox inset="0,0,0,0">
                    <w:txbxContent>
                      <w:p>
                        <w:pPr>
                          <w:spacing w:line="300" w:lineRule="exact" w:before="0"/>
                          <w:ind w:left="0" w:right="0" w:firstLine="0"/>
                          <w:jc w:val="left"/>
                          <w:rPr>
                            <w:color w:val="000000"/>
                            <w:sz w:val="28"/>
                          </w:rPr>
                        </w:pPr>
                        <w:r>
                          <w:rPr>
                            <w:color w:val="374151"/>
                            <w:sz w:val="28"/>
                          </w:rPr>
                          <w:t>clinicians</w:t>
                        </w:r>
                        <w:r>
                          <w:rPr>
                            <w:color w:val="374151"/>
                            <w:spacing w:val="-4"/>
                            <w:sz w:val="28"/>
                          </w:rPr>
                          <w:t> </w:t>
                        </w:r>
                        <w:r>
                          <w:rPr>
                            <w:color w:val="374151"/>
                            <w:sz w:val="28"/>
                          </w:rPr>
                          <w:t>develop</w:t>
                        </w:r>
                        <w:r>
                          <w:rPr>
                            <w:color w:val="374151"/>
                            <w:spacing w:val="-2"/>
                            <w:sz w:val="28"/>
                          </w:rPr>
                          <w:t> </w:t>
                        </w:r>
                        <w:r>
                          <w:rPr>
                            <w:color w:val="374151"/>
                            <w:sz w:val="28"/>
                          </w:rPr>
                          <w:t>a</w:t>
                        </w:r>
                        <w:r>
                          <w:rPr>
                            <w:color w:val="374151"/>
                            <w:spacing w:val="-3"/>
                            <w:sz w:val="28"/>
                          </w:rPr>
                          <w:t> </w:t>
                        </w:r>
                        <w:r>
                          <w:rPr>
                            <w:color w:val="374151"/>
                            <w:sz w:val="28"/>
                          </w:rPr>
                          <w:t>comprehensive</w:t>
                        </w:r>
                        <w:r>
                          <w:rPr>
                            <w:color w:val="374151"/>
                            <w:spacing w:val="-2"/>
                            <w:sz w:val="28"/>
                          </w:rPr>
                          <w:t> </w:t>
                        </w:r>
                        <w:r>
                          <w:rPr>
                            <w:color w:val="374151"/>
                            <w:sz w:val="28"/>
                          </w:rPr>
                          <w:t>understanding</w:t>
                        </w:r>
                        <w:r>
                          <w:rPr>
                            <w:color w:val="374151"/>
                            <w:spacing w:val="-2"/>
                            <w:sz w:val="28"/>
                          </w:rPr>
                          <w:t> </w:t>
                        </w:r>
                        <w:r>
                          <w:rPr>
                            <w:color w:val="374151"/>
                            <w:sz w:val="28"/>
                          </w:rPr>
                          <w:t>of</w:t>
                        </w:r>
                        <w:r>
                          <w:rPr>
                            <w:color w:val="374151"/>
                            <w:spacing w:val="-2"/>
                            <w:sz w:val="28"/>
                          </w:rPr>
                          <w:t> </w:t>
                        </w:r>
                        <w:r>
                          <w:rPr>
                            <w:color w:val="374151"/>
                            <w:sz w:val="28"/>
                          </w:rPr>
                          <w:t>the</w:t>
                        </w:r>
                        <w:r>
                          <w:rPr>
                            <w:color w:val="374151"/>
                            <w:spacing w:val="-3"/>
                            <w:sz w:val="28"/>
                          </w:rPr>
                          <w:t> </w:t>
                        </w:r>
                        <w:r>
                          <w:rPr>
                            <w:color w:val="374151"/>
                            <w:sz w:val="28"/>
                          </w:rPr>
                          <w:t>individual's</w:t>
                        </w:r>
                        <w:r>
                          <w:rPr>
                            <w:color w:val="374151"/>
                            <w:spacing w:val="-1"/>
                            <w:sz w:val="28"/>
                          </w:rPr>
                          <w:t> </w:t>
                        </w:r>
                        <w:r>
                          <w:rPr>
                            <w:color w:val="374151"/>
                            <w:spacing w:val="-2"/>
                            <w:sz w:val="28"/>
                          </w:rPr>
                          <w:t>cultural</w:t>
                        </w:r>
                      </w:p>
                    </w:txbxContent>
                  </v:textbox>
                  <v:fill type="solid"/>
                  <w10:wrap type="none"/>
                </v:shape>
                <v:shape style="position:absolute;left:1901;top:2481;width:8659;height:267" type="#_x0000_t202" id="docshape195" filled="true" fillcolor="#f7f7f8" stroked="false">
                  <v:textbox inset="0,0,0,0">
                    <w:txbxContent>
                      <w:p>
                        <w:pPr>
                          <w:spacing w:line="267" w:lineRule="exact" w:before="0"/>
                          <w:ind w:left="0" w:right="0" w:firstLine="0"/>
                          <w:jc w:val="left"/>
                          <w:rPr>
                            <w:color w:val="000000"/>
                            <w:sz w:val="28"/>
                          </w:rPr>
                        </w:pPr>
                        <w:r>
                          <w:rPr>
                            <w:color w:val="374151"/>
                            <w:sz w:val="28"/>
                          </w:rPr>
                          <w:t>values,</w:t>
                        </w:r>
                        <w:r>
                          <w:rPr>
                            <w:color w:val="374151"/>
                            <w:spacing w:val="-2"/>
                            <w:sz w:val="28"/>
                          </w:rPr>
                          <w:t> </w:t>
                        </w:r>
                        <w:r>
                          <w:rPr>
                            <w:color w:val="374151"/>
                            <w:sz w:val="28"/>
                          </w:rPr>
                          <w:t>and</w:t>
                        </w:r>
                        <w:r>
                          <w:rPr>
                            <w:color w:val="374151"/>
                            <w:spacing w:val="-1"/>
                            <w:sz w:val="28"/>
                          </w:rPr>
                          <w:t> </w:t>
                        </w:r>
                        <w:r>
                          <w:rPr>
                            <w:color w:val="374151"/>
                            <w:sz w:val="28"/>
                          </w:rPr>
                          <w:t>the</w:t>
                        </w:r>
                        <w:r>
                          <w:rPr>
                            <w:color w:val="374151"/>
                            <w:spacing w:val="-3"/>
                            <w:sz w:val="28"/>
                          </w:rPr>
                          <w:t> </w:t>
                        </w:r>
                        <w:r>
                          <w:rPr>
                            <w:color w:val="374151"/>
                            <w:sz w:val="28"/>
                          </w:rPr>
                          <w:t>impact</w:t>
                        </w:r>
                        <w:r>
                          <w:rPr>
                            <w:color w:val="374151"/>
                            <w:spacing w:val="-1"/>
                            <w:sz w:val="28"/>
                          </w:rPr>
                          <w:t> </w:t>
                        </w:r>
                        <w:r>
                          <w:rPr>
                            <w:color w:val="374151"/>
                            <w:sz w:val="28"/>
                          </w:rPr>
                          <w:t>of</w:t>
                        </w:r>
                        <w:r>
                          <w:rPr>
                            <w:color w:val="374151"/>
                            <w:spacing w:val="-1"/>
                            <w:sz w:val="28"/>
                          </w:rPr>
                          <w:t> </w:t>
                        </w:r>
                        <w:r>
                          <w:rPr>
                            <w:color w:val="374151"/>
                            <w:sz w:val="28"/>
                          </w:rPr>
                          <w:t>culture</w:t>
                        </w:r>
                        <w:r>
                          <w:rPr>
                            <w:color w:val="374151"/>
                            <w:spacing w:val="-3"/>
                            <w:sz w:val="28"/>
                          </w:rPr>
                          <w:t> </w:t>
                        </w:r>
                        <w:r>
                          <w:rPr>
                            <w:color w:val="374151"/>
                            <w:sz w:val="28"/>
                          </w:rPr>
                          <w:t>on</w:t>
                        </w:r>
                        <w:r>
                          <w:rPr>
                            <w:color w:val="374151"/>
                            <w:spacing w:val="-1"/>
                            <w:sz w:val="28"/>
                          </w:rPr>
                          <w:t> </w:t>
                        </w:r>
                        <w:r>
                          <w:rPr>
                            <w:color w:val="374151"/>
                            <w:sz w:val="28"/>
                          </w:rPr>
                          <w:t>their</w:t>
                        </w:r>
                        <w:r>
                          <w:rPr>
                            <w:color w:val="374151"/>
                            <w:spacing w:val="-1"/>
                            <w:sz w:val="28"/>
                          </w:rPr>
                          <w:t> </w:t>
                        </w:r>
                        <w:r>
                          <w:rPr>
                            <w:color w:val="374151"/>
                            <w:sz w:val="28"/>
                          </w:rPr>
                          <w:t>presenting</w:t>
                        </w:r>
                        <w:r>
                          <w:rPr>
                            <w:color w:val="374151"/>
                            <w:spacing w:val="-2"/>
                            <w:sz w:val="28"/>
                          </w:rPr>
                          <w:t> </w:t>
                        </w:r>
                        <w:r>
                          <w:rPr>
                            <w:color w:val="374151"/>
                            <w:sz w:val="28"/>
                          </w:rPr>
                          <w:t>concerns.</w:t>
                        </w:r>
                        <w:r>
                          <w:rPr>
                            <w:color w:val="374151"/>
                            <w:spacing w:val="-7"/>
                            <w:sz w:val="28"/>
                          </w:rPr>
                          <w:t> </w:t>
                        </w:r>
                        <w:r>
                          <w:rPr>
                            <w:color w:val="374151"/>
                            <w:sz w:val="28"/>
                          </w:rPr>
                          <w:t>The</w:t>
                        </w:r>
                        <w:r>
                          <w:rPr>
                            <w:color w:val="374151"/>
                            <w:spacing w:val="-2"/>
                            <w:sz w:val="28"/>
                          </w:rPr>
                          <w:t> </w:t>
                        </w:r>
                        <w:r>
                          <w:rPr>
                            <w:color w:val="374151"/>
                            <w:sz w:val="28"/>
                          </w:rPr>
                          <w:t>CFI</w:t>
                        </w:r>
                        <w:r>
                          <w:rPr>
                            <w:color w:val="374151"/>
                            <w:spacing w:val="-1"/>
                            <w:sz w:val="28"/>
                          </w:rPr>
                          <w:t> </w:t>
                        </w:r>
                        <w:r>
                          <w:rPr>
                            <w:color w:val="374151"/>
                            <w:spacing w:val="-2"/>
                            <w:sz w:val="28"/>
                          </w:rPr>
                          <w:t>helps</w:t>
                        </w:r>
                      </w:p>
                    </w:txbxContent>
                  </v:textbox>
                  <v:fill type="solid"/>
                  <w10:wrap type="none"/>
                </v:shape>
                <v:shape style="position:absolute;left:1901;top:2192;width:8241;height:290" type="#_x0000_t202" id="docshape196" filled="true" fillcolor="#f7f7f8" stroked="false">
                  <v:textbox inset="0,0,0,0">
                    <w:txbxContent>
                      <w:p>
                        <w:pPr>
                          <w:spacing w:line="277" w:lineRule="exact" w:before="0"/>
                          <w:ind w:left="0" w:right="0" w:firstLine="0"/>
                          <w:jc w:val="left"/>
                          <w:rPr>
                            <w:color w:val="000000"/>
                            <w:sz w:val="28"/>
                          </w:rPr>
                        </w:pPr>
                        <w:r>
                          <w:rPr>
                            <w:color w:val="374151"/>
                            <w:sz w:val="28"/>
                          </w:rPr>
                          <w:t>gathering</w:t>
                        </w:r>
                        <w:r>
                          <w:rPr>
                            <w:color w:val="374151"/>
                            <w:spacing w:val="-4"/>
                            <w:sz w:val="28"/>
                          </w:rPr>
                          <w:t> </w:t>
                        </w:r>
                        <w:r>
                          <w:rPr>
                            <w:color w:val="374151"/>
                            <w:sz w:val="28"/>
                          </w:rPr>
                          <w:t>information</w:t>
                        </w:r>
                        <w:r>
                          <w:rPr>
                            <w:color w:val="374151"/>
                            <w:spacing w:val="-1"/>
                            <w:sz w:val="28"/>
                          </w:rPr>
                          <w:t> </w:t>
                        </w:r>
                        <w:r>
                          <w:rPr>
                            <w:color w:val="374151"/>
                            <w:sz w:val="28"/>
                          </w:rPr>
                          <w:t>about</w:t>
                        </w:r>
                        <w:r>
                          <w:rPr>
                            <w:color w:val="374151"/>
                            <w:spacing w:val="-2"/>
                            <w:sz w:val="28"/>
                          </w:rPr>
                          <w:t> </w:t>
                        </w:r>
                        <w:r>
                          <w:rPr>
                            <w:color w:val="374151"/>
                            <w:sz w:val="28"/>
                          </w:rPr>
                          <w:t>an</w:t>
                        </w:r>
                        <w:r>
                          <w:rPr>
                            <w:color w:val="374151"/>
                            <w:spacing w:val="-1"/>
                            <w:sz w:val="28"/>
                          </w:rPr>
                          <w:t> </w:t>
                        </w:r>
                        <w:r>
                          <w:rPr>
                            <w:color w:val="374151"/>
                            <w:sz w:val="28"/>
                          </w:rPr>
                          <w:t>individual's</w:t>
                        </w:r>
                        <w:r>
                          <w:rPr>
                            <w:color w:val="374151"/>
                            <w:spacing w:val="-2"/>
                            <w:sz w:val="28"/>
                          </w:rPr>
                          <w:t> </w:t>
                        </w:r>
                        <w:r>
                          <w:rPr>
                            <w:color w:val="374151"/>
                            <w:sz w:val="28"/>
                          </w:rPr>
                          <w:t>cultural</w:t>
                        </w:r>
                        <w:r>
                          <w:rPr>
                            <w:color w:val="374151"/>
                            <w:spacing w:val="-1"/>
                            <w:sz w:val="28"/>
                          </w:rPr>
                          <w:t> </w:t>
                        </w:r>
                        <w:r>
                          <w:rPr>
                            <w:color w:val="374151"/>
                            <w:sz w:val="28"/>
                          </w:rPr>
                          <w:t>background,</w:t>
                        </w:r>
                        <w:r>
                          <w:rPr>
                            <w:color w:val="374151"/>
                            <w:spacing w:val="-1"/>
                            <w:sz w:val="28"/>
                          </w:rPr>
                          <w:t> </w:t>
                        </w:r>
                        <w:r>
                          <w:rPr>
                            <w:color w:val="374151"/>
                            <w:spacing w:val="-2"/>
                            <w:sz w:val="28"/>
                          </w:rPr>
                          <w:t>beliefs,</w:t>
                        </w:r>
                      </w:p>
                    </w:txbxContent>
                  </v:textbox>
                  <v:fill type="solid"/>
                  <w10:wrap type="none"/>
                </v:shape>
                <v:shape style="position:absolute;left:1901;top:1903;width:8394;height:290" type="#_x0000_t202" id="docshape197" filled="true" fillcolor="#f7f7f8" stroked="false">
                  <v:textbox inset="0,0,0,0">
                    <w:txbxContent>
                      <w:p>
                        <w:pPr>
                          <w:spacing w:line="277" w:lineRule="exact" w:before="0"/>
                          <w:ind w:left="0" w:right="0" w:firstLine="0"/>
                          <w:jc w:val="left"/>
                          <w:rPr>
                            <w:color w:val="000000"/>
                            <w:sz w:val="28"/>
                          </w:rPr>
                        </w:pPr>
                        <w:r>
                          <w:rPr>
                            <w:color w:val="374151"/>
                            <w:sz w:val="28"/>
                          </w:rPr>
                          <w:t>Interview</w:t>
                        </w:r>
                        <w:r>
                          <w:rPr>
                            <w:color w:val="374151"/>
                            <w:spacing w:val="-4"/>
                            <w:sz w:val="28"/>
                          </w:rPr>
                          <w:t> </w:t>
                        </w:r>
                        <w:r>
                          <w:rPr>
                            <w:color w:val="374151"/>
                            <w:sz w:val="28"/>
                          </w:rPr>
                          <w:t>(CFI)</w:t>
                        </w:r>
                        <w:r>
                          <w:rPr>
                            <w:color w:val="374151"/>
                            <w:spacing w:val="-1"/>
                            <w:sz w:val="28"/>
                          </w:rPr>
                          <w:t> </w:t>
                        </w:r>
                        <w:r>
                          <w:rPr>
                            <w:color w:val="374151"/>
                            <w:sz w:val="28"/>
                          </w:rPr>
                          <w:t>from</w:t>
                        </w:r>
                        <w:r>
                          <w:rPr>
                            <w:color w:val="374151"/>
                            <w:spacing w:val="-1"/>
                            <w:sz w:val="28"/>
                          </w:rPr>
                          <w:t> </w:t>
                        </w:r>
                        <w:r>
                          <w:rPr>
                            <w:color w:val="374151"/>
                            <w:sz w:val="28"/>
                          </w:rPr>
                          <w:t>the</w:t>
                        </w:r>
                        <w:r>
                          <w:rPr>
                            <w:color w:val="374151"/>
                            <w:spacing w:val="-2"/>
                            <w:sz w:val="28"/>
                          </w:rPr>
                          <w:t> </w:t>
                        </w:r>
                        <w:r>
                          <w:rPr>
                            <w:color w:val="374151"/>
                            <w:sz w:val="28"/>
                          </w:rPr>
                          <w:t>DSM-5,</w:t>
                        </w:r>
                        <w:r>
                          <w:rPr>
                            <w:color w:val="374151"/>
                            <w:spacing w:val="-1"/>
                            <w:sz w:val="28"/>
                          </w:rPr>
                          <w:t> </w:t>
                        </w:r>
                        <w:r>
                          <w:rPr>
                            <w:color w:val="374151"/>
                            <w:sz w:val="28"/>
                          </w:rPr>
                          <w:t>which</w:t>
                        </w:r>
                        <w:r>
                          <w:rPr>
                            <w:color w:val="374151"/>
                            <w:spacing w:val="-1"/>
                            <w:sz w:val="28"/>
                          </w:rPr>
                          <w:t> </w:t>
                        </w:r>
                        <w:r>
                          <w:rPr>
                            <w:color w:val="374151"/>
                            <w:sz w:val="28"/>
                          </w:rPr>
                          <w:t>provides</w:t>
                        </w:r>
                        <w:r>
                          <w:rPr>
                            <w:color w:val="374151"/>
                            <w:spacing w:val="-1"/>
                            <w:sz w:val="28"/>
                          </w:rPr>
                          <w:t> </w:t>
                        </w:r>
                        <w:r>
                          <w:rPr>
                            <w:color w:val="374151"/>
                            <w:sz w:val="28"/>
                          </w:rPr>
                          <w:t>a</w:t>
                        </w:r>
                        <w:r>
                          <w:rPr>
                            <w:color w:val="374151"/>
                            <w:spacing w:val="-2"/>
                            <w:sz w:val="28"/>
                          </w:rPr>
                          <w:t> </w:t>
                        </w:r>
                        <w:r>
                          <w:rPr>
                            <w:color w:val="374151"/>
                            <w:sz w:val="28"/>
                          </w:rPr>
                          <w:t>structured</w:t>
                        </w:r>
                        <w:r>
                          <w:rPr>
                            <w:color w:val="374151"/>
                            <w:spacing w:val="-1"/>
                            <w:sz w:val="28"/>
                          </w:rPr>
                          <w:t> </w:t>
                        </w:r>
                        <w:r>
                          <w:rPr>
                            <w:color w:val="374151"/>
                            <w:sz w:val="28"/>
                          </w:rPr>
                          <w:t>approach</w:t>
                        </w:r>
                        <w:r>
                          <w:rPr>
                            <w:color w:val="374151"/>
                            <w:spacing w:val="-1"/>
                            <w:sz w:val="28"/>
                          </w:rPr>
                          <w:t> </w:t>
                        </w:r>
                        <w:r>
                          <w:rPr>
                            <w:color w:val="374151"/>
                            <w:spacing w:val="-5"/>
                            <w:sz w:val="28"/>
                          </w:rPr>
                          <w:t>to</w:t>
                        </w:r>
                      </w:p>
                    </w:txbxContent>
                  </v:textbox>
                  <v:fill type="solid"/>
                  <w10:wrap type="none"/>
                </v:shape>
                <v:shape style="position:absolute;left:1901;top:1583;width:7888;height:320" type="#_x0000_t202" id="docshape198" filled="true" fillcolor="#f7f7f8" stroked="false">
                  <v:textbox inset="0,0,0,0">
                    <w:txbxContent>
                      <w:p>
                        <w:pPr>
                          <w:spacing w:line="308" w:lineRule="exact" w:before="0"/>
                          <w:ind w:left="10" w:right="0" w:firstLine="0"/>
                          <w:jc w:val="left"/>
                          <w:rPr>
                            <w:color w:val="000000"/>
                            <w:sz w:val="28"/>
                          </w:rPr>
                        </w:pPr>
                        <w:r>
                          <w:rPr>
                            <w:color w:val="374151"/>
                            <w:sz w:val="28"/>
                          </w:rPr>
                          <w:t>Cultural</w:t>
                        </w:r>
                        <w:r>
                          <w:rPr>
                            <w:color w:val="374151"/>
                            <w:spacing w:val="-4"/>
                            <w:sz w:val="28"/>
                          </w:rPr>
                          <w:t> </w:t>
                        </w:r>
                        <w:r>
                          <w:rPr>
                            <w:color w:val="374151"/>
                            <w:sz w:val="28"/>
                          </w:rPr>
                          <w:t>Formulation</w:t>
                        </w:r>
                        <w:r>
                          <w:rPr>
                            <w:color w:val="374151"/>
                            <w:spacing w:val="-1"/>
                            <w:sz w:val="28"/>
                          </w:rPr>
                          <w:t> </w:t>
                        </w:r>
                        <w:r>
                          <w:rPr>
                            <w:color w:val="374151"/>
                            <w:sz w:val="28"/>
                          </w:rPr>
                          <w:t>Interview:</w:t>
                        </w:r>
                        <w:r>
                          <w:rPr>
                            <w:color w:val="374151"/>
                            <w:spacing w:val="-1"/>
                            <w:sz w:val="28"/>
                          </w:rPr>
                          <w:t> </w:t>
                        </w:r>
                        <w:r>
                          <w:rPr>
                            <w:color w:val="374151"/>
                            <w:sz w:val="28"/>
                          </w:rPr>
                          <w:t>Incorporate</w:t>
                        </w:r>
                        <w:r>
                          <w:rPr>
                            <w:color w:val="374151"/>
                            <w:spacing w:val="-2"/>
                            <w:sz w:val="28"/>
                          </w:rPr>
                          <w:t> </w:t>
                        </w:r>
                        <w:r>
                          <w:rPr>
                            <w:color w:val="374151"/>
                            <w:sz w:val="28"/>
                          </w:rPr>
                          <w:t>the</w:t>
                        </w:r>
                        <w:r>
                          <w:rPr>
                            <w:color w:val="374151"/>
                            <w:spacing w:val="-2"/>
                            <w:sz w:val="28"/>
                          </w:rPr>
                          <w:t> </w:t>
                        </w:r>
                        <w:r>
                          <w:rPr>
                            <w:color w:val="374151"/>
                            <w:sz w:val="28"/>
                          </w:rPr>
                          <w:t>Cultural</w:t>
                        </w:r>
                        <w:r>
                          <w:rPr>
                            <w:color w:val="374151"/>
                            <w:spacing w:val="-1"/>
                            <w:sz w:val="28"/>
                          </w:rPr>
                          <w:t> </w:t>
                        </w:r>
                        <w:r>
                          <w:rPr>
                            <w:color w:val="374151"/>
                            <w:spacing w:val="-2"/>
                            <w:sz w:val="28"/>
                          </w:rPr>
                          <w:t>Formulation</w:t>
                        </w:r>
                      </w:p>
                    </w:txbxContent>
                  </v:textbox>
                  <v:fill type="solid"/>
                  <w10:wrap type="none"/>
                </v:shape>
                <v:shape style="position:absolute;left:1901;top:1024;width:3121;height:559" type="#_x0000_t202" id="docshape199" filled="true" fillcolor="#f7f7f8" stroked="false">
                  <v:textbox inset="0,0,0,0">
                    <w:txbxContent>
                      <w:p>
                        <w:pPr>
                          <w:spacing w:line="277" w:lineRule="exact" w:before="0"/>
                          <w:ind w:left="0" w:right="-15" w:firstLine="0"/>
                          <w:jc w:val="left"/>
                          <w:rPr>
                            <w:color w:val="000000"/>
                            <w:sz w:val="28"/>
                          </w:rPr>
                        </w:pPr>
                        <w:r>
                          <w:rPr>
                            <w:color w:val="374151"/>
                            <w:sz w:val="28"/>
                          </w:rPr>
                          <w:t>target</w:t>
                        </w:r>
                        <w:r>
                          <w:rPr>
                            <w:color w:val="374151"/>
                            <w:spacing w:val="-4"/>
                            <w:sz w:val="28"/>
                          </w:rPr>
                          <w:t> </w:t>
                        </w:r>
                        <w:r>
                          <w:rPr>
                            <w:color w:val="374151"/>
                            <w:sz w:val="28"/>
                          </w:rPr>
                          <w:t>culture</w:t>
                        </w:r>
                        <w:r>
                          <w:rPr>
                            <w:color w:val="374151"/>
                            <w:spacing w:val="-3"/>
                            <w:sz w:val="28"/>
                          </w:rPr>
                          <w:t> </w:t>
                        </w:r>
                        <w:r>
                          <w:rPr>
                            <w:color w:val="374151"/>
                            <w:sz w:val="28"/>
                          </w:rPr>
                          <w:t>or</w:t>
                        </w:r>
                        <w:r>
                          <w:rPr>
                            <w:color w:val="374151"/>
                            <w:spacing w:val="-3"/>
                            <w:sz w:val="28"/>
                          </w:rPr>
                          <w:t> </w:t>
                        </w:r>
                        <w:r>
                          <w:rPr>
                            <w:color w:val="374151"/>
                            <w:spacing w:val="-2"/>
                            <w:sz w:val="28"/>
                          </w:rPr>
                          <w:t>population.</w:t>
                        </w:r>
                      </w:p>
                    </w:txbxContent>
                  </v:textbox>
                  <v:fill type="solid"/>
                  <w10:wrap type="none"/>
                </v:shape>
                <v:shape style="position:absolute;left:1901;top:735;width:8241;height:290" type="#_x0000_t202" id="docshape200" filled="true" fillcolor="#f7f7f8" stroked="false">
                  <v:textbox inset="0,0,0,0">
                    <w:txbxContent>
                      <w:p>
                        <w:pPr>
                          <w:spacing w:line="277" w:lineRule="exact" w:before="0"/>
                          <w:ind w:left="0" w:right="0" w:firstLine="0"/>
                          <w:jc w:val="left"/>
                          <w:rPr>
                            <w:color w:val="000000"/>
                            <w:sz w:val="28"/>
                          </w:rPr>
                        </w:pPr>
                        <w:r>
                          <w:rPr>
                            <w:color w:val="374151"/>
                            <w:sz w:val="28"/>
                          </w:rPr>
                          <w:t>assessment</w:t>
                        </w:r>
                        <w:r>
                          <w:rPr>
                            <w:color w:val="374151"/>
                            <w:spacing w:val="-4"/>
                            <w:sz w:val="28"/>
                          </w:rPr>
                          <w:t> </w:t>
                        </w:r>
                        <w:r>
                          <w:rPr>
                            <w:color w:val="374151"/>
                            <w:sz w:val="28"/>
                          </w:rPr>
                          <w:t>tools</w:t>
                        </w:r>
                        <w:r>
                          <w:rPr>
                            <w:color w:val="374151"/>
                            <w:spacing w:val="-2"/>
                            <w:sz w:val="28"/>
                          </w:rPr>
                          <w:t> </w:t>
                        </w:r>
                        <w:r>
                          <w:rPr>
                            <w:color w:val="374151"/>
                            <w:sz w:val="28"/>
                          </w:rPr>
                          <w:t>that</w:t>
                        </w:r>
                        <w:r>
                          <w:rPr>
                            <w:color w:val="374151"/>
                            <w:spacing w:val="-2"/>
                            <w:sz w:val="28"/>
                          </w:rPr>
                          <w:t> </w:t>
                        </w:r>
                        <w:r>
                          <w:rPr>
                            <w:color w:val="374151"/>
                            <w:sz w:val="28"/>
                          </w:rPr>
                          <w:t>have</w:t>
                        </w:r>
                        <w:r>
                          <w:rPr>
                            <w:color w:val="374151"/>
                            <w:spacing w:val="-2"/>
                            <w:sz w:val="28"/>
                          </w:rPr>
                          <w:t> </w:t>
                        </w:r>
                        <w:r>
                          <w:rPr>
                            <w:color w:val="374151"/>
                            <w:sz w:val="28"/>
                          </w:rPr>
                          <w:t>been</w:t>
                        </w:r>
                        <w:r>
                          <w:rPr>
                            <w:color w:val="374151"/>
                            <w:spacing w:val="-2"/>
                            <w:sz w:val="28"/>
                          </w:rPr>
                          <w:t> </w:t>
                        </w:r>
                        <w:r>
                          <w:rPr>
                            <w:color w:val="374151"/>
                            <w:sz w:val="28"/>
                          </w:rPr>
                          <w:t>adapted</w:t>
                        </w:r>
                        <w:r>
                          <w:rPr>
                            <w:color w:val="374151"/>
                            <w:spacing w:val="-2"/>
                            <w:sz w:val="28"/>
                          </w:rPr>
                          <w:t> </w:t>
                        </w:r>
                        <w:r>
                          <w:rPr>
                            <w:color w:val="374151"/>
                            <w:sz w:val="28"/>
                          </w:rPr>
                          <w:t>or</w:t>
                        </w:r>
                        <w:r>
                          <w:rPr>
                            <w:color w:val="374151"/>
                            <w:spacing w:val="-1"/>
                            <w:sz w:val="28"/>
                          </w:rPr>
                          <w:t> </w:t>
                        </w:r>
                        <w:r>
                          <w:rPr>
                            <w:color w:val="374151"/>
                            <w:sz w:val="28"/>
                          </w:rPr>
                          <w:t>developed</w:t>
                        </w:r>
                        <w:r>
                          <w:rPr>
                            <w:color w:val="374151"/>
                            <w:spacing w:val="-2"/>
                            <w:sz w:val="28"/>
                          </w:rPr>
                          <w:t> </w:t>
                        </w:r>
                        <w:r>
                          <w:rPr>
                            <w:color w:val="374151"/>
                            <w:sz w:val="28"/>
                          </w:rPr>
                          <w:t>specifically</w:t>
                        </w:r>
                        <w:r>
                          <w:rPr>
                            <w:color w:val="374151"/>
                            <w:spacing w:val="-2"/>
                            <w:sz w:val="28"/>
                          </w:rPr>
                          <w:t> </w:t>
                        </w:r>
                        <w:r>
                          <w:rPr>
                            <w:color w:val="374151"/>
                            <w:sz w:val="28"/>
                          </w:rPr>
                          <w:t>for</w:t>
                        </w:r>
                        <w:r>
                          <w:rPr>
                            <w:color w:val="374151"/>
                            <w:spacing w:val="-1"/>
                            <w:sz w:val="28"/>
                          </w:rPr>
                          <w:t> </w:t>
                        </w:r>
                        <w:r>
                          <w:rPr>
                            <w:color w:val="374151"/>
                            <w:spacing w:val="-5"/>
                            <w:sz w:val="28"/>
                          </w:rPr>
                          <w:t>the</w:t>
                        </w:r>
                      </w:p>
                    </w:txbxContent>
                  </v:textbox>
                  <v:fill type="solid"/>
                  <w10:wrap type="none"/>
                </v:shape>
                <v:shape style="position:absolute;left:1901;top:446;width:8518;height:290" type="#_x0000_t202" id="docshape201" filled="true" fillcolor="#f7f7f8" stroked="false">
                  <v:textbox inset="0,0,0,0">
                    <w:txbxContent>
                      <w:p>
                        <w:pPr>
                          <w:spacing w:line="277" w:lineRule="exact" w:before="0"/>
                          <w:ind w:left="0" w:right="0" w:firstLine="0"/>
                          <w:jc w:val="left"/>
                          <w:rPr>
                            <w:color w:val="000000"/>
                            <w:sz w:val="28"/>
                          </w:rPr>
                        </w:pPr>
                        <w:r>
                          <w:rPr>
                            <w:color w:val="374151"/>
                            <w:sz w:val="28"/>
                          </w:rPr>
                          <w:t>the</w:t>
                        </w:r>
                        <w:r>
                          <w:rPr>
                            <w:color w:val="374151"/>
                            <w:spacing w:val="-4"/>
                            <w:sz w:val="28"/>
                          </w:rPr>
                          <w:t> </w:t>
                        </w:r>
                        <w:r>
                          <w:rPr>
                            <w:color w:val="374151"/>
                            <w:sz w:val="28"/>
                          </w:rPr>
                          <w:t>cultural</w:t>
                        </w:r>
                        <w:r>
                          <w:rPr>
                            <w:color w:val="374151"/>
                            <w:spacing w:val="-1"/>
                            <w:sz w:val="28"/>
                          </w:rPr>
                          <w:t> </w:t>
                        </w:r>
                        <w:r>
                          <w:rPr>
                            <w:color w:val="374151"/>
                            <w:sz w:val="28"/>
                          </w:rPr>
                          <w:t>background</w:t>
                        </w:r>
                        <w:r>
                          <w:rPr>
                            <w:color w:val="374151"/>
                            <w:spacing w:val="-1"/>
                            <w:sz w:val="28"/>
                          </w:rPr>
                          <w:t> </w:t>
                        </w:r>
                        <w:r>
                          <w:rPr>
                            <w:color w:val="374151"/>
                            <w:sz w:val="28"/>
                          </w:rPr>
                          <w:t>of</w:t>
                        </w:r>
                        <w:r>
                          <w:rPr>
                            <w:color w:val="374151"/>
                            <w:spacing w:val="-1"/>
                            <w:sz w:val="28"/>
                          </w:rPr>
                          <w:t> </w:t>
                        </w:r>
                        <w:r>
                          <w:rPr>
                            <w:color w:val="374151"/>
                            <w:sz w:val="28"/>
                          </w:rPr>
                          <w:t>the</w:t>
                        </w:r>
                        <w:r>
                          <w:rPr>
                            <w:color w:val="374151"/>
                            <w:spacing w:val="-2"/>
                            <w:sz w:val="28"/>
                          </w:rPr>
                          <w:t> </w:t>
                        </w:r>
                        <w:r>
                          <w:rPr>
                            <w:color w:val="374151"/>
                            <w:sz w:val="28"/>
                          </w:rPr>
                          <w:t>individual.</w:t>
                        </w:r>
                        <w:r>
                          <w:rPr>
                            <w:color w:val="374151"/>
                            <w:spacing w:val="-6"/>
                            <w:sz w:val="28"/>
                          </w:rPr>
                          <w:t> </w:t>
                        </w:r>
                        <w:r>
                          <w:rPr>
                            <w:color w:val="374151"/>
                            <w:sz w:val="28"/>
                          </w:rPr>
                          <w:t>This</w:t>
                        </w:r>
                        <w:r>
                          <w:rPr>
                            <w:color w:val="374151"/>
                            <w:spacing w:val="-1"/>
                            <w:sz w:val="28"/>
                          </w:rPr>
                          <w:t> </w:t>
                        </w:r>
                        <w:r>
                          <w:rPr>
                            <w:color w:val="374151"/>
                            <w:sz w:val="28"/>
                          </w:rPr>
                          <w:t>may</w:t>
                        </w:r>
                        <w:r>
                          <w:rPr>
                            <w:color w:val="374151"/>
                            <w:spacing w:val="-1"/>
                            <w:sz w:val="28"/>
                          </w:rPr>
                          <w:t> </w:t>
                        </w:r>
                        <w:r>
                          <w:rPr>
                            <w:color w:val="374151"/>
                            <w:sz w:val="28"/>
                          </w:rPr>
                          <w:t>involve</w:t>
                        </w:r>
                        <w:r>
                          <w:rPr>
                            <w:color w:val="374151"/>
                            <w:spacing w:val="-2"/>
                            <w:sz w:val="28"/>
                          </w:rPr>
                          <w:t> </w:t>
                        </w:r>
                        <w:r>
                          <w:rPr>
                            <w:color w:val="374151"/>
                            <w:sz w:val="28"/>
                          </w:rPr>
                          <w:t>using </w:t>
                        </w:r>
                        <w:r>
                          <w:rPr>
                            <w:color w:val="374151"/>
                            <w:spacing w:val="-2"/>
                            <w:sz w:val="28"/>
                          </w:rPr>
                          <w:t>validated</w:t>
                        </w:r>
                      </w:p>
                    </w:txbxContent>
                  </v:textbox>
                  <v:fill type="solid"/>
                  <w10:wrap type="none"/>
                </v:shape>
                <v:shape style="position:absolute;left:1901;top:126;width:8518;height:320" type="#_x0000_t202" id="docshape202" filled="true" fillcolor="#f7f7f8" stroked="false">
                  <v:textbox inset="0,0,0,0">
                    <w:txbxContent>
                      <w:p>
                        <w:pPr>
                          <w:spacing w:line="308" w:lineRule="exact" w:before="0"/>
                          <w:ind w:left="10" w:right="0" w:firstLine="0"/>
                          <w:jc w:val="left"/>
                          <w:rPr>
                            <w:color w:val="000000"/>
                            <w:sz w:val="28"/>
                          </w:rPr>
                        </w:pPr>
                        <w:r>
                          <w:rPr>
                            <w:color w:val="374151"/>
                            <w:sz w:val="28"/>
                          </w:rPr>
                          <w:t>Utilize</w:t>
                        </w:r>
                        <w:r>
                          <w:rPr>
                            <w:color w:val="374151"/>
                            <w:spacing w:val="-5"/>
                            <w:sz w:val="28"/>
                          </w:rPr>
                          <w:t> </w:t>
                        </w:r>
                        <w:r>
                          <w:rPr>
                            <w:color w:val="374151"/>
                            <w:sz w:val="28"/>
                          </w:rPr>
                          <w:t>assessment</w:t>
                        </w:r>
                        <w:r>
                          <w:rPr>
                            <w:color w:val="374151"/>
                            <w:spacing w:val="-2"/>
                            <w:sz w:val="28"/>
                          </w:rPr>
                          <w:t> </w:t>
                        </w:r>
                        <w:r>
                          <w:rPr>
                            <w:color w:val="374151"/>
                            <w:sz w:val="28"/>
                          </w:rPr>
                          <w:t>measures</w:t>
                        </w:r>
                        <w:r>
                          <w:rPr>
                            <w:color w:val="374151"/>
                            <w:spacing w:val="-2"/>
                            <w:sz w:val="28"/>
                          </w:rPr>
                          <w:t> </w:t>
                        </w:r>
                        <w:r>
                          <w:rPr>
                            <w:color w:val="374151"/>
                            <w:sz w:val="28"/>
                          </w:rPr>
                          <w:t>that</w:t>
                        </w:r>
                        <w:r>
                          <w:rPr>
                            <w:color w:val="374151"/>
                            <w:spacing w:val="-2"/>
                            <w:sz w:val="28"/>
                          </w:rPr>
                          <w:t> </w:t>
                        </w:r>
                        <w:r>
                          <w:rPr>
                            <w:color w:val="374151"/>
                            <w:sz w:val="28"/>
                          </w:rPr>
                          <w:t>are</w:t>
                        </w:r>
                        <w:r>
                          <w:rPr>
                            <w:color w:val="374151"/>
                            <w:spacing w:val="-2"/>
                            <w:sz w:val="28"/>
                          </w:rPr>
                          <w:t> </w:t>
                        </w:r>
                        <w:r>
                          <w:rPr>
                            <w:color w:val="374151"/>
                            <w:sz w:val="28"/>
                          </w:rPr>
                          <w:t>culturally</w:t>
                        </w:r>
                        <w:r>
                          <w:rPr>
                            <w:color w:val="374151"/>
                            <w:spacing w:val="-2"/>
                            <w:sz w:val="28"/>
                          </w:rPr>
                          <w:t> </w:t>
                        </w:r>
                        <w:r>
                          <w:rPr>
                            <w:color w:val="374151"/>
                            <w:sz w:val="28"/>
                          </w:rPr>
                          <w:t>appropriate</w:t>
                        </w:r>
                        <w:r>
                          <w:rPr>
                            <w:color w:val="374151"/>
                            <w:spacing w:val="-3"/>
                            <w:sz w:val="28"/>
                          </w:rPr>
                          <w:t> </w:t>
                        </w:r>
                        <w:r>
                          <w:rPr>
                            <w:color w:val="374151"/>
                            <w:sz w:val="28"/>
                          </w:rPr>
                          <w:t>and</w:t>
                        </w:r>
                        <w:r>
                          <w:rPr>
                            <w:color w:val="374151"/>
                            <w:spacing w:val="-2"/>
                            <w:sz w:val="28"/>
                          </w:rPr>
                          <w:t> </w:t>
                        </w:r>
                        <w:r>
                          <w:rPr>
                            <w:color w:val="374151"/>
                            <w:sz w:val="28"/>
                          </w:rPr>
                          <w:t>sensitive</w:t>
                        </w:r>
                        <w:r>
                          <w:rPr>
                            <w:color w:val="374151"/>
                            <w:spacing w:val="-2"/>
                            <w:sz w:val="28"/>
                          </w:rPr>
                          <w:t> </w:t>
                        </w:r>
                        <w:r>
                          <w:rPr>
                            <w:color w:val="374151"/>
                            <w:spacing w:val="-5"/>
                            <w:sz w:val="28"/>
                          </w:rPr>
                          <w:t>to</w:t>
                        </w:r>
                      </w:p>
                    </w:txbxContent>
                  </v:textbox>
                  <v:fill type="solid"/>
                  <w10:wrap type="none"/>
                </v:shape>
                <w10:wrap type="none"/>
              </v:group>
            </w:pict>
          </mc:Fallback>
        </mc:AlternateContent>
      </w:r>
      <w:r>
        <w:rPr>
          <w:rFonts w:ascii="Segoe UI Symbol" w:hAnsi="Segoe UI Symbol"/>
          <w:color w:val="374151"/>
          <w:w w:val="82"/>
          <w:sz w:val="28"/>
        </w:rPr>
        <w:t>➡</w:t>
      </w:r>
    </w:p>
    <w:p>
      <w:pPr>
        <w:pStyle w:val="BodyText"/>
        <w:rPr>
          <w:rFonts w:ascii="Segoe UI Symbol"/>
          <w:sz w:val="20"/>
        </w:rPr>
      </w:pPr>
    </w:p>
    <w:p>
      <w:pPr>
        <w:pStyle w:val="BodyText"/>
        <w:rPr>
          <w:rFonts w:ascii="Segoe UI Symbol"/>
          <w:sz w:val="20"/>
        </w:rPr>
      </w:pPr>
    </w:p>
    <w:p>
      <w:pPr>
        <w:pStyle w:val="BodyText"/>
        <w:rPr>
          <w:rFonts w:ascii="Segoe UI Symbol"/>
          <w:sz w:val="20"/>
        </w:rPr>
      </w:pPr>
    </w:p>
    <w:p>
      <w:pPr>
        <w:pStyle w:val="BodyText"/>
        <w:spacing w:before="6"/>
        <w:rPr>
          <w:rFonts w:ascii="Segoe UI Symbol"/>
          <w:sz w:val="19"/>
        </w:rPr>
      </w:pPr>
    </w:p>
    <w:p>
      <w:pPr>
        <w:spacing w:before="28"/>
        <w:ind w:left="280" w:right="0" w:firstLine="0"/>
        <w:jc w:val="left"/>
        <w:rPr>
          <w:rFonts w:ascii="Segoe UI Symbol" w:hAnsi="Segoe UI Symbol"/>
          <w:sz w:val="28"/>
        </w:rPr>
      </w:pPr>
      <w:r>
        <w:rPr>
          <w:rFonts w:ascii="Segoe UI Symbol" w:hAnsi="Segoe UI Symbol"/>
          <w:color w:val="374151"/>
          <w:w w:val="82"/>
          <w:sz w:val="28"/>
        </w:rPr>
        <w:t>➡</w:t>
      </w:r>
    </w:p>
    <w:p>
      <w:pPr>
        <w:pStyle w:val="BodyText"/>
        <w:rPr>
          <w:rFonts w:ascii="Segoe UI Symbol"/>
          <w:sz w:val="20"/>
        </w:rPr>
      </w:pPr>
    </w:p>
    <w:p>
      <w:pPr>
        <w:pStyle w:val="BodyText"/>
        <w:rPr>
          <w:rFonts w:ascii="Segoe UI Symbol"/>
          <w:sz w:val="20"/>
        </w:rPr>
      </w:pPr>
    </w:p>
    <w:p>
      <w:pPr>
        <w:pStyle w:val="BodyText"/>
        <w:rPr>
          <w:rFonts w:ascii="Segoe UI Symbol"/>
          <w:sz w:val="20"/>
        </w:rPr>
      </w:pPr>
    </w:p>
    <w:p>
      <w:pPr>
        <w:pStyle w:val="BodyText"/>
        <w:rPr>
          <w:rFonts w:ascii="Segoe UI Symbol"/>
          <w:sz w:val="20"/>
        </w:rPr>
      </w:pPr>
    </w:p>
    <w:p>
      <w:pPr>
        <w:pStyle w:val="BodyText"/>
        <w:rPr>
          <w:rFonts w:ascii="Segoe UI Symbol"/>
          <w:sz w:val="20"/>
        </w:rPr>
      </w:pPr>
    </w:p>
    <w:p>
      <w:pPr>
        <w:pStyle w:val="BodyText"/>
        <w:spacing w:before="5"/>
        <w:rPr>
          <w:rFonts w:ascii="Segoe UI Symbol"/>
          <w:sz w:val="22"/>
        </w:rPr>
      </w:pPr>
    </w:p>
    <w:p>
      <w:pPr>
        <w:spacing w:before="35"/>
        <w:ind w:left="280" w:right="0" w:firstLine="0"/>
        <w:jc w:val="left"/>
        <w:rPr>
          <w:rFonts w:ascii="Segoe UI Symbol" w:hAnsi="Segoe UI Symbol"/>
          <w:sz w:val="28"/>
        </w:rPr>
      </w:pPr>
      <w:r>
        <w:rPr>
          <w:rFonts w:ascii="Segoe UI Symbol" w:hAnsi="Segoe UI Symbol"/>
          <w:color w:val="374151"/>
          <w:w w:val="82"/>
          <w:sz w:val="28"/>
        </w:rPr>
        <w:t>➡</w:t>
      </w:r>
    </w:p>
    <w:p>
      <w:pPr>
        <w:spacing w:after="0"/>
        <w:jc w:val="left"/>
        <w:rPr>
          <w:rFonts w:ascii="Segoe UI Symbol" w:hAnsi="Segoe UI Symbol"/>
          <w:sz w:val="28"/>
        </w:rPr>
        <w:sectPr>
          <w:pgSz w:w="12240" w:h="15840"/>
          <w:pgMar w:header="0" w:footer="765" w:top="1340" w:bottom="980" w:left="1400" w:right="1180"/>
        </w:sectPr>
      </w:pPr>
    </w:p>
    <w:p>
      <w:pPr>
        <w:pStyle w:val="BodyText"/>
        <w:ind w:left="501"/>
        <w:rPr>
          <w:rFonts w:ascii="Segoe UI Symbol"/>
          <w:sz w:val="20"/>
        </w:rPr>
      </w:pPr>
      <w:r>
        <w:rPr>
          <w:rFonts w:ascii="Segoe UI Symbol"/>
          <w:sz w:val="20"/>
        </w:rPr>
        <mc:AlternateContent>
          <mc:Choice Requires="wps">
            <w:drawing>
              <wp:inline distT="0" distB="0" distL="0" distR="0">
                <wp:extent cx="5436870" cy="558165"/>
                <wp:effectExtent l="0" t="0" r="0" b="3809"/>
                <wp:docPr id="204" name="Group 204"/>
                <wp:cNvGraphicFramePr>
                  <a:graphicFrameLocks/>
                </wp:cNvGraphicFramePr>
                <a:graphic>
                  <a:graphicData uri="http://schemas.microsoft.com/office/word/2010/wordprocessingGroup">
                    <wpg:wgp>
                      <wpg:cNvPr id="204" name="Group 204"/>
                      <wpg:cNvGrpSpPr/>
                      <wpg:grpSpPr>
                        <a:xfrm>
                          <a:off x="0" y="0"/>
                          <a:ext cx="5436870" cy="558165"/>
                          <a:chExt cx="5436870" cy="558165"/>
                        </a:xfrm>
                      </wpg:grpSpPr>
                      <wps:wsp>
                        <wps:cNvPr id="205" name="Textbox 205"/>
                        <wps:cNvSpPr txBox="1"/>
                        <wps:spPr>
                          <a:xfrm>
                            <a:off x="0" y="203200"/>
                            <a:ext cx="2447925" cy="354965"/>
                          </a:xfrm>
                          <a:prstGeom prst="rect">
                            <a:avLst/>
                          </a:prstGeom>
                          <a:solidFill>
                            <a:srgbClr val="F7F7F8"/>
                          </a:solidFill>
                        </wps:spPr>
                        <wps:txbx>
                          <w:txbxContent>
                            <w:p>
                              <w:pPr>
                                <w:spacing w:line="277" w:lineRule="exact" w:before="0"/>
                                <w:ind w:left="0" w:right="-15" w:firstLine="0"/>
                                <w:jc w:val="left"/>
                                <w:rPr>
                                  <w:color w:val="000000"/>
                                  <w:sz w:val="28"/>
                                </w:rPr>
                              </w:pPr>
                              <w:r>
                                <w:rPr>
                                  <w:color w:val="374151"/>
                                  <w:sz w:val="28"/>
                                </w:rPr>
                                <w:t>understanding</w:t>
                              </w:r>
                              <w:r>
                                <w:rPr>
                                  <w:color w:val="374151"/>
                                  <w:spacing w:val="-2"/>
                                  <w:sz w:val="28"/>
                                </w:rPr>
                                <w:t> </w:t>
                              </w:r>
                              <w:r>
                                <w:rPr>
                                  <w:color w:val="374151"/>
                                  <w:sz w:val="28"/>
                                </w:rPr>
                                <w:t>of</w:t>
                              </w:r>
                              <w:r>
                                <w:rPr>
                                  <w:color w:val="374151"/>
                                  <w:spacing w:val="-1"/>
                                  <w:sz w:val="28"/>
                                </w:rPr>
                                <w:t> </w:t>
                              </w:r>
                              <w:r>
                                <w:rPr>
                                  <w:color w:val="374151"/>
                                  <w:sz w:val="28"/>
                                </w:rPr>
                                <w:t>human</w:t>
                              </w:r>
                              <w:r>
                                <w:rPr>
                                  <w:color w:val="374151"/>
                                  <w:spacing w:val="-1"/>
                                  <w:sz w:val="28"/>
                                </w:rPr>
                                <w:t> </w:t>
                              </w:r>
                              <w:r>
                                <w:rPr>
                                  <w:color w:val="374151"/>
                                  <w:spacing w:val="-2"/>
                                  <w:sz w:val="28"/>
                                </w:rPr>
                                <w:t>sexuality.</w:t>
                              </w:r>
                            </w:p>
                          </w:txbxContent>
                        </wps:txbx>
                        <wps:bodyPr wrap="square" lIns="0" tIns="0" rIns="0" bIns="0" rtlCol="0">
                          <a:noAutofit/>
                        </wps:bodyPr>
                      </wps:wsp>
                      <wps:wsp>
                        <wps:cNvPr id="206" name="Textbox 206"/>
                        <wps:cNvSpPr txBox="1"/>
                        <wps:spPr>
                          <a:xfrm>
                            <a:off x="0" y="0"/>
                            <a:ext cx="5436870" cy="203200"/>
                          </a:xfrm>
                          <a:prstGeom prst="rect">
                            <a:avLst/>
                          </a:prstGeom>
                          <a:solidFill>
                            <a:srgbClr val="F7F7F8"/>
                          </a:solidFill>
                        </wps:spPr>
                        <wps:txbx>
                          <w:txbxContent>
                            <w:p>
                              <w:pPr>
                                <w:spacing w:line="308" w:lineRule="exact" w:before="0"/>
                                <w:ind w:left="0" w:right="0" w:firstLine="0"/>
                                <w:jc w:val="left"/>
                                <w:rPr>
                                  <w:color w:val="000000"/>
                                  <w:sz w:val="28"/>
                                </w:rPr>
                              </w:pPr>
                              <w:r>
                                <w:rPr>
                                  <w:color w:val="374151"/>
                                  <w:sz w:val="28"/>
                                </w:rPr>
                                <w:t>their</w:t>
                              </w:r>
                              <w:r>
                                <w:rPr>
                                  <w:color w:val="374151"/>
                                  <w:spacing w:val="-2"/>
                                  <w:sz w:val="28"/>
                                </w:rPr>
                                <w:t> </w:t>
                              </w:r>
                              <w:r>
                                <w:rPr>
                                  <w:color w:val="374151"/>
                                  <w:sz w:val="28"/>
                                </w:rPr>
                                <w:t>unique</w:t>
                              </w:r>
                              <w:r>
                                <w:rPr>
                                  <w:color w:val="374151"/>
                                  <w:spacing w:val="-2"/>
                                  <w:sz w:val="28"/>
                                </w:rPr>
                                <w:t> </w:t>
                              </w:r>
                              <w:r>
                                <w:rPr>
                                  <w:color w:val="374151"/>
                                  <w:sz w:val="28"/>
                                </w:rPr>
                                <w:t>experiences</w:t>
                              </w:r>
                              <w:r>
                                <w:rPr>
                                  <w:color w:val="374151"/>
                                  <w:spacing w:val="-2"/>
                                  <w:sz w:val="28"/>
                                </w:rPr>
                                <w:t> </w:t>
                              </w:r>
                              <w:r>
                                <w:rPr>
                                  <w:color w:val="374151"/>
                                  <w:sz w:val="28"/>
                                </w:rPr>
                                <w:t>and</w:t>
                              </w:r>
                              <w:r>
                                <w:rPr>
                                  <w:color w:val="374151"/>
                                  <w:spacing w:val="-1"/>
                                  <w:sz w:val="28"/>
                                </w:rPr>
                                <w:t> </w:t>
                              </w:r>
                              <w:r>
                                <w:rPr>
                                  <w:color w:val="374151"/>
                                  <w:sz w:val="28"/>
                                </w:rPr>
                                <w:t>provides</w:t>
                              </w:r>
                              <w:r>
                                <w:rPr>
                                  <w:color w:val="374151"/>
                                  <w:spacing w:val="-1"/>
                                  <w:sz w:val="28"/>
                                </w:rPr>
                                <w:t> </w:t>
                              </w:r>
                              <w:r>
                                <w:rPr>
                                  <w:color w:val="374151"/>
                                  <w:sz w:val="28"/>
                                </w:rPr>
                                <w:t>insights</w:t>
                              </w:r>
                              <w:r>
                                <w:rPr>
                                  <w:color w:val="374151"/>
                                  <w:spacing w:val="-2"/>
                                  <w:sz w:val="28"/>
                                </w:rPr>
                                <w:t> </w:t>
                              </w:r>
                              <w:r>
                                <w:rPr>
                                  <w:color w:val="374151"/>
                                  <w:sz w:val="28"/>
                                </w:rPr>
                                <w:t>into</w:t>
                              </w:r>
                              <w:r>
                                <w:rPr>
                                  <w:color w:val="374151"/>
                                  <w:spacing w:val="-1"/>
                                  <w:sz w:val="28"/>
                                </w:rPr>
                                <w:t> </w:t>
                              </w:r>
                              <w:r>
                                <w:rPr>
                                  <w:color w:val="374151"/>
                                  <w:sz w:val="28"/>
                                </w:rPr>
                                <w:t>how</w:t>
                              </w:r>
                              <w:r>
                                <w:rPr>
                                  <w:color w:val="374151"/>
                                  <w:spacing w:val="-2"/>
                                  <w:sz w:val="28"/>
                                </w:rPr>
                                <w:t> </w:t>
                              </w:r>
                              <w:r>
                                <w:rPr>
                                  <w:color w:val="374151"/>
                                  <w:sz w:val="28"/>
                                </w:rPr>
                                <w:t>culture</w:t>
                              </w:r>
                              <w:r>
                                <w:rPr>
                                  <w:color w:val="374151"/>
                                  <w:spacing w:val="-2"/>
                                  <w:sz w:val="28"/>
                                </w:rPr>
                                <w:t> </w:t>
                              </w:r>
                              <w:r>
                                <w:rPr>
                                  <w:color w:val="374151"/>
                                  <w:sz w:val="28"/>
                                </w:rPr>
                                <w:t>shapes</w:t>
                              </w:r>
                              <w:r>
                                <w:rPr>
                                  <w:color w:val="374151"/>
                                  <w:spacing w:val="-1"/>
                                  <w:sz w:val="28"/>
                                </w:rPr>
                                <w:t> </w:t>
                              </w:r>
                              <w:r>
                                <w:rPr>
                                  <w:color w:val="374151"/>
                                  <w:spacing w:val="-2"/>
                                  <w:sz w:val="28"/>
                                </w:rPr>
                                <w:t>their</w:t>
                              </w:r>
                            </w:p>
                          </w:txbxContent>
                        </wps:txbx>
                        <wps:bodyPr wrap="square" lIns="0" tIns="0" rIns="0" bIns="0" rtlCol="0">
                          <a:noAutofit/>
                        </wps:bodyPr>
                      </wps:wsp>
                    </wpg:wgp>
                  </a:graphicData>
                </a:graphic>
              </wp:inline>
            </w:drawing>
          </mc:Choice>
          <mc:Fallback>
            <w:pict>
              <v:group style="width:428.1pt;height:43.95pt;mso-position-horizontal-relative:char;mso-position-vertical-relative:line" id="docshapegroup203" coordorigin="0,0" coordsize="8562,879">
                <v:shape style="position:absolute;left:0;top:320;width:3855;height:559" type="#_x0000_t202" id="docshape204" filled="true" fillcolor="#f7f7f8" stroked="false">
                  <v:textbox inset="0,0,0,0">
                    <w:txbxContent>
                      <w:p>
                        <w:pPr>
                          <w:spacing w:line="277" w:lineRule="exact" w:before="0"/>
                          <w:ind w:left="0" w:right="-15" w:firstLine="0"/>
                          <w:jc w:val="left"/>
                          <w:rPr>
                            <w:color w:val="000000"/>
                            <w:sz w:val="28"/>
                          </w:rPr>
                        </w:pPr>
                        <w:r>
                          <w:rPr>
                            <w:color w:val="374151"/>
                            <w:sz w:val="28"/>
                          </w:rPr>
                          <w:t>understanding</w:t>
                        </w:r>
                        <w:r>
                          <w:rPr>
                            <w:color w:val="374151"/>
                            <w:spacing w:val="-2"/>
                            <w:sz w:val="28"/>
                          </w:rPr>
                          <w:t> </w:t>
                        </w:r>
                        <w:r>
                          <w:rPr>
                            <w:color w:val="374151"/>
                            <w:sz w:val="28"/>
                          </w:rPr>
                          <w:t>of</w:t>
                        </w:r>
                        <w:r>
                          <w:rPr>
                            <w:color w:val="374151"/>
                            <w:spacing w:val="-1"/>
                            <w:sz w:val="28"/>
                          </w:rPr>
                          <w:t> </w:t>
                        </w:r>
                        <w:r>
                          <w:rPr>
                            <w:color w:val="374151"/>
                            <w:sz w:val="28"/>
                          </w:rPr>
                          <w:t>human</w:t>
                        </w:r>
                        <w:r>
                          <w:rPr>
                            <w:color w:val="374151"/>
                            <w:spacing w:val="-1"/>
                            <w:sz w:val="28"/>
                          </w:rPr>
                          <w:t> </w:t>
                        </w:r>
                        <w:r>
                          <w:rPr>
                            <w:color w:val="374151"/>
                            <w:spacing w:val="-2"/>
                            <w:sz w:val="28"/>
                          </w:rPr>
                          <w:t>sexuality.</w:t>
                        </w:r>
                      </w:p>
                    </w:txbxContent>
                  </v:textbox>
                  <v:fill type="solid"/>
                  <w10:wrap type="none"/>
                </v:shape>
                <v:shape style="position:absolute;left:0;top:0;width:8562;height:320" type="#_x0000_t202" id="docshape205" filled="true" fillcolor="#f7f7f8" stroked="false">
                  <v:textbox inset="0,0,0,0">
                    <w:txbxContent>
                      <w:p>
                        <w:pPr>
                          <w:spacing w:line="308" w:lineRule="exact" w:before="0"/>
                          <w:ind w:left="0" w:right="0" w:firstLine="0"/>
                          <w:jc w:val="left"/>
                          <w:rPr>
                            <w:color w:val="000000"/>
                            <w:sz w:val="28"/>
                          </w:rPr>
                        </w:pPr>
                        <w:r>
                          <w:rPr>
                            <w:color w:val="374151"/>
                            <w:sz w:val="28"/>
                          </w:rPr>
                          <w:t>their</w:t>
                        </w:r>
                        <w:r>
                          <w:rPr>
                            <w:color w:val="374151"/>
                            <w:spacing w:val="-2"/>
                            <w:sz w:val="28"/>
                          </w:rPr>
                          <w:t> </w:t>
                        </w:r>
                        <w:r>
                          <w:rPr>
                            <w:color w:val="374151"/>
                            <w:sz w:val="28"/>
                          </w:rPr>
                          <w:t>unique</w:t>
                        </w:r>
                        <w:r>
                          <w:rPr>
                            <w:color w:val="374151"/>
                            <w:spacing w:val="-2"/>
                            <w:sz w:val="28"/>
                          </w:rPr>
                          <w:t> </w:t>
                        </w:r>
                        <w:r>
                          <w:rPr>
                            <w:color w:val="374151"/>
                            <w:sz w:val="28"/>
                          </w:rPr>
                          <w:t>experiences</w:t>
                        </w:r>
                        <w:r>
                          <w:rPr>
                            <w:color w:val="374151"/>
                            <w:spacing w:val="-2"/>
                            <w:sz w:val="28"/>
                          </w:rPr>
                          <w:t> </w:t>
                        </w:r>
                        <w:r>
                          <w:rPr>
                            <w:color w:val="374151"/>
                            <w:sz w:val="28"/>
                          </w:rPr>
                          <w:t>and</w:t>
                        </w:r>
                        <w:r>
                          <w:rPr>
                            <w:color w:val="374151"/>
                            <w:spacing w:val="-1"/>
                            <w:sz w:val="28"/>
                          </w:rPr>
                          <w:t> </w:t>
                        </w:r>
                        <w:r>
                          <w:rPr>
                            <w:color w:val="374151"/>
                            <w:sz w:val="28"/>
                          </w:rPr>
                          <w:t>provides</w:t>
                        </w:r>
                        <w:r>
                          <w:rPr>
                            <w:color w:val="374151"/>
                            <w:spacing w:val="-1"/>
                            <w:sz w:val="28"/>
                          </w:rPr>
                          <w:t> </w:t>
                        </w:r>
                        <w:r>
                          <w:rPr>
                            <w:color w:val="374151"/>
                            <w:sz w:val="28"/>
                          </w:rPr>
                          <w:t>insights</w:t>
                        </w:r>
                        <w:r>
                          <w:rPr>
                            <w:color w:val="374151"/>
                            <w:spacing w:val="-2"/>
                            <w:sz w:val="28"/>
                          </w:rPr>
                          <w:t> </w:t>
                        </w:r>
                        <w:r>
                          <w:rPr>
                            <w:color w:val="374151"/>
                            <w:sz w:val="28"/>
                          </w:rPr>
                          <w:t>into</w:t>
                        </w:r>
                        <w:r>
                          <w:rPr>
                            <w:color w:val="374151"/>
                            <w:spacing w:val="-1"/>
                            <w:sz w:val="28"/>
                          </w:rPr>
                          <w:t> </w:t>
                        </w:r>
                        <w:r>
                          <w:rPr>
                            <w:color w:val="374151"/>
                            <w:sz w:val="28"/>
                          </w:rPr>
                          <w:t>how</w:t>
                        </w:r>
                        <w:r>
                          <w:rPr>
                            <w:color w:val="374151"/>
                            <w:spacing w:val="-2"/>
                            <w:sz w:val="28"/>
                          </w:rPr>
                          <w:t> </w:t>
                        </w:r>
                        <w:r>
                          <w:rPr>
                            <w:color w:val="374151"/>
                            <w:sz w:val="28"/>
                          </w:rPr>
                          <w:t>culture</w:t>
                        </w:r>
                        <w:r>
                          <w:rPr>
                            <w:color w:val="374151"/>
                            <w:spacing w:val="-2"/>
                            <w:sz w:val="28"/>
                          </w:rPr>
                          <w:t> </w:t>
                        </w:r>
                        <w:r>
                          <w:rPr>
                            <w:color w:val="374151"/>
                            <w:sz w:val="28"/>
                          </w:rPr>
                          <w:t>shapes</w:t>
                        </w:r>
                        <w:r>
                          <w:rPr>
                            <w:color w:val="374151"/>
                            <w:spacing w:val="-1"/>
                            <w:sz w:val="28"/>
                          </w:rPr>
                          <w:t> </w:t>
                        </w:r>
                        <w:r>
                          <w:rPr>
                            <w:color w:val="374151"/>
                            <w:spacing w:val="-2"/>
                            <w:sz w:val="28"/>
                          </w:rPr>
                          <w:t>their</w:t>
                        </w:r>
                      </w:p>
                    </w:txbxContent>
                  </v:textbox>
                  <v:fill type="solid"/>
                  <w10:wrap type="none"/>
                </v:shape>
              </v:group>
            </w:pict>
          </mc:Fallback>
        </mc:AlternateContent>
      </w:r>
      <w:r>
        <w:rPr>
          <w:rFonts w:ascii="Segoe UI Symbol"/>
          <w:sz w:val="20"/>
        </w:rPr>
      </w:r>
    </w:p>
    <w:p>
      <w:pPr>
        <w:pStyle w:val="BodyText"/>
        <w:spacing w:line="296" w:lineRule="exact"/>
        <w:ind w:left="280"/>
      </w:pPr>
      <w:r>
        <w:rPr>
          <w:rFonts w:ascii="Segoe UI Symbol" w:hAnsi="Segoe UI Symbol"/>
          <w:color w:val="374151"/>
          <w:position w:val="1"/>
        </w:rPr>
        <w:t>➡</w:t>
      </w:r>
      <w:r>
        <w:rPr>
          <w:color w:val="374151"/>
          <w:shd w:fill="F7F7F8" w:color="auto" w:val="clear"/>
        </w:rPr>
        <w:t>Cultural</w:t>
      </w:r>
      <w:r>
        <w:rPr>
          <w:color w:val="374151"/>
          <w:spacing w:val="-18"/>
          <w:shd w:fill="F7F7F8" w:color="auto" w:val="clear"/>
        </w:rPr>
        <w:t> </w:t>
      </w:r>
      <w:r>
        <w:rPr>
          <w:color w:val="374151"/>
          <w:shd w:fill="F7F7F8" w:color="auto" w:val="clear"/>
        </w:rPr>
        <w:t>Awareness</w:t>
      </w:r>
      <w:r>
        <w:rPr>
          <w:color w:val="374151"/>
          <w:spacing w:val="-17"/>
          <w:shd w:fill="F7F7F8" w:color="auto" w:val="clear"/>
        </w:rPr>
        <w:t> </w:t>
      </w:r>
      <w:r>
        <w:rPr>
          <w:color w:val="374151"/>
          <w:shd w:fill="F7F7F8" w:color="auto" w:val="clear"/>
        </w:rPr>
        <w:t>and</w:t>
      </w:r>
      <w:r>
        <w:rPr>
          <w:color w:val="374151"/>
          <w:spacing w:val="-18"/>
          <w:shd w:fill="F7F7F8" w:color="auto" w:val="clear"/>
        </w:rPr>
        <w:t> </w:t>
      </w:r>
      <w:r>
        <w:rPr>
          <w:color w:val="374151"/>
          <w:shd w:fill="F7F7F8" w:color="auto" w:val="clear"/>
        </w:rPr>
        <w:t>Sensitivity:</w:t>
      </w:r>
      <w:r>
        <w:rPr>
          <w:color w:val="374151"/>
          <w:spacing w:val="-14"/>
          <w:shd w:fill="F7F7F8" w:color="auto" w:val="clear"/>
        </w:rPr>
        <w:t> </w:t>
      </w:r>
      <w:r>
        <w:rPr>
          <w:color w:val="374151"/>
          <w:shd w:fill="F7F7F8" w:color="auto" w:val="clear"/>
        </w:rPr>
        <w:t>Cultivate</w:t>
      </w:r>
      <w:r>
        <w:rPr>
          <w:color w:val="374151"/>
          <w:spacing w:val="-14"/>
          <w:shd w:fill="F7F7F8" w:color="auto" w:val="clear"/>
        </w:rPr>
        <w:t> </w:t>
      </w:r>
      <w:r>
        <w:rPr>
          <w:color w:val="374151"/>
          <w:shd w:fill="F7F7F8" w:color="auto" w:val="clear"/>
        </w:rPr>
        <w:t>cultural</w:t>
      </w:r>
      <w:r>
        <w:rPr>
          <w:color w:val="374151"/>
          <w:spacing w:val="-14"/>
          <w:shd w:fill="F7F7F8" w:color="auto" w:val="clear"/>
        </w:rPr>
        <w:t> </w:t>
      </w:r>
      <w:r>
        <w:rPr>
          <w:color w:val="374151"/>
          <w:shd w:fill="F7F7F8" w:color="auto" w:val="clear"/>
        </w:rPr>
        <w:t>awareness</w:t>
      </w:r>
      <w:r>
        <w:rPr>
          <w:color w:val="374151"/>
          <w:spacing w:val="-13"/>
          <w:shd w:fill="F7F7F8" w:color="auto" w:val="clear"/>
        </w:rPr>
        <w:t> </w:t>
      </w:r>
      <w:r>
        <w:rPr>
          <w:color w:val="374151"/>
          <w:spacing w:val="-5"/>
          <w:shd w:fill="F7F7F8" w:color="auto" w:val="clear"/>
        </w:rPr>
        <w:t>and</w:t>
      </w:r>
      <w:r>
        <w:rPr>
          <w:color w:val="374151"/>
          <w:spacing w:val="40"/>
          <w:shd w:fill="F7F7F8" w:color="auto" w:val="clear"/>
        </w:rPr>
        <w:t> </w:t>
      </w:r>
    </w:p>
    <w:p>
      <w:pPr>
        <w:pStyle w:val="BodyText"/>
        <w:ind w:left="501" w:right="499"/>
      </w:pPr>
      <w:r>
        <w:rPr>
          <w:color w:val="374151"/>
          <w:shd w:fill="F7F7F8" w:color="auto" w:val="clear"/>
        </w:rPr>
        <w:t>sensitivity as a mental health professional. This involves recognizing one's </w:t>
      </w:r>
      <w:r>
        <w:rPr>
          <w:color w:val="374151"/>
        </w:rPr>
        <w:t> </w:t>
      </w:r>
      <w:r>
        <w:rPr>
          <w:color w:val="374151"/>
          <w:shd w:fill="F7F7F8" w:color="auto" w:val="clear"/>
        </w:rPr>
        <w:t>own</w:t>
      </w:r>
      <w:r>
        <w:rPr>
          <w:color w:val="374151"/>
          <w:spacing w:val="-5"/>
          <w:shd w:fill="F7F7F8" w:color="auto" w:val="clear"/>
        </w:rPr>
        <w:t> </w:t>
      </w:r>
      <w:r>
        <w:rPr>
          <w:color w:val="374151"/>
          <w:shd w:fill="F7F7F8" w:color="auto" w:val="clear"/>
        </w:rPr>
        <w:t>biases,</w:t>
      </w:r>
      <w:r>
        <w:rPr>
          <w:color w:val="374151"/>
          <w:spacing w:val="-5"/>
          <w:shd w:fill="F7F7F8" w:color="auto" w:val="clear"/>
        </w:rPr>
        <w:t> </w:t>
      </w:r>
      <w:r>
        <w:rPr>
          <w:color w:val="374151"/>
          <w:shd w:fill="F7F7F8" w:color="auto" w:val="clear"/>
        </w:rPr>
        <w:t>assumptions,</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stereotypes</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continuously</w:t>
      </w:r>
      <w:r>
        <w:rPr>
          <w:color w:val="374151"/>
          <w:spacing w:val="-5"/>
          <w:shd w:fill="F7F7F8" w:color="auto" w:val="clear"/>
        </w:rPr>
        <w:t> </w:t>
      </w:r>
      <w:r>
        <w:rPr>
          <w:color w:val="374151"/>
          <w:shd w:fill="F7F7F8" w:color="auto" w:val="clear"/>
        </w:rPr>
        <w:t>engaging</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self-</w:t>
      </w:r>
      <w:r>
        <w:rPr>
          <w:color w:val="374151"/>
        </w:rPr>
        <w:t> </w:t>
      </w:r>
      <w:r>
        <w:rPr>
          <w:color w:val="374151"/>
          <w:shd w:fill="F7F7F8" w:color="auto" w:val="clear"/>
        </w:rPr>
        <w:t>reflection to promote cultural humility.</w:t>
      </w:r>
    </w:p>
    <w:p>
      <w:pPr>
        <w:pStyle w:val="BodyText"/>
        <w:spacing w:before="262"/>
        <w:ind w:left="501" w:right="502" w:hanging="222"/>
      </w:pPr>
      <w:r>
        <w:rPr>
          <w:rFonts w:ascii="Segoe UI Symbol" w:hAnsi="Segoe UI Symbol"/>
          <w:color w:val="374151"/>
          <w:position w:val="1"/>
        </w:rPr>
        <w:t>➡</w:t>
      </w:r>
      <w:r>
        <w:rPr>
          <w:color w:val="374151"/>
          <w:shd w:fill="F7F7F8" w:color="auto" w:val="clear"/>
        </w:rPr>
        <w:t>Cultural</w:t>
      </w:r>
      <w:r>
        <w:rPr>
          <w:color w:val="374151"/>
          <w:spacing w:val="-1"/>
          <w:shd w:fill="F7F7F8" w:color="auto" w:val="clear"/>
        </w:rPr>
        <w:t> </w:t>
      </w:r>
      <w:r>
        <w:rPr>
          <w:color w:val="374151"/>
          <w:shd w:fill="F7F7F8" w:color="auto" w:val="clear"/>
        </w:rPr>
        <w:t>Empathy</w:t>
      </w:r>
      <w:r>
        <w:rPr>
          <w:color w:val="374151"/>
          <w:spacing w:val="-1"/>
          <w:shd w:fill="F7F7F8" w:color="auto" w:val="clear"/>
        </w:rPr>
        <w:t> </w:t>
      </w:r>
      <w:r>
        <w:rPr>
          <w:color w:val="374151"/>
          <w:shd w:fill="F7F7F8" w:color="auto" w:val="clear"/>
        </w:rPr>
        <w:t>and</w:t>
      </w:r>
      <w:r>
        <w:rPr>
          <w:color w:val="374151"/>
          <w:spacing w:val="-7"/>
          <w:shd w:fill="F7F7F8" w:color="auto" w:val="clear"/>
        </w:rPr>
        <w:t> </w:t>
      </w:r>
      <w:r>
        <w:rPr>
          <w:color w:val="374151"/>
          <w:shd w:fill="F7F7F8" w:color="auto" w:val="clear"/>
        </w:rPr>
        <w:t>Validation:</w:t>
      </w:r>
      <w:r>
        <w:rPr>
          <w:color w:val="374151"/>
          <w:spacing w:val="-1"/>
          <w:shd w:fill="F7F7F8" w:color="auto" w:val="clear"/>
        </w:rPr>
        <w:t> </w:t>
      </w:r>
      <w:r>
        <w:rPr>
          <w:color w:val="374151"/>
          <w:shd w:fill="F7F7F8" w:color="auto" w:val="clear"/>
        </w:rPr>
        <w:t>Demonstrate</w:t>
      </w:r>
      <w:r>
        <w:rPr>
          <w:color w:val="374151"/>
          <w:spacing w:val="-2"/>
          <w:shd w:fill="F7F7F8" w:color="auto" w:val="clear"/>
        </w:rPr>
        <w:t> </w:t>
      </w:r>
      <w:r>
        <w:rPr>
          <w:color w:val="374151"/>
          <w:shd w:fill="F7F7F8" w:color="auto" w:val="clear"/>
        </w:rPr>
        <w:t>empathy</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validation</w:t>
      </w:r>
      <w:r>
        <w:rPr>
          <w:color w:val="374151"/>
          <w:spacing w:val="-2"/>
          <w:shd w:fill="F7F7F8" w:color="auto" w:val="clear"/>
        </w:rPr>
        <w:t> </w:t>
      </w:r>
      <w:r>
        <w:rPr>
          <w:color w:val="374151"/>
          <w:spacing w:val="-2"/>
        </w:rPr>
        <w:t> </w:t>
      </w:r>
      <w:r>
        <w:rPr>
          <w:color w:val="374151"/>
          <w:shd w:fill="F7F7F8" w:color="auto" w:val="clear"/>
        </w:rPr>
        <w:t>toward</w:t>
      </w:r>
      <w:r>
        <w:rPr>
          <w:color w:val="374151"/>
          <w:spacing w:val="-10"/>
          <w:shd w:fill="F7F7F8" w:color="auto" w:val="clear"/>
        </w:rPr>
        <w:t> </w:t>
      </w:r>
      <w:r>
        <w:rPr>
          <w:color w:val="374151"/>
          <w:shd w:fill="F7F7F8" w:color="auto" w:val="clear"/>
        </w:rPr>
        <w:t>individuals'</w:t>
      </w:r>
      <w:r>
        <w:rPr>
          <w:color w:val="374151"/>
          <w:spacing w:val="-10"/>
          <w:shd w:fill="F7F7F8" w:color="auto" w:val="clear"/>
        </w:rPr>
        <w:t> </w:t>
      </w:r>
      <w:r>
        <w:rPr>
          <w:color w:val="374151"/>
          <w:shd w:fill="F7F7F8" w:color="auto" w:val="clear"/>
        </w:rPr>
        <w:t>cultural</w:t>
      </w:r>
      <w:r>
        <w:rPr>
          <w:color w:val="374151"/>
          <w:spacing w:val="-10"/>
          <w:shd w:fill="F7F7F8" w:color="auto" w:val="clear"/>
        </w:rPr>
        <w:t> </w:t>
      </w:r>
      <w:r>
        <w:rPr>
          <w:color w:val="374151"/>
          <w:shd w:fill="F7F7F8" w:color="auto" w:val="clear"/>
        </w:rPr>
        <w:t>experiences</w:t>
      </w:r>
      <w:r>
        <w:rPr>
          <w:color w:val="374151"/>
          <w:spacing w:val="-10"/>
          <w:shd w:fill="F7F7F8" w:color="auto" w:val="clear"/>
        </w:rPr>
        <w:t> </w:t>
      </w:r>
      <w:r>
        <w:rPr>
          <w:color w:val="374151"/>
          <w:shd w:fill="F7F7F8" w:color="auto" w:val="clear"/>
        </w:rPr>
        <w:t>related</w:t>
      </w:r>
      <w:r>
        <w:rPr>
          <w:color w:val="374151"/>
          <w:spacing w:val="-10"/>
          <w:shd w:fill="F7F7F8" w:color="auto" w:val="clear"/>
        </w:rPr>
        <w:t> </w:t>
      </w:r>
      <w:r>
        <w:rPr>
          <w:color w:val="374151"/>
          <w:shd w:fill="F7F7F8" w:color="auto" w:val="clear"/>
        </w:rPr>
        <w:t>to</w:t>
      </w:r>
      <w:r>
        <w:rPr>
          <w:color w:val="374151"/>
          <w:spacing w:val="-10"/>
          <w:shd w:fill="F7F7F8" w:color="auto" w:val="clear"/>
        </w:rPr>
        <w:t> </w:t>
      </w:r>
      <w:r>
        <w:rPr>
          <w:color w:val="374151"/>
          <w:shd w:fill="F7F7F8" w:color="auto" w:val="clear"/>
        </w:rPr>
        <w:t>human</w:t>
      </w:r>
      <w:r>
        <w:rPr>
          <w:color w:val="374151"/>
          <w:spacing w:val="-10"/>
          <w:shd w:fill="F7F7F8" w:color="auto" w:val="clear"/>
        </w:rPr>
        <w:t> </w:t>
      </w:r>
      <w:r>
        <w:rPr>
          <w:color w:val="374151"/>
          <w:shd w:fill="F7F7F8" w:color="auto" w:val="clear"/>
        </w:rPr>
        <w:t>sexuality.</w:t>
      </w:r>
      <w:r>
        <w:rPr>
          <w:color w:val="374151"/>
          <w:spacing w:val="-15"/>
          <w:shd w:fill="F7F7F8" w:color="auto" w:val="clear"/>
        </w:rPr>
        <w:t> </w:t>
      </w:r>
      <w:r>
        <w:rPr>
          <w:color w:val="374151"/>
          <w:shd w:fill="F7F7F8" w:color="auto" w:val="clear"/>
        </w:rPr>
        <w:t>Validate</w:t>
      </w:r>
      <w:r>
        <w:rPr>
          <w:color w:val="374151"/>
          <w:spacing w:val="-11"/>
          <w:shd w:fill="F7F7F8" w:color="auto" w:val="clear"/>
        </w:rPr>
        <w:t> </w:t>
      </w:r>
      <w:r>
        <w:rPr>
          <w:color w:val="374151"/>
          <w:spacing w:val="-11"/>
        </w:rPr>
        <w:t> </w:t>
      </w:r>
      <w:r>
        <w:rPr>
          <w:color w:val="374151"/>
          <w:shd w:fill="F7F7F8" w:color="auto" w:val="clear"/>
        </w:rPr>
        <w:t>the impact of cultural norms, beliefs, and values on their sexual identity, </w:t>
      </w:r>
      <w:r>
        <w:rPr>
          <w:color w:val="374151"/>
        </w:rPr>
        <w:t> </w:t>
      </w:r>
      <w:r>
        <w:rPr>
          <w:color w:val="374151"/>
          <w:shd w:fill="F7F7F8" w:color="auto" w:val="clear"/>
        </w:rPr>
        <w:t>attitudes, and behaviors, fostering a safe and non-judgmental assessment </w:t>
      </w:r>
      <w:r>
        <w:rPr>
          <w:color w:val="374151"/>
        </w:rPr>
        <w:t> </w:t>
      </w:r>
      <w:r>
        <w:rPr>
          <w:color w:val="374151"/>
          <w:spacing w:val="-2"/>
          <w:shd w:fill="F7F7F8" w:color="auto" w:val="clear"/>
        </w:rPr>
        <w:t>environment.</w:t>
      </w:r>
    </w:p>
    <w:p>
      <w:pPr>
        <w:pStyle w:val="BodyText"/>
        <w:spacing w:before="259"/>
        <w:ind w:left="501" w:right="515" w:hanging="222"/>
      </w:pPr>
      <w:r>
        <w:rPr>
          <w:rFonts w:ascii="Segoe UI Symbol" w:hAnsi="Segoe UI Symbol"/>
          <w:color w:val="374151"/>
          <w:position w:val="1"/>
        </w:rPr>
        <w:t>➡</w:t>
      </w:r>
      <w:r>
        <w:rPr>
          <w:color w:val="374151"/>
          <w:shd w:fill="F7F7F8" w:color="auto" w:val="clear"/>
        </w:rPr>
        <w:t>Intersectionality:</w:t>
      </w:r>
      <w:r>
        <w:rPr>
          <w:color w:val="374151"/>
          <w:spacing w:val="-14"/>
          <w:shd w:fill="F7F7F8" w:color="auto" w:val="clear"/>
        </w:rPr>
        <w:t> </w:t>
      </w:r>
      <w:r>
        <w:rPr>
          <w:color w:val="374151"/>
          <w:shd w:fill="F7F7F8" w:color="auto" w:val="clear"/>
        </w:rPr>
        <w:t>Acknowledge the intersectionality of culture, race, </w:t>
      </w:r>
      <w:r>
        <w:rPr>
          <w:color w:val="374151"/>
        </w:rPr>
        <w:t> </w:t>
      </w:r>
      <w:r>
        <w:rPr>
          <w:color w:val="374151"/>
          <w:shd w:fill="F7F7F8" w:color="auto" w:val="clear"/>
        </w:rPr>
        <w:t>ethnicity, gender, sexual orientation, and other social identities. Consider </w:t>
      </w:r>
      <w:r>
        <w:rPr>
          <w:color w:val="374151"/>
        </w:rPr>
        <w:t> </w:t>
      </w:r>
      <w:r>
        <w:rPr>
          <w:color w:val="374151"/>
          <w:shd w:fill="F7F7F8" w:color="auto" w:val="clear"/>
        </w:rPr>
        <w:t>how</w:t>
      </w:r>
      <w:r>
        <w:rPr>
          <w:color w:val="374151"/>
          <w:spacing w:val="-4"/>
          <w:shd w:fill="F7F7F8" w:color="auto" w:val="clear"/>
        </w:rPr>
        <w:t> </w:t>
      </w:r>
      <w:r>
        <w:rPr>
          <w:color w:val="374151"/>
          <w:shd w:fill="F7F7F8" w:color="auto" w:val="clear"/>
        </w:rPr>
        <w:t>these</w:t>
      </w:r>
      <w:r>
        <w:rPr>
          <w:color w:val="374151"/>
          <w:spacing w:val="-5"/>
          <w:shd w:fill="F7F7F8" w:color="auto" w:val="clear"/>
        </w:rPr>
        <w:t> </w:t>
      </w:r>
      <w:r>
        <w:rPr>
          <w:color w:val="374151"/>
          <w:shd w:fill="F7F7F8" w:color="auto" w:val="clear"/>
        </w:rPr>
        <w:t>intersecting</w:t>
      </w:r>
      <w:r>
        <w:rPr>
          <w:color w:val="374151"/>
          <w:spacing w:val="-4"/>
          <w:shd w:fill="F7F7F8" w:color="auto" w:val="clear"/>
        </w:rPr>
        <w:t> </w:t>
      </w:r>
      <w:r>
        <w:rPr>
          <w:color w:val="374151"/>
          <w:shd w:fill="F7F7F8" w:color="auto" w:val="clear"/>
        </w:rPr>
        <w:t>identities</w:t>
      </w:r>
      <w:r>
        <w:rPr>
          <w:color w:val="374151"/>
          <w:spacing w:val="-4"/>
          <w:shd w:fill="F7F7F8" w:color="auto" w:val="clear"/>
        </w:rPr>
        <w:t> </w:t>
      </w:r>
      <w:r>
        <w:rPr>
          <w:color w:val="374151"/>
          <w:shd w:fill="F7F7F8" w:color="auto" w:val="clear"/>
        </w:rPr>
        <w:t>influence</w:t>
      </w:r>
      <w:r>
        <w:rPr>
          <w:color w:val="374151"/>
          <w:spacing w:val="-5"/>
          <w:shd w:fill="F7F7F8" w:color="auto" w:val="clear"/>
        </w:rPr>
        <w:t> </w:t>
      </w:r>
      <w:r>
        <w:rPr>
          <w:color w:val="374151"/>
          <w:shd w:fill="F7F7F8" w:color="auto" w:val="clear"/>
        </w:rPr>
        <w:t>an</w:t>
      </w:r>
      <w:r>
        <w:rPr>
          <w:color w:val="374151"/>
          <w:spacing w:val="-4"/>
          <w:shd w:fill="F7F7F8" w:color="auto" w:val="clear"/>
        </w:rPr>
        <w:t> </w:t>
      </w:r>
      <w:r>
        <w:rPr>
          <w:color w:val="374151"/>
          <w:shd w:fill="F7F7F8" w:color="auto" w:val="clear"/>
        </w:rPr>
        <w:t>individual's</w:t>
      </w:r>
      <w:r>
        <w:rPr>
          <w:color w:val="374151"/>
          <w:spacing w:val="-4"/>
          <w:shd w:fill="F7F7F8" w:color="auto" w:val="clear"/>
        </w:rPr>
        <w:t> </w:t>
      </w:r>
      <w:r>
        <w:rPr>
          <w:color w:val="374151"/>
          <w:shd w:fill="F7F7F8" w:color="auto" w:val="clear"/>
        </w:rPr>
        <w:t>experience</w:t>
      </w:r>
      <w:r>
        <w:rPr>
          <w:color w:val="374151"/>
          <w:spacing w:val="-5"/>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their</w:t>
      </w:r>
      <w:r>
        <w:rPr>
          <w:color w:val="374151"/>
          <w:spacing w:val="-5"/>
          <w:shd w:fill="F7F7F8" w:color="auto" w:val="clear"/>
        </w:rPr>
        <w:t> </w:t>
      </w:r>
      <w:r>
        <w:rPr>
          <w:color w:val="374151"/>
          <w:spacing w:val="-5"/>
        </w:rPr>
        <w:t> </w:t>
      </w:r>
      <w:r>
        <w:rPr>
          <w:color w:val="374151"/>
          <w:shd w:fill="F7F7F8" w:color="auto" w:val="clear"/>
        </w:rPr>
        <w:t>own sexuality and their interactions with broader cultural norms.</w:t>
      </w:r>
    </w:p>
    <w:p>
      <w:pPr>
        <w:pStyle w:val="BodyText"/>
        <w:spacing w:before="262"/>
        <w:ind w:left="501" w:right="502" w:hanging="222"/>
      </w:pPr>
      <w:r>
        <w:rPr>
          <w:rFonts w:ascii="Segoe UI Symbol" w:hAnsi="Segoe UI Symbol"/>
          <w:color w:val="374151"/>
          <w:position w:val="1"/>
        </w:rPr>
        <w:t>➡</w:t>
      </w:r>
      <w:r>
        <w:rPr>
          <w:color w:val="374151"/>
          <w:shd w:fill="F7F7F8" w:color="auto" w:val="clear"/>
        </w:rPr>
        <w:t>Family</w:t>
      </w:r>
      <w:r>
        <w:rPr>
          <w:color w:val="374151"/>
          <w:spacing w:val="-10"/>
          <w:shd w:fill="F7F7F8" w:color="auto" w:val="clear"/>
        </w:rPr>
        <w:t> </w:t>
      </w:r>
      <w:r>
        <w:rPr>
          <w:color w:val="374151"/>
          <w:shd w:fill="F7F7F8" w:color="auto" w:val="clear"/>
        </w:rPr>
        <w:t>and</w:t>
      </w:r>
      <w:r>
        <w:rPr>
          <w:color w:val="374151"/>
          <w:spacing w:val="-10"/>
          <w:shd w:fill="F7F7F8" w:color="auto" w:val="clear"/>
        </w:rPr>
        <w:t> </w:t>
      </w:r>
      <w:r>
        <w:rPr>
          <w:color w:val="374151"/>
          <w:shd w:fill="F7F7F8" w:color="auto" w:val="clear"/>
        </w:rPr>
        <w:t>Community</w:t>
      </w:r>
      <w:r>
        <w:rPr>
          <w:color w:val="374151"/>
          <w:spacing w:val="-10"/>
          <w:shd w:fill="F7F7F8" w:color="auto" w:val="clear"/>
        </w:rPr>
        <w:t> </w:t>
      </w:r>
      <w:r>
        <w:rPr>
          <w:color w:val="374151"/>
          <w:shd w:fill="F7F7F8" w:color="auto" w:val="clear"/>
        </w:rPr>
        <w:t>Involvement:</w:t>
      </w:r>
      <w:r>
        <w:rPr>
          <w:color w:val="374151"/>
          <w:spacing w:val="-10"/>
          <w:shd w:fill="F7F7F8" w:color="auto" w:val="clear"/>
        </w:rPr>
        <w:t> </w:t>
      </w:r>
      <w:r>
        <w:rPr>
          <w:color w:val="374151"/>
          <w:shd w:fill="F7F7F8" w:color="auto" w:val="clear"/>
        </w:rPr>
        <w:t>Recognize</w:t>
      </w:r>
      <w:r>
        <w:rPr>
          <w:color w:val="374151"/>
          <w:spacing w:val="-10"/>
          <w:shd w:fill="F7F7F8" w:color="auto" w:val="clear"/>
        </w:rPr>
        <w:t> </w:t>
      </w:r>
      <w:r>
        <w:rPr>
          <w:color w:val="374151"/>
          <w:shd w:fill="F7F7F8" w:color="auto" w:val="clear"/>
        </w:rPr>
        <w:t>the</w:t>
      </w:r>
      <w:r>
        <w:rPr>
          <w:color w:val="374151"/>
          <w:spacing w:val="-10"/>
          <w:shd w:fill="F7F7F8" w:color="auto" w:val="clear"/>
        </w:rPr>
        <w:t> </w:t>
      </w:r>
      <w:r>
        <w:rPr>
          <w:color w:val="374151"/>
          <w:shd w:fill="F7F7F8" w:color="auto" w:val="clear"/>
        </w:rPr>
        <w:t>significance</w:t>
      </w:r>
      <w:r>
        <w:rPr>
          <w:color w:val="374151"/>
          <w:spacing w:val="-10"/>
          <w:shd w:fill="F7F7F8" w:color="auto" w:val="clear"/>
        </w:rPr>
        <w:t> </w:t>
      </w:r>
      <w:r>
        <w:rPr>
          <w:color w:val="374151"/>
          <w:shd w:fill="F7F7F8" w:color="auto" w:val="clear"/>
        </w:rPr>
        <w:t>of</w:t>
      </w:r>
      <w:r>
        <w:rPr>
          <w:color w:val="374151"/>
          <w:spacing w:val="-10"/>
          <w:shd w:fill="F7F7F8" w:color="auto" w:val="clear"/>
        </w:rPr>
        <w:t> </w:t>
      </w:r>
      <w:r>
        <w:rPr>
          <w:color w:val="374151"/>
          <w:shd w:fill="F7F7F8" w:color="auto" w:val="clear"/>
        </w:rPr>
        <w:t>family</w:t>
      </w:r>
      <w:r>
        <w:rPr>
          <w:color w:val="374151"/>
          <w:spacing w:val="-10"/>
          <w:shd w:fill="F7F7F8" w:color="auto" w:val="clear"/>
        </w:rPr>
        <w:t> </w:t>
      </w:r>
      <w:r>
        <w:rPr>
          <w:color w:val="374151"/>
          <w:spacing w:val="-10"/>
        </w:rPr>
        <w:t> </w:t>
      </w:r>
      <w:r>
        <w:rPr>
          <w:color w:val="374151"/>
          <w:shd w:fill="F7F7F8" w:color="auto" w:val="clear"/>
        </w:rPr>
        <w:t>and community in shaping an individual's sexual beliefs, values, and </w:t>
      </w:r>
      <w:r>
        <w:rPr>
          <w:color w:val="374151"/>
        </w:rPr>
        <w:t> </w:t>
      </w:r>
      <w:r>
        <w:rPr>
          <w:color w:val="374151"/>
          <w:shd w:fill="F7F7F8" w:color="auto" w:val="clear"/>
        </w:rPr>
        <w:t>behaviors. Incorporate questions and discussions about family and </w:t>
      </w:r>
      <w:r>
        <w:rPr>
          <w:color w:val="374151"/>
        </w:rPr>
        <w:t> </w:t>
      </w:r>
      <w:r>
        <w:rPr>
          <w:color w:val="374151"/>
          <w:shd w:fill="F7F7F8" w:color="auto" w:val="clear"/>
        </w:rPr>
        <w:t>community influences during the assessment process.</w:t>
      </w:r>
    </w:p>
    <w:p>
      <w:pPr>
        <w:pStyle w:val="BodyText"/>
        <w:spacing w:before="261"/>
        <w:ind w:left="501" w:hanging="222"/>
      </w:pPr>
      <w:r>
        <w:rPr>
          <w:rFonts w:ascii="Segoe UI Symbol" w:hAnsi="Segoe UI Symbol"/>
          <w:color w:val="374151"/>
          <w:position w:val="1"/>
        </w:rPr>
        <w:t>➡</w:t>
      </w:r>
      <w:r>
        <w:rPr>
          <w:color w:val="374151"/>
          <w:shd w:fill="F7F7F8" w:color="auto" w:val="clear"/>
        </w:rPr>
        <w:t>Cultural</w:t>
      </w:r>
      <w:r>
        <w:rPr>
          <w:color w:val="374151"/>
          <w:spacing w:val="-7"/>
          <w:shd w:fill="F7F7F8" w:color="auto" w:val="clear"/>
        </w:rPr>
        <w:t> </w:t>
      </w:r>
      <w:r>
        <w:rPr>
          <w:color w:val="374151"/>
          <w:shd w:fill="F7F7F8" w:color="auto" w:val="clear"/>
        </w:rPr>
        <w:t>Rituals</w:t>
      </w:r>
      <w:r>
        <w:rPr>
          <w:color w:val="374151"/>
          <w:spacing w:val="-7"/>
          <w:shd w:fill="F7F7F8" w:color="auto" w:val="clear"/>
        </w:rPr>
        <w:t> </w:t>
      </w:r>
      <w:r>
        <w:rPr>
          <w:color w:val="374151"/>
          <w:shd w:fill="F7F7F8" w:color="auto" w:val="clear"/>
        </w:rPr>
        <w:t>and</w:t>
      </w:r>
      <w:r>
        <w:rPr>
          <w:color w:val="374151"/>
          <w:spacing w:val="-7"/>
          <w:shd w:fill="F7F7F8" w:color="auto" w:val="clear"/>
        </w:rPr>
        <w:t> </w:t>
      </w:r>
      <w:r>
        <w:rPr>
          <w:color w:val="374151"/>
          <w:shd w:fill="F7F7F8" w:color="auto" w:val="clear"/>
        </w:rPr>
        <w:t>Practices:</w:t>
      </w:r>
      <w:r>
        <w:rPr>
          <w:color w:val="374151"/>
          <w:spacing w:val="-7"/>
          <w:shd w:fill="F7F7F8" w:color="auto" w:val="clear"/>
        </w:rPr>
        <w:t> </w:t>
      </w:r>
      <w:r>
        <w:rPr>
          <w:color w:val="374151"/>
          <w:shd w:fill="F7F7F8" w:color="auto" w:val="clear"/>
        </w:rPr>
        <w:t>Inquire</w:t>
      </w:r>
      <w:r>
        <w:rPr>
          <w:color w:val="374151"/>
          <w:spacing w:val="-8"/>
          <w:shd w:fill="F7F7F8" w:color="auto" w:val="clear"/>
        </w:rPr>
        <w:t> </w:t>
      </w:r>
      <w:r>
        <w:rPr>
          <w:color w:val="374151"/>
          <w:shd w:fill="F7F7F8" w:color="auto" w:val="clear"/>
        </w:rPr>
        <w:t>about</w:t>
      </w:r>
      <w:r>
        <w:rPr>
          <w:color w:val="374151"/>
          <w:spacing w:val="-7"/>
          <w:shd w:fill="F7F7F8" w:color="auto" w:val="clear"/>
        </w:rPr>
        <w:t> </w:t>
      </w:r>
      <w:r>
        <w:rPr>
          <w:color w:val="374151"/>
          <w:shd w:fill="F7F7F8" w:color="auto" w:val="clear"/>
        </w:rPr>
        <w:t>and</w:t>
      </w:r>
      <w:r>
        <w:rPr>
          <w:color w:val="374151"/>
          <w:spacing w:val="-7"/>
          <w:shd w:fill="F7F7F8" w:color="auto" w:val="clear"/>
        </w:rPr>
        <w:t> </w:t>
      </w:r>
      <w:r>
        <w:rPr>
          <w:color w:val="374151"/>
          <w:shd w:fill="F7F7F8" w:color="auto" w:val="clear"/>
        </w:rPr>
        <w:t>explore</w:t>
      </w:r>
      <w:r>
        <w:rPr>
          <w:color w:val="374151"/>
          <w:spacing w:val="-8"/>
          <w:shd w:fill="F7F7F8" w:color="auto" w:val="clear"/>
        </w:rPr>
        <w:t> </w:t>
      </w:r>
      <w:r>
        <w:rPr>
          <w:color w:val="374151"/>
          <w:shd w:fill="F7F7F8" w:color="auto" w:val="clear"/>
        </w:rPr>
        <w:t>the</w:t>
      </w:r>
      <w:r>
        <w:rPr>
          <w:color w:val="374151"/>
          <w:spacing w:val="-8"/>
          <w:shd w:fill="F7F7F8" w:color="auto" w:val="clear"/>
        </w:rPr>
        <w:t> </w:t>
      </w:r>
      <w:r>
        <w:rPr>
          <w:color w:val="374151"/>
          <w:shd w:fill="F7F7F8" w:color="auto" w:val="clear"/>
        </w:rPr>
        <w:t>role</w:t>
      </w:r>
      <w:r>
        <w:rPr>
          <w:color w:val="374151"/>
          <w:spacing w:val="-8"/>
          <w:shd w:fill="F7F7F8" w:color="auto" w:val="clear"/>
        </w:rPr>
        <w:t> </w:t>
      </w:r>
      <w:r>
        <w:rPr>
          <w:color w:val="374151"/>
          <w:shd w:fill="F7F7F8" w:color="auto" w:val="clear"/>
        </w:rPr>
        <w:t>of</w:t>
      </w:r>
      <w:r>
        <w:rPr>
          <w:color w:val="374151"/>
          <w:spacing w:val="-7"/>
          <w:shd w:fill="F7F7F8" w:color="auto" w:val="clear"/>
        </w:rPr>
        <w:t> </w:t>
      </w:r>
      <w:r>
        <w:rPr>
          <w:color w:val="374151"/>
          <w:shd w:fill="F7F7F8" w:color="auto" w:val="clear"/>
        </w:rPr>
        <w:t>cultural</w:t>
      </w:r>
      <w:r>
        <w:rPr>
          <w:color w:val="374151"/>
          <w:spacing w:val="-8"/>
          <w:shd w:fill="F7F7F8" w:color="auto" w:val="clear"/>
        </w:rPr>
        <w:t> </w:t>
      </w:r>
      <w:r>
        <w:rPr>
          <w:color w:val="374151"/>
          <w:spacing w:val="-8"/>
        </w:rPr>
        <w:t> </w:t>
      </w:r>
      <w:r>
        <w:rPr>
          <w:color w:val="374151"/>
          <w:shd w:fill="F7F7F8" w:color="auto" w:val="clear"/>
        </w:rPr>
        <w:t>rituals and practices in an individual's sexual beliefs and behaviors.</w:t>
      </w:r>
      <w:r>
        <w:rPr>
          <w:color w:val="374151"/>
          <w:spacing w:val="40"/>
          <w:shd w:fill="F7F7F8" w:color="auto" w:val="clear"/>
        </w:rPr>
        <w:t> </w:t>
      </w:r>
    </w:p>
    <w:p>
      <w:pPr>
        <w:pStyle w:val="BodyText"/>
        <w:spacing w:line="237" w:lineRule="auto"/>
        <w:ind w:left="501" w:right="502"/>
      </w:pPr>
      <w:r>
        <w:rPr>
          <w:color w:val="374151"/>
          <w:shd w:fill="F7F7F8" w:color="auto" w:val="clear"/>
        </w:rPr>
        <w:t>Understand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significance</w:t>
      </w:r>
      <w:r>
        <w:rPr>
          <w:color w:val="374151"/>
          <w:spacing w:val="-5"/>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cultural</w:t>
      </w:r>
      <w:r>
        <w:rPr>
          <w:color w:val="374151"/>
          <w:spacing w:val="-4"/>
          <w:shd w:fill="F7F7F8" w:color="auto" w:val="clear"/>
        </w:rPr>
        <w:t> </w:t>
      </w:r>
      <w:r>
        <w:rPr>
          <w:color w:val="374151"/>
          <w:shd w:fill="F7F7F8" w:color="auto" w:val="clear"/>
        </w:rPr>
        <w:t>ceremonies,</w:t>
      </w:r>
      <w:r>
        <w:rPr>
          <w:color w:val="374151"/>
          <w:spacing w:val="-4"/>
          <w:shd w:fill="F7F7F8" w:color="auto" w:val="clear"/>
        </w:rPr>
        <w:t> </w:t>
      </w:r>
      <w:r>
        <w:rPr>
          <w:color w:val="374151"/>
          <w:shd w:fill="F7F7F8" w:color="auto" w:val="clear"/>
        </w:rPr>
        <w:t>traditions,</w:t>
      </w:r>
      <w:r>
        <w:rPr>
          <w:color w:val="374151"/>
          <w:spacing w:val="-4"/>
          <w:shd w:fill="F7F7F8" w:color="auto" w:val="clear"/>
        </w:rPr>
        <w:t> </w:t>
      </w:r>
      <w:r>
        <w:rPr>
          <w:color w:val="374151"/>
          <w:shd w:fill="F7F7F8" w:color="auto" w:val="clear"/>
        </w:rPr>
        <w:t>or</w:t>
      </w:r>
      <w:r>
        <w:rPr>
          <w:color w:val="374151"/>
          <w:spacing w:val="-4"/>
          <w:shd w:fill="F7F7F8" w:color="auto" w:val="clear"/>
        </w:rPr>
        <w:t> </w:t>
      </w:r>
      <w:r>
        <w:rPr>
          <w:color w:val="374151"/>
          <w:shd w:fill="F7F7F8" w:color="auto" w:val="clear"/>
        </w:rPr>
        <w:t>religious</w:t>
      </w:r>
      <w:r>
        <w:rPr>
          <w:color w:val="374151"/>
          <w:spacing w:val="-5"/>
          <w:shd w:fill="F7F7F8" w:color="auto" w:val="clear"/>
        </w:rPr>
        <w:t> </w:t>
      </w:r>
      <w:r>
        <w:rPr>
          <w:color w:val="374151"/>
          <w:spacing w:val="-5"/>
        </w:rPr>
        <w:t> </w:t>
      </w:r>
      <w:r>
        <w:rPr>
          <w:color w:val="374151"/>
          <w:shd w:fill="F7F7F8" w:color="auto" w:val="clear"/>
        </w:rPr>
        <w:t>practices in relation to sexuality and their impact on the individual's well-</w:t>
      </w:r>
      <w:r>
        <w:rPr>
          <w:color w:val="374151"/>
        </w:rPr>
        <w:t> </w:t>
      </w:r>
      <w:r>
        <w:rPr>
          <w:color w:val="374151"/>
          <w:spacing w:val="-2"/>
          <w:shd w:fill="F7F7F8" w:color="auto" w:val="clear"/>
        </w:rPr>
        <w:t>being.</w:t>
      </w:r>
    </w:p>
    <w:p>
      <w:pPr>
        <w:pStyle w:val="BodyText"/>
        <w:spacing w:before="269"/>
        <w:ind w:left="501" w:right="544" w:hanging="222"/>
      </w:pPr>
      <w:r>
        <w:rPr>
          <w:rFonts w:ascii="Segoe UI Symbol" w:hAnsi="Segoe UI Symbol"/>
          <w:color w:val="374151"/>
          <w:position w:val="1"/>
        </w:rPr>
        <w:t>➡</w:t>
      </w:r>
      <w:r>
        <w:rPr>
          <w:color w:val="374151"/>
          <w:shd w:fill="F7F7F8" w:color="auto" w:val="clear"/>
        </w:rPr>
        <w:t>Intersectional</w:t>
      </w:r>
      <w:r>
        <w:rPr>
          <w:color w:val="374151"/>
          <w:spacing w:val="-14"/>
          <w:shd w:fill="F7F7F8" w:color="auto" w:val="clear"/>
        </w:rPr>
        <w:t> </w:t>
      </w:r>
      <w:r>
        <w:rPr>
          <w:color w:val="374151"/>
          <w:shd w:fill="F7F7F8" w:color="auto" w:val="clear"/>
        </w:rPr>
        <w:t>Assessment: Recognize and assess the intersectionality of </w:t>
      </w:r>
      <w:r>
        <w:rPr>
          <w:color w:val="374151"/>
        </w:rPr>
        <w:t> </w:t>
      </w:r>
      <w:r>
        <w:rPr>
          <w:color w:val="374151"/>
          <w:shd w:fill="F7F7F8" w:color="auto" w:val="clear"/>
        </w:rPr>
        <w:t>various</w:t>
      </w:r>
      <w:r>
        <w:rPr>
          <w:color w:val="374151"/>
          <w:spacing w:val="-7"/>
          <w:shd w:fill="F7F7F8" w:color="auto" w:val="clear"/>
        </w:rPr>
        <w:t> </w:t>
      </w:r>
      <w:r>
        <w:rPr>
          <w:color w:val="374151"/>
          <w:shd w:fill="F7F7F8" w:color="auto" w:val="clear"/>
        </w:rPr>
        <w:t>cultural</w:t>
      </w:r>
      <w:r>
        <w:rPr>
          <w:color w:val="374151"/>
          <w:spacing w:val="-7"/>
          <w:shd w:fill="F7F7F8" w:color="auto" w:val="clear"/>
        </w:rPr>
        <w:t> </w:t>
      </w:r>
      <w:r>
        <w:rPr>
          <w:color w:val="374151"/>
          <w:shd w:fill="F7F7F8" w:color="auto" w:val="clear"/>
        </w:rPr>
        <w:t>identities,</w:t>
      </w:r>
      <w:r>
        <w:rPr>
          <w:color w:val="374151"/>
          <w:spacing w:val="-7"/>
          <w:shd w:fill="F7F7F8" w:color="auto" w:val="clear"/>
        </w:rPr>
        <w:t> </w:t>
      </w:r>
      <w:r>
        <w:rPr>
          <w:color w:val="374151"/>
          <w:shd w:fill="F7F7F8" w:color="auto" w:val="clear"/>
        </w:rPr>
        <w:t>such</w:t>
      </w:r>
      <w:r>
        <w:rPr>
          <w:color w:val="374151"/>
          <w:spacing w:val="-7"/>
          <w:shd w:fill="F7F7F8" w:color="auto" w:val="clear"/>
        </w:rPr>
        <w:t> </w:t>
      </w:r>
      <w:r>
        <w:rPr>
          <w:color w:val="374151"/>
          <w:shd w:fill="F7F7F8" w:color="auto" w:val="clear"/>
        </w:rPr>
        <w:t>as</w:t>
      </w:r>
      <w:r>
        <w:rPr>
          <w:color w:val="374151"/>
          <w:spacing w:val="-7"/>
          <w:shd w:fill="F7F7F8" w:color="auto" w:val="clear"/>
        </w:rPr>
        <w:t> </w:t>
      </w:r>
      <w:r>
        <w:rPr>
          <w:color w:val="374151"/>
          <w:shd w:fill="F7F7F8" w:color="auto" w:val="clear"/>
        </w:rPr>
        <w:t>race,</w:t>
      </w:r>
      <w:r>
        <w:rPr>
          <w:color w:val="374151"/>
          <w:spacing w:val="-7"/>
          <w:shd w:fill="F7F7F8" w:color="auto" w:val="clear"/>
        </w:rPr>
        <w:t> </w:t>
      </w:r>
      <w:r>
        <w:rPr>
          <w:color w:val="374151"/>
          <w:shd w:fill="F7F7F8" w:color="auto" w:val="clear"/>
        </w:rPr>
        <w:t>ethnicity,</w:t>
      </w:r>
      <w:r>
        <w:rPr>
          <w:color w:val="374151"/>
          <w:spacing w:val="-7"/>
          <w:shd w:fill="F7F7F8" w:color="auto" w:val="clear"/>
        </w:rPr>
        <w:t> </w:t>
      </w:r>
      <w:r>
        <w:rPr>
          <w:color w:val="374151"/>
          <w:shd w:fill="F7F7F8" w:color="auto" w:val="clear"/>
        </w:rPr>
        <w:t>gender,</w:t>
      </w:r>
      <w:r>
        <w:rPr>
          <w:color w:val="374151"/>
          <w:spacing w:val="-7"/>
          <w:shd w:fill="F7F7F8" w:color="auto" w:val="clear"/>
        </w:rPr>
        <w:t> </w:t>
      </w:r>
      <w:r>
        <w:rPr>
          <w:color w:val="374151"/>
          <w:shd w:fill="F7F7F8" w:color="auto" w:val="clear"/>
        </w:rPr>
        <w:t>sexual</w:t>
      </w:r>
      <w:r>
        <w:rPr>
          <w:color w:val="374151"/>
          <w:spacing w:val="-7"/>
          <w:shd w:fill="F7F7F8" w:color="auto" w:val="clear"/>
        </w:rPr>
        <w:t> </w:t>
      </w:r>
      <w:r>
        <w:rPr>
          <w:color w:val="374151"/>
          <w:shd w:fill="F7F7F8" w:color="auto" w:val="clear"/>
        </w:rPr>
        <w:t>orientation,</w:t>
      </w:r>
      <w:r>
        <w:rPr>
          <w:color w:val="374151"/>
          <w:spacing w:val="-8"/>
          <w:shd w:fill="F7F7F8" w:color="auto" w:val="clear"/>
        </w:rPr>
        <w:t> </w:t>
      </w:r>
      <w:r>
        <w:rPr>
          <w:color w:val="374151"/>
          <w:spacing w:val="-8"/>
        </w:rPr>
        <w:t> </w:t>
      </w:r>
      <w:r>
        <w:rPr>
          <w:color w:val="374151"/>
          <w:shd w:fill="F7F7F8" w:color="auto" w:val="clear"/>
        </w:rPr>
        <w:t>socioeconomic status, and disability status. Understanding how these </w:t>
      </w:r>
      <w:r>
        <w:rPr>
          <w:color w:val="374151"/>
        </w:rPr>
        <w:t> </w:t>
      </w:r>
      <w:r>
        <w:rPr>
          <w:color w:val="374151"/>
          <w:shd w:fill="F7F7F8" w:color="auto" w:val="clear"/>
        </w:rPr>
        <w:t>intersecting identities influence an individual's experience of human </w:t>
      </w:r>
      <w:r>
        <w:rPr>
          <w:color w:val="374151"/>
        </w:rPr>
        <w:t> </w:t>
      </w:r>
      <w:r>
        <w:rPr>
          <w:color w:val="374151"/>
          <w:shd w:fill="F7F7F8" w:color="auto" w:val="clear"/>
        </w:rPr>
        <w:t>sexuality can provide valuable insights for assessment and treatment </w:t>
      </w:r>
      <w:r>
        <w:rPr>
          <w:color w:val="374151"/>
        </w:rPr>
        <w:t> </w:t>
      </w:r>
      <w:r>
        <w:rPr>
          <w:color w:val="374151"/>
          <w:spacing w:val="-2"/>
          <w:shd w:fill="F7F7F8" w:color="auto" w:val="clear"/>
        </w:rPr>
        <w:t>planning.</w:t>
      </w:r>
    </w:p>
    <w:p>
      <w:pPr>
        <w:pStyle w:val="BodyText"/>
        <w:spacing w:before="258"/>
        <w:ind w:left="501" w:right="529" w:hanging="222"/>
      </w:pPr>
      <w:r>
        <w:rPr>
          <w:rFonts w:ascii="Segoe UI Symbol" w:hAnsi="Segoe UI Symbol"/>
          <w:color w:val="374151"/>
          <w:position w:val="1"/>
        </w:rPr>
        <w:t>➡</w:t>
      </w:r>
      <w:r>
        <w:rPr>
          <w:color w:val="374151"/>
          <w:shd w:fill="F7F7F8" w:color="auto" w:val="clear"/>
        </w:rPr>
        <w:t>Narrative</w:t>
      </w:r>
      <w:r>
        <w:rPr>
          <w:color w:val="374151"/>
          <w:spacing w:val="-18"/>
          <w:shd w:fill="F7F7F8" w:color="auto" w:val="clear"/>
        </w:rPr>
        <w:t> </w:t>
      </w:r>
      <w:r>
        <w:rPr>
          <w:color w:val="374151"/>
          <w:shd w:fill="F7F7F8" w:color="auto" w:val="clear"/>
        </w:rPr>
        <w:t>and</w:t>
      </w:r>
      <w:r>
        <w:rPr>
          <w:color w:val="374151"/>
          <w:spacing w:val="-15"/>
          <w:shd w:fill="F7F7F8" w:color="auto" w:val="clear"/>
        </w:rPr>
        <w:t> </w:t>
      </w:r>
      <w:r>
        <w:rPr>
          <w:color w:val="374151"/>
          <w:shd w:fill="F7F7F8" w:color="auto" w:val="clear"/>
        </w:rPr>
        <w:t>Storytelling</w:t>
      </w:r>
      <w:r>
        <w:rPr>
          <w:color w:val="374151"/>
          <w:spacing w:val="-18"/>
          <w:shd w:fill="F7F7F8" w:color="auto" w:val="clear"/>
        </w:rPr>
        <w:t> </w:t>
      </w:r>
      <w:r>
        <w:rPr>
          <w:color w:val="374151"/>
          <w:shd w:fill="F7F7F8" w:color="auto" w:val="clear"/>
        </w:rPr>
        <w:t>Approaches:</w:t>
      </w:r>
      <w:r>
        <w:rPr>
          <w:color w:val="374151"/>
          <w:spacing w:val="-12"/>
          <w:shd w:fill="F7F7F8" w:color="auto" w:val="clear"/>
        </w:rPr>
        <w:t> </w:t>
      </w:r>
      <w:r>
        <w:rPr>
          <w:color w:val="374151"/>
          <w:shd w:fill="F7F7F8" w:color="auto" w:val="clear"/>
        </w:rPr>
        <w:t>Incorporate</w:t>
      </w:r>
      <w:r>
        <w:rPr>
          <w:color w:val="374151"/>
          <w:spacing w:val="-13"/>
          <w:shd w:fill="F7F7F8" w:color="auto" w:val="clear"/>
        </w:rPr>
        <w:t> </w:t>
      </w:r>
      <w:r>
        <w:rPr>
          <w:color w:val="374151"/>
          <w:shd w:fill="F7F7F8" w:color="auto" w:val="clear"/>
        </w:rPr>
        <w:t>narrative</w:t>
      </w:r>
      <w:r>
        <w:rPr>
          <w:color w:val="374151"/>
          <w:spacing w:val="-13"/>
          <w:shd w:fill="F7F7F8" w:color="auto" w:val="clear"/>
        </w:rPr>
        <w:t> </w:t>
      </w:r>
      <w:r>
        <w:rPr>
          <w:color w:val="374151"/>
          <w:shd w:fill="F7F7F8" w:color="auto" w:val="clear"/>
        </w:rPr>
        <w:t>and</w:t>
      </w:r>
      <w:r>
        <w:rPr>
          <w:color w:val="374151"/>
          <w:spacing w:val="-13"/>
          <w:shd w:fill="F7F7F8" w:color="auto" w:val="clear"/>
        </w:rPr>
        <w:t> </w:t>
      </w:r>
      <w:r>
        <w:rPr>
          <w:color w:val="374151"/>
          <w:shd w:fill="F7F7F8" w:color="auto" w:val="clear"/>
        </w:rPr>
        <w:t>storytelling</w:t>
      </w:r>
      <w:r>
        <w:rPr>
          <w:color w:val="374151"/>
        </w:rPr>
        <w:t> </w:t>
      </w:r>
      <w:r>
        <w:rPr>
          <w:color w:val="374151"/>
          <w:shd w:fill="F7F7F8" w:color="auto" w:val="clear"/>
        </w:rPr>
        <w:t>approaches to allow individuals to share their cultural narratives and </w:t>
      </w:r>
      <w:r>
        <w:rPr>
          <w:color w:val="374151"/>
        </w:rPr>
        <w:t> </w:t>
      </w:r>
      <w:r>
        <w:rPr>
          <w:color w:val="374151"/>
          <w:shd w:fill="F7F7F8" w:color="auto" w:val="clear"/>
        </w:rPr>
        <w:t>personal stories related to human sexuality.</w:t>
      </w:r>
      <w:r>
        <w:rPr>
          <w:color w:val="374151"/>
          <w:spacing w:val="-2"/>
          <w:shd w:fill="F7F7F8" w:color="auto" w:val="clear"/>
        </w:rPr>
        <w:t> </w:t>
      </w:r>
      <w:r>
        <w:rPr>
          <w:color w:val="374151"/>
          <w:shd w:fill="F7F7F8" w:color="auto" w:val="clear"/>
        </w:rPr>
        <w:t>This allows for a deeper </w:t>
      </w:r>
      <w:r>
        <w:rPr>
          <w:color w:val="374151"/>
        </w:rPr>
        <w:t> </w:t>
      </w:r>
      <w:r>
        <w:rPr>
          <w:color w:val="374151"/>
          <w:shd w:fill="F7F7F8" w:color="auto" w:val="clear"/>
        </w:rPr>
        <w:t>understanding of their cultural beliefs, values, and experiences and helps to </w:t>
      </w:r>
      <w:r>
        <w:rPr>
          <w:color w:val="374151"/>
        </w:rPr>
        <w:t> </w:t>
      </w:r>
      <w:r>
        <w:rPr>
          <w:color w:val="374151"/>
          <w:shd w:fill="F7F7F8" w:color="auto" w:val="clear"/>
        </w:rPr>
        <w:t>inform the assessment process.</w:t>
      </w:r>
    </w:p>
    <w:p>
      <w:pPr>
        <w:spacing w:after="0"/>
        <w:sectPr>
          <w:pgSz w:w="12240" w:h="15840"/>
          <w:pgMar w:header="0" w:footer="765" w:top="1340" w:bottom="980" w:left="1400" w:right="1180"/>
        </w:sectPr>
      </w:pPr>
    </w:p>
    <w:p>
      <w:pPr>
        <w:pStyle w:val="Heading3"/>
        <w:spacing w:before="95"/>
        <w:rPr>
          <w:i/>
        </w:rPr>
      </w:pPr>
      <w:r>
        <w:rPr>
          <w:i/>
          <w:color w:val="374151"/>
          <w:shd w:fill="F7F7F8" w:color="auto" w:val="clear"/>
        </w:rPr>
        <w:t>Language</w:t>
      </w:r>
      <w:r>
        <w:rPr>
          <w:i/>
          <w:color w:val="374151"/>
          <w:spacing w:val="-5"/>
          <w:shd w:fill="F7F7F8" w:color="auto" w:val="clear"/>
        </w:rPr>
        <w:t> </w:t>
      </w:r>
      <w:r>
        <w:rPr>
          <w:i/>
          <w:color w:val="374151"/>
          <w:shd w:fill="F7F7F8" w:color="auto" w:val="clear"/>
        </w:rPr>
        <w:t>and</w:t>
      </w:r>
      <w:r>
        <w:rPr>
          <w:i/>
          <w:color w:val="374151"/>
          <w:spacing w:val="-2"/>
          <w:shd w:fill="F7F7F8" w:color="auto" w:val="clear"/>
        </w:rPr>
        <w:t> </w:t>
      </w:r>
      <w:r>
        <w:rPr>
          <w:i/>
          <w:color w:val="374151"/>
          <w:shd w:fill="F7F7F8" w:color="auto" w:val="clear"/>
        </w:rPr>
        <w:t>Communication</w:t>
      </w:r>
      <w:r>
        <w:rPr>
          <w:i/>
          <w:color w:val="374151"/>
          <w:spacing w:val="-2"/>
          <w:shd w:fill="F7F7F8" w:color="auto" w:val="clear"/>
        </w:rPr>
        <w:t> Considerations:</w:t>
      </w:r>
      <w:r>
        <w:rPr>
          <w:i/>
          <w:color w:val="374151"/>
          <w:spacing w:val="40"/>
          <w:shd w:fill="F7F7F8" w:color="auto" w:val="clear"/>
        </w:rPr>
        <w:t> </w:t>
      </w:r>
    </w:p>
    <w:p>
      <w:pPr>
        <w:pStyle w:val="BodyText"/>
        <w:spacing w:before="227"/>
        <w:ind w:left="501" w:hanging="222"/>
      </w:pPr>
      <w:r>
        <w:rPr>
          <w:rFonts w:ascii="Segoe UI Symbol" w:hAnsi="Segoe UI Symbol"/>
          <w:color w:val="374151"/>
          <w:position w:val="1"/>
        </w:rPr>
        <w:t>➡</w:t>
      </w:r>
      <w:r>
        <w:rPr>
          <w:color w:val="374151"/>
          <w:shd w:fill="F7F7F8" w:color="auto" w:val="clear"/>
        </w:rPr>
        <w:t>Assess individuals' preferred language for communication and ensure the </w:t>
      </w:r>
      <w:r>
        <w:rPr>
          <w:color w:val="374151"/>
        </w:rPr>
        <w:t> </w:t>
      </w:r>
      <w:r>
        <w:rPr>
          <w:color w:val="374151"/>
          <w:shd w:fill="F7F7F8" w:color="auto" w:val="clear"/>
        </w:rPr>
        <w:t>availability</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interpreters</w:t>
      </w:r>
      <w:r>
        <w:rPr>
          <w:color w:val="374151"/>
          <w:spacing w:val="-4"/>
          <w:shd w:fill="F7F7F8" w:color="auto" w:val="clear"/>
        </w:rPr>
        <w:t> </w:t>
      </w:r>
      <w:r>
        <w:rPr>
          <w:color w:val="374151"/>
          <w:shd w:fill="F7F7F8" w:color="auto" w:val="clear"/>
        </w:rPr>
        <w:t>or</w:t>
      </w:r>
      <w:r>
        <w:rPr>
          <w:color w:val="374151"/>
          <w:spacing w:val="-4"/>
          <w:shd w:fill="F7F7F8" w:color="auto" w:val="clear"/>
        </w:rPr>
        <w:t> </w:t>
      </w:r>
      <w:r>
        <w:rPr>
          <w:color w:val="374151"/>
          <w:shd w:fill="F7F7F8" w:color="auto" w:val="clear"/>
        </w:rPr>
        <w:t>cultural</w:t>
      </w:r>
      <w:r>
        <w:rPr>
          <w:color w:val="374151"/>
          <w:spacing w:val="-4"/>
          <w:shd w:fill="F7F7F8" w:color="auto" w:val="clear"/>
        </w:rPr>
        <w:t> </w:t>
      </w:r>
      <w:r>
        <w:rPr>
          <w:color w:val="374151"/>
          <w:shd w:fill="F7F7F8" w:color="auto" w:val="clear"/>
        </w:rPr>
        <w:t>consultants</w:t>
      </w:r>
      <w:r>
        <w:rPr>
          <w:color w:val="374151"/>
          <w:spacing w:val="-4"/>
          <w:shd w:fill="F7F7F8" w:color="auto" w:val="clear"/>
        </w:rPr>
        <w:t> </w:t>
      </w:r>
      <w:r>
        <w:rPr>
          <w:color w:val="374151"/>
          <w:shd w:fill="F7F7F8" w:color="auto" w:val="clear"/>
        </w:rPr>
        <w:t>when</w:t>
      </w:r>
      <w:r>
        <w:rPr>
          <w:color w:val="374151"/>
          <w:spacing w:val="-4"/>
          <w:shd w:fill="F7F7F8" w:color="auto" w:val="clear"/>
        </w:rPr>
        <w:t> </w:t>
      </w:r>
      <w:r>
        <w:rPr>
          <w:color w:val="374151"/>
          <w:shd w:fill="F7F7F8" w:color="auto" w:val="clear"/>
        </w:rPr>
        <w:t>needed.</w:t>
      </w:r>
      <w:r>
        <w:rPr>
          <w:color w:val="374151"/>
          <w:spacing w:val="-10"/>
          <w:shd w:fill="F7F7F8" w:color="auto" w:val="clear"/>
        </w:rPr>
        <w:t> </w:t>
      </w:r>
      <w:r>
        <w:rPr>
          <w:color w:val="374151"/>
          <w:shd w:fill="F7F7F8" w:color="auto" w:val="clear"/>
        </w:rPr>
        <w:t>This</w:t>
      </w:r>
      <w:r>
        <w:rPr>
          <w:color w:val="374151"/>
          <w:spacing w:val="-4"/>
          <w:shd w:fill="F7F7F8" w:color="auto" w:val="clear"/>
        </w:rPr>
        <w:t> </w:t>
      </w:r>
      <w:r>
        <w:rPr>
          <w:color w:val="374151"/>
          <w:shd w:fill="F7F7F8" w:color="auto" w:val="clear"/>
        </w:rPr>
        <w:t>helps</w:t>
      </w:r>
      <w:r>
        <w:rPr>
          <w:color w:val="374151"/>
          <w:spacing w:val="-4"/>
          <w:shd w:fill="F7F7F8" w:color="auto" w:val="clear"/>
        </w:rPr>
        <w:t> </w:t>
      </w:r>
      <w:r>
        <w:rPr>
          <w:color w:val="374151"/>
          <w:shd w:fill="F7F7F8" w:color="auto" w:val="clear"/>
        </w:rPr>
        <w:t>to</w:t>
      </w:r>
      <w:r>
        <w:rPr>
          <w:color w:val="374151"/>
          <w:spacing w:val="-5"/>
          <w:shd w:fill="F7F7F8" w:color="auto" w:val="clear"/>
        </w:rPr>
        <w:t> </w:t>
      </w:r>
      <w:r>
        <w:rPr>
          <w:color w:val="374151"/>
          <w:spacing w:val="-5"/>
        </w:rPr>
        <w:t> </w:t>
      </w:r>
      <w:r>
        <w:rPr>
          <w:color w:val="374151"/>
          <w:shd w:fill="F7F7F8" w:color="auto" w:val="clear"/>
        </w:rPr>
        <w:t>overcome language barriers and ensures accurate understanding and </w:t>
      </w:r>
      <w:r>
        <w:rPr>
          <w:color w:val="374151"/>
        </w:rPr>
        <w:t> </w:t>
      </w:r>
      <w:r>
        <w:rPr>
          <w:color w:val="374151"/>
          <w:shd w:fill="F7F7F8" w:color="auto" w:val="clear"/>
        </w:rPr>
        <w:t>communication during the assessment process.</w:t>
      </w:r>
    </w:p>
    <w:p>
      <w:pPr>
        <w:pStyle w:val="BodyText"/>
        <w:spacing w:before="262"/>
        <w:ind w:left="501" w:right="502" w:hanging="222"/>
      </w:pPr>
      <w:r>
        <w:rPr>
          <w:rFonts w:ascii="Segoe UI Symbol" w:hAnsi="Segoe UI Symbol"/>
          <w:color w:val="374151"/>
          <w:position w:val="1"/>
        </w:rPr>
        <w:t>➡</w:t>
      </w:r>
      <w:r>
        <w:rPr>
          <w:color w:val="374151"/>
          <w:shd w:fill="F7F7F8" w:color="auto" w:val="clear"/>
        </w:rPr>
        <w:t>Cultural Genograms: Incorporate cultural genograms to visually map </w:t>
      </w:r>
      <w:r>
        <w:rPr>
          <w:color w:val="374151"/>
        </w:rPr>
        <w:t> </w:t>
      </w:r>
      <w:r>
        <w:rPr>
          <w:color w:val="374151"/>
          <w:shd w:fill="F7F7F8" w:color="auto" w:val="clear"/>
        </w:rPr>
        <w:t>individuals'</w:t>
      </w:r>
      <w:r>
        <w:rPr>
          <w:color w:val="374151"/>
          <w:spacing w:val="-5"/>
          <w:shd w:fill="F7F7F8" w:color="auto" w:val="clear"/>
        </w:rPr>
        <w:t> </w:t>
      </w:r>
      <w:r>
        <w:rPr>
          <w:color w:val="374151"/>
          <w:shd w:fill="F7F7F8" w:color="auto" w:val="clear"/>
        </w:rPr>
        <w:t>family</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social</w:t>
      </w:r>
      <w:r>
        <w:rPr>
          <w:color w:val="374151"/>
          <w:spacing w:val="-5"/>
          <w:shd w:fill="F7F7F8" w:color="auto" w:val="clear"/>
        </w:rPr>
        <w:t> </w:t>
      </w:r>
      <w:r>
        <w:rPr>
          <w:color w:val="374151"/>
          <w:shd w:fill="F7F7F8" w:color="auto" w:val="clear"/>
        </w:rPr>
        <w:t>networks,</w:t>
      </w:r>
      <w:r>
        <w:rPr>
          <w:color w:val="374151"/>
          <w:spacing w:val="-5"/>
          <w:shd w:fill="F7F7F8" w:color="auto" w:val="clear"/>
        </w:rPr>
        <w:t> </w:t>
      </w:r>
      <w:r>
        <w:rPr>
          <w:color w:val="374151"/>
          <w:shd w:fill="F7F7F8" w:color="auto" w:val="clear"/>
        </w:rPr>
        <w:t>including</w:t>
      </w:r>
      <w:r>
        <w:rPr>
          <w:color w:val="374151"/>
          <w:spacing w:val="-5"/>
          <w:shd w:fill="F7F7F8" w:color="auto" w:val="clear"/>
        </w:rPr>
        <w:t> </w:t>
      </w:r>
      <w:r>
        <w:rPr>
          <w:color w:val="374151"/>
          <w:shd w:fill="F7F7F8" w:color="auto" w:val="clear"/>
        </w:rPr>
        <w:t>important</w:t>
      </w:r>
      <w:r>
        <w:rPr>
          <w:color w:val="374151"/>
          <w:spacing w:val="-5"/>
          <w:shd w:fill="F7F7F8" w:color="auto" w:val="clear"/>
        </w:rPr>
        <w:t> </w:t>
      </w:r>
      <w:r>
        <w:rPr>
          <w:color w:val="374151"/>
          <w:shd w:fill="F7F7F8" w:color="auto" w:val="clear"/>
        </w:rPr>
        <w:t>cultural</w:t>
      </w:r>
      <w:r>
        <w:rPr>
          <w:color w:val="374151"/>
          <w:spacing w:val="-5"/>
          <w:shd w:fill="F7F7F8" w:color="auto" w:val="clear"/>
        </w:rPr>
        <w:t> </w:t>
      </w:r>
      <w:r>
        <w:rPr>
          <w:color w:val="374151"/>
          <w:shd w:fill="F7F7F8" w:color="auto" w:val="clear"/>
        </w:rPr>
        <w:t>factors</w:t>
      </w:r>
      <w:r>
        <w:rPr>
          <w:color w:val="374151"/>
          <w:spacing w:val="-6"/>
          <w:shd w:fill="F7F7F8" w:color="auto" w:val="clear"/>
        </w:rPr>
        <w:t> </w:t>
      </w:r>
      <w:r>
        <w:rPr>
          <w:color w:val="374151"/>
          <w:spacing w:val="-6"/>
        </w:rPr>
        <w:t> </w:t>
      </w:r>
      <w:r>
        <w:rPr>
          <w:color w:val="374151"/>
          <w:shd w:fill="F7F7F8" w:color="auto" w:val="clear"/>
        </w:rPr>
        <w:t>such as cultural practices, beliefs, and roles.</w:t>
      </w:r>
      <w:r>
        <w:rPr>
          <w:color w:val="374151"/>
          <w:spacing w:val="-1"/>
          <w:shd w:fill="F7F7F8" w:color="auto" w:val="clear"/>
        </w:rPr>
        <w:t> </w:t>
      </w:r>
      <w:r>
        <w:rPr>
          <w:color w:val="374151"/>
          <w:shd w:fill="F7F7F8" w:color="auto" w:val="clear"/>
        </w:rPr>
        <w:t>This helps to identify cultural </w:t>
      </w:r>
      <w:r>
        <w:rPr>
          <w:color w:val="374151"/>
        </w:rPr>
        <w:t> </w:t>
      </w:r>
      <w:r>
        <w:rPr>
          <w:color w:val="374151"/>
          <w:shd w:fill="F7F7F8" w:color="auto" w:val="clear"/>
        </w:rPr>
        <w:t>influences on an individual's sexuality within their familial and community </w:t>
      </w:r>
      <w:r>
        <w:rPr>
          <w:color w:val="374151"/>
        </w:rPr>
        <w:t> </w:t>
      </w:r>
      <w:r>
        <w:rPr>
          <w:color w:val="374151"/>
          <w:spacing w:val="-2"/>
          <w:shd w:fill="F7F7F8" w:color="auto" w:val="clear"/>
        </w:rPr>
        <w:t>contexts.</w:t>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2"/>
        </w:numPr>
        <w:tabs>
          <w:tab w:pos="1218" w:val="left" w:leader="none"/>
        </w:tabs>
        <w:spacing w:line="232" w:lineRule="auto" w:before="237" w:after="0"/>
        <w:ind w:left="1218" w:right="582" w:hanging="459"/>
        <w:jc w:val="left"/>
        <w:rPr>
          <w:sz w:val="28"/>
        </w:rPr>
      </w:pPr>
      <w:r>
        <w:rPr/>
        <mc:AlternateContent>
          <mc:Choice Requires="wps">
            <w:drawing>
              <wp:anchor distT="0" distB="0" distL="0" distR="0" allowOverlap="1" layoutInCell="1" locked="0" behindDoc="0" simplePos="0" relativeHeight="15775744">
                <wp:simplePos x="0" y="0"/>
                <wp:positionH relativeFrom="page">
                  <wp:posOffset>1066800</wp:posOffset>
                </wp:positionH>
                <wp:positionV relativeFrom="paragraph">
                  <wp:posOffset>-213308</wp:posOffset>
                </wp:positionV>
                <wp:extent cx="3209290" cy="3937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3209290"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z w:val="28"/>
                              </w:rPr>
                              <w:t>Culturally</w:t>
                            </w:r>
                            <w:r>
                              <w:rPr>
                                <w:b/>
                                <w:i/>
                                <w:color w:val="374151"/>
                                <w:spacing w:val="-7"/>
                                <w:sz w:val="28"/>
                              </w:rPr>
                              <w:t> </w:t>
                            </w:r>
                            <w:r>
                              <w:rPr>
                                <w:b/>
                                <w:i/>
                                <w:color w:val="374151"/>
                                <w:sz w:val="28"/>
                              </w:rPr>
                              <w:t>Competent</w:t>
                            </w:r>
                            <w:r>
                              <w:rPr>
                                <w:b/>
                                <w:i/>
                                <w:color w:val="374151"/>
                                <w:spacing w:val="-5"/>
                                <w:sz w:val="28"/>
                              </w:rPr>
                              <w:t> </w:t>
                            </w:r>
                            <w:r>
                              <w:rPr>
                                <w:b/>
                                <w:i/>
                                <w:color w:val="374151"/>
                                <w:sz w:val="28"/>
                              </w:rPr>
                              <w:t>Treatment</w:t>
                            </w:r>
                            <w:r>
                              <w:rPr>
                                <w:b/>
                                <w:i/>
                                <w:color w:val="374151"/>
                                <w:spacing w:val="-5"/>
                                <w:sz w:val="28"/>
                              </w:rPr>
                              <w:t> </w:t>
                            </w:r>
                            <w:r>
                              <w:rPr>
                                <w:b/>
                                <w:i/>
                                <w:color w:val="374151"/>
                                <w:spacing w:val="-2"/>
                                <w:sz w:val="28"/>
                              </w:rPr>
                              <w:t>Strategies:</w:t>
                            </w:r>
                          </w:p>
                        </w:txbxContent>
                      </wps:txbx>
                      <wps:bodyPr wrap="square" lIns="0" tIns="0" rIns="0" bIns="0" rtlCol="0">
                        <a:noAutofit/>
                      </wps:bodyPr>
                    </wps:wsp>
                  </a:graphicData>
                </a:graphic>
              </wp:anchor>
            </w:drawing>
          </mc:Choice>
          <mc:Fallback>
            <w:pict>
              <v:shape style="position:absolute;margin-left:84pt;margin-top:-16.795967pt;width:252.7pt;height:31pt;mso-position-horizontal-relative:page;mso-position-vertical-relative:paragraph;z-index:15775744" type="#_x0000_t202" id="docshape206" filled="true" fillcolor="#f7f7f8" stroked="false">
                <v:textbox inset="0,0,0,0">
                  <w:txbxContent>
                    <w:p>
                      <w:pPr>
                        <w:spacing w:line="308" w:lineRule="exact" w:before="0"/>
                        <w:ind w:left="0" w:right="-15" w:firstLine="0"/>
                        <w:jc w:val="left"/>
                        <w:rPr>
                          <w:b/>
                          <w:i/>
                          <w:color w:val="000000"/>
                          <w:sz w:val="28"/>
                        </w:rPr>
                      </w:pPr>
                      <w:r>
                        <w:rPr>
                          <w:b/>
                          <w:i/>
                          <w:color w:val="374151"/>
                          <w:sz w:val="28"/>
                        </w:rPr>
                        <w:t>Culturally</w:t>
                      </w:r>
                      <w:r>
                        <w:rPr>
                          <w:b/>
                          <w:i/>
                          <w:color w:val="374151"/>
                          <w:spacing w:val="-7"/>
                          <w:sz w:val="28"/>
                        </w:rPr>
                        <w:t> </w:t>
                      </w:r>
                      <w:r>
                        <w:rPr>
                          <w:b/>
                          <w:i/>
                          <w:color w:val="374151"/>
                          <w:sz w:val="28"/>
                        </w:rPr>
                        <w:t>Competent</w:t>
                      </w:r>
                      <w:r>
                        <w:rPr>
                          <w:b/>
                          <w:i/>
                          <w:color w:val="374151"/>
                          <w:spacing w:val="-5"/>
                          <w:sz w:val="28"/>
                        </w:rPr>
                        <w:t> </w:t>
                      </w:r>
                      <w:r>
                        <w:rPr>
                          <w:b/>
                          <w:i/>
                          <w:color w:val="374151"/>
                          <w:sz w:val="28"/>
                        </w:rPr>
                        <w:t>Treatment</w:t>
                      </w:r>
                      <w:r>
                        <w:rPr>
                          <w:b/>
                          <w:i/>
                          <w:color w:val="374151"/>
                          <w:spacing w:val="-5"/>
                          <w:sz w:val="28"/>
                        </w:rPr>
                        <w:t> </w:t>
                      </w:r>
                      <w:r>
                        <w:rPr>
                          <w:b/>
                          <w:i/>
                          <w:color w:val="374151"/>
                          <w:spacing w:val="-2"/>
                          <w:sz w:val="28"/>
                        </w:rPr>
                        <w:t>Strategies:</w:t>
                      </w:r>
                    </w:p>
                  </w:txbxContent>
                </v:textbox>
                <v:fill type="solid"/>
                <w10:wrap type="none"/>
              </v:shape>
            </w:pict>
          </mc:Fallback>
        </mc:AlternateContent>
      </w:r>
      <w:r>
        <w:rPr>
          <w:color w:val="374151"/>
          <w:sz w:val="28"/>
          <w:shd w:fill="F7F7F8" w:color="auto" w:val="clear"/>
        </w:rPr>
        <w:t>Culturally Sensitive Psychoeducation: Provide culturally sensitive </w:t>
      </w:r>
      <w:r>
        <w:rPr>
          <w:color w:val="374151"/>
          <w:sz w:val="28"/>
        </w:rPr>
        <w:t> </w:t>
      </w:r>
      <w:r>
        <w:rPr>
          <w:color w:val="374151"/>
          <w:sz w:val="28"/>
          <w:shd w:fill="F7F7F8" w:color="auto" w:val="clear"/>
        </w:rPr>
        <w:t>psychoeducation about human sexuality that takes into account the </w:t>
      </w:r>
      <w:r>
        <w:rPr>
          <w:color w:val="374151"/>
          <w:sz w:val="28"/>
        </w:rPr>
        <w:t> </w:t>
      </w:r>
      <w:r>
        <w:rPr>
          <w:color w:val="374151"/>
          <w:sz w:val="28"/>
          <w:shd w:fill="F7F7F8" w:color="auto" w:val="clear"/>
        </w:rPr>
        <w:t>cultural</w:t>
      </w:r>
      <w:r>
        <w:rPr>
          <w:color w:val="374151"/>
          <w:spacing w:val="-4"/>
          <w:sz w:val="28"/>
          <w:shd w:fill="F7F7F8" w:color="auto" w:val="clear"/>
        </w:rPr>
        <w:t> </w:t>
      </w:r>
      <w:r>
        <w:rPr>
          <w:color w:val="374151"/>
          <w:sz w:val="28"/>
          <w:shd w:fill="F7F7F8" w:color="auto" w:val="clear"/>
        </w:rPr>
        <w:t>norms,</w:t>
      </w:r>
      <w:r>
        <w:rPr>
          <w:color w:val="374151"/>
          <w:spacing w:val="-4"/>
          <w:sz w:val="28"/>
          <w:shd w:fill="F7F7F8" w:color="auto" w:val="clear"/>
        </w:rPr>
        <w:t> </w:t>
      </w:r>
      <w:r>
        <w:rPr>
          <w:color w:val="374151"/>
          <w:sz w:val="28"/>
          <w:shd w:fill="F7F7F8" w:color="auto" w:val="clear"/>
        </w:rPr>
        <w:t>beliefs,</w:t>
      </w:r>
      <w:r>
        <w:rPr>
          <w:color w:val="374151"/>
          <w:spacing w:val="-4"/>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values</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the</w:t>
      </w:r>
      <w:r>
        <w:rPr>
          <w:color w:val="374151"/>
          <w:spacing w:val="-5"/>
          <w:sz w:val="28"/>
          <w:shd w:fill="F7F7F8" w:color="auto" w:val="clear"/>
        </w:rPr>
        <w:t> </w:t>
      </w:r>
      <w:r>
        <w:rPr>
          <w:color w:val="374151"/>
          <w:sz w:val="28"/>
          <w:shd w:fill="F7F7F8" w:color="auto" w:val="clear"/>
        </w:rPr>
        <w:t>individual's</w:t>
      </w:r>
      <w:r>
        <w:rPr>
          <w:color w:val="374151"/>
          <w:spacing w:val="-4"/>
          <w:sz w:val="28"/>
          <w:shd w:fill="F7F7F8" w:color="auto" w:val="clear"/>
        </w:rPr>
        <w:t> </w:t>
      </w:r>
      <w:r>
        <w:rPr>
          <w:color w:val="374151"/>
          <w:sz w:val="28"/>
          <w:shd w:fill="F7F7F8" w:color="auto" w:val="clear"/>
        </w:rPr>
        <w:t>specific</w:t>
      </w:r>
      <w:r>
        <w:rPr>
          <w:color w:val="374151"/>
          <w:spacing w:val="-5"/>
          <w:sz w:val="28"/>
          <w:shd w:fill="F7F7F8" w:color="auto" w:val="clear"/>
        </w:rPr>
        <w:t> </w:t>
      </w:r>
      <w:r>
        <w:rPr>
          <w:color w:val="374151"/>
          <w:sz w:val="28"/>
          <w:shd w:fill="F7F7F8" w:color="auto" w:val="clear"/>
        </w:rPr>
        <w:t>cultural</w:t>
      </w:r>
      <w:r>
        <w:rPr>
          <w:color w:val="374151"/>
          <w:spacing w:val="-5"/>
          <w:sz w:val="28"/>
          <w:shd w:fill="F7F7F8" w:color="auto" w:val="clear"/>
        </w:rPr>
        <w:t> </w:t>
      </w:r>
      <w:r>
        <w:rPr>
          <w:color w:val="374151"/>
          <w:spacing w:val="-5"/>
          <w:sz w:val="28"/>
        </w:rPr>
        <w:t> </w:t>
      </w:r>
      <w:r>
        <w:rPr>
          <w:color w:val="374151"/>
          <w:sz w:val="28"/>
          <w:shd w:fill="F7F7F8" w:color="auto" w:val="clear"/>
        </w:rPr>
        <w:t>background. This may involve adapting educational materials and </w:t>
      </w:r>
      <w:r>
        <w:rPr>
          <w:color w:val="374151"/>
          <w:sz w:val="28"/>
        </w:rPr>
        <w:t> </w:t>
      </w:r>
      <w:r>
        <w:rPr>
          <w:color w:val="374151"/>
          <w:sz w:val="28"/>
          <w:shd w:fill="F7F7F8" w:color="auto" w:val="clear"/>
        </w:rPr>
        <w:t>resources to be culturally relevant and respectful.</w:t>
      </w:r>
    </w:p>
    <w:p>
      <w:pPr>
        <w:pStyle w:val="BodyText"/>
        <w:spacing w:before="10"/>
        <w:rPr>
          <w:sz w:val="24"/>
        </w:rPr>
      </w:pPr>
    </w:p>
    <w:p>
      <w:pPr>
        <w:pStyle w:val="ListParagraph"/>
        <w:numPr>
          <w:ilvl w:val="0"/>
          <w:numId w:val="12"/>
        </w:numPr>
        <w:tabs>
          <w:tab w:pos="1218" w:val="left" w:leader="none"/>
        </w:tabs>
        <w:spacing w:line="230" w:lineRule="auto" w:before="0" w:after="0"/>
        <w:ind w:left="1218" w:right="624" w:hanging="459"/>
        <w:jc w:val="left"/>
        <w:rPr>
          <w:sz w:val="28"/>
        </w:rPr>
      </w:pPr>
      <w:r>
        <w:rPr>
          <w:color w:val="374151"/>
          <w:sz w:val="28"/>
          <w:shd w:fill="F7F7F8" w:color="auto" w:val="clear"/>
        </w:rPr>
        <w:t>Collaborative</w:t>
      </w:r>
      <w:r>
        <w:rPr>
          <w:color w:val="374151"/>
          <w:spacing w:val="-5"/>
          <w:sz w:val="28"/>
          <w:shd w:fill="F7F7F8" w:color="auto" w:val="clear"/>
        </w:rPr>
        <w:t> </w:t>
      </w:r>
      <w:r>
        <w:rPr>
          <w:color w:val="374151"/>
          <w:sz w:val="28"/>
          <w:shd w:fill="F7F7F8" w:color="auto" w:val="clear"/>
        </w:rPr>
        <w:t>Goal</w:t>
      </w:r>
      <w:r>
        <w:rPr>
          <w:color w:val="374151"/>
          <w:spacing w:val="-4"/>
          <w:sz w:val="28"/>
          <w:shd w:fill="F7F7F8" w:color="auto" w:val="clear"/>
        </w:rPr>
        <w:t> </w:t>
      </w:r>
      <w:r>
        <w:rPr>
          <w:color w:val="374151"/>
          <w:sz w:val="28"/>
          <w:shd w:fill="F7F7F8" w:color="auto" w:val="clear"/>
        </w:rPr>
        <w:t>Setting:</w:t>
      </w:r>
      <w:r>
        <w:rPr>
          <w:color w:val="374151"/>
          <w:spacing w:val="-4"/>
          <w:sz w:val="28"/>
          <w:shd w:fill="F7F7F8" w:color="auto" w:val="clear"/>
        </w:rPr>
        <w:t> </w:t>
      </w:r>
      <w:r>
        <w:rPr>
          <w:color w:val="374151"/>
          <w:sz w:val="28"/>
          <w:shd w:fill="F7F7F8" w:color="auto" w:val="clear"/>
        </w:rPr>
        <w:t>Engage</w:t>
      </w:r>
      <w:r>
        <w:rPr>
          <w:color w:val="374151"/>
          <w:spacing w:val="-5"/>
          <w:sz w:val="28"/>
          <w:shd w:fill="F7F7F8" w:color="auto" w:val="clear"/>
        </w:rPr>
        <w:t> </w:t>
      </w:r>
      <w:r>
        <w:rPr>
          <w:color w:val="374151"/>
          <w:sz w:val="28"/>
          <w:shd w:fill="F7F7F8" w:color="auto" w:val="clear"/>
        </w:rPr>
        <w:t>in</w:t>
      </w:r>
      <w:r>
        <w:rPr>
          <w:color w:val="374151"/>
          <w:spacing w:val="-4"/>
          <w:sz w:val="28"/>
          <w:shd w:fill="F7F7F8" w:color="auto" w:val="clear"/>
        </w:rPr>
        <w:t> </w:t>
      </w:r>
      <w:r>
        <w:rPr>
          <w:color w:val="374151"/>
          <w:sz w:val="28"/>
          <w:shd w:fill="F7F7F8" w:color="auto" w:val="clear"/>
        </w:rPr>
        <w:t>collaborative</w:t>
      </w:r>
      <w:r>
        <w:rPr>
          <w:color w:val="374151"/>
          <w:spacing w:val="-5"/>
          <w:sz w:val="28"/>
          <w:shd w:fill="F7F7F8" w:color="auto" w:val="clear"/>
        </w:rPr>
        <w:t> </w:t>
      </w:r>
      <w:r>
        <w:rPr>
          <w:color w:val="374151"/>
          <w:sz w:val="28"/>
          <w:shd w:fill="F7F7F8" w:color="auto" w:val="clear"/>
        </w:rPr>
        <w:t>goal</w:t>
      </w:r>
      <w:r>
        <w:rPr>
          <w:color w:val="374151"/>
          <w:spacing w:val="-4"/>
          <w:sz w:val="28"/>
          <w:shd w:fill="F7F7F8" w:color="auto" w:val="clear"/>
        </w:rPr>
        <w:t> </w:t>
      </w:r>
      <w:r>
        <w:rPr>
          <w:color w:val="374151"/>
          <w:sz w:val="28"/>
          <w:shd w:fill="F7F7F8" w:color="auto" w:val="clear"/>
        </w:rPr>
        <w:t>setting</w:t>
      </w:r>
      <w:r>
        <w:rPr>
          <w:color w:val="374151"/>
          <w:spacing w:val="-4"/>
          <w:sz w:val="28"/>
          <w:shd w:fill="F7F7F8" w:color="auto" w:val="clear"/>
        </w:rPr>
        <w:t> </w:t>
      </w:r>
      <w:r>
        <w:rPr>
          <w:color w:val="374151"/>
          <w:sz w:val="28"/>
          <w:shd w:fill="F7F7F8" w:color="auto" w:val="clear"/>
        </w:rPr>
        <w:t>with</w:t>
      </w:r>
      <w:r>
        <w:rPr>
          <w:color w:val="374151"/>
          <w:spacing w:val="-5"/>
          <w:sz w:val="28"/>
          <w:shd w:fill="F7F7F8" w:color="auto" w:val="clear"/>
        </w:rPr>
        <w:t> </w:t>
      </w:r>
      <w:r>
        <w:rPr>
          <w:color w:val="374151"/>
          <w:spacing w:val="-5"/>
          <w:sz w:val="28"/>
        </w:rPr>
        <w:t> </w:t>
      </w:r>
      <w:r>
        <w:rPr>
          <w:color w:val="374151"/>
          <w:sz w:val="28"/>
          <w:shd w:fill="F7F7F8" w:color="auto" w:val="clear"/>
        </w:rPr>
        <w:t>the individual, taking into consideration their cultural values and </w:t>
      </w:r>
      <w:r>
        <w:rPr>
          <w:color w:val="374151"/>
          <w:sz w:val="28"/>
        </w:rPr>
        <w:t> </w:t>
      </w:r>
      <w:r>
        <w:rPr>
          <w:color w:val="374151"/>
          <w:sz w:val="28"/>
          <w:shd w:fill="F7F7F8" w:color="auto" w:val="clear"/>
        </w:rPr>
        <w:t>beliefs. This ensures that treatment goals align with the individual's </w:t>
      </w:r>
      <w:r>
        <w:rPr>
          <w:color w:val="374151"/>
          <w:sz w:val="28"/>
        </w:rPr>
        <w:t> </w:t>
      </w:r>
      <w:r>
        <w:rPr>
          <w:color w:val="374151"/>
          <w:sz w:val="28"/>
          <w:shd w:fill="F7F7F8" w:color="auto" w:val="clear"/>
        </w:rPr>
        <w:t>cultural context and aspirations.</w:t>
      </w:r>
    </w:p>
    <w:p>
      <w:pPr>
        <w:pStyle w:val="BodyText"/>
        <w:spacing w:before="11"/>
        <w:rPr>
          <w:sz w:val="24"/>
        </w:rPr>
      </w:pPr>
    </w:p>
    <w:p>
      <w:pPr>
        <w:pStyle w:val="ListParagraph"/>
        <w:numPr>
          <w:ilvl w:val="0"/>
          <w:numId w:val="12"/>
        </w:numPr>
        <w:tabs>
          <w:tab w:pos="1218" w:val="left" w:leader="none"/>
        </w:tabs>
        <w:spacing w:line="232" w:lineRule="auto" w:before="0" w:after="0"/>
        <w:ind w:left="1218" w:right="498" w:hanging="459"/>
        <w:jc w:val="left"/>
        <w:rPr>
          <w:sz w:val="28"/>
        </w:rPr>
      </w:pPr>
      <w:r>
        <w:rPr>
          <w:color w:val="374151"/>
          <w:sz w:val="28"/>
          <w:shd w:fill="F7F7F8" w:color="auto" w:val="clear"/>
        </w:rPr>
        <w:t>Culturally</w:t>
      </w:r>
      <w:r>
        <w:rPr>
          <w:color w:val="374151"/>
          <w:spacing w:val="-8"/>
          <w:sz w:val="28"/>
          <w:shd w:fill="F7F7F8" w:color="auto" w:val="clear"/>
        </w:rPr>
        <w:t> </w:t>
      </w:r>
      <w:r>
        <w:rPr>
          <w:color w:val="374151"/>
          <w:sz w:val="28"/>
          <w:shd w:fill="F7F7F8" w:color="auto" w:val="clear"/>
        </w:rPr>
        <w:t>Adapted Interventions:</w:t>
      </w:r>
      <w:r>
        <w:rPr>
          <w:color w:val="374151"/>
          <w:spacing w:val="-8"/>
          <w:sz w:val="28"/>
          <w:shd w:fill="F7F7F8" w:color="auto" w:val="clear"/>
        </w:rPr>
        <w:t> </w:t>
      </w:r>
      <w:r>
        <w:rPr>
          <w:color w:val="374151"/>
          <w:sz w:val="28"/>
          <w:shd w:fill="F7F7F8" w:color="auto" w:val="clear"/>
        </w:rPr>
        <w:t>Adapt therapeutic interventions to </w:t>
      </w:r>
      <w:r>
        <w:rPr>
          <w:color w:val="374151"/>
          <w:sz w:val="28"/>
        </w:rPr>
        <w:t> </w:t>
      </w:r>
      <w:r>
        <w:rPr>
          <w:color w:val="374151"/>
          <w:sz w:val="28"/>
          <w:shd w:fill="F7F7F8" w:color="auto" w:val="clear"/>
        </w:rPr>
        <w:t>be</w:t>
      </w:r>
      <w:r>
        <w:rPr>
          <w:color w:val="374151"/>
          <w:spacing w:val="-5"/>
          <w:sz w:val="28"/>
          <w:shd w:fill="F7F7F8" w:color="auto" w:val="clear"/>
        </w:rPr>
        <w:t> </w:t>
      </w:r>
      <w:r>
        <w:rPr>
          <w:color w:val="374151"/>
          <w:sz w:val="28"/>
          <w:shd w:fill="F7F7F8" w:color="auto" w:val="clear"/>
        </w:rPr>
        <w:t>culturally</w:t>
      </w:r>
      <w:r>
        <w:rPr>
          <w:color w:val="374151"/>
          <w:spacing w:val="-4"/>
          <w:sz w:val="28"/>
          <w:shd w:fill="F7F7F8" w:color="auto" w:val="clear"/>
        </w:rPr>
        <w:t> </w:t>
      </w:r>
      <w:r>
        <w:rPr>
          <w:color w:val="374151"/>
          <w:sz w:val="28"/>
          <w:shd w:fill="F7F7F8" w:color="auto" w:val="clear"/>
        </w:rPr>
        <w:t>appropriate</w:t>
      </w:r>
      <w:r>
        <w:rPr>
          <w:color w:val="374151"/>
          <w:spacing w:val="-5"/>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relevant.</w:t>
      </w:r>
      <w:r>
        <w:rPr>
          <w:color w:val="374151"/>
          <w:spacing w:val="-10"/>
          <w:sz w:val="28"/>
          <w:shd w:fill="F7F7F8" w:color="auto" w:val="clear"/>
        </w:rPr>
        <w:t> </w:t>
      </w:r>
      <w:r>
        <w:rPr>
          <w:color w:val="374151"/>
          <w:sz w:val="28"/>
          <w:shd w:fill="F7F7F8" w:color="auto" w:val="clear"/>
        </w:rPr>
        <w:t>This</w:t>
      </w:r>
      <w:r>
        <w:rPr>
          <w:color w:val="374151"/>
          <w:spacing w:val="-4"/>
          <w:sz w:val="28"/>
          <w:shd w:fill="F7F7F8" w:color="auto" w:val="clear"/>
        </w:rPr>
        <w:t> </w:t>
      </w:r>
      <w:r>
        <w:rPr>
          <w:color w:val="374151"/>
          <w:sz w:val="28"/>
          <w:shd w:fill="F7F7F8" w:color="auto" w:val="clear"/>
        </w:rPr>
        <w:t>may</w:t>
      </w:r>
      <w:r>
        <w:rPr>
          <w:color w:val="374151"/>
          <w:spacing w:val="-4"/>
          <w:sz w:val="28"/>
          <w:shd w:fill="F7F7F8" w:color="auto" w:val="clear"/>
        </w:rPr>
        <w:t> </w:t>
      </w:r>
      <w:r>
        <w:rPr>
          <w:color w:val="374151"/>
          <w:sz w:val="28"/>
          <w:shd w:fill="F7F7F8" w:color="auto" w:val="clear"/>
        </w:rPr>
        <w:t>involve</w:t>
      </w:r>
      <w:r>
        <w:rPr>
          <w:color w:val="374151"/>
          <w:spacing w:val="-5"/>
          <w:sz w:val="28"/>
          <w:shd w:fill="F7F7F8" w:color="auto" w:val="clear"/>
        </w:rPr>
        <w:t> </w:t>
      </w:r>
      <w:r>
        <w:rPr>
          <w:color w:val="374151"/>
          <w:sz w:val="28"/>
          <w:shd w:fill="F7F7F8" w:color="auto" w:val="clear"/>
        </w:rPr>
        <w:t>incorporating</w:t>
      </w:r>
      <w:r>
        <w:rPr>
          <w:color w:val="374151"/>
          <w:spacing w:val="-5"/>
          <w:sz w:val="28"/>
          <w:shd w:fill="F7F7F8" w:color="auto" w:val="clear"/>
        </w:rPr>
        <w:t> </w:t>
      </w:r>
      <w:r>
        <w:rPr>
          <w:color w:val="374151"/>
          <w:spacing w:val="-5"/>
          <w:sz w:val="28"/>
        </w:rPr>
        <w:t> </w:t>
      </w:r>
      <w:r>
        <w:rPr>
          <w:color w:val="374151"/>
          <w:sz w:val="28"/>
          <w:shd w:fill="F7F7F8" w:color="auto" w:val="clear"/>
        </w:rPr>
        <w:t>cultural practices, rituals, or traditional healing methods that are </w:t>
      </w:r>
      <w:r>
        <w:rPr>
          <w:color w:val="374151"/>
          <w:sz w:val="28"/>
        </w:rPr>
        <w:t> </w:t>
      </w:r>
      <w:r>
        <w:rPr>
          <w:color w:val="374151"/>
          <w:sz w:val="28"/>
          <w:shd w:fill="F7F7F8" w:color="auto" w:val="clear"/>
        </w:rPr>
        <w:t>valued within the individual's culture. It is important to work in </w:t>
      </w:r>
      <w:r>
        <w:rPr>
          <w:color w:val="374151"/>
          <w:sz w:val="28"/>
        </w:rPr>
        <w:t> </w:t>
      </w:r>
      <w:r>
        <w:rPr>
          <w:color w:val="374151"/>
          <w:sz w:val="28"/>
          <w:shd w:fill="F7F7F8" w:color="auto" w:val="clear"/>
        </w:rPr>
        <w:t>partnership</w:t>
      </w:r>
      <w:r>
        <w:rPr>
          <w:color w:val="374151"/>
          <w:spacing w:val="-7"/>
          <w:sz w:val="28"/>
          <w:shd w:fill="F7F7F8" w:color="auto" w:val="clear"/>
        </w:rPr>
        <w:t> </w:t>
      </w:r>
      <w:r>
        <w:rPr>
          <w:color w:val="374151"/>
          <w:sz w:val="28"/>
          <w:shd w:fill="F7F7F8" w:color="auto" w:val="clear"/>
        </w:rPr>
        <w:t>with</w:t>
      </w:r>
      <w:r>
        <w:rPr>
          <w:color w:val="374151"/>
          <w:spacing w:val="-4"/>
          <w:sz w:val="28"/>
          <w:shd w:fill="F7F7F8" w:color="auto" w:val="clear"/>
        </w:rPr>
        <w:t> </w:t>
      </w:r>
      <w:r>
        <w:rPr>
          <w:color w:val="374151"/>
          <w:sz w:val="28"/>
          <w:shd w:fill="F7F7F8" w:color="auto" w:val="clear"/>
        </w:rPr>
        <w:t>the</w:t>
      </w:r>
      <w:r>
        <w:rPr>
          <w:color w:val="374151"/>
          <w:spacing w:val="-5"/>
          <w:sz w:val="28"/>
          <w:shd w:fill="F7F7F8" w:color="auto" w:val="clear"/>
        </w:rPr>
        <w:t> </w:t>
      </w:r>
      <w:r>
        <w:rPr>
          <w:color w:val="374151"/>
          <w:sz w:val="28"/>
          <w:shd w:fill="F7F7F8" w:color="auto" w:val="clear"/>
        </w:rPr>
        <w:t>individual</w:t>
      </w:r>
      <w:r>
        <w:rPr>
          <w:color w:val="374151"/>
          <w:spacing w:val="-4"/>
          <w:sz w:val="28"/>
          <w:shd w:fill="F7F7F8" w:color="auto" w:val="clear"/>
        </w:rPr>
        <w:t> </w:t>
      </w:r>
      <w:r>
        <w:rPr>
          <w:color w:val="374151"/>
          <w:sz w:val="28"/>
          <w:shd w:fill="F7F7F8" w:color="auto" w:val="clear"/>
        </w:rPr>
        <w:t>to</w:t>
      </w:r>
      <w:r>
        <w:rPr>
          <w:color w:val="374151"/>
          <w:spacing w:val="-4"/>
          <w:sz w:val="28"/>
          <w:shd w:fill="F7F7F8" w:color="auto" w:val="clear"/>
        </w:rPr>
        <w:t> </w:t>
      </w:r>
      <w:r>
        <w:rPr>
          <w:color w:val="374151"/>
          <w:sz w:val="28"/>
          <w:shd w:fill="F7F7F8" w:color="auto" w:val="clear"/>
        </w:rPr>
        <w:t>identify</w:t>
      </w:r>
      <w:r>
        <w:rPr>
          <w:color w:val="374151"/>
          <w:spacing w:val="-4"/>
          <w:sz w:val="28"/>
          <w:shd w:fill="F7F7F8" w:color="auto" w:val="clear"/>
        </w:rPr>
        <w:t> </w:t>
      </w:r>
      <w:r>
        <w:rPr>
          <w:color w:val="374151"/>
          <w:sz w:val="28"/>
          <w:shd w:fill="F7F7F8" w:color="auto" w:val="clear"/>
        </w:rPr>
        <w:t>interventions</w:t>
      </w:r>
      <w:r>
        <w:rPr>
          <w:color w:val="374151"/>
          <w:spacing w:val="-4"/>
          <w:sz w:val="28"/>
          <w:shd w:fill="F7F7F8" w:color="auto" w:val="clear"/>
        </w:rPr>
        <w:t> </w:t>
      </w:r>
      <w:r>
        <w:rPr>
          <w:color w:val="374151"/>
          <w:sz w:val="28"/>
          <w:shd w:fill="F7F7F8" w:color="auto" w:val="clear"/>
        </w:rPr>
        <w:t>that</w:t>
      </w:r>
      <w:r>
        <w:rPr>
          <w:color w:val="374151"/>
          <w:spacing w:val="-4"/>
          <w:sz w:val="28"/>
          <w:shd w:fill="F7F7F8" w:color="auto" w:val="clear"/>
        </w:rPr>
        <w:t> </w:t>
      </w:r>
      <w:r>
        <w:rPr>
          <w:color w:val="374151"/>
          <w:sz w:val="28"/>
          <w:shd w:fill="F7F7F8" w:color="auto" w:val="clear"/>
        </w:rPr>
        <w:t>align</w:t>
      </w:r>
      <w:r>
        <w:rPr>
          <w:color w:val="374151"/>
          <w:spacing w:val="-4"/>
          <w:sz w:val="28"/>
          <w:shd w:fill="F7F7F8" w:color="auto" w:val="clear"/>
        </w:rPr>
        <w:t> </w:t>
      </w:r>
      <w:r>
        <w:rPr>
          <w:color w:val="374151"/>
          <w:sz w:val="28"/>
          <w:shd w:fill="F7F7F8" w:color="auto" w:val="clear"/>
        </w:rPr>
        <w:t>with</w:t>
      </w:r>
      <w:r>
        <w:rPr>
          <w:color w:val="374151"/>
          <w:spacing w:val="-22"/>
          <w:sz w:val="28"/>
          <w:shd w:fill="F7F7F8" w:color="auto" w:val="clear"/>
        </w:rPr>
        <w:t> </w:t>
      </w:r>
      <w:r>
        <w:rPr>
          <w:color w:val="374151"/>
          <w:spacing w:val="-22"/>
          <w:sz w:val="28"/>
        </w:rPr>
        <w:t> </w:t>
      </w:r>
      <w:r>
        <w:rPr>
          <w:color w:val="374151"/>
          <w:sz w:val="28"/>
          <w:shd w:fill="F7F7F8" w:color="auto" w:val="clear"/>
        </w:rPr>
        <w:t>their cultural values and preferences.</w:t>
      </w:r>
    </w:p>
    <w:p>
      <w:pPr>
        <w:pStyle w:val="BodyText"/>
        <w:spacing w:before="4"/>
        <w:rPr>
          <w:sz w:val="25"/>
        </w:rPr>
      </w:pPr>
    </w:p>
    <w:p>
      <w:pPr>
        <w:pStyle w:val="ListParagraph"/>
        <w:numPr>
          <w:ilvl w:val="0"/>
          <w:numId w:val="12"/>
        </w:numPr>
        <w:tabs>
          <w:tab w:pos="1218" w:val="left" w:leader="none"/>
        </w:tabs>
        <w:spacing w:line="232" w:lineRule="auto" w:before="0" w:after="0"/>
        <w:ind w:left="1218" w:right="664" w:hanging="459"/>
        <w:jc w:val="left"/>
        <w:rPr>
          <w:sz w:val="28"/>
        </w:rPr>
      </w:pPr>
      <w:r>
        <w:rPr>
          <w:color w:val="374151"/>
          <w:sz w:val="28"/>
          <w:shd w:fill="F7F7F8" w:color="auto" w:val="clear"/>
        </w:rPr>
        <w:t>Respect</w:t>
      </w:r>
      <w:r>
        <w:rPr>
          <w:color w:val="374151"/>
          <w:spacing w:val="-7"/>
          <w:sz w:val="28"/>
          <w:shd w:fill="F7F7F8" w:color="auto" w:val="clear"/>
        </w:rPr>
        <w:t> </w:t>
      </w:r>
      <w:r>
        <w:rPr>
          <w:color w:val="374151"/>
          <w:sz w:val="28"/>
          <w:shd w:fill="F7F7F8" w:color="auto" w:val="clear"/>
        </w:rPr>
        <w:t>for</w:t>
      </w:r>
      <w:r>
        <w:rPr>
          <w:color w:val="374151"/>
          <w:spacing w:val="-18"/>
          <w:sz w:val="28"/>
          <w:shd w:fill="F7F7F8" w:color="auto" w:val="clear"/>
        </w:rPr>
        <w:t> </w:t>
      </w:r>
      <w:r>
        <w:rPr>
          <w:color w:val="374151"/>
          <w:sz w:val="28"/>
          <w:shd w:fill="F7F7F8" w:color="auto" w:val="clear"/>
        </w:rPr>
        <w:t>Autonomy</w:t>
      </w:r>
      <w:r>
        <w:rPr>
          <w:color w:val="374151"/>
          <w:spacing w:val="-5"/>
          <w:sz w:val="28"/>
          <w:shd w:fill="F7F7F8" w:color="auto" w:val="clear"/>
        </w:rPr>
        <w:t> </w:t>
      </w:r>
      <w:r>
        <w:rPr>
          <w:color w:val="374151"/>
          <w:sz w:val="28"/>
          <w:shd w:fill="F7F7F8" w:color="auto" w:val="clear"/>
        </w:rPr>
        <w:t>and</w:t>
      </w:r>
      <w:r>
        <w:rPr>
          <w:color w:val="374151"/>
          <w:spacing w:val="-5"/>
          <w:sz w:val="28"/>
          <w:shd w:fill="F7F7F8" w:color="auto" w:val="clear"/>
        </w:rPr>
        <w:t> </w:t>
      </w:r>
      <w:r>
        <w:rPr>
          <w:color w:val="374151"/>
          <w:sz w:val="28"/>
          <w:shd w:fill="F7F7F8" w:color="auto" w:val="clear"/>
        </w:rPr>
        <w:t>Decision-Making:</w:t>
      </w:r>
      <w:r>
        <w:rPr>
          <w:color w:val="374151"/>
          <w:spacing w:val="-5"/>
          <w:sz w:val="28"/>
          <w:shd w:fill="F7F7F8" w:color="auto" w:val="clear"/>
        </w:rPr>
        <w:t> </w:t>
      </w:r>
      <w:r>
        <w:rPr>
          <w:color w:val="374151"/>
          <w:sz w:val="28"/>
          <w:shd w:fill="F7F7F8" w:color="auto" w:val="clear"/>
        </w:rPr>
        <w:t>Recognize</w:t>
      </w:r>
      <w:r>
        <w:rPr>
          <w:color w:val="374151"/>
          <w:spacing w:val="-6"/>
          <w:sz w:val="28"/>
          <w:shd w:fill="F7F7F8" w:color="auto" w:val="clear"/>
        </w:rPr>
        <w:t> </w:t>
      </w:r>
      <w:r>
        <w:rPr>
          <w:color w:val="374151"/>
          <w:sz w:val="28"/>
          <w:shd w:fill="F7F7F8" w:color="auto" w:val="clear"/>
        </w:rPr>
        <w:t>and</w:t>
      </w:r>
      <w:r>
        <w:rPr>
          <w:color w:val="374151"/>
          <w:spacing w:val="-5"/>
          <w:sz w:val="28"/>
          <w:shd w:fill="F7F7F8" w:color="auto" w:val="clear"/>
        </w:rPr>
        <w:t> </w:t>
      </w:r>
      <w:r>
        <w:rPr>
          <w:color w:val="374151"/>
          <w:sz w:val="28"/>
          <w:shd w:fill="F7F7F8" w:color="auto" w:val="clear"/>
        </w:rPr>
        <w:t>respect</w:t>
      </w:r>
      <w:r>
        <w:rPr>
          <w:color w:val="374151"/>
          <w:spacing w:val="-6"/>
          <w:sz w:val="28"/>
          <w:shd w:fill="F7F7F8" w:color="auto" w:val="clear"/>
        </w:rPr>
        <w:t> </w:t>
      </w:r>
      <w:r>
        <w:rPr>
          <w:color w:val="374151"/>
          <w:spacing w:val="-6"/>
          <w:sz w:val="28"/>
        </w:rPr>
        <w:t> </w:t>
      </w:r>
      <w:r>
        <w:rPr>
          <w:color w:val="374151"/>
          <w:sz w:val="28"/>
          <w:shd w:fill="F7F7F8" w:color="auto" w:val="clear"/>
        </w:rPr>
        <w:t>the individual's autonomy and decision-making regarding their </w:t>
      </w:r>
      <w:r>
        <w:rPr>
          <w:color w:val="374151"/>
          <w:sz w:val="28"/>
        </w:rPr>
        <w:t> </w:t>
      </w:r>
      <w:r>
        <w:rPr>
          <w:color w:val="374151"/>
          <w:sz w:val="28"/>
          <w:shd w:fill="F7F7F8" w:color="auto" w:val="clear"/>
        </w:rPr>
        <w:t>sexuality within the context of their cultural norms and values. This </w:t>
      </w:r>
      <w:r>
        <w:rPr>
          <w:color w:val="374151"/>
          <w:sz w:val="28"/>
        </w:rPr>
        <w:t> </w:t>
      </w:r>
      <w:r>
        <w:rPr>
          <w:color w:val="374151"/>
          <w:sz w:val="28"/>
          <w:shd w:fill="F7F7F8" w:color="auto" w:val="clear"/>
        </w:rPr>
        <w:t>includes acknowledging and validating their cultural perspectives, </w:t>
      </w:r>
      <w:r>
        <w:rPr>
          <w:color w:val="374151"/>
          <w:sz w:val="28"/>
        </w:rPr>
        <w:t> </w:t>
      </w:r>
      <w:r>
        <w:rPr>
          <w:color w:val="374151"/>
          <w:sz w:val="28"/>
          <w:shd w:fill="F7F7F8" w:color="auto" w:val="clear"/>
        </w:rPr>
        <w:t>even if they differ from the clinician's personal beliefs.</w:t>
      </w:r>
    </w:p>
    <w:p>
      <w:pPr>
        <w:spacing w:after="0" w:line="232" w:lineRule="auto"/>
        <w:jc w:val="left"/>
        <w:rPr>
          <w:sz w:val="28"/>
        </w:rPr>
        <w:sectPr>
          <w:pgSz w:w="12240" w:h="15840"/>
          <w:pgMar w:header="0" w:footer="765" w:top="1820" w:bottom="980" w:left="1400" w:right="1180"/>
        </w:sectPr>
      </w:pPr>
    </w:p>
    <w:p>
      <w:pPr>
        <w:pStyle w:val="ListParagraph"/>
        <w:numPr>
          <w:ilvl w:val="0"/>
          <w:numId w:val="12"/>
        </w:numPr>
        <w:tabs>
          <w:tab w:pos="1218" w:val="left" w:leader="none"/>
        </w:tabs>
        <w:spacing w:line="232" w:lineRule="auto" w:before="53" w:after="0"/>
        <w:ind w:left="1218" w:right="521" w:hanging="459"/>
        <w:jc w:val="left"/>
        <w:rPr>
          <w:sz w:val="28"/>
        </w:rPr>
      </w:pPr>
      <w:r>
        <w:rPr>
          <w:color w:val="374151"/>
          <w:sz w:val="28"/>
          <w:shd w:fill="F7F7F8" w:color="auto" w:val="clear"/>
        </w:rPr>
        <w:t>Culturally</w:t>
      </w:r>
      <w:r>
        <w:rPr>
          <w:color w:val="374151"/>
          <w:spacing w:val="-9"/>
          <w:sz w:val="28"/>
          <w:shd w:fill="F7F7F8" w:color="auto" w:val="clear"/>
        </w:rPr>
        <w:t> </w:t>
      </w:r>
      <w:r>
        <w:rPr>
          <w:color w:val="374151"/>
          <w:sz w:val="28"/>
          <w:shd w:fill="F7F7F8" w:color="auto" w:val="clear"/>
        </w:rPr>
        <w:t>Responsive</w:t>
      </w:r>
      <w:r>
        <w:rPr>
          <w:color w:val="374151"/>
          <w:spacing w:val="-9"/>
          <w:sz w:val="28"/>
          <w:shd w:fill="F7F7F8" w:color="auto" w:val="clear"/>
        </w:rPr>
        <w:t> </w:t>
      </w:r>
      <w:r>
        <w:rPr>
          <w:color w:val="374151"/>
          <w:sz w:val="28"/>
          <w:shd w:fill="F7F7F8" w:color="auto" w:val="clear"/>
        </w:rPr>
        <w:t>Communication:</w:t>
      </w:r>
      <w:r>
        <w:rPr>
          <w:color w:val="374151"/>
          <w:spacing w:val="-9"/>
          <w:sz w:val="28"/>
          <w:shd w:fill="F7F7F8" w:color="auto" w:val="clear"/>
        </w:rPr>
        <w:t> </w:t>
      </w:r>
      <w:r>
        <w:rPr>
          <w:color w:val="374151"/>
          <w:sz w:val="28"/>
          <w:shd w:fill="F7F7F8" w:color="auto" w:val="clear"/>
        </w:rPr>
        <w:t>Utilize</w:t>
      </w:r>
      <w:r>
        <w:rPr>
          <w:color w:val="374151"/>
          <w:spacing w:val="-9"/>
          <w:sz w:val="28"/>
          <w:shd w:fill="F7F7F8" w:color="auto" w:val="clear"/>
        </w:rPr>
        <w:t> </w:t>
      </w:r>
      <w:r>
        <w:rPr>
          <w:color w:val="374151"/>
          <w:sz w:val="28"/>
          <w:shd w:fill="F7F7F8" w:color="auto" w:val="clear"/>
        </w:rPr>
        <w:t>effective</w:t>
      </w:r>
      <w:r>
        <w:rPr>
          <w:color w:val="374151"/>
          <w:spacing w:val="-9"/>
          <w:sz w:val="28"/>
          <w:shd w:fill="F7F7F8" w:color="auto" w:val="clear"/>
        </w:rPr>
        <w:t> </w:t>
      </w:r>
      <w:r>
        <w:rPr>
          <w:color w:val="374151"/>
          <w:sz w:val="28"/>
          <w:shd w:fill="F7F7F8" w:color="auto" w:val="clear"/>
        </w:rPr>
        <w:t>cross-cultural</w:t>
      </w:r>
      <w:r>
        <w:rPr>
          <w:color w:val="374151"/>
          <w:sz w:val="28"/>
        </w:rPr>
        <w:t> </w:t>
      </w:r>
      <w:r>
        <w:rPr>
          <w:color w:val="374151"/>
          <w:sz w:val="28"/>
          <w:shd w:fill="F7F7F8" w:color="auto" w:val="clear"/>
        </w:rPr>
        <w:t>communication skills, such as active listening, empathy, and </w:t>
      </w:r>
      <w:r>
        <w:rPr>
          <w:color w:val="374151"/>
          <w:sz w:val="28"/>
        </w:rPr>
        <w:t> </w:t>
      </w:r>
      <w:r>
        <w:rPr>
          <w:color w:val="374151"/>
          <w:sz w:val="28"/>
          <w:shd w:fill="F7F7F8" w:color="auto" w:val="clear"/>
        </w:rPr>
        <w:t>sensitivity to nonverbal cues, to establish rapport and build a </w:t>
      </w:r>
      <w:r>
        <w:rPr>
          <w:color w:val="374151"/>
          <w:sz w:val="28"/>
        </w:rPr>
        <w:t> </w:t>
      </w:r>
      <w:r>
        <w:rPr>
          <w:color w:val="374151"/>
          <w:sz w:val="28"/>
          <w:shd w:fill="F7F7F8" w:color="auto" w:val="clear"/>
        </w:rPr>
        <w:t>therapeutic alliance. Be aware of linguistic and cultural nuances that </w:t>
      </w:r>
      <w:r>
        <w:rPr>
          <w:color w:val="374151"/>
          <w:sz w:val="28"/>
        </w:rPr>
        <w:t> </w:t>
      </w:r>
      <w:r>
        <w:rPr>
          <w:color w:val="374151"/>
          <w:sz w:val="28"/>
          <w:shd w:fill="F7F7F8" w:color="auto" w:val="clear"/>
        </w:rPr>
        <w:t>may impact communication and adjust accordingly.</w:t>
      </w:r>
    </w:p>
    <w:p>
      <w:pPr>
        <w:pStyle w:val="BodyText"/>
        <w:spacing w:before="7"/>
        <w:rPr>
          <w:sz w:val="24"/>
        </w:rPr>
      </w:pPr>
    </w:p>
    <w:p>
      <w:pPr>
        <w:pStyle w:val="ListParagraph"/>
        <w:numPr>
          <w:ilvl w:val="0"/>
          <w:numId w:val="12"/>
        </w:numPr>
        <w:tabs>
          <w:tab w:pos="1218" w:val="left" w:leader="none"/>
        </w:tabs>
        <w:spacing w:line="232" w:lineRule="auto" w:before="0" w:after="0"/>
        <w:ind w:left="1218" w:right="791" w:hanging="459"/>
        <w:jc w:val="left"/>
        <w:rPr>
          <w:sz w:val="28"/>
        </w:rPr>
      </w:pPr>
      <w:r>
        <w:rPr>
          <w:color w:val="374151"/>
          <w:sz w:val="28"/>
          <w:shd w:fill="F7F7F8" w:color="auto" w:val="clear"/>
        </w:rPr>
        <w:t>Collaboration with Community Resources: Collaborate with </w:t>
      </w:r>
      <w:r>
        <w:rPr>
          <w:color w:val="374151"/>
          <w:sz w:val="28"/>
        </w:rPr>
        <w:t> </w:t>
      </w:r>
      <w:r>
        <w:rPr>
          <w:color w:val="374151"/>
          <w:sz w:val="28"/>
          <w:shd w:fill="F7F7F8" w:color="auto" w:val="clear"/>
        </w:rPr>
        <w:t>community resources, cultural consultants, or organizations that </w:t>
      </w:r>
      <w:r>
        <w:rPr>
          <w:color w:val="374151"/>
          <w:sz w:val="28"/>
        </w:rPr>
        <w:t> </w:t>
      </w:r>
      <w:r>
        <w:rPr>
          <w:color w:val="374151"/>
          <w:sz w:val="28"/>
          <w:shd w:fill="F7F7F8" w:color="auto" w:val="clear"/>
        </w:rPr>
        <w:t>specialize in providing culturally competent support and services </w:t>
      </w:r>
      <w:r>
        <w:rPr>
          <w:color w:val="374151"/>
          <w:sz w:val="28"/>
        </w:rPr>
        <w:t> </w:t>
      </w:r>
      <w:r>
        <w:rPr>
          <w:color w:val="374151"/>
          <w:sz w:val="28"/>
          <w:shd w:fill="F7F7F8" w:color="auto" w:val="clear"/>
        </w:rPr>
        <w:t>related to human sexuality.</w:t>
      </w:r>
      <w:r>
        <w:rPr>
          <w:color w:val="374151"/>
          <w:spacing w:val="-2"/>
          <w:sz w:val="28"/>
          <w:shd w:fill="F7F7F8" w:color="auto" w:val="clear"/>
        </w:rPr>
        <w:t> </w:t>
      </w:r>
      <w:r>
        <w:rPr>
          <w:color w:val="374151"/>
          <w:sz w:val="28"/>
          <w:shd w:fill="F7F7F8" w:color="auto" w:val="clear"/>
        </w:rPr>
        <w:t>This helps to ensure that the individual </w:t>
      </w:r>
      <w:r>
        <w:rPr>
          <w:color w:val="374151"/>
          <w:sz w:val="28"/>
        </w:rPr>
        <w:t> </w:t>
      </w:r>
      <w:r>
        <w:rPr>
          <w:color w:val="374151"/>
          <w:sz w:val="28"/>
          <w:shd w:fill="F7F7F8" w:color="auto" w:val="clear"/>
        </w:rPr>
        <w:t>receives</w:t>
      </w:r>
      <w:r>
        <w:rPr>
          <w:color w:val="374151"/>
          <w:spacing w:val="-5"/>
          <w:sz w:val="28"/>
          <w:shd w:fill="F7F7F8" w:color="auto" w:val="clear"/>
        </w:rPr>
        <w:t> </w:t>
      </w:r>
      <w:r>
        <w:rPr>
          <w:color w:val="374151"/>
          <w:sz w:val="28"/>
          <w:shd w:fill="F7F7F8" w:color="auto" w:val="clear"/>
        </w:rPr>
        <w:t>comprehensive</w:t>
      </w:r>
      <w:r>
        <w:rPr>
          <w:color w:val="374151"/>
          <w:spacing w:val="-6"/>
          <w:sz w:val="28"/>
          <w:shd w:fill="F7F7F8" w:color="auto" w:val="clear"/>
        </w:rPr>
        <w:t> </w:t>
      </w:r>
      <w:r>
        <w:rPr>
          <w:color w:val="374151"/>
          <w:sz w:val="28"/>
          <w:shd w:fill="F7F7F8" w:color="auto" w:val="clear"/>
        </w:rPr>
        <w:t>care</w:t>
      </w:r>
      <w:r>
        <w:rPr>
          <w:color w:val="374151"/>
          <w:spacing w:val="-6"/>
          <w:sz w:val="28"/>
          <w:shd w:fill="F7F7F8" w:color="auto" w:val="clear"/>
        </w:rPr>
        <w:t> </w:t>
      </w:r>
      <w:r>
        <w:rPr>
          <w:color w:val="374151"/>
          <w:sz w:val="28"/>
          <w:shd w:fill="F7F7F8" w:color="auto" w:val="clear"/>
        </w:rPr>
        <w:t>that</w:t>
      </w:r>
      <w:r>
        <w:rPr>
          <w:color w:val="374151"/>
          <w:spacing w:val="-5"/>
          <w:sz w:val="28"/>
          <w:shd w:fill="F7F7F8" w:color="auto" w:val="clear"/>
        </w:rPr>
        <w:t> </w:t>
      </w:r>
      <w:r>
        <w:rPr>
          <w:color w:val="374151"/>
          <w:sz w:val="28"/>
          <w:shd w:fill="F7F7F8" w:color="auto" w:val="clear"/>
        </w:rPr>
        <w:t>respects</w:t>
      </w:r>
      <w:r>
        <w:rPr>
          <w:color w:val="374151"/>
          <w:spacing w:val="-5"/>
          <w:sz w:val="28"/>
          <w:shd w:fill="F7F7F8" w:color="auto" w:val="clear"/>
        </w:rPr>
        <w:t> </w:t>
      </w:r>
      <w:r>
        <w:rPr>
          <w:color w:val="374151"/>
          <w:sz w:val="28"/>
          <w:shd w:fill="F7F7F8" w:color="auto" w:val="clear"/>
        </w:rPr>
        <w:t>their</w:t>
      </w:r>
      <w:r>
        <w:rPr>
          <w:color w:val="374151"/>
          <w:spacing w:val="-5"/>
          <w:sz w:val="28"/>
          <w:shd w:fill="F7F7F8" w:color="auto" w:val="clear"/>
        </w:rPr>
        <w:t> </w:t>
      </w:r>
      <w:r>
        <w:rPr>
          <w:color w:val="374151"/>
          <w:sz w:val="28"/>
          <w:shd w:fill="F7F7F8" w:color="auto" w:val="clear"/>
        </w:rPr>
        <w:t>cultural</w:t>
      </w:r>
      <w:r>
        <w:rPr>
          <w:color w:val="374151"/>
          <w:spacing w:val="-5"/>
          <w:sz w:val="28"/>
          <w:shd w:fill="F7F7F8" w:color="auto" w:val="clear"/>
        </w:rPr>
        <w:t> </w:t>
      </w:r>
      <w:r>
        <w:rPr>
          <w:color w:val="374151"/>
          <w:sz w:val="28"/>
          <w:shd w:fill="F7F7F8" w:color="auto" w:val="clear"/>
        </w:rPr>
        <w:t>background</w:t>
      </w:r>
      <w:r>
        <w:rPr>
          <w:color w:val="374151"/>
          <w:spacing w:val="-6"/>
          <w:sz w:val="28"/>
          <w:shd w:fill="F7F7F8" w:color="auto" w:val="clear"/>
        </w:rPr>
        <w:t> </w:t>
      </w:r>
      <w:r>
        <w:rPr>
          <w:color w:val="374151"/>
          <w:spacing w:val="-6"/>
          <w:sz w:val="28"/>
        </w:rPr>
        <w:t> </w:t>
      </w:r>
      <w:r>
        <w:rPr>
          <w:color w:val="374151"/>
          <w:sz w:val="28"/>
          <w:shd w:fill="F7F7F8" w:color="auto" w:val="clear"/>
        </w:rPr>
        <w:t>and needs.</w:t>
      </w:r>
    </w:p>
    <w:p>
      <w:pPr>
        <w:pStyle w:val="BodyText"/>
        <w:spacing w:before="4"/>
        <w:rPr>
          <w:sz w:val="25"/>
        </w:rPr>
      </w:pPr>
    </w:p>
    <w:p>
      <w:pPr>
        <w:pStyle w:val="ListParagraph"/>
        <w:numPr>
          <w:ilvl w:val="0"/>
          <w:numId w:val="12"/>
        </w:numPr>
        <w:tabs>
          <w:tab w:pos="1218" w:val="left" w:leader="none"/>
        </w:tabs>
        <w:spacing w:line="232" w:lineRule="auto" w:before="0" w:after="0"/>
        <w:ind w:left="1218" w:right="624" w:hanging="459"/>
        <w:jc w:val="left"/>
        <w:rPr>
          <w:sz w:val="28"/>
        </w:rPr>
      </w:pPr>
      <w:r>
        <w:rPr>
          <w:color w:val="374151"/>
          <w:sz w:val="28"/>
          <w:shd w:fill="F7F7F8" w:color="auto" w:val="clear"/>
        </w:rPr>
        <w:t>Continuous</w:t>
      </w:r>
      <w:r>
        <w:rPr>
          <w:color w:val="374151"/>
          <w:spacing w:val="-6"/>
          <w:sz w:val="28"/>
          <w:shd w:fill="F7F7F8" w:color="auto" w:val="clear"/>
        </w:rPr>
        <w:t> </w:t>
      </w:r>
      <w:r>
        <w:rPr>
          <w:color w:val="374151"/>
          <w:sz w:val="28"/>
          <w:shd w:fill="F7F7F8" w:color="auto" w:val="clear"/>
        </w:rPr>
        <w:t>Professional</w:t>
      </w:r>
      <w:r>
        <w:rPr>
          <w:color w:val="374151"/>
          <w:spacing w:val="-6"/>
          <w:sz w:val="28"/>
          <w:shd w:fill="F7F7F8" w:color="auto" w:val="clear"/>
        </w:rPr>
        <w:t> </w:t>
      </w:r>
      <w:r>
        <w:rPr>
          <w:color w:val="374151"/>
          <w:sz w:val="28"/>
          <w:shd w:fill="F7F7F8" w:color="auto" w:val="clear"/>
        </w:rPr>
        <w:t>Development:</w:t>
      </w:r>
      <w:r>
        <w:rPr>
          <w:color w:val="374151"/>
          <w:spacing w:val="-6"/>
          <w:sz w:val="28"/>
          <w:shd w:fill="F7F7F8" w:color="auto" w:val="clear"/>
        </w:rPr>
        <w:t> </w:t>
      </w:r>
      <w:r>
        <w:rPr>
          <w:color w:val="374151"/>
          <w:sz w:val="28"/>
          <w:shd w:fill="F7F7F8" w:color="auto" w:val="clear"/>
        </w:rPr>
        <w:t>Engage</w:t>
      </w:r>
      <w:r>
        <w:rPr>
          <w:color w:val="374151"/>
          <w:spacing w:val="-7"/>
          <w:sz w:val="28"/>
          <w:shd w:fill="F7F7F8" w:color="auto" w:val="clear"/>
        </w:rPr>
        <w:t> </w:t>
      </w:r>
      <w:r>
        <w:rPr>
          <w:color w:val="374151"/>
          <w:sz w:val="28"/>
          <w:shd w:fill="F7F7F8" w:color="auto" w:val="clear"/>
        </w:rPr>
        <w:t>in</w:t>
      </w:r>
      <w:r>
        <w:rPr>
          <w:color w:val="374151"/>
          <w:spacing w:val="-6"/>
          <w:sz w:val="28"/>
          <w:shd w:fill="F7F7F8" w:color="auto" w:val="clear"/>
        </w:rPr>
        <w:t> </w:t>
      </w:r>
      <w:r>
        <w:rPr>
          <w:color w:val="374151"/>
          <w:sz w:val="28"/>
          <w:shd w:fill="F7F7F8" w:color="auto" w:val="clear"/>
        </w:rPr>
        <w:t>ongoing</w:t>
      </w:r>
      <w:r>
        <w:rPr>
          <w:color w:val="374151"/>
          <w:spacing w:val="-6"/>
          <w:sz w:val="28"/>
          <w:shd w:fill="F7F7F8" w:color="auto" w:val="clear"/>
        </w:rPr>
        <w:t> </w:t>
      </w:r>
      <w:r>
        <w:rPr>
          <w:color w:val="374151"/>
          <w:sz w:val="28"/>
          <w:shd w:fill="F7F7F8" w:color="auto" w:val="clear"/>
        </w:rPr>
        <w:t>education</w:t>
      </w:r>
      <w:r>
        <w:rPr>
          <w:color w:val="374151"/>
          <w:spacing w:val="-7"/>
          <w:sz w:val="28"/>
          <w:shd w:fill="F7F7F8" w:color="auto" w:val="clear"/>
        </w:rPr>
        <w:t> </w:t>
      </w:r>
      <w:r>
        <w:rPr>
          <w:color w:val="374151"/>
          <w:spacing w:val="-7"/>
          <w:sz w:val="28"/>
        </w:rPr>
        <w:t> </w:t>
      </w:r>
      <w:r>
        <w:rPr>
          <w:color w:val="374151"/>
          <w:sz w:val="28"/>
          <w:shd w:fill="F7F7F8" w:color="auto" w:val="clear"/>
        </w:rPr>
        <w:t>and</w:t>
      </w:r>
      <w:r>
        <w:rPr>
          <w:color w:val="374151"/>
          <w:spacing w:val="-3"/>
          <w:sz w:val="28"/>
          <w:shd w:fill="F7F7F8" w:color="auto" w:val="clear"/>
        </w:rPr>
        <w:t> </w:t>
      </w:r>
      <w:r>
        <w:rPr>
          <w:color w:val="374151"/>
          <w:sz w:val="28"/>
          <w:shd w:fill="F7F7F8" w:color="auto" w:val="clear"/>
        </w:rPr>
        <w:t>training</w:t>
      </w:r>
      <w:r>
        <w:rPr>
          <w:color w:val="374151"/>
          <w:spacing w:val="-3"/>
          <w:sz w:val="28"/>
          <w:shd w:fill="F7F7F8" w:color="auto" w:val="clear"/>
        </w:rPr>
        <w:t> </w:t>
      </w:r>
      <w:r>
        <w:rPr>
          <w:color w:val="374151"/>
          <w:sz w:val="28"/>
          <w:shd w:fill="F7F7F8" w:color="auto" w:val="clear"/>
        </w:rPr>
        <w:t>to</w:t>
      </w:r>
      <w:r>
        <w:rPr>
          <w:color w:val="374151"/>
          <w:spacing w:val="-3"/>
          <w:sz w:val="28"/>
          <w:shd w:fill="F7F7F8" w:color="auto" w:val="clear"/>
        </w:rPr>
        <w:t> </w:t>
      </w:r>
      <w:r>
        <w:rPr>
          <w:color w:val="374151"/>
          <w:sz w:val="28"/>
          <w:shd w:fill="F7F7F8" w:color="auto" w:val="clear"/>
        </w:rPr>
        <w:t>enhance</w:t>
      </w:r>
      <w:r>
        <w:rPr>
          <w:color w:val="374151"/>
          <w:spacing w:val="-4"/>
          <w:sz w:val="28"/>
          <w:shd w:fill="F7F7F8" w:color="auto" w:val="clear"/>
        </w:rPr>
        <w:t> </w:t>
      </w:r>
      <w:r>
        <w:rPr>
          <w:color w:val="374151"/>
          <w:sz w:val="28"/>
          <w:shd w:fill="F7F7F8" w:color="auto" w:val="clear"/>
        </w:rPr>
        <w:t>cultural</w:t>
      </w:r>
      <w:r>
        <w:rPr>
          <w:color w:val="374151"/>
          <w:spacing w:val="-3"/>
          <w:sz w:val="28"/>
          <w:shd w:fill="F7F7F8" w:color="auto" w:val="clear"/>
        </w:rPr>
        <w:t> </w:t>
      </w:r>
      <w:r>
        <w:rPr>
          <w:color w:val="374151"/>
          <w:sz w:val="28"/>
          <w:shd w:fill="F7F7F8" w:color="auto" w:val="clear"/>
        </w:rPr>
        <w:t>competence</w:t>
      </w:r>
      <w:r>
        <w:rPr>
          <w:color w:val="374151"/>
          <w:spacing w:val="-4"/>
          <w:sz w:val="28"/>
          <w:shd w:fill="F7F7F8" w:color="auto" w:val="clear"/>
        </w:rPr>
        <w:t> </w:t>
      </w:r>
      <w:r>
        <w:rPr>
          <w:color w:val="374151"/>
          <w:sz w:val="28"/>
          <w:shd w:fill="F7F7F8" w:color="auto" w:val="clear"/>
        </w:rPr>
        <w:t>and</w:t>
      </w:r>
      <w:r>
        <w:rPr>
          <w:color w:val="374151"/>
          <w:spacing w:val="-3"/>
          <w:sz w:val="28"/>
          <w:shd w:fill="F7F7F8" w:color="auto" w:val="clear"/>
        </w:rPr>
        <w:t> </w:t>
      </w:r>
      <w:r>
        <w:rPr>
          <w:color w:val="374151"/>
          <w:sz w:val="28"/>
          <w:shd w:fill="F7F7F8" w:color="auto" w:val="clear"/>
        </w:rPr>
        <w:t>stay</w:t>
      </w:r>
      <w:r>
        <w:rPr>
          <w:color w:val="374151"/>
          <w:spacing w:val="-3"/>
          <w:sz w:val="28"/>
          <w:shd w:fill="F7F7F8" w:color="auto" w:val="clear"/>
        </w:rPr>
        <w:t> </w:t>
      </w:r>
      <w:r>
        <w:rPr>
          <w:color w:val="374151"/>
          <w:sz w:val="28"/>
          <w:shd w:fill="F7F7F8" w:color="auto" w:val="clear"/>
        </w:rPr>
        <w:t>informed</w:t>
      </w:r>
      <w:r>
        <w:rPr>
          <w:color w:val="374151"/>
          <w:spacing w:val="-3"/>
          <w:sz w:val="28"/>
          <w:shd w:fill="F7F7F8" w:color="auto" w:val="clear"/>
        </w:rPr>
        <w:t> </w:t>
      </w:r>
      <w:r>
        <w:rPr>
          <w:color w:val="374151"/>
          <w:sz w:val="28"/>
          <w:shd w:fill="F7F7F8" w:color="auto" w:val="clear"/>
        </w:rPr>
        <w:t>about</w:t>
      </w:r>
      <w:r>
        <w:rPr>
          <w:color w:val="374151"/>
          <w:spacing w:val="-4"/>
          <w:sz w:val="28"/>
          <w:shd w:fill="F7F7F8" w:color="auto" w:val="clear"/>
        </w:rPr>
        <w:t> </w:t>
      </w:r>
      <w:r>
        <w:rPr>
          <w:color w:val="374151"/>
          <w:spacing w:val="-4"/>
          <w:sz w:val="28"/>
        </w:rPr>
        <w:t> </w:t>
      </w:r>
      <w:r>
        <w:rPr>
          <w:color w:val="374151"/>
          <w:sz w:val="28"/>
          <w:shd w:fill="F7F7F8" w:color="auto" w:val="clear"/>
        </w:rPr>
        <w:t>emerging research, best practices, and evolving cultural norms and </w:t>
      </w:r>
      <w:r>
        <w:rPr>
          <w:color w:val="374151"/>
          <w:sz w:val="28"/>
        </w:rPr>
        <w:t> </w:t>
      </w:r>
      <w:r>
        <w:rPr>
          <w:color w:val="374151"/>
          <w:sz w:val="28"/>
          <w:shd w:fill="F7F7F8" w:color="auto" w:val="clear"/>
        </w:rPr>
        <w:t>beliefs.</w:t>
      </w:r>
      <w:r>
        <w:rPr>
          <w:color w:val="374151"/>
          <w:spacing w:val="-1"/>
          <w:sz w:val="28"/>
          <w:shd w:fill="F7F7F8" w:color="auto" w:val="clear"/>
        </w:rPr>
        <w:t> </w:t>
      </w:r>
      <w:r>
        <w:rPr>
          <w:color w:val="374151"/>
          <w:sz w:val="28"/>
          <w:shd w:fill="F7F7F8" w:color="auto" w:val="clear"/>
        </w:rPr>
        <w:t>This allows mental health professionals to continually refine </w:t>
      </w:r>
      <w:r>
        <w:rPr>
          <w:color w:val="374151"/>
          <w:sz w:val="28"/>
        </w:rPr>
        <w:t> </w:t>
      </w:r>
      <w:r>
        <w:rPr>
          <w:color w:val="374151"/>
          <w:sz w:val="28"/>
          <w:shd w:fill="F7F7F8" w:color="auto" w:val="clear"/>
        </w:rPr>
        <w:t>their skills and knowledge in working with diverse populations.</w:t>
      </w:r>
    </w:p>
    <w:p>
      <w:pPr>
        <w:pStyle w:val="BodyText"/>
        <w:spacing w:before="8"/>
        <w:rPr>
          <w:sz w:val="24"/>
        </w:rPr>
      </w:pPr>
    </w:p>
    <w:p>
      <w:pPr>
        <w:pStyle w:val="ListParagraph"/>
        <w:numPr>
          <w:ilvl w:val="0"/>
          <w:numId w:val="12"/>
        </w:numPr>
        <w:tabs>
          <w:tab w:pos="1150" w:val="left" w:leader="none"/>
          <w:tab w:pos="1152" w:val="left" w:leader="none"/>
        </w:tabs>
        <w:spacing w:line="232" w:lineRule="auto" w:before="0" w:after="0"/>
        <w:ind w:left="1152" w:right="605" w:hanging="393"/>
        <w:jc w:val="left"/>
        <w:rPr>
          <w:sz w:val="28"/>
        </w:rPr>
      </w:pPr>
      <w:r>
        <w:rPr>
          <w:color w:val="374151"/>
          <w:sz w:val="28"/>
          <w:shd w:fill="F7F7F8" w:color="auto" w:val="clear"/>
        </w:rPr>
        <w:t>Collaboration with Indigenous Healing Methods:</w:t>
      </w:r>
      <w:r>
        <w:rPr>
          <w:color w:val="374151"/>
          <w:spacing w:val="-8"/>
          <w:sz w:val="28"/>
          <w:shd w:fill="F7F7F8" w:color="auto" w:val="clear"/>
        </w:rPr>
        <w:t> </w:t>
      </w:r>
      <w:r>
        <w:rPr>
          <w:color w:val="374151"/>
          <w:sz w:val="28"/>
          <w:shd w:fill="F7F7F8" w:color="auto" w:val="clear"/>
        </w:rPr>
        <w:t>Acknowledge and </w:t>
      </w:r>
      <w:r>
        <w:rPr>
          <w:color w:val="374151"/>
          <w:sz w:val="28"/>
        </w:rPr>
        <w:t> </w:t>
      </w:r>
      <w:r>
        <w:rPr>
          <w:color w:val="374151"/>
          <w:sz w:val="28"/>
          <w:shd w:fill="F7F7F8" w:color="auto" w:val="clear"/>
        </w:rPr>
        <w:t>respect</w:t>
      </w:r>
      <w:r>
        <w:rPr>
          <w:color w:val="374151"/>
          <w:spacing w:val="-5"/>
          <w:sz w:val="28"/>
          <w:shd w:fill="F7F7F8" w:color="auto" w:val="clear"/>
        </w:rPr>
        <w:t> </w:t>
      </w:r>
      <w:r>
        <w:rPr>
          <w:color w:val="374151"/>
          <w:sz w:val="28"/>
          <w:shd w:fill="F7F7F8" w:color="auto" w:val="clear"/>
        </w:rPr>
        <w:t>indigenous</w:t>
      </w:r>
      <w:r>
        <w:rPr>
          <w:color w:val="374151"/>
          <w:spacing w:val="-5"/>
          <w:sz w:val="28"/>
          <w:shd w:fill="F7F7F8" w:color="auto" w:val="clear"/>
        </w:rPr>
        <w:t> </w:t>
      </w:r>
      <w:r>
        <w:rPr>
          <w:color w:val="374151"/>
          <w:sz w:val="28"/>
          <w:shd w:fill="F7F7F8" w:color="auto" w:val="clear"/>
        </w:rPr>
        <w:t>healing</w:t>
      </w:r>
      <w:r>
        <w:rPr>
          <w:color w:val="374151"/>
          <w:spacing w:val="-5"/>
          <w:sz w:val="28"/>
          <w:shd w:fill="F7F7F8" w:color="auto" w:val="clear"/>
        </w:rPr>
        <w:t> </w:t>
      </w:r>
      <w:r>
        <w:rPr>
          <w:color w:val="374151"/>
          <w:sz w:val="28"/>
          <w:shd w:fill="F7F7F8" w:color="auto" w:val="clear"/>
        </w:rPr>
        <w:t>methods</w:t>
      </w:r>
      <w:r>
        <w:rPr>
          <w:color w:val="374151"/>
          <w:spacing w:val="-5"/>
          <w:sz w:val="28"/>
          <w:shd w:fill="F7F7F8" w:color="auto" w:val="clear"/>
        </w:rPr>
        <w:t> </w:t>
      </w:r>
      <w:r>
        <w:rPr>
          <w:color w:val="374151"/>
          <w:sz w:val="28"/>
          <w:shd w:fill="F7F7F8" w:color="auto" w:val="clear"/>
        </w:rPr>
        <w:t>and</w:t>
      </w:r>
      <w:r>
        <w:rPr>
          <w:color w:val="374151"/>
          <w:spacing w:val="-5"/>
          <w:sz w:val="28"/>
          <w:shd w:fill="F7F7F8" w:color="auto" w:val="clear"/>
        </w:rPr>
        <w:t> </w:t>
      </w:r>
      <w:r>
        <w:rPr>
          <w:color w:val="374151"/>
          <w:sz w:val="28"/>
          <w:shd w:fill="F7F7F8" w:color="auto" w:val="clear"/>
        </w:rPr>
        <w:t>traditional</w:t>
      </w:r>
      <w:r>
        <w:rPr>
          <w:color w:val="374151"/>
          <w:spacing w:val="-5"/>
          <w:sz w:val="28"/>
          <w:shd w:fill="F7F7F8" w:color="auto" w:val="clear"/>
        </w:rPr>
        <w:t> </w:t>
      </w:r>
      <w:r>
        <w:rPr>
          <w:color w:val="374151"/>
          <w:sz w:val="28"/>
          <w:shd w:fill="F7F7F8" w:color="auto" w:val="clear"/>
        </w:rPr>
        <w:t>knowledge</w:t>
      </w:r>
      <w:r>
        <w:rPr>
          <w:color w:val="374151"/>
          <w:spacing w:val="-6"/>
          <w:sz w:val="28"/>
          <w:shd w:fill="F7F7F8" w:color="auto" w:val="clear"/>
        </w:rPr>
        <w:t> </w:t>
      </w:r>
      <w:r>
        <w:rPr>
          <w:color w:val="374151"/>
          <w:sz w:val="28"/>
          <w:shd w:fill="F7F7F8" w:color="auto" w:val="clear"/>
        </w:rPr>
        <w:t>related</w:t>
      </w:r>
      <w:r>
        <w:rPr>
          <w:color w:val="374151"/>
          <w:spacing w:val="-5"/>
          <w:sz w:val="28"/>
          <w:shd w:fill="F7F7F8" w:color="auto" w:val="clear"/>
        </w:rPr>
        <w:t> </w:t>
      </w:r>
      <w:r>
        <w:rPr>
          <w:color w:val="374151"/>
          <w:spacing w:val="-5"/>
          <w:sz w:val="28"/>
        </w:rPr>
        <w:t> </w:t>
      </w:r>
      <w:r>
        <w:rPr>
          <w:color w:val="374151"/>
          <w:sz w:val="28"/>
          <w:shd w:fill="F7F7F8" w:color="auto" w:val="clear"/>
        </w:rPr>
        <w:t>to human sexuality. Collaborate with indigenous healers or cultural </w:t>
      </w:r>
      <w:r>
        <w:rPr>
          <w:color w:val="374151"/>
          <w:sz w:val="28"/>
        </w:rPr>
        <w:t> </w:t>
      </w:r>
      <w:r>
        <w:rPr>
          <w:color w:val="374151"/>
          <w:sz w:val="28"/>
          <w:shd w:fill="F7F7F8" w:color="auto" w:val="clear"/>
        </w:rPr>
        <w:t>leaders to incorporate culturally appropriate practices into treatment </w:t>
      </w:r>
      <w:r>
        <w:rPr>
          <w:color w:val="374151"/>
          <w:sz w:val="28"/>
        </w:rPr>
        <w:t> </w:t>
      </w:r>
      <w:r>
        <w:rPr>
          <w:color w:val="374151"/>
          <w:spacing w:val="-2"/>
          <w:sz w:val="28"/>
          <w:shd w:fill="F7F7F8" w:color="auto" w:val="clear"/>
        </w:rPr>
        <w:t>plans.</w:t>
      </w:r>
    </w:p>
    <w:p>
      <w:pPr>
        <w:pStyle w:val="ListParagraph"/>
        <w:numPr>
          <w:ilvl w:val="0"/>
          <w:numId w:val="12"/>
        </w:numPr>
        <w:tabs>
          <w:tab w:pos="1218" w:val="left" w:leader="none"/>
        </w:tabs>
        <w:spacing w:line="232" w:lineRule="auto" w:before="244" w:after="0"/>
        <w:ind w:left="1218" w:right="557" w:hanging="459"/>
        <w:jc w:val="left"/>
        <w:rPr>
          <w:sz w:val="28"/>
        </w:rPr>
      </w:pPr>
      <w:r>
        <w:rPr>
          <w:color w:val="374151"/>
          <w:sz w:val="28"/>
          <w:shd w:fill="F7F7F8" w:color="auto" w:val="clear"/>
        </w:rPr>
        <w:t>Addressing Stigma and Discrimination:</w:t>
      </w:r>
      <w:r>
        <w:rPr>
          <w:color w:val="374151"/>
          <w:spacing w:val="-7"/>
          <w:sz w:val="28"/>
          <w:shd w:fill="F7F7F8" w:color="auto" w:val="clear"/>
        </w:rPr>
        <w:t> </w:t>
      </w:r>
      <w:r>
        <w:rPr>
          <w:color w:val="374151"/>
          <w:sz w:val="28"/>
          <w:shd w:fill="F7F7F8" w:color="auto" w:val="clear"/>
        </w:rPr>
        <w:t>Address stigma and </w:t>
      </w:r>
      <w:r>
        <w:rPr>
          <w:color w:val="374151"/>
          <w:sz w:val="28"/>
        </w:rPr>
        <w:t> </w:t>
      </w:r>
      <w:r>
        <w:rPr>
          <w:color w:val="374151"/>
          <w:sz w:val="28"/>
          <w:shd w:fill="F7F7F8" w:color="auto" w:val="clear"/>
        </w:rPr>
        <w:t>discrimination related to an individual's cultural background, sexual </w:t>
      </w:r>
      <w:r>
        <w:rPr>
          <w:color w:val="374151"/>
          <w:sz w:val="28"/>
        </w:rPr>
        <w:t> </w:t>
      </w:r>
      <w:r>
        <w:rPr>
          <w:color w:val="374151"/>
          <w:sz w:val="28"/>
          <w:shd w:fill="F7F7F8" w:color="auto" w:val="clear"/>
        </w:rPr>
        <w:t>orientation,</w:t>
      </w:r>
      <w:r>
        <w:rPr>
          <w:color w:val="374151"/>
          <w:spacing w:val="-7"/>
          <w:sz w:val="28"/>
          <w:shd w:fill="F7F7F8" w:color="auto" w:val="clear"/>
        </w:rPr>
        <w:t> </w:t>
      </w:r>
      <w:r>
        <w:rPr>
          <w:color w:val="374151"/>
          <w:sz w:val="28"/>
          <w:shd w:fill="F7F7F8" w:color="auto" w:val="clear"/>
        </w:rPr>
        <w:t>or</w:t>
      </w:r>
      <w:r>
        <w:rPr>
          <w:color w:val="374151"/>
          <w:spacing w:val="-7"/>
          <w:sz w:val="28"/>
          <w:shd w:fill="F7F7F8" w:color="auto" w:val="clear"/>
        </w:rPr>
        <w:t> </w:t>
      </w:r>
      <w:r>
        <w:rPr>
          <w:color w:val="374151"/>
          <w:sz w:val="28"/>
          <w:shd w:fill="F7F7F8" w:color="auto" w:val="clear"/>
        </w:rPr>
        <w:t>gender</w:t>
      </w:r>
      <w:r>
        <w:rPr>
          <w:color w:val="374151"/>
          <w:spacing w:val="-7"/>
          <w:sz w:val="28"/>
          <w:shd w:fill="F7F7F8" w:color="auto" w:val="clear"/>
        </w:rPr>
        <w:t> </w:t>
      </w:r>
      <w:r>
        <w:rPr>
          <w:color w:val="374151"/>
          <w:sz w:val="28"/>
          <w:shd w:fill="F7F7F8" w:color="auto" w:val="clear"/>
        </w:rPr>
        <w:t>identity.</w:t>
      </w:r>
      <w:r>
        <w:rPr>
          <w:color w:val="374151"/>
          <w:spacing w:val="-7"/>
          <w:sz w:val="28"/>
          <w:shd w:fill="F7F7F8" w:color="auto" w:val="clear"/>
        </w:rPr>
        <w:t> </w:t>
      </w:r>
      <w:r>
        <w:rPr>
          <w:color w:val="374151"/>
          <w:sz w:val="28"/>
          <w:shd w:fill="F7F7F8" w:color="auto" w:val="clear"/>
        </w:rPr>
        <w:t>Provide</w:t>
      </w:r>
      <w:r>
        <w:rPr>
          <w:color w:val="374151"/>
          <w:spacing w:val="-8"/>
          <w:sz w:val="28"/>
          <w:shd w:fill="F7F7F8" w:color="auto" w:val="clear"/>
        </w:rPr>
        <w:t> </w:t>
      </w:r>
      <w:r>
        <w:rPr>
          <w:color w:val="374151"/>
          <w:sz w:val="28"/>
          <w:shd w:fill="F7F7F8" w:color="auto" w:val="clear"/>
        </w:rPr>
        <w:t>psychoeducation,</w:t>
      </w:r>
      <w:r>
        <w:rPr>
          <w:color w:val="374151"/>
          <w:spacing w:val="-7"/>
          <w:sz w:val="28"/>
          <w:shd w:fill="F7F7F8" w:color="auto" w:val="clear"/>
        </w:rPr>
        <w:t> </w:t>
      </w:r>
      <w:r>
        <w:rPr>
          <w:color w:val="374151"/>
          <w:sz w:val="28"/>
          <w:shd w:fill="F7F7F8" w:color="auto" w:val="clear"/>
        </w:rPr>
        <w:t>support,</w:t>
      </w:r>
      <w:r>
        <w:rPr>
          <w:color w:val="374151"/>
          <w:spacing w:val="-7"/>
          <w:sz w:val="28"/>
          <w:shd w:fill="F7F7F8" w:color="auto" w:val="clear"/>
        </w:rPr>
        <w:t> </w:t>
      </w:r>
      <w:r>
        <w:rPr>
          <w:color w:val="374151"/>
          <w:sz w:val="28"/>
          <w:shd w:fill="F7F7F8" w:color="auto" w:val="clear"/>
        </w:rPr>
        <w:t>and</w:t>
      </w:r>
      <w:r>
        <w:rPr>
          <w:color w:val="374151"/>
          <w:spacing w:val="-8"/>
          <w:sz w:val="28"/>
          <w:shd w:fill="F7F7F8" w:color="auto" w:val="clear"/>
        </w:rPr>
        <w:t> </w:t>
      </w:r>
      <w:r>
        <w:rPr>
          <w:color w:val="374151"/>
          <w:spacing w:val="-8"/>
          <w:sz w:val="28"/>
        </w:rPr>
        <w:t> </w:t>
      </w:r>
      <w:r>
        <w:rPr>
          <w:color w:val="374151"/>
          <w:sz w:val="28"/>
          <w:shd w:fill="F7F7F8" w:color="auto" w:val="clear"/>
        </w:rPr>
        <w:t>advocacy to help individuals navigate and challenge cultural norms </w:t>
      </w:r>
      <w:r>
        <w:rPr>
          <w:color w:val="374151"/>
          <w:sz w:val="28"/>
        </w:rPr>
        <w:t> </w:t>
      </w:r>
      <w:r>
        <w:rPr>
          <w:color w:val="374151"/>
          <w:sz w:val="28"/>
          <w:shd w:fill="F7F7F8" w:color="auto" w:val="clear"/>
        </w:rPr>
        <w:t>that may perpetuate stigma or prejudice.</w:t>
      </w:r>
    </w:p>
    <w:p>
      <w:pPr>
        <w:pStyle w:val="BodyText"/>
        <w:spacing w:before="7"/>
        <w:rPr>
          <w:sz w:val="24"/>
        </w:rPr>
      </w:pPr>
    </w:p>
    <w:p>
      <w:pPr>
        <w:pStyle w:val="ListParagraph"/>
        <w:numPr>
          <w:ilvl w:val="0"/>
          <w:numId w:val="12"/>
        </w:numPr>
        <w:tabs>
          <w:tab w:pos="1218" w:val="left" w:leader="none"/>
        </w:tabs>
        <w:spacing w:line="232" w:lineRule="auto" w:before="0" w:after="0"/>
        <w:ind w:left="1218" w:right="498" w:hanging="459"/>
        <w:jc w:val="left"/>
        <w:rPr>
          <w:sz w:val="28"/>
        </w:rPr>
      </w:pPr>
      <w:r>
        <w:rPr>
          <w:color w:val="374151"/>
          <w:sz w:val="28"/>
          <w:shd w:fill="F7F7F8" w:color="auto" w:val="clear"/>
        </w:rPr>
        <w:t>Culturally</w:t>
      </w:r>
      <w:r>
        <w:rPr>
          <w:color w:val="374151"/>
          <w:spacing w:val="-8"/>
          <w:sz w:val="28"/>
          <w:shd w:fill="F7F7F8" w:color="auto" w:val="clear"/>
        </w:rPr>
        <w:t> </w:t>
      </w:r>
      <w:r>
        <w:rPr>
          <w:color w:val="374151"/>
          <w:sz w:val="28"/>
          <w:shd w:fill="F7F7F8" w:color="auto" w:val="clear"/>
        </w:rPr>
        <w:t>Relevant</w:t>
      </w:r>
      <w:r>
        <w:rPr>
          <w:color w:val="374151"/>
          <w:spacing w:val="-5"/>
          <w:sz w:val="28"/>
          <w:shd w:fill="F7F7F8" w:color="auto" w:val="clear"/>
        </w:rPr>
        <w:t> </w:t>
      </w:r>
      <w:r>
        <w:rPr>
          <w:color w:val="374151"/>
          <w:sz w:val="28"/>
          <w:shd w:fill="F7F7F8" w:color="auto" w:val="clear"/>
        </w:rPr>
        <w:t>Resources</w:t>
      </w:r>
      <w:r>
        <w:rPr>
          <w:color w:val="374151"/>
          <w:spacing w:val="-5"/>
          <w:sz w:val="28"/>
          <w:shd w:fill="F7F7F8" w:color="auto" w:val="clear"/>
        </w:rPr>
        <w:t> </w:t>
      </w:r>
      <w:r>
        <w:rPr>
          <w:color w:val="374151"/>
          <w:sz w:val="28"/>
          <w:shd w:fill="F7F7F8" w:color="auto" w:val="clear"/>
        </w:rPr>
        <w:t>and</w:t>
      </w:r>
      <w:r>
        <w:rPr>
          <w:color w:val="374151"/>
          <w:spacing w:val="-5"/>
          <w:sz w:val="28"/>
          <w:shd w:fill="F7F7F8" w:color="auto" w:val="clear"/>
        </w:rPr>
        <w:t> </w:t>
      </w:r>
      <w:r>
        <w:rPr>
          <w:color w:val="374151"/>
          <w:sz w:val="28"/>
          <w:shd w:fill="F7F7F8" w:color="auto" w:val="clear"/>
        </w:rPr>
        <w:t>Referrals:</w:t>
      </w:r>
      <w:r>
        <w:rPr>
          <w:color w:val="374151"/>
          <w:spacing w:val="-5"/>
          <w:sz w:val="28"/>
          <w:shd w:fill="F7F7F8" w:color="auto" w:val="clear"/>
        </w:rPr>
        <w:t> </w:t>
      </w:r>
      <w:r>
        <w:rPr>
          <w:color w:val="374151"/>
          <w:sz w:val="28"/>
          <w:shd w:fill="F7F7F8" w:color="auto" w:val="clear"/>
        </w:rPr>
        <w:t>Provide</w:t>
      </w:r>
      <w:r>
        <w:rPr>
          <w:color w:val="374151"/>
          <w:spacing w:val="-6"/>
          <w:sz w:val="28"/>
          <w:shd w:fill="F7F7F8" w:color="auto" w:val="clear"/>
        </w:rPr>
        <w:t> </w:t>
      </w:r>
      <w:r>
        <w:rPr>
          <w:color w:val="374151"/>
          <w:sz w:val="28"/>
          <w:shd w:fill="F7F7F8" w:color="auto" w:val="clear"/>
        </w:rPr>
        <w:t>individuals</w:t>
      </w:r>
      <w:r>
        <w:rPr>
          <w:color w:val="374151"/>
          <w:spacing w:val="-5"/>
          <w:sz w:val="28"/>
          <w:shd w:fill="F7F7F8" w:color="auto" w:val="clear"/>
        </w:rPr>
        <w:t> </w:t>
      </w:r>
      <w:r>
        <w:rPr>
          <w:color w:val="374151"/>
          <w:sz w:val="28"/>
          <w:shd w:fill="F7F7F8" w:color="auto" w:val="clear"/>
        </w:rPr>
        <w:t>with</w:t>
      </w:r>
      <w:r>
        <w:rPr>
          <w:color w:val="374151"/>
          <w:spacing w:val="-22"/>
          <w:sz w:val="28"/>
          <w:shd w:fill="F7F7F8" w:color="auto" w:val="clear"/>
        </w:rPr>
        <w:t> </w:t>
      </w:r>
      <w:r>
        <w:rPr>
          <w:color w:val="374151"/>
          <w:spacing w:val="-22"/>
          <w:sz w:val="28"/>
        </w:rPr>
        <w:t> </w:t>
      </w:r>
      <w:r>
        <w:rPr>
          <w:color w:val="374151"/>
          <w:sz w:val="28"/>
          <w:shd w:fill="F7F7F8" w:color="auto" w:val="clear"/>
        </w:rPr>
        <w:t>culturally relevant resources, such as books, articles, or websites, that </w:t>
      </w:r>
      <w:r>
        <w:rPr>
          <w:color w:val="374151"/>
          <w:sz w:val="28"/>
        </w:rPr>
        <w:t> </w:t>
      </w:r>
      <w:r>
        <w:rPr>
          <w:color w:val="374151"/>
          <w:sz w:val="28"/>
          <w:shd w:fill="F7F7F8" w:color="auto" w:val="clear"/>
        </w:rPr>
        <w:t>address human sexuality within their cultural context. Refer </w:t>
      </w:r>
      <w:r>
        <w:rPr>
          <w:color w:val="374151"/>
          <w:sz w:val="28"/>
        </w:rPr>
        <w:t> </w:t>
      </w:r>
      <w:r>
        <w:rPr>
          <w:color w:val="374151"/>
          <w:sz w:val="28"/>
          <w:shd w:fill="F7F7F8" w:color="auto" w:val="clear"/>
        </w:rPr>
        <w:t>individuals to culturally specific support groups or community </w:t>
      </w:r>
      <w:r>
        <w:rPr>
          <w:color w:val="374151"/>
          <w:sz w:val="28"/>
        </w:rPr>
        <w:t> </w:t>
      </w:r>
      <w:r>
        <w:rPr>
          <w:color w:val="374151"/>
          <w:sz w:val="28"/>
          <w:shd w:fill="F7F7F8" w:color="auto" w:val="clear"/>
        </w:rPr>
        <w:t>organizations that can provide additional guidance and support.</w:t>
      </w:r>
    </w:p>
    <w:p>
      <w:pPr>
        <w:pStyle w:val="BodyText"/>
        <w:spacing w:before="8"/>
        <w:rPr>
          <w:sz w:val="24"/>
        </w:rPr>
      </w:pPr>
    </w:p>
    <w:p>
      <w:pPr>
        <w:pStyle w:val="ListParagraph"/>
        <w:numPr>
          <w:ilvl w:val="0"/>
          <w:numId w:val="12"/>
        </w:numPr>
        <w:tabs>
          <w:tab w:pos="1218" w:val="left" w:leader="none"/>
        </w:tabs>
        <w:spacing w:line="232" w:lineRule="auto" w:before="0" w:after="0"/>
        <w:ind w:left="1218" w:right="640" w:hanging="459"/>
        <w:jc w:val="left"/>
        <w:rPr>
          <w:sz w:val="28"/>
        </w:rPr>
      </w:pPr>
      <w:r>
        <w:rPr>
          <w:color w:val="374151"/>
          <w:sz w:val="28"/>
          <w:shd w:fill="F7F7F8" w:color="auto" w:val="clear"/>
        </w:rPr>
        <w:t>Cultural Consultation and Collaboration: Seek consultation from </w:t>
      </w:r>
      <w:r>
        <w:rPr>
          <w:color w:val="374151"/>
          <w:sz w:val="28"/>
        </w:rPr>
        <w:t> </w:t>
      </w:r>
      <w:r>
        <w:rPr>
          <w:color w:val="374151"/>
          <w:sz w:val="28"/>
          <w:shd w:fill="F7F7F8" w:color="auto" w:val="clear"/>
        </w:rPr>
        <w:t>cultural experts, community leaders, or colleagues with expertise in </w:t>
      </w:r>
      <w:r>
        <w:rPr>
          <w:color w:val="374151"/>
          <w:sz w:val="28"/>
        </w:rPr>
        <w:t> </w:t>
      </w:r>
      <w:r>
        <w:rPr>
          <w:color w:val="374151"/>
          <w:sz w:val="28"/>
          <w:shd w:fill="F7F7F8" w:color="auto" w:val="clear"/>
        </w:rPr>
        <w:t>specific</w:t>
      </w:r>
      <w:r>
        <w:rPr>
          <w:color w:val="374151"/>
          <w:spacing w:val="-6"/>
          <w:sz w:val="28"/>
          <w:shd w:fill="F7F7F8" w:color="auto" w:val="clear"/>
        </w:rPr>
        <w:t> </w:t>
      </w:r>
      <w:r>
        <w:rPr>
          <w:color w:val="374151"/>
          <w:sz w:val="28"/>
          <w:shd w:fill="F7F7F8" w:color="auto" w:val="clear"/>
        </w:rPr>
        <w:t>cultural</w:t>
      </w:r>
      <w:r>
        <w:rPr>
          <w:color w:val="374151"/>
          <w:spacing w:val="-5"/>
          <w:sz w:val="28"/>
          <w:shd w:fill="F7F7F8" w:color="auto" w:val="clear"/>
        </w:rPr>
        <w:t> </w:t>
      </w:r>
      <w:r>
        <w:rPr>
          <w:color w:val="374151"/>
          <w:sz w:val="28"/>
          <w:shd w:fill="F7F7F8" w:color="auto" w:val="clear"/>
        </w:rPr>
        <w:t>backgrounds.</w:t>
      </w:r>
      <w:r>
        <w:rPr>
          <w:color w:val="374151"/>
          <w:spacing w:val="-5"/>
          <w:sz w:val="28"/>
          <w:shd w:fill="F7F7F8" w:color="auto" w:val="clear"/>
        </w:rPr>
        <w:t> </w:t>
      </w:r>
      <w:r>
        <w:rPr>
          <w:color w:val="374151"/>
          <w:sz w:val="28"/>
          <w:shd w:fill="F7F7F8" w:color="auto" w:val="clear"/>
        </w:rPr>
        <w:t>Engage</w:t>
      </w:r>
      <w:r>
        <w:rPr>
          <w:color w:val="374151"/>
          <w:spacing w:val="-6"/>
          <w:sz w:val="28"/>
          <w:shd w:fill="F7F7F8" w:color="auto" w:val="clear"/>
        </w:rPr>
        <w:t> </w:t>
      </w:r>
      <w:r>
        <w:rPr>
          <w:color w:val="374151"/>
          <w:sz w:val="28"/>
          <w:shd w:fill="F7F7F8" w:color="auto" w:val="clear"/>
        </w:rPr>
        <w:t>in</w:t>
      </w:r>
      <w:r>
        <w:rPr>
          <w:color w:val="374151"/>
          <w:spacing w:val="-5"/>
          <w:sz w:val="28"/>
          <w:shd w:fill="F7F7F8" w:color="auto" w:val="clear"/>
        </w:rPr>
        <w:t> </w:t>
      </w:r>
      <w:r>
        <w:rPr>
          <w:color w:val="374151"/>
          <w:sz w:val="28"/>
          <w:shd w:fill="F7F7F8" w:color="auto" w:val="clear"/>
        </w:rPr>
        <w:t>collaborative</w:t>
      </w:r>
      <w:r>
        <w:rPr>
          <w:color w:val="374151"/>
          <w:spacing w:val="-6"/>
          <w:sz w:val="28"/>
          <w:shd w:fill="F7F7F8" w:color="auto" w:val="clear"/>
        </w:rPr>
        <w:t> </w:t>
      </w:r>
      <w:r>
        <w:rPr>
          <w:color w:val="374151"/>
          <w:sz w:val="28"/>
          <w:shd w:fill="F7F7F8" w:color="auto" w:val="clear"/>
        </w:rPr>
        <w:t>discussions</w:t>
      </w:r>
      <w:r>
        <w:rPr>
          <w:color w:val="374151"/>
          <w:spacing w:val="-5"/>
          <w:sz w:val="28"/>
          <w:shd w:fill="F7F7F8" w:color="auto" w:val="clear"/>
        </w:rPr>
        <w:t> </w:t>
      </w:r>
      <w:r>
        <w:rPr>
          <w:color w:val="374151"/>
          <w:sz w:val="28"/>
          <w:shd w:fill="F7F7F8" w:color="auto" w:val="clear"/>
        </w:rPr>
        <w:t>to</w:t>
      </w:r>
      <w:r>
        <w:rPr>
          <w:color w:val="374151"/>
          <w:spacing w:val="-5"/>
          <w:sz w:val="28"/>
          <w:shd w:fill="F7F7F8" w:color="auto" w:val="clear"/>
        </w:rPr>
        <w:t> </w:t>
      </w:r>
      <w:r>
        <w:rPr>
          <w:color w:val="374151"/>
          <w:spacing w:val="-5"/>
          <w:sz w:val="28"/>
        </w:rPr>
        <w:t> </w:t>
      </w:r>
      <w:r>
        <w:rPr>
          <w:color w:val="374151"/>
          <w:sz w:val="28"/>
          <w:shd w:fill="F7F7F8" w:color="auto" w:val="clear"/>
        </w:rPr>
        <w:t>ensure cultural competence and effectiveness in treatment planning </w:t>
      </w:r>
      <w:r>
        <w:rPr>
          <w:color w:val="374151"/>
          <w:sz w:val="28"/>
        </w:rPr>
        <w:t> </w:t>
      </w:r>
      <w:r>
        <w:rPr>
          <w:color w:val="374151"/>
          <w:sz w:val="28"/>
          <w:shd w:fill="F7F7F8" w:color="auto" w:val="clear"/>
        </w:rPr>
        <w:t>and implementation.</w:t>
      </w:r>
    </w:p>
    <w:p>
      <w:pPr>
        <w:spacing w:after="0" w:line="232" w:lineRule="auto"/>
        <w:jc w:val="left"/>
        <w:rPr>
          <w:sz w:val="28"/>
        </w:rPr>
        <w:sectPr>
          <w:pgSz w:w="12240" w:h="15840"/>
          <w:pgMar w:header="0" w:footer="765" w:top="1240" w:bottom="980" w:left="1400" w:right="1180"/>
        </w:sectPr>
      </w:pPr>
    </w:p>
    <w:p>
      <w:pPr>
        <w:pStyle w:val="ListParagraph"/>
        <w:numPr>
          <w:ilvl w:val="0"/>
          <w:numId w:val="12"/>
        </w:numPr>
        <w:tabs>
          <w:tab w:pos="1218" w:val="left" w:leader="none"/>
        </w:tabs>
        <w:spacing w:line="230" w:lineRule="auto" w:before="56" w:after="0"/>
        <w:ind w:left="1218" w:right="661" w:hanging="459"/>
        <w:jc w:val="left"/>
        <w:rPr>
          <w:sz w:val="28"/>
        </w:rPr>
      </w:pPr>
      <w:r>
        <w:rPr>
          <w:color w:val="374151"/>
          <w:sz w:val="28"/>
          <w:shd w:fill="F7F7F8" w:color="auto" w:val="clear"/>
        </w:rPr>
        <w:t>Flexibility</w:t>
      </w:r>
      <w:r>
        <w:rPr>
          <w:color w:val="374151"/>
          <w:spacing w:val="-11"/>
          <w:sz w:val="28"/>
          <w:shd w:fill="F7F7F8" w:color="auto" w:val="clear"/>
        </w:rPr>
        <w:t> </w:t>
      </w:r>
      <w:r>
        <w:rPr>
          <w:color w:val="374151"/>
          <w:sz w:val="28"/>
          <w:shd w:fill="F7F7F8" w:color="auto" w:val="clear"/>
        </w:rPr>
        <w:t>in</w:t>
      </w:r>
      <w:r>
        <w:rPr>
          <w:color w:val="374151"/>
          <w:spacing w:val="-11"/>
          <w:sz w:val="28"/>
          <w:shd w:fill="F7F7F8" w:color="auto" w:val="clear"/>
        </w:rPr>
        <w:t> </w:t>
      </w:r>
      <w:r>
        <w:rPr>
          <w:color w:val="374151"/>
          <w:sz w:val="28"/>
          <w:shd w:fill="F7F7F8" w:color="auto" w:val="clear"/>
        </w:rPr>
        <w:t>Therapeutic</w:t>
      </w:r>
      <w:r>
        <w:rPr>
          <w:color w:val="374151"/>
          <w:spacing w:val="-18"/>
          <w:sz w:val="28"/>
          <w:shd w:fill="F7F7F8" w:color="auto" w:val="clear"/>
        </w:rPr>
        <w:t> </w:t>
      </w:r>
      <w:r>
        <w:rPr>
          <w:color w:val="374151"/>
          <w:sz w:val="28"/>
          <w:shd w:fill="F7F7F8" w:color="auto" w:val="clear"/>
        </w:rPr>
        <w:t>Approaches:</w:t>
      </w:r>
      <w:r>
        <w:rPr>
          <w:color w:val="374151"/>
          <w:spacing w:val="-17"/>
          <w:sz w:val="28"/>
          <w:shd w:fill="F7F7F8" w:color="auto" w:val="clear"/>
        </w:rPr>
        <w:t> </w:t>
      </w:r>
      <w:r>
        <w:rPr>
          <w:color w:val="374151"/>
          <w:sz w:val="28"/>
          <w:shd w:fill="F7F7F8" w:color="auto" w:val="clear"/>
        </w:rPr>
        <w:t>Adapt</w:t>
      </w:r>
      <w:r>
        <w:rPr>
          <w:color w:val="374151"/>
          <w:spacing w:val="-6"/>
          <w:sz w:val="28"/>
          <w:shd w:fill="F7F7F8" w:color="auto" w:val="clear"/>
        </w:rPr>
        <w:t> </w:t>
      </w:r>
      <w:r>
        <w:rPr>
          <w:color w:val="374151"/>
          <w:sz w:val="28"/>
          <w:shd w:fill="F7F7F8" w:color="auto" w:val="clear"/>
        </w:rPr>
        <w:t>therapeutic</w:t>
      </w:r>
      <w:r>
        <w:rPr>
          <w:color w:val="374151"/>
          <w:spacing w:val="-7"/>
          <w:sz w:val="28"/>
          <w:shd w:fill="F7F7F8" w:color="auto" w:val="clear"/>
        </w:rPr>
        <w:t> </w:t>
      </w:r>
      <w:r>
        <w:rPr>
          <w:color w:val="374151"/>
          <w:sz w:val="28"/>
          <w:shd w:fill="F7F7F8" w:color="auto" w:val="clear"/>
        </w:rPr>
        <w:t>approaches</w:t>
      </w:r>
      <w:r>
        <w:rPr>
          <w:color w:val="374151"/>
          <w:spacing w:val="-7"/>
          <w:sz w:val="28"/>
          <w:shd w:fill="F7F7F8" w:color="auto" w:val="clear"/>
        </w:rPr>
        <w:t> </w:t>
      </w:r>
      <w:r>
        <w:rPr>
          <w:color w:val="374151"/>
          <w:spacing w:val="-7"/>
          <w:sz w:val="28"/>
        </w:rPr>
        <w:t> </w:t>
      </w:r>
      <w:r>
        <w:rPr>
          <w:color w:val="374151"/>
          <w:sz w:val="28"/>
          <w:shd w:fill="F7F7F8" w:color="auto" w:val="clear"/>
        </w:rPr>
        <w:t>to accommodate cultural preferences and practices.</w:t>
      </w:r>
      <w:r>
        <w:rPr>
          <w:color w:val="374151"/>
          <w:spacing w:val="-10"/>
          <w:sz w:val="28"/>
          <w:shd w:fill="F7F7F8" w:color="auto" w:val="clear"/>
        </w:rPr>
        <w:t> </w:t>
      </w:r>
      <w:r>
        <w:rPr>
          <w:color w:val="374151"/>
          <w:sz w:val="28"/>
          <w:shd w:fill="F7F7F8" w:color="auto" w:val="clear"/>
        </w:rPr>
        <w:t>Allow space for </w:t>
      </w:r>
      <w:r>
        <w:rPr>
          <w:color w:val="374151"/>
          <w:sz w:val="28"/>
        </w:rPr>
        <w:t> </w:t>
      </w:r>
      <w:r>
        <w:rPr>
          <w:color w:val="374151"/>
          <w:sz w:val="28"/>
          <w:shd w:fill="F7F7F8" w:color="auto" w:val="clear"/>
        </w:rPr>
        <w:t>storytelling, traditional healing practices, or alternative forms of </w:t>
      </w:r>
      <w:r>
        <w:rPr>
          <w:color w:val="374151"/>
          <w:sz w:val="28"/>
        </w:rPr>
        <w:t> </w:t>
      </w:r>
      <w:r>
        <w:rPr>
          <w:color w:val="374151"/>
          <w:sz w:val="28"/>
          <w:shd w:fill="F7F7F8" w:color="auto" w:val="clear"/>
        </w:rPr>
        <w:t>expression that are valued in the individual's culture.</w:t>
      </w:r>
    </w:p>
    <w:p>
      <w:pPr>
        <w:pStyle w:val="BodyText"/>
        <w:spacing w:before="2"/>
        <w:rPr>
          <w:sz w:val="25"/>
        </w:rPr>
      </w:pPr>
    </w:p>
    <w:p>
      <w:pPr>
        <w:pStyle w:val="ListParagraph"/>
        <w:numPr>
          <w:ilvl w:val="0"/>
          <w:numId w:val="12"/>
        </w:numPr>
        <w:tabs>
          <w:tab w:pos="1218" w:val="left" w:leader="none"/>
        </w:tabs>
        <w:spacing w:line="230" w:lineRule="auto" w:before="0" w:after="0"/>
        <w:ind w:left="1218" w:right="563" w:hanging="459"/>
        <w:jc w:val="left"/>
        <w:rPr>
          <w:sz w:val="28"/>
        </w:rPr>
      </w:pPr>
      <w:r>
        <w:rPr>
          <w:color w:val="374151"/>
          <w:sz w:val="28"/>
          <w:shd w:fill="F7F7F8" w:color="auto" w:val="clear"/>
        </w:rPr>
        <w:t>Evaluation</w:t>
      </w:r>
      <w:r>
        <w:rPr>
          <w:color w:val="374151"/>
          <w:spacing w:val="-6"/>
          <w:sz w:val="28"/>
          <w:shd w:fill="F7F7F8" w:color="auto" w:val="clear"/>
        </w:rPr>
        <w:t> </w:t>
      </w:r>
      <w:r>
        <w:rPr>
          <w:color w:val="374151"/>
          <w:sz w:val="28"/>
          <w:shd w:fill="F7F7F8" w:color="auto" w:val="clear"/>
        </w:rPr>
        <w:t>of</w:t>
      </w:r>
      <w:r>
        <w:rPr>
          <w:color w:val="374151"/>
          <w:spacing w:val="-11"/>
          <w:sz w:val="28"/>
          <w:shd w:fill="F7F7F8" w:color="auto" w:val="clear"/>
        </w:rPr>
        <w:t> </w:t>
      </w:r>
      <w:r>
        <w:rPr>
          <w:color w:val="374151"/>
          <w:sz w:val="28"/>
          <w:shd w:fill="F7F7F8" w:color="auto" w:val="clear"/>
        </w:rPr>
        <w:t>Treatment</w:t>
      </w:r>
      <w:r>
        <w:rPr>
          <w:color w:val="374151"/>
          <w:spacing w:val="-6"/>
          <w:sz w:val="28"/>
          <w:shd w:fill="F7F7F8" w:color="auto" w:val="clear"/>
        </w:rPr>
        <w:t> </w:t>
      </w:r>
      <w:r>
        <w:rPr>
          <w:color w:val="374151"/>
          <w:sz w:val="28"/>
          <w:shd w:fill="F7F7F8" w:color="auto" w:val="clear"/>
        </w:rPr>
        <w:t>Outcomes:</w:t>
      </w:r>
      <w:r>
        <w:rPr>
          <w:color w:val="374151"/>
          <w:spacing w:val="-6"/>
          <w:sz w:val="28"/>
          <w:shd w:fill="F7F7F8" w:color="auto" w:val="clear"/>
        </w:rPr>
        <w:t> </w:t>
      </w:r>
      <w:r>
        <w:rPr>
          <w:color w:val="374151"/>
          <w:sz w:val="28"/>
          <w:shd w:fill="F7F7F8" w:color="auto" w:val="clear"/>
        </w:rPr>
        <w:t>Evaluate</w:t>
      </w:r>
      <w:r>
        <w:rPr>
          <w:color w:val="374151"/>
          <w:spacing w:val="-6"/>
          <w:sz w:val="28"/>
          <w:shd w:fill="F7F7F8" w:color="auto" w:val="clear"/>
        </w:rPr>
        <w:t> </w:t>
      </w:r>
      <w:r>
        <w:rPr>
          <w:color w:val="374151"/>
          <w:sz w:val="28"/>
          <w:shd w:fill="F7F7F8" w:color="auto" w:val="clear"/>
        </w:rPr>
        <w:t>treatment</w:t>
      </w:r>
      <w:r>
        <w:rPr>
          <w:color w:val="374151"/>
          <w:spacing w:val="-6"/>
          <w:sz w:val="28"/>
          <w:shd w:fill="F7F7F8" w:color="auto" w:val="clear"/>
        </w:rPr>
        <w:t> </w:t>
      </w:r>
      <w:r>
        <w:rPr>
          <w:color w:val="374151"/>
          <w:sz w:val="28"/>
          <w:shd w:fill="F7F7F8" w:color="auto" w:val="clear"/>
        </w:rPr>
        <w:t>outcomes</w:t>
      </w:r>
      <w:r>
        <w:rPr>
          <w:color w:val="374151"/>
          <w:spacing w:val="-6"/>
          <w:sz w:val="28"/>
          <w:shd w:fill="F7F7F8" w:color="auto" w:val="clear"/>
        </w:rPr>
        <w:t> </w:t>
      </w:r>
      <w:r>
        <w:rPr>
          <w:color w:val="374151"/>
          <w:sz w:val="28"/>
          <w:shd w:fill="F7F7F8" w:color="auto" w:val="clear"/>
        </w:rPr>
        <w:t>in</w:t>
      </w:r>
      <w:r>
        <w:rPr>
          <w:color w:val="374151"/>
          <w:spacing w:val="-6"/>
          <w:sz w:val="28"/>
          <w:shd w:fill="F7F7F8" w:color="auto" w:val="clear"/>
        </w:rPr>
        <w:t> </w:t>
      </w:r>
      <w:r>
        <w:rPr>
          <w:color w:val="374151"/>
          <w:sz w:val="28"/>
          <w:shd w:fill="F7F7F8" w:color="auto" w:val="clear"/>
        </w:rPr>
        <w:t>a</w:t>
      </w:r>
      <w:r>
        <w:rPr>
          <w:color w:val="374151"/>
          <w:spacing w:val="-6"/>
          <w:sz w:val="28"/>
          <w:shd w:fill="F7F7F8" w:color="auto" w:val="clear"/>
        </w:rPr>
        <w:t> </w:t>
      </w:r>
      <w:r>
        <w:rPr>
          <w:color w:val="374151"/>
          <w:spacing w:val="-6"/>
          <w:sz w:val="28"/>
        </w:rPr>
        <w:t> </w:t>
      </w:r>
      <w:r>
        <w:rPr>
          <w:color w:val="374151"/>
          <w:sz w:val="28"/>
          <w:shd w:fill="F7F7F8" w:color="auto" w:val="clear"/>
        </w:rPr>
        <w:t>culturally</w:t>
      </w:r>
      <w:r>
        <w:rPr>
          <w:color w:val="374151"/>
          <w:spacing w:val="-1"/>
          <w:sz w:val="28"/>
          <w:shd w:fill="F7F7F8" w:color="auto" w:val="clear"/>
        </w:rPr>
        <w:t> </w:t>
      </w:r>
      <w:r>
        <w:rPr>
          <w:color w:val="374151"/>
          <w:sz w:val="28"/>
          <w:shd w:fill="F7F7F8" w:color="auto" w:val="clear"/>
        </w:rPr>
        <w:t>sensitive</w:t>
      </w:r>
      <w:r>
        <w:rPr>
          <w:color w:val="374151"/>
          <w:spacing w:val="-2"/>
          <w:sz w:val="28"/>
          <w:shd w:fill="F7F7F8" w:color="auto" w:val="clear"/>
        </w:rPr>
        <w:t> </w:t>
      </w:r>
      <w:r>
        <w:rPr>
          <w:color w:val="374151"/>
          <w:sz w:val="28"/>
          <w:shd w:fill="F7F7F8" w:color="auto" w:val="clear"/>
        </w:rPr>
        <w:t>manner.</w:t>
      </w:r>
      <w:r>
        <w:rPr>
          <w:color w:val="374151"/>
          <w:spacing w:val="-1"/>
          <w:sz w:val="28"/>
          <w:shd w:fill="F7F7F8" w:color="auto" w:val="clear"/>
        </w:rPr>
        <w:t> </w:t>
      </w:r>
      <w:r>
        <w:rPr>
          <w:color w:val="374151"/>
          <w:sz w:val="28"/>
          <w:shd w:fill="F7F7F8" w:color="auto" w:val="clear"/>
        </w:rPr>
        <w:t>Consider</w:t>
      </w:r>
      <w:r>
        <w:rPr>
          <w:color w:val="374151"/>
          <w:spacing w:val="-1"/>
          <w:sz w:val="28"/>
          <w:shd w:fill="F7F7F8" w:color="auto" w:val="clear"/>
        </w:rPr>
        <w:t> </w:t>
      </w:r>
      <w:r>
        <w:rPr>
          <w:color w:val="374151"/>
          <w:sz w:val="28"/>
          <w:shd w:fill="F7F7F8" w:color="auto" w:val="clear"/>
        </w:rPr>
        <w:t>the</w:t>
      </w:r>
      <w:r>
        <w:rPr>
          <w:color w:val="374151"/>
          <w:spacing w:val="-2"/>
          <w:sz w:val="28"/>
          <w:shd w:fill="F7F7F8" w:color="auto" w:val="clear"/>
        </w:rPr>
        <w:t> </w:t>
      </w:r>
      <w:r>
        <w:rPr>
          <w:color w:val="374151"/>
          <w:sz w:val="28"/>
          <w:shd w:fill="F7F7F8" w:color="auto" w:val="clear"/>
        </w:rPr>
        <w:t>individual's</w:t>
      </w:r>
      <w:r>
        <w:rPr>
          <w:color w:val="374151"/>
          <w:spacing w:val="-1"/>
          <w:sz w:val="28"/>
          <w:shd w:fill="F7F7F8" w:color="auto" w:val="clear"/>
        </w:rPr>
        <w:t> </w:t>
      </w:r>
      <w:r>
        <w:rPr>
          <w:color w:val="374151"/>
          <w:sz w:val="28"/>
          <w:shd w:fill="F7F7F8" w:color="auto" w:val="clear"/>
        </w:rPr>
        <w:t>cultural</w:t>
      </w:r>
      <w:r>
        <w:rPr>
          <w:color w:val="374151"/>
          <w:spacing w:val="-1"/>
          <w:sz w:val="28"/>
          <w:shd w:fill="F7F7F8" w:color="auto" w:val="clear"/>
        </w:rPr>
        <w:t> </w:t>
      </w:r>
      <w:r>
        <w:rPr>
          <w:color w:val="374151"/>
          <w:sz w:val="28"/>
          <w:shd w:fill="F7F7F8" w:color="auto" w:val="clear"/>
        </w:rPr>
        <w:t>context</w:t>
      </w:r>
      <w:r>
        <w:rPr>
          <w:color w:val="374151"/>
          <w:spacing w:val="-2"/>
          <w:sz w:val="28"/>
          <w:shd w:fill="F7F7F8" w:color="auto" w:val="clear"/>
        </w:rPr>
        <w:t> </w:t>
      </w:r>
      <w:r>
        <w:rPr>
          <w:color w:val="374151"/>
          <w:spacing w:val="-2"/>
          <w:sz w:val="28"/>
        </w:rPr>
        <w:t> </w:t>
      </w:r>
      <w:r>
        <w:rPr>
          <w:color w:val="374151"/>
          <w:sz w:val="28"/>
          <w:shd w:fill="F7F7F8" w:color="auto" w:val="clear"/>
        </w:rPr>
        <w:t>when assessing progress and determining the effectiveness of </w:t>
      </w:r>
      <w:r>
        <w:rPr>
          <w:color w:val="374151"/>
          <w:sz w:val="28"/>
        </w:rPr>
        <w:t> </w:t>
      </w:r>
      <w:r>
        <w:rPr>
          <w:color w:val="374151"/>
          <w:spacing w:val="-2"/>
          <w:sz w:val="28"/>
          <w:shd w:fill="F7F7F8" w:color="auto" w:val="clear"/>
        </w:rPr>
        <w:t>interventions.</w:t>
      </w:r>
    </w:p>
    <w:p>
      <w:pPr>
        <w:pStyle w:val="BodyText"/>
        <w:rPr>
          <w:sz w:val="30"/>
        </w:rPr>
      </w:pPr>
    </w:p>
    <w:p>
      <w:pPr>
        <w:pStyle w:val="BodyText"/>
        <w:spacing w:before="215"/>
        <w:ind w:left="280" w:right="668"/>
      </w:pPr>
      <w:r>
        <w:rPr>
          <w:color w:val="374151"/>
          <w:shd w:fill="F7F7F8" w:color="auto" w:val="clear"/>
        </w:rPr>
        <w:t>It is important to note that these strategies are not exhaustive, and the </w:t>
      </w:r>
      <w:r>
        <w:rPr>
          <w:color w:val="374151"/>
        </w:rPr>
        <w:t> </w:t>
      </w:r>
      <w:r>
        <w:rPr>
          <w:color w:val="374151"/>
          <w:shd w:fill="F7F7F8" w:color="auto" w:val="clear"/>
        </w:rPr>
        <w:t>application of culturally competent assessment and treatment should be </w:t>
      </w:r>
      <w:r>
        <w:rPr>
          <w:color w:val="374151"/>
        </w:rPr>
        <w:t> </w:t>
      </w:r>
      <w:r>
        <w:rPr>
          <w:color w:val="374151"/>
          <w:shd w:fill="F7F7F8" w:color="auto" w:val="clear"/>
        </w:rPr>
        <w:t>tailored to the unique needs and cultural contexts of each individual. By </w:t>
      </w:r>
      <w:r>
        <w:rPr>
          <w:color w:val="374151"/>
        </w:rPr>
        <w:t> </w:t>
      </w:r>
      <w:r>
        <w:rPr>
          <w:color w:val="374151"/>
          <w:shd w:fill="F7F7F8" w:color="auto" w:val="clear"/>
        </w:rPr>
        <w:t>incorporating these strategies into assessment and treatment approaches, </w:t>
      </w:r>
      <w:r>
        <w:rPr>
          <w:color w:val="374151"/>
        </w:rPr>
        <w:t> </w:t>
      </w:r>
      <w:r>
        <w:rPr>
          <w:color w:val="374151"/>
          <w:shd w:fill="F7F7F8" w:color="auto" w:val="clear"/>
        </w:rPr>
        <w:t>clinicians can better understand and respect the cultural norms, beliefs, and </w:t>
      </w:r>
      <w:r>
        <w:rPr>
          <w:color w:val="374151"/>
        </w:rPr>
        <w:t> </w:t>
      </w:r>
      <w:r>
        <w:rPr>
          <w:color w:val="374151"/>
          <w:shd w:fill="F7F7F8" w:color="auto" w:val="clear"/>
        </w:rPr>
        <w:t>values</w:t>
      </w:r>
      <w:r>
        <w:rPr>
          <w:color w:val="374151"/>
          <w:spacing w:val="-4"/>
          <w:shd w:fill="F7F7F8" w:color="auto" w:val="clear"/>
        </w:rPr>
        <w:t> </w:t>
      </w:r>
      <w:r>
        <w:rPr>
          <w:color w:val="374151"/>
          <w:shd w:fill="F7F7F8" w:color="auto" w:val="clear"/>
        </w:rPr>
        <w:t>related</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human</w:t>
      </w:r>
      <w:r>
        <w:rPr>
          <w:color w:val="374151"/>
          <w:spacing w:val="-4"/>
          <w:shd w:fill="F7F7F8" w:color="auto" w:val="clear"/>
        </w:rPr>
        <w:t> </w:t>
      </w:r>
      <w:r>
        <w:rPr>
          <w:color w:val="374151"/>
          <w:shd w:fill="F7F7F8" w:color="auto" w:val="clear"/>
        </w:rPr>
        <w:t>sexuality</w:t>
      </w:r>
      <w:r>
        <w:rPr>
          <w:color w:val="374151"/>
          <w:spacing w:val="-4"/>
          <w:shd w:fill="F7F7F8" w:color="auto" w:val="clear"/>
        </w:rPr>
        <w:t> </w:t>
      </w:r>
      <w:r>
        <w:rPr>
          <w:color w:val="374151"/>
          <w:shd w:fill="F7F7F8" w:color="auto" w:val="clear"/>
        </w:rPr>
        <w:t>within</w:t>
      </w:r>
      <w:r>
        <w:rPr>
          <w:color w:val="374151"/>
          <w:spacing w:val="-4"/>
          <w:shd w:fill="F7F7F8" w:color="auto" w:val="clear"/>
        </w:rPr>
        <w:t> </w:t>
      </w:r>
      <w:r>
        <w:rPr>
          <w:color w:val="374151"/>
          <w:shd w:fill="F7F7F8" w:color="auto" w:val="clear"/>
        </w:rPr>
        <w:t>diverse</w:t>
      </w:r>
      <w:r>
        <w:rPr>
          <w:color w:val="374151"/>
          <w:spacing w:val="-5"/>
          <w:shd w:fill="F7F7F8" w:color="auto" w:val="clear"/>
        </w:rPr>
        <w:t> </w:t>
      </w:r>
      <w:r>
        <w:rPr>
          <w:color w:val="374151"/>
          <w:shd w:fill="F7F7F8" w:color="auto" w:val="clear"/>
        </w:rPr>
        <w:t>populations,</w:t>
      </w:r>
      <w:r>
        <w:rPr>
          <w:color w:val="374151"/>
          <w:spacing w:val="-4"/>
          <w:shd w:fill="F7F7F8" w:color="auto" w:val="clear"/>
        </w:rPr>
        <w:t> </w:t>
      </w:r>
      <w:r>
        <w:rPr>
          <w:color w:val="374151"/>
          <w:shd w:fill="F7F7F8" w:color="auto" w:val="clear"/>
        </w:rPr>
        <w:t>leading</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more</w:t>
      </w:r>
      <w:r>
        <w:rPr>
          <w:color w:val="374151"/>
          <w:spacing w:val="-5"/>
          <w:shd w:fill="F7F7F8" w:color="auto" w:val="clear"/>
        </w:rPr>
        <w:t> </w:t>
      </w:r>
      <w:r>
        <w:rPr>
          <w:color w:val="374151"/>
          <w:spacing w:val="-5"/>
        </w:rPr>
        <w:t> </w:t>
      </w:r>
      <w:r>
        <w:rPr>
          <w:color w:val="374151"/>
          <w:shd w:fill="F7F7F8" w:color="auto" w:val="clear"/>
        </w:rPr>
        <w:t>effective and culturally responsive care.</w:t>
      </w:r>
    </w:p>
    <w:p>
      <w:pPr>
        <w:pStyle w:val="BodyText"/>
        <w:spacing w:before="7"/>
        <w:rPr>
          <w:sz w:val="26"/>
        </w:rPr>
      </w:pPr>
    </w:p>
    <w:p>
      <w:pPr>
        <w:pStyle w:val="Heading2"/>
      </w:pPr>
      <w:r>
        <w:rPr>
          <w:color w:val="374151"/>
          <w:spacing w:val="-2"/>
        </w:rPr>
        <w:t>Resources</w:t>
      </w:r>
    </w:p>
    <w:p>
      <w:pPr>
        <w:pStyle w:val="BodyText"/>
        <w:spacing w:before="7"/>
        <w:rPr>
          <w:b/>
          <w:sz w:val="24"/>
        </w:rPr>
      </w:pPr>
    </w:p>
    <w:p>
      <w:pPr>
        <w:pStyle w:val="BodyText"/>
        <w:tabs>
          <w:tab w:pos="999" w:val="left" w:leader="none"/>
        </w:tabs>
        <w:spacing w:line="235" w:lineRule="auto"/>
        <w:ind w:left="1000" w:right="528"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Scarleteen </w:t>
      </w:r>
      <w:r>
        <w:rPr>
          <w:color w:val="374151"/>
          <w:shd w:fill="F7F7F8" w:color="auto" w:val="clear"/>
        </w:rPr>
        <w:t>(</w:t>
      </w:r>
      <w:r>
        <w:rPr>
          <w:color w:val="111827"/>
          <w:u w:val="single" w:color="111827"/>
          <w:shd w:fill="F7F7F8" w:color="auto" w:val="clear"/>
        </w:rPr>
        <w:t>www.scarleteen.com</w:t>
      </w:r>
      <w:r>
        <w:rPr>
          <w:color w:val="374151"/>
          <w:shd w:fill="F7F7F8" w:color="auto" w:val="clear"/>
        </w:rPr>
        <w:t>): Scarleteen is an inclusive and </w:t>
      </w:r>
      <w:r>
        <w:rPr>
          <w:color w:val="374151"/>
        </w:rPr>
        <w:t> </w:t>
      </w:r>
      <w:r>
        <w:rPr>
          <w:color w:val="374151"/>
          <w:shd w:fill="F7F7F8" w:color="auto" w:val="clear"/>
        </w:rPr>
        <w:t>comprehensive online resource for young people regarding sexual </w:t>
      </w:r>
      <w:r>
        <w:rPr>
          <w:color w:val="374151"/>
        </w:rPr>
        <w:t> </w:t>
      </w:r>
      <w:r>
        <w:rPr>
          <w:color w:val="374151"/>
          <w:shd w:fill="F7F7F8" w:color="auto" w:val="clear"/>
        </w:rPr>
        <w:t>health, relationships, and consent. It provides accurate information, </w:t>
      </w:r>
      <w:r>
        <w:rPr>
          <w:color w:val="374151"/>
        </w:rPr>
        <w:t> </w:t>
      </w:r>
      <w:r>
        <w:rPr>
          <w:color w:val="374151"/>
          <w:shd w:fill="F7F7F8" w:color="auto" w:val="clear"/>
        </w:rPr>
        <w:t>articles,</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advice</w:t>
      </w:r>
      <w:r>
        <w:rPr>
          <w:color w:val="374151"/>
          <w:spacing w:val="-6"/>
          <w:shd w:fill="F7F7F8" w:color="auto" w:val="clear"/>
        </w:rPr>
        <w:t> </w:t>
      </w:r>
      <w:r>
        <w:rPr>
          <w:color w:val="374151"/>
          <w:shd w:fill="F7F7F8" w:color="auto" w:val="clear"/>
        </w:rPr>
        <w:t>on</w:t>
      </w:r>
      <w:r>
        <w:rPr>
          <w:color w:val="374151"/>
          <w:spacing w:val="-5"/>
          <w:shd w:fill="F7F7F8" w:color="auto" w:val="clear"/>
        </w:rPr>
        <w:t> </w:t>
      </w:r>
      <w:r>
        <w:rPr>
          <w:color w:val="374151"/>
          <w:shd w:fill="F7F7F8" w:color="auto" w:val="clear"/>
        </w:rPr>
        <w:t>a</w:t>
      </w:r>
      <w:r>
        <w:rPr>
          <w:color w:val="374151"/>
          <w:spacing w:val="-6"/>
          <w:shd w:fill="F7F7F8" w:color="auto" w:val="clear"/>
        </w:rPr>
        <w:t> </w:t>
      </w:r>
      <w:r>
        <w:rPr>
          <w:color w:val="374151"/>
          <w:shd w:fill="F7F7F8" w:color="auto" w:val="clear"/>
        </w:rPr>
        <w:t>wide</w:t>
      </w:r>
      <w:r>
        <w:rPr>
          <w:color w:val="374151"/>
          <w:spacing w:val="-6"/>
          <w:shd w:fill="F7F7F8" w:color="auto" w:val="clear"/>
        </w:rPr>
        <w:t> </w:t>
      </w:r>
      <w:r>
        <w:rPr>
          <w:color w:val="374151"/>
          <w:shd w:fill="F7F7F8" w:color="auto" w:val="clear"/>
        </w:rPr>
        <w:t>range</w:t>
      </w:r>
      <w:r>
        <w:rPr>
          <w:color w:val="374151"/>
          <w:spacing w:val="-6"/>
          <w:shd w:fill="F7F7F8" w:color="auto" w:val="clear"/>
        </w:rPr>
        <w:t> </w:t>
      </w:r>
      <w:r>
        <w:rPr>
          <w:color w:val="374151"/>
          <w:shd w:fill="F7F7F8" w:color="auto" w:val="clear"/>
        </w:rPr>
        <w:t>of</w:t>
      </w:r>
      <w:r>
        <w:rPr>
          <w:color w:val="374151"/>
          <w:spacing w:val="-5"/>
          <w:shd w:fill="F7F7F8" w:color="auto" w:val="clear"/>
        </w:rPr>
        <w:t> </w:t>
      </w:r>
      <w:r>
        <w:rPr>
          <w:color w:val="374151"/>
          <w:shd w:fill="F7F7F8" w:color="auto" w:val="clear"/>
        </w:rPr>
        <w:t>topics</w:t>
      </w:r>
      <w:r>
        <w:rPr>
          <w:color w:val="374151"/>
          <w:spacing w:val="-5"/>
          <w:shd w:fill="F7F7F8" w:color="auto" w:val="clear"/>
        </w:rPr>
        <w:t> </w:t>
      </w:r>
      <w:r>
        <w:rPr>
          <w:color w:val="374151"/>
          <w:shd w:fill="F7F7F8" w:color="auto" w:val="clear"/>
        </w:rPr>
        <w:t>related</w:t>
      </w:r>
      <w:r>
        <w:rPr>
          <w:color w:val="374151"/>
          <w:spacing w:val="-5"/>
          <w:shd w:fill="F7F7F8" w:color="auto" w:val="clear"/>
        </w:rPr>
        <w:t> </w:t>
      </w:r>
      <w:r>
        <w:rPr>
          <w:color w:val="374151"/>
          <w:shd w:fill="F7F7F8" w:color="auto" w:val="clear"/>
        </w:rPr>
        <w:t>to</w:t>
      </w:r>
      <w:r>
        <w:rPr>
          <w:color w:val="374151"/>
          <w:spacing w:val="-5"/>
          <w:shd w:fill="F7F7F8" w:color="auto" w:val="clear"/>
        </w:rPr>
        <w:t> </w:t>
      </w:r>
      <w:r>
        <w:rPr>
          <w:color w:val="374151"/>
          <w:shd w:fill="F7F7F8" w:color="auto" w:val="clear"/>
        </w:rPr>
        <w:t>human</w:t>
      </w:r>
      <w:r>
        <w:rPr>
          <w:color w:val="374151"/>
          <w:spacing w:val="-5"/>
          <w:shd w:fill="F7F7F8" w:color="auto" w:val="clear"/>
        </w:rPr>
        <w:t> </w:t>
      </w:r>
      <w:r>
        <w:rPr>
          <w:color w:val="374151"/>
          <w:shd w:fill="F7F7F8" w:color="auto" w:val="clear"/>
        </w:rPr>
        <w:t>sexuality.</w:t>
      </w:r>
    </w:p>
    <w:p>
      <w:pPr>
        <w:pStyle w:val="BodyText"/>
        <w:spacing w:before="9"/>
        <w:rPr>
          <w:sz w:val="27"/>
        </w:rPr>
      </w:pPr>
    </w:p>
    <w:p>
      <w:pPr>
        <w:pStyle w:val="BodyText"/>
        <w:tabs>
          <w:tab w:pos="999" w:val="left" w:leader="none"/>
        </w:tabs>
        <w:spacing w:line="235" w:lineRule="auto"/>
        <w:ind w:left="1000" w:right="628"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American Sexual Health</w:t>
      </w:r>
      <w:r>
        <w:rPr>
          <w:b/>
          <w:bCs/>
          <w:color w:val="374151"/>
          <w:spacing w:val="-8"/>
          <w:shd w:fill="F7F7F8" w:color="auto" w:val="clear"/>
        </w:rPr>
        <w:t> </w:t>
      </w:r>
      <w:r>
        <w:rPr>
          <w:b/>
          <w:bCs/>
          <w:color w:val="374151"/>
          <w:shd w:fill="F7F7F8" w:color="auto" w:val="clear"/>
        </w:rPr>
        <w:t>Association </w:t>
      </w:r>
      <w:r>
        <w:rPr>
          <w:color w:val="374151"/>
          <w:shd w:fill="F7F7F8" w:color="auto" w:val="clear"/>
        </w:rPr>
        <w:t>(</w:t>
      </w:r>
      <w:r>
        <w:rPr>
          <w:color w:val="111827"/>
          <w:u w:val="single" w:color="111827"/>
          <w:shd w:fill="F7F7F8" w:color="auto" w:val="clear"/>
        </w:rPr>
        <w:t>www.ashasexualhealth.org</w:t>
      </w:r>
      <w:r>
        <w:rPr>
          <w:color w:val="374151"/>
          <w:shd w:fill="F7F7F8" w:color="auto" w:val="clear"/>
        </w:rPr>
        <w:t>): </w:t>
      </w:r>
      <w:r>
        <w:rPr>
          <w:color w:val="374151"/>
        </w:rPr>
        <w:t> </w:t>
      </w:r>
      <w:r>
        <w:rPr>
          <w:color w:val="374151"/>
          <w:shd w:fill="F7F7F8" w:color="auto" w:val="clear"/>
        </w:rPr>
        <w:t>The</w:t>
      </w:r>
      <w:r>
        <w:rPr>
          <w:color w:val="374151"/>
          <w:spacing w:val="-18"/>
          <w:shd w:fill="F7F7F8" w:color="auto" w:val="clear"/>
        </w:rPr>
        <w:t> </w:t>
      </w:r>
      <w:r>
        <w:rPr>
          <w:color w:val="374151"/>
          <w:shd w:fill="F7F7F8" w:color="auto" w:val="clear"/>
        </w:rPr>
        <w:t>American</w:t>
      </w:r>
      <w:r>
        <w:rPr>
          <w:color w:val="374151"/>
          <w:spacing w:val="-11"/>
          <w:shd w:fill="F7F7F8" w:color="auto" w:val="clear"/>
        </w:rPr>
        <w:t> </w:t>
      </w:r>
      <w:r>
        <w:rPr>
          <w:color w:val="374151"/>
          <w:shd w:fill="F7F7F8" w:color="auto" w:val="clear"/>
        </w:rPr>
        <w:t>Sexual</w:t>
      </w:r>
      <w:r>
        <w:rPr>
          <w:color w:val="374151"/>
          <w:spacing w:val="-6"/>
          <w:shd w:fill="F7F7F8" w:color="auto" w:val="clear"/>
        </w:rPr>
        <w:t> </w:t>
      </w:r>
      <w:r>
        <w:rPr>
          <w:color w:val="374151"/>
          <w:shd w:fill="F7F7F8" w:color="auto" w:val="clear"/>
        </w:rPr>
        <w:t>Health</w:t>
      </w:r>
      <w:r>
        <w:rPr>
          <w:color w:val="374151"/>
          <w:spacing w:val="-18"/>
          <w:shd w:fill="F7F7F8" w:color="auto" w:val="clear"/>
        </w:rPr>
        <w:t> </w:t>
      </w:r>
      <w:r>
        <w:rPr>
          <w:color w:val="374151"/>
          <w:shd w:fill="F7F7F8" w:color="auto" w:val="clear"/>
        </w:rPr>
        <w:t>Association</w:t>
      </w:r>
      <w:r>
        <w:rPr>
          <w:color w:val="374151"/>
          <w:spacing w:val="-5"/>
          <w:shd w:fill="F7F7F8" w:color="auto" w:val="clear"/>
        </w:rPr>
        <w:t> </w:t>
      </w:r>
      <w:r>
        <w:rPr>
          <w:color w:val="374151"/>
          <w:shd w:fill="F7F7F8" w:color="auto" w:val="clear"/>
        </w:rPr>
        <w:t>offers</w:t>
      </w:r>
      <w:r>
        <w:rPr>
          <w:color w:val="374151"/>
          <w:spacing w:val="-6"/>
          <w:shd w:fill="F7F7F8" w:color="auto" w:val="clear"/>
        </w:rPr>
        <w:t> </w:t>
      </w:r>
      <w:r>
        <w:rPr>
          <w:color w:val="374151"/>
          <w:shd w:fill="F7F7F8" w:color="auto" w:val="clear"/>
        </w:rPr>
        <w:t>information,</w:t>
      </w:r>
      <w:r>
        <w:rPr>
          <w:color w:val="374151"/>
          <w:spacing w:val="-6"/>
          <w:shd w:fill="F7F7F8" w:color="auto" w:val="clear"/>
        </w:rPr>
        <w:t> </w:t>
      </w:r>
      <w:r>
        <w:rPr>
          <w:color w:val="374151"/>
          <w:shd w:fill="F7F7F8" w:color="auto" w:val="clear"/>
        </w:rPr>
        <w:t>resources,</w:t>
      </w:r>
      <w:r>
        <w:rPr>
          <w:color w:val="374151"/>
          <w:spacing w:val="-7"/>
          <w:shd w:fill="F7F7F8" w:color="auto" w:val="clear"/>
        </w:rPr>
        <w:t> </w:t>
      </w:r>
      <w:r>
        <w:rPr>
          <w:color w:val="374151"/>
          <w:spacing w:val="-7"/>
        </w:rPr>
        <w:t> </w:t>
      </w:r>
      <w:r>
        <w:rPr>
          <w:color w:val="374151"/>
          <w:shd w:fill="F7F7F8" w:color="auto" w:val="clear"/>
        </w:rPr>
        <w:t>and advocacy related to sexual health. Their website provides </w:t>
      </w:r>
      <w:r>
        <w:rPr>
          <w:color w:val="374151"/>
        </w:rPr>
        <w:t> </w:t>
      </w:r>
      <w:r>
        <w:rPr>
          <w:color w:val="374151"/>
          <w:shd w:fill="F7F7F8" w:color="auto" w:val="clear"/>
        </w:rPr>
        <w:t>educational materials on various topics, including sexual health, STIs, </w:t>
      </w:r>
      <w:r>
        <w:rPr>
          <w:color w:val="374151"/>
        </w:rPr>
        <w:t> </w:t>
      </w:r>
      <w:r>
        <w:rPr>
          <w:color w:val="374151"/>
          <w:shd w:fill="F7F7F8" w:color="auto" w:val="clear"/>
        </w:rPr>
        <w:t>and relationships.</w:t>
      </w:r>
    </w:p>
    <w:p>
      <w:pPr>
        <w:pStyle w:val="BodyText"/>
        <w:spacing w:before="2"/>
      </w:pPr>
    </w:p>
    <w:p>
      <w:pPr>
        <w:pStyle w:val="BodyText"/>
        <w:tabs>
          <w:tab w:pos="999" w:val="left" w:leader="none"/>
        </w:tabs>
        <w:spacing w:line="235" w:lineRule="auto"/>
        <w:ind w:left="1000" w:right="515"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LGBTQ+</w:t>
      </w:r>
      <w:r>
        <w:rPr>
          <w:b/>
          <w:bCs/>
          <w:color w:val="374151"/>
          <w:spacing w:val="-6"/>
          <w:shd w:fill="F7F7F8" w:color="auto" w:val="clear"/>
        </w:rPr>
        <w:t> </w:t>
      </w:r>
      <w:r>
        <w:rPr>
          <w:b/>
          <w:bCs/>
          <w:color w:val="374151"/>
          <w:shd w:fill="F7F7F8" w:color="auto" w:val="clear"/>
        </w:rPr>
        <w:t>Resource</w:t>
      </w:r>
      <w:r>
        <w:rPr>
          <w:b/>
          <w:bCs/>
          <w:color w:val="374151"/>
          <w:spacing w:val="-7"/>
          <w:shd w:fill="F7F7F8" w:color="auto" w:val="clear"/>
        </w:rPr>
        <w:t> </w:t>
      </w:r>
      <w:r>
        <w:rPr>
          <w:b/>
          <w:bCs/>
          <w:color w:val="374151"/>
          <w:shd w:fill="F7F7F8" w:color="auto" w:val="clear"/>
        </w:rPr>
        <w:t>Centers:</w:t>
      </w:r>
      <w:r>
        <w:rPr>
          <w:b/>
          <w:bCs/>
          <w:color w:val="374151"/>
          <w:spacing w:val="-7"/>
          <w:shd w:fill="F7F7F8" w:color="auto" w:val="clear"/>
        </w:rPr>
        <w:t> </w:t>
      </w:r>
      <w:r>
        <w:rPr>
          <w:color w:val="374151"/>
          <w:shd w:fill="F7F7F8" w:color="auto" w:val="clear"/>
        </w:rPr>
        <w:t>Local</w:t>
      </w:r>
      <w:r>
        <w:rPr>
          <w:color w:val="374151"/>
          <w:spacing w:val="-6"/>
          <w:shd w:fill="F7F7F8" w:color="auto" w:val="clear"/>
        </w:rPr>
        <w:t> </w:t>
      </w:r>
      <w:r>
        <w:rPr>
          <w:color w:val="374151"/>
          <w:shd w:fill="F7F7F8" w:color="auto" w:val="clear"/>
        </w:rPr>
        <w:t>LGBTQ+</w:t>
      </w:r>
      <w:r>
        <w:rPr>
          <w:color w:val="374151"/>
          <w:spacing w:val="-6"/>
          <w:shd w:fill="F7F7F8" w:color="auto" w:val="clear"/>
        </w:rPr>
        <w:t> </w:t>
      </w:r>
      <w:r>
        <w:rPr>
          <w:color w:val="374151"/>
          <w:shd w:fill="F7F7F8" w:color="auto" w:val="clear"/>
        </w:rPr>
        <w:t>community</w:t>
      </w:r>
      <w:r>
        <w:rPr>
          <w:color w:val="374151"/>
          <w:spacing w:val="-6"/>
          <w:shd w:fill="F7F7F8" w:color="auto" w:val="clear"/>
        </w:rPr>
        <w:t> </w:t>
      </w:r>
      <w:r>
        <w:rPr>
          <w:color w:val="374151"/>
          <w:shd w:fill="F7F7F8" w:color="auto" w:val="clear"/>
        </w:rPr>
        <w:t>centers</w:t>
      </w:r>
      <w:r>
        <w:rPr>
          <w:color w:val="374151"/>
          <w:spacing w:val="-6"/>
          <w:shd w:fill="F7F7F8" w:color="auto" w:val="clear"/>
        </w:rPr>
        <w:t> </w:t>
      </w:r>
      <w:r>
        <w:rPr>
          <w:color w:val="374151"/>
          <w:shd w:fill="F7F7F8" w:color="auto" w:val="clear"/>
        </w:rPr>
        <w:t>often</w:t>
      </w:r>
      <w:r>
        <w:rPr>
          <w:color w:val="374151"/>
        </w:rPr>
        <w:t> </w:t>
      </w:r>
      <w:r>
        <w:rPr>
          <w:color w:val="374151"/>
          <w:shd w:fill="F7F7F8" w:color="auto" w:val="clear"/>
        </w:rPr>
        <w:t>offer resources, support groups, and educational programs related to </w:t>
      </w:r>
      <w:r>
        <w:rPr>
          <w:color w:val="374151"/>
        </w:rPr>
        <w:t> </w:t>
      </w:r>
      <w:r>
        <w:rPr>
          <w:color w:val="374151"/>
          <w:shd w:fill="F7F7F8" w:color="auto" w:val="clear"/>
        </w:rPr>
        <w:t>sexual orientation and gender identity.</w:t>
      </w:r>
      <w:r>
        <w:rPr>
          <w:color w:val="374151"/>
          <w:spacing w:val="-1"/>
          <w:shd w:fill="F7F7F8" w:color="auto" w:val="clear"/>
        </w:rPr>
        <w:t> </w:t>
      </w:r>
      <w:r>
        <w:rPr>
          <w:color w:val="374151"/>
          <w:shd w:fill="F7F7F8" w:color="auto" w:val="clear"/>
        </w:rPr>
        <w:t>These centers can provide </w:t>
      </w:r>
      <w:r>
        <w:rPr>
          <w:color w:val="374151"/>
        </w:rPr>
        <w:t> </w:t>
      </w:r>
      <w:r>
        <w:rPr>
          <w:color w:val="374151"/>
          <w:shd w:fill="F7F7F8" w:color="auto" w:val="clear"/>
        </w:rPr>
        <w:t>valuable information, referrals, and community connections for </w:t>
      </w:r>
      <w:r>
        <w:rPr>
          <w:color w:val="374151"/>
        </w:rPr>
        <w:t> </w:t>
      </w:r>
      <w:r>
        <w:rPr>
          <w:color w:val="374151"/>
          <w:shd w:fill="F7F7F8" w:color="auto" w:val="clear"/>
        </w:rPr>
        <w:t>individuals seeking support in navigating their sexuality within their </w:t>
      </w:r>
      <w:r>
        <w:rPr>
          <w:color w:val="374151"/>
        </w:rPr>
        <w:t> </w:t>
      </w:r>
      <w:r>
        <w:rPr>
          <w:color w:val="374151"/>
          <w:shd w:fill="F7F7F8" w:color="auto" w:val="clear"/>
        </w:rPr>
        <w:t>cultural context.</w:t>
      </w:r>
    </w:p>
    <w:p>
      <w:pPr>
        <w:pStyle w:val="BodyText"/>
        <w:spacing w:before="5"/>
        <w:rPr>
          <w:sz w:val="29"/>
        </w:rPr>
      </w:pPr>
    </w:p>
    <w:p>
      <w:pPr>
        <w:tabs>
          <w:tab w:pos="999" w:val="left" w:leader="none"/>
        </w:tabs>
        <w:spacing w:line="225" w:lineRule="auto" w:before="0"/>
        <w:ind w:left="1000" w:right="628" w:hanging="500"/>
        <w:jc w:val="left"/>
        <w:rPr>
          <w:sz w:val="28"/>
          <w:szCs w:val="28"/>
        </w:rPr>
      </w:pPr>
      <w:r>
        <w:rPr>
          <w:rFonts w:ascii="Microsoft Sans Serif" w:hAnsi="Microsoft Sans Serif" w:cs="Microsoft Sans Serif" w:eastAsia="Microsoft Sans Serif"/>
          <w:color w:val="374151"/>
          <w:spacing w:val="-10"/>
          <w:w w:val="110"/>
          <w:position w:val="-1"/>
          <w:sz w:val="28"/>
          <w:szCs w:val="28"/>
        </w:rPr>
        <w:t>๏</w:t>
      </w:r>
      <w:r>
        <w:rPr>
          <w:rFonts w:ascii="Microsoft Sans Serif" w:hAnsi="Microsoft Sans Serif" w:cs="Microsoft Sans Serif" w:eastAsia="Microsoft Sans Serif"/>
          <w:color w:val="374151"/>
          <w:position w:val="-1"/>
          <w:sz w:val="28"/>
          <w:szCs w:val="28"/>
        </w:rPr>
        <w:tab/>
      </w:r>
      <w:r>
        <w:rPr>
          <w:b/>
          <w:bCs/>
          <w:color w:val="374151"/>
          <w:sz w:val="28"/>
          <w:szCs w:val="28"/>
          <w:shd w:fill="F7F7F8" w:color="auto" w:val="clear"/>
        </w:rPr>
        <w:t>National</w:t>
      </w:r>
      <w:r>
        <w:rPr>
          <w:b/>
          <w:bCs/>
          <w:color w:val="374151"/>
          <w:spacing w:val="-18"/>
          <w:sz w:val="28"/>
          <w:szCs w:val="28"/>
          <w:shd w:fill="F7F7F8" w:color="auto" w:val="clear"/>
        </w:rPr>
        <w:t> </w:t>
      </w:r>
      <w:r>
        <w:rPr>
          <w:b/>
          <w:bCs/>
          <w:color w:val="374151"/>
          <w:sz w:val="28"/>
          <w:szCs w:val="28"/>
          <w:shd w:fill="F7F7F8" w:color="auto" w:val="clear"/>
        </w:rPr>
        <w:t>Alliance</w:t>
      </w:r>
      <w:r>
        <w:rPr>
          <w:b/>
          <w:bCs/>
          <w:color w:val="374151"/>
          <w:spacing w:val="-12"/>
          <w:sz w:val="28"/>
          <w:szCs w:val="28"/>
          <w:shd w:fill="F7F7F8" w:color="auto" w:val="clear"/>
        </w:rPr>
        <w:t> </w:t>
      </w:r>
      <w:r>
        <w:rPr>
          <w:b/>
          <w:bCs/>
          <w:color w:val="374151"/>
          <w:sz w:val="28"/>
          <w:szCs w:val="28"/>
          <w:shd w:fill="F7F7F8" w:color="auto" w:val="clear"/>
        </w:rPr>
        <w:t>on</w:t>
      </w:r>
      <w:r>
        <w:rPr>
          <w:b/>
          <w:bCs/>
          <w:color w:val="374151"/>
          <w:spacing w:val="-8"/>
          <w:sz w:val="28"/>
          <w:szCs w:val="28"/>
          <w:shd w:fill="F7F7F8" w:color="auto" w:val="clear"/>
        </w:rPr>
        <w:t> </w:t>
      </w:r>
      <w:r>
        <w:rPr>
          <w:b/>
          <w:bCs/>
          <w:color w:val="374151"/>
          <w:sz w:val="28"/>
          <w:szCs w:val="28"/>
          <w:shd w:fill="F7F7F8" w:color="auto" w:val="clear"/>
        </w:rPr>
        <w:t>Mental</w:t>
      </w:r>
      <w:r>
        <w:rPr>
          <w:b/>
          <w:bCs/>
          <w:color w:val="374151"/>
          <w:spacing w:val="-8"/>
          <w:sz w:val="28"/>
          <w:szCs w:val="28"/>
          <w:shd w:fill="F7F7F8" w:color="auto" w:val="clear"/>
        </w:rPr>
        <w:t> </w:t>
      </w:r>
      <w:r>
        <w:rPr>
          <w:b/>
          <w:bCs/>
          <w:color w:val="374151"/>
          <w:sz w:val="28"/>
          <w:szCs w:val="28"/>
          <w:shd w:fill="F7F7F8" w:color="auto" w:val="clear"/>
        </w:rPr>
        <w:t>Illness</w:t>
      </w:r>
      <w:r>
        <w:rPr>
          <w:b/>
          <w:bCs/>
          <w:color w:val="374151"/>
          <w:spacing w:val="-9"/>
          <w:sz w:val="28"/>
          <w:szCs w:val="28"/>
          <w:shd w:fill="F7F7F8" w:color="auto" w:val="clear"/>
        </w:rPr>
        <w:t> </w:t>
      </w:r>
      <w:r>
        <w:rPr>
          <w:color w:val="374151"/>
          <w:sz w:val="28"/>
          <w:szCs w:val="28"/>
          <w:shd w:fill="F7F7F8" w:color="auto" w:val="clear"/>
        </w:rPr>
        <w:t>(NAMI)</w:t>
      </w:r>
      <w:r>
        <w:rPr>
          <w:color w:val="374151"/>
          <w:spacing w:val="-8"/>
          <w:sz w:val="28"/>
          <w:szCs w:val="28"/>
          <w:shd w:fill="F7F7F8" w:color="auto" w:val="clear"/>
        </w:rPr>
        <w:t> </w:t>
      </w:r>
      <w:r>
        <w:rPr>
          <w:color w:val="374151"/>
          <w:sz w:val="28"/>
          <w:szCs w:val="28"/>
          <w:shd w:fill="F7F7F8" w:color="auto" w:val="clear"/>
        </w:rPr>
        <w:t>(</w:t>
      </w:r>
      <w:r>
        <w:rPr>
          <w:color w:val="111827"/>
          <w:sz w:val="28"/>
          <w:szCs w:val="28"/>
          <w:u w:val="single" w:color="111827"/>
          <w:shd w:fill="F7F7F8" w:color="auto" w:val="clear"/>
        </w:rPr>
        <w:t>www.nami.org</w:t>
      </w:r>
      <w:r>
        <w:rPr>
          <w:color w:val="374151"/>
          <w:sz w:val="28"/>
          <w:szCs w:val="28"/>
          <w:shd w:fill="F7F7F8" w:color="auto" w:val="clear"/>
        </w:rPr>
        <w:t>):</w:t>
      </w:r>
      <w:r>
        <w:rPr>
          <w:color w:val="374151"/>
          <w:spacing w:val="-8"/>
          <w:sz w:val="28"/>
          <w:szCs w:val="28"/>
          <w:shd w:fill="F7F7F8" w:color="auto" w:val="clear"/>
        </w:rPr>
        <w:t> </w:t>
      </w:r>
      <w:r>
        <w:rPr>
          <w:color w:val="374151"/>
          <w:sz w:val="28"/>
          <w:szCs w:val="28"/>
          <w:shd w:fill="F7F7F8" w:color="auto" w:val="clear"/>
        </w:rPr>
        <w:t>NAMI</w:t>
      </w:r>
      <w:r>
        <w:rPr>
          <w:color w:val="374151"/>
          <w:spacing w:val="-9"/>
          <w:sz w:val="28"/>
          <w:szCs w:val="28"/>
          <w:shd w:fill="F7F7F8" w:color="auto" w:val="clear"/>
        </w:rPr>
        <w:t> </w:t>
      </w:r>
      <w:r>
        <w:rPr>
          <w:color w:val="374151"/>
          <w:spacing w:val="-9"/>
          <w:sz w:val="28"/>
          <w:szCs w:val="28"/>
        </w:rPr>
        <w:t> </w:t>
      </w:r>
      <w:r>
        <w:rPr>
          <w:color w:val="374151"/>
          <w:sz w:val="28"/>
          <w:szCs w:val="28"/>
          <w:shd w:fill="F7F7F8" w:color="auto" w:val="clear"/>
        </w:rPr>
        <w:t>is a mental health organization that provides resources and support for</w:t>
      </w:r>
      <w:r>
        <w:rPr>
          <w:color w:val="374151"/>
          <w:spacing w:val="40"/>
          <w:sz w:val="28"/>
          <w:szCs w:val="28"/>
          <w:shd w:fill="F7F7F8" w:color="auto" w:val="clear"/>
        </w:rPr>
        <w:t> </w:t>
      </w:r>
    </w:p>
    <w:p>
      <w:pPr>
        <w:spacing w:after="0" w:line="225" w:lineRule="auto"/>
        <w:jc w:val="left"/>
        <w:rPr>
          <w:sz w:val="28"/>
          <w:szCs w:val="28"/>
        </w:rPr>
        <w:sectPr>
          <w:pgSz w:w="12240" w:h="15840"/>
          <w:pgMar w:header="0" w:footer="765" w:top="1520" w:bottom="980" w:left="1400" w:right="1180"/>
        </w:sectPr>
      </w:pPr>
    </w:p>
    <w:p>
      <w:pPr>
        <w:pStyle w:val="BodyText"/>
        <w:spacing w:before="66"/>
        <w:ind w:left="1000" w:right="508"/>
        <w:jc w:val="both"/>
      </w:pPr>
      <w:r>
        <w:rPr>
          <w:color w:val="374151"/>
          <w:shd w:fill="F7F7F8" w:color="auto" w:val="clear"/>
        </w:rPr>
        <w:t>individuals</w:t>
      </w:r>
      <w:r>
        <w:rPr>
          <w:color w:val="374151"/>
          <w:spacing w:val="-6"/>
          <w:shd w:fill="F7F7F8" w:color="auto" w:val="clear"/>
        </w:rPr>
        <w:t> </w:t>
      </w:r>
      <w:r>
        <w:rPr>
          <w:color w:val="374151"/>
          <w:shd w:fill="F7F7F8" w:color="auto" w:val="clear"/>
        </w:rPr>
        <w:t>and</w:t>
      </w:r>
      <w:r>
        <w:rPr>
          <w:color w:val="374151"/>
          <w:spacing w:val="-6"/>
          <w:shd w:fill="F7F7F8" w:color="auto" w:val="clear"/>
        </w:rPr>
        <w:t> </w:t>
      </w:r>
      <w:r>
        <w:rPr>
          <w:color w:val="374151"/>
          <w:shd w:fill="F7F7F8" w:color="auto" w:val="clear"/>
        </w:rPr>
        <w:t>families</w:t>
      </w:r>
      <w:r>
        <w:rPr>
          <w:color w:val="374151"/>
          <w:spacing w:val="-6"/>
          <w:shd w:fill="F7F7F8" w:color="auto" w:val="clear"/>
        </w:rPr>
        <w:t> </w:t>
      </w:r>
      <w:r>
        <w:rPr>
          <w:color w:val="374151"/>
          <w:shd w:fill="F7F7F8" w:color="auto" w:val="clear"/>
        </w:rPr>
        <w:t>affected</w:t>
      </w:r>
      <w:r>
        <w:rPr>
          <w:color w:val="374151"/>
          <w:spacing w:val="-6"/>
          <w:shd w:fill="F7F7F8" w:color="auto" w:val="clear"/>
        </w:rPr>
        <w:t> </w:t>
      </w:r>
      <w:r>
        <w:rPr>
          <w:color w:val="374151"/>
          <w:shd w:fill="F7F7F8" w:color="auto" w:val="clear"/>
        </w:rPr>
        <w:t>by</w:t>
      </w:r>
      <w:r>
        <w:rPr>
          <w:color w:val="374151"/>
          <w:spacing w:val="-6"/>
          <w:shd w:fill="F7F7F8" w:color="auto" w:val="clear"/>
        </w:rPr>
        <w:t> </w:t>
      </w:r>
      <w:r>
        <w:rPr>
          <w:color w:val="374151"/>
          <w:shd w:fill="F7F7F8" w:color="auto" w:val="clear"/>
        </w:rPr>
        <w:t>mental</w:t>
      </w:r>
      <w:r>
        <w:rPr>
          <w:color w:val="374151"/>
          <w:spacing w:val="-6"/>
          <w:shd w:fill="F7F7F8" w:color="auto" w:val="clear"/>
        </w:rPr>
        <w:t> </w:t>
      </w:r>
      <w:r>
        <w:rPr>
          <w:color w:val="374151"/>
          <w:shd w:fill="F7F7F8" w:color="auto" w:val="clear"/>
        </w:rPr>
        <w:t>health</w:t>
      </w:r>
      <w:r>
        <w:rPr>
          <w:color w:val="374151"/>
          <w:spacing w:val="-6"/>
          <w:shd w:fill="F7F7F8" w:color="auto" w:val="clear"/>
        </w:rPr>
        <w:t> </w:t>
      </w:r>
      <w:r>
        <w:rPr>
          <w:color w:val="374151"/>
          <w:shd w:fill="F7F7F8" w:color="auto" w:val="clear"/>
        </w:rPr>
        <w:t>conditions.</w:t>
      </w:r>
      <w:r>
        <w:rPr>
          <w:color w:val="374151"/>
          <w:spacing w:val="-11"/>
          <w:shd w:fill="F7F7F8" w:color="auto" w:val="clear"/>
        </w:rPr>
        <w:t> </w:t>
      </w:r>
      <w:r>
        <w:rPr>
          <w:color w:val="374151"/>
          <w:shd w:fill="F7F7F8" w:color="auto" w:val="clear"/>
        </w:rPr>
        <w:t>They</w:t>
      </w:r>
      <w:r>
        <w:rPr>
          <w:color w:val="374151"/>
          <w:spacing w:val="-6"/>
          <w:shd w:fill="F7F7F8" w:color="auto" w:val="clear"/>
        </w:rPr>
        <w:t> </w:t>
      </w:r>
      <w:r>
        <w:rPr>
          <w:color w:val="374151"/>
          <w:shd w:fill="F7F7F8" w:color="auto" w:val="clear"/>
        </w:rPr>
        <w:t>offer</w:t>
      </w:r>
      <w:r>
        <w:rPr>
          <w:color w:val="374151"/>
        </w:rPr>
        <w:t> </w:t>
      </w:r>
      <w:r>
        <w:rPr>
          <w:color w:val="374151"/>
          <w:shd w:fill="F7F7F8" w:color="auto" w:val="clear"/>
        </w:rPr>
        <w:t>educational</w:t>
      </w:r>
      <w:r>
        <w:rPr>
          <w:color w:val="374151"/>
          <w:spacing w:val="-1"/>
          <w:shd w:fill="F7F7F8" w:color="auto" w:val="clear"/>
        </w:rPr>
        <w:t> </w:t>
      </w:r>
      <w:r>
        <w:rPr>
          <w:color w:val="374151"/>
          <w:shd w:fill="F7F7F8" w:color="auto" w:val="clear"/>
        </w:rPr>
        <w:t>materials,</w:t>
      </w:r>
      <w:r>
        <w:rPr>
          <w:color w:val="374151"/>
          <w:spacing w:val="-1"/>
          <w:shd w:fill="F7F7F8" w:color="auto" w:val="clear"/>
        </w:rPr>
        <w:t> </w:t>
      </w:r>
      <w:r>
        <w:rPr>
          <w:color w:val="374151"/>
          <w:shd w:fill="F7F7F8" w:color="auto" w:val="clear"/>
        </w:rPr>
        <w:t>support</w:t>
      </w:r>
      <w:r>
        <w:rPr>
          <w:color w:val="374151"/>
          <w:spacing w:val="-1"/>
          <w:shd w:fill="F7F7F8" w:color="auto" w:val="clear"/>
        </w:rPr>
        <w:t> </w:t>
      </w:r>
      <w:r>
        <w:rPr>
          <w:color w:val="374151"/>
          <w:shd w:fill="F7F7F8" w:color="auto" w:val="clear"/>
        </w:rPr>
        <w:t>groups,</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advocacy</w:t>
      </w:r>
      <w:r>
        <w:rPr>
          <w:color w:val="374151"/>
          <w:spacing w:val="-1"/>
          <w:shd w:fill="F7F7F8" w:color="auto" w:val="clear"/>
        </w:rPr>
        <w:t> </w:t>
      </w:r>
      <w:r>
        <w:rPr>
          <w:color w:val="374151"/>
          <w:shd w:fill="F7F7F8" w:color="auto" w:val="clear"/>
        </w:rPr>
        <w:t>resources</w:t>
      </w:r>
      <w:r>
        <w:rPr>
          <w:color w:val="374151"/>
          <w:spacing w:val="-1"/>
          <w:shd w:fill="F7F7F8" w:color="auto" w:val="clear"/>
        </w:rPr>
        <w:t> </w:t>
      </w:r>
      <w:r>
        <w:rPr>
          <w:color w:val="374151"/>
          <w:shd w:fill="F7F7F8" w:color="auto" w:val="clear"/>
        </w:rPr>
        <w:t>related</w:t>
      </w:r>
      <w:r>
        <w:rPr>
          <w:color w:val="374151"/>
          <w:spacing w:val="-1"/>
          <w:shd w:fill="F7F7F8" w:color="auto" w:val="clear"/>
        </w:rPr>
        <w:t> </w:t>
      </w:r>
      <w:r>
        <w:rPr>
          <w:color w:val="374151"/>
          <w:shd w:fill="F7F7F8" w:color="auto" w:val="clear"/>
        </w:rPr>
        <w:t>to</w:t>
      </w:r>
      <w:r>
        <w:rPr>
          <w:color w:val="374151"/>
        </w:rPr>
        <w:t> </w:t>
      </w:r>
      <w:r>
        <w:rPr>
          <w:color w:val="374151"/>
          <w:shd w:fill="F7F7F8" w:color="auto" w:val="clear"/>
        </w:rPr>
        <w:t>mental health and cultural competence.</w:t>
      </w:r>
    </w:p>
    <w:p>
      <w:pPr>
        <w:pStyle w:val="BodyText"/>
        <w:spacing w:before="8"/>
        <w:rPr>
          <w:sz w:val="27"/>
        </w:rPr>
      </w:pPr>
    </w:p>
    <w:p>
      <w:pPr>
        <w:pStyle w:val="BodyText"/>
        <w:tabs>
          <w:tab w:pos="999" w:val="left" w:leader="none"/>
        </w:tabs>
        <w:spacing w:line="235" w:lineRule="auto"/>
        <w:ind w:left="1000" w:right="528"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Ethnic-specific Community Organizations</w:t>
      </w:r>
      <w:r>
        <w:rPr>
          <w:color w:val="374151"/>
          <w:shd w:fill="F7F7F8" w:color="auto" w:val="clear"/>
        </w:rPr>
        <w:t>: Many ethnic-specific </w:t>
      </w:r>
      <w:r>
        <w:rPr>
          <w:color w:val="374151"/>
        </w:rPr>
        <w:t> </w:t>
      </w:r>
      <w:r>
        <w:rPr>
          <w:color w:val="374151"/>
          <w:shd w:fill="F7F7F8" w:color="auto" w:val="clear"/>
        </w:rPr>
        <w:t>community</w:t>
      </w:r>
      <w:r>
        <w:rPr>
          <w:color w:val="374151"/>
          <w:spacing w:val="-6"/>
          <w:shd w:fill="F7F7F8" w:color="auto" w:val="clear"/>
        </w:rPr>
        <w:t> </w:t>
      </w:r>
      <w:r>
        <w:rPr>
          <w:color w:val="374151"/>
          <w:shd w:fill="F7F7F8" w:color="auto" w:val="clear"/>
        </w:rPr>
        <w:t>organizations</w:t>
      </w:r>
      <w:r>
        <w:rPr>
          <w:color w:val="374151"/>
          <w:spacing w:val="-6"/>
          <w:shd w:fill="F7F7F8" w:color="auto" w:val="clear"/>
        </w:rPr>
        <w:t> </w:t>
      </w:r>
      <w:r>
        <w:rPr>
          <w:color w:val="374151"/>
          <w:shd w:fill="F7F7F8" w:color="auto" w:val="clear"/>
        </w:rPr>
        <w:t>provide</w:t>
      </w:r>
      <w:r>
        <w:rPr>
          <w:color w:val="374151"/>
          <w:spacing w:val="-7"/>
          <w:shd w:fill="F7F7F8" w:color="auto" w:val="clear"/>
        </w:rPr>
        <w:t> </w:t>
      </w:r>
      <w:r>
        <w:rPr>
          <w:color w:val="374151"/>
          <w:shd w:fill="F7F7F8" w:color="auto" w:val="clear"/>
        </w:rPr>
        <w:t>culturally</w:t>
      </w:r>
      <w:r>
        <w:rPr>
          <w:color w:val="374151"/>
          <w:spacing w:val="-6"/>
          <w:shd w:fill="F7F7F8" w:color="auto" w:val="clear"/>
        </w:rPr>
        <w:t> </w:t>
      </w:r>
      <w:r>
        <w:rPr>
          <w:color w:val="374151"/>
          <w:shd w:fill="F7F7F8" w:color="auto" w:val="clear"/>
        </w:rPr>
        <w:t>relevant</w:t>
      </w:r>
      <w:r>
        <w:rPr>
          <w:color w:val="374151"/>
          <w:spacing w:val="-6"/>
          <w:shd w:fill="F7F7F8" w:color="auto" w:val="clear"/>
        </w:rPr>
        <w:t> </w:t>
      </w:r>
      <w:r>
        <w:rPr>
          <w:color w:val="374151"/>
          <w:shd w:fill="F7F7F8" w:color="auto" w:val="clear"/>
        </w:rPr>
        <w:t>support,</w:t>
      </w:r>
      <w:r>
        <w:rPr>
          <w:color w:val="374151"/>
          <w:spacing w:val="-6"/>
          <w:shd w:fill="F7F7F8" w:color="auto" w:val="clear"/>
        </w:rPr>
        <w:t> </w:t>
      </w:r>
      <w:r>
        <w:rPr>
          <w:color w:val="374151"/>
          <w:shd w:fill="F7F7F8" w:color="auto" w:val="clear"/>
        </w:rPr>
        <w:t>resources,</w:t>
      </w:r>
      <w:r>
        <w:rPr>
          <w:color w:val="374151"/>
          <w:spacing w:val="-7"/>
          <w:shd w:fill="F7F7F8" w:color="auto" w:val="clear"/>
        </w:rPr>
        <w:t> </w:t>
      </w:r>
      <w:r>
        <w:rPr>
          <w:color w:val="374151"/>
          <w:spacing w:val="-7"/>
        </w:rPr>
        <w:t> </w:t>
      </w:r>
      <w:r>
        <w:rPr>
          <w:color w:val="374151"/>
          <w:shd w:fill="F7F7F8" w:color="auto" w:val="clear"/>
        </w:rPr>
        <w:t>and</w:t>
      </w:r>
      <w:r>
        <w:rPr>
          <w:color w:val="374151"/>
          <w:spacing w:val="-4"/>
          <w:shd w:fill="F7F7F8" w:color="auto" w:val="clear"/>
        </w:rPr>
        <w:t> </w:t>
      </w:r>
      <w:r>
        <w:rPr>
          <w:color w:val="374151"/>
          <w:shd w:fill="F7F7F8" w:color="auto" w:val="clear"/>
        </w:rPr>
        <w:t>advocacy</w:t>
      </w:r>
      <w:r>
        <w:rPr>
          <w:color w:val="374151"/>
          <w:spacing w:val="-4"/>
          <w:shd w:fill="F7F7F8" w:color="auto" w:val="clear"/>
        </w:rPr>
        <w:t> </w:t>
      </w:r>
      <w:r>
        <w:rPr>
          <w:color w:val="374151"/>
          <w:shd w:fill="F7F7F8" w:color="auto" w:val="clear"/>
        </w:rPr>
        <w:t>related</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sexuality</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health.</w:t>
      </w:r>
      <w:r>
        <w:rPr>
          <w:color w:val="374151"/>
          <w:spacing w:val="-9"/>
          <w:shd w:fill="F7F7F8" w:color="auto" w:val="clear"/>
        </w:rPr>
        <w:t> </w:t>
      </w:r>
      <w:r>
        <w:rPr>
          <w:color w:val="374151"/>
          <w:shd w:fill="F7F7F8" w:color="auto" w:val="clear"/>
        </w:rPr>
        <w:t>These</w:t>
      </w:r>
      <w:r>
        <w:rPr>
          <w:color w:val="374151"/>
          <w:spacing w:val="-5"/>
          <w:shd w:fill="F7F7F8" w:color="auto" w:val="clear"/>
        </w:rPr>
        <w:t> </w:t>
      </w:r>
      <w:r>
        <w:rPr>
          <w:color w:val="374151"/>
          <w:shd w:fill="F7F7F8" w:color="auto" w:val="clear"/>
        </w:rPr>
        <w:t>organizations</w:t>
      </w:r>
      <w:r>
        <w:rPr>
          <w:color w:val="374151"/>
        </w:rPr>
        <w:t> </w:t>
      </w:r>
      <w:r>
        <w:rPr>
          <w:color w:val="374151"/>
          <w:shd w:fill="F7F7F8" w:color="auto" w:val="clear"/>
        </w:rPr>
        <w:t>may focus on specific cultural or ethnic communities and can provide </w:t>
      </w:r>
      <w:r>
        <w:rPr>
          <w:color w:val="374151"/>
        </w:rPr>
        <w:t> </w:t>
      </w:r>
      <w:r>
        <w:rPr>
          <w:color w:val="374151"/>
          <w:shd w:fill="F7F7F8" w:color="auto" w:val="clear"/>
        </w:rPr>
        <w:t>information and support within the cultural context of the individual.</w:t>
      </w:r>
    </w:p>
    <w:p>
      <w:pPr>
        <w:pStyle w:val="BodyText"/>
        <w:spacing w:before="2"/>
      </w:pPr>
    </w:p>
    <w:p>
      <w:pPr>
        <w:pStyle w:val="BodyText"/>
        <w:tabs>
          <w:tab w:pos="999" w:val="left" w:leader="none"/>
        </w:tabs>
        <w:spacing w:line="235" w:lineRule="auto"/>
        <w:ind w:left="1000" w:right="498"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Therapy</w:t>
      </w:r>
      <w:r>
        <w:rPr>
          <w:b/>
          <w:bCs/>
          <w:color w:val="374151"/>
          <w:spacing w:val="-8"/>
          <w:shd w:fill="F7F7F8" w:color="auto" w:val="clear"/>
        </w:rPr>
        <w:t> </w:t>
      </w:r>
      <w:r>
        <w:rPr>
          <w:b/>
          <w:bCs/>
          <w:color w:val="374151"/>
          <w:shd w:fill="F7F7F8" w:color="auto" w:val="clear"/>
        </w:rPr>
        <w:t>for</w:t>
      </w:r>
      <w:r>
        <w:rPr>
          <w:b/>
          <w:bCs/>
          <w:color w:val="374151"/>
          <w:spacing w:val="-13"/>
          <w:shd w:fill="F7F7F8" w:color="auto" w:val="clear"/>
        </w:rPr>
        <w:t> </w:t>
      </w:r>
      <w:r>
        <w:rPr>
          <w:b/>
          <w:bCs/>
          <w:color w:val="374151"/>
          <w:shd w:fill="F7F7F8" w:color="auto" w:val="clear"/>
        </w:rPr>
        <w:t>Black</w:t>
      </w:r>
      <w:r>
        <w:rPr>
          <w:b/>
          <w:bCs/>
          <w:color w:val="374151"/>
          <w:spacing w:val="-8"/>
          <w:shd w:fill="F7F7F8" w:color="auto" w:val="clear"/>
        </w:rPr>
        <w:t> </w:t>
      </w:r>
      <w:r>
        <w:rPr>
          <w:b/>
          <w:bCs/>
          <w:color w:val="374151"/>
          <w:shd w:fill="F7F7F8" w:color="auto" w:val="clear"/>
        </w:rPr>
        <w:t>Girl</w:t>
      </w:r>
      <w:r>
        <w:rPr>
          <w:color w:val="374151"/>
          <w:shd w:fill="F7F7F8" w:color="auto" w:val="clear"/>
        </w:rPr>
        <w:t>s</w:t>
      </w:r>
      <w:r>
        <w:rPr>
          <w:color w:val="374151"/>
          <w:spacing w:val="-8"/>
          <w:shd w:fill="F7F7F8" w:color="auto" w:val="clear"/>
        </w:rPr>
        <w:t> </w:t>
      </w:r>
      <w:r>
        <w:rPr>
          <w:color w:val="374151"/>
          <w:shd w:fill="F7F7F8" w:color="auto" w:val="clear"/>
        </w:rPr>
        <w:t>(</w:t>
      </w:r>
      <w:r>
        <w:rPr>
          <w:color w:val="111827"/>
          <w:u w:val="single" w:color="111827"/>
          <w:shd w:fill="F7F7F8" w:color="auto" w:val="clear"/>
        </w:rPr>
        <w:t>www.therapyforblackgirls.com</w:t>
      </w:r>
      <w:r>
        <w:rPr>
          <w:color w:val="374151"/>
          <w:shd w:fill="F7F7F8" w:color="auto" w:val="clear"/>
        </w:rPr>
        <w:t>):</w:t>
      </w:r>
      <w:r>
        <w:rPr>
          <w:color w:val="374151"/>
          <w:spacing w:val="-13"/>
          <w:shd w:fill="F7F7F8" w:color="auto" w:val="clear"/>
        </w:rPr>
        <w:t> </w:t>
      </w:r>
      <w:r>
        <w:rPr>
          <w:color w:val="374151"/>
          <w:shd w:fill="F7F7F8" w:color="auto" w:val="clear"/>
        </w:rPr>
        <w:t>Therapy</w:t>
      </w:r>
      <w:r>
        <w:rPr>
          <w:color w:val="374151"/>
          <w:spacing w:val="-8"/>
          <w:shd w:fill="F7F7F8" w:color="auto" w:val="clear"/>
        </w:rPr>
        <w:t> </w:t>
      </w:r>
      <w:r>
        <w:rPr>
          <w:color w:val="374151"/>
          <w:shd w:fill="F7F7F8" w:color="auto" w:val="clear"/>
        </w:rPr>
        <w:t>for</w:t>
      </w:r>
      <w:r>
        <w:rPr>
          <w:color w:val="374151"/>
          <w:spacing w:val="-9"/>
          <w:shd w:fill="F7F7F8" w:color="auto" w:val="clear"/>
        </w:rPr>
        <w:t> </w:t>
      </w:r>
      <w:r>
        <w:rPr>
          <w:color w:val="374151"/>
          <w:spacing w:val="-9"/>
        </w:rPr>
        <w:t> </w:t>
      </w:r>
      <w:r>
        <w:rPr>
          <w:color w:val="374151"/>
          <w:shd w:fill="F7F7F8" w:color="auto" w:val="clear"/>
        </w:rPr>
        <w:t>Black Girls is an online directory that connects Black women and girls </w:t>
      </w:r>
      <w:r>
        <w:rPr>
          <w:color w:val="374151"/>
        </w:rPr>
        <w:t> </w:t>
      </w:r>
      <w:r>
        <w:rPr>
          <w:color w:val="374151"/>
          <w:shd w:fill="F7F7F8" w:color="auto" w:val="clear"/>
        </w:rPr>
        <w:t>with mental health professionals who specialize in supporting their </w:t>
      </w:r>
      <w:r>
        <w:rPr>
          <w:color w:val="374151"/>
        </w:rPr>
        <w:t> </w:t>
      </w:r>
      <w:r>
        <w:rPr>
          <w:color w:val="374151"/>
          <w:shd w:fill="F7F7F8" w:color="auto" w:val="clear"/>
        </w:rPr>
        <w:t>unique</w:t>
      </w:r>
      <w:r>
        <w:rPr>
          <w:color w:val="374151"/>
          <w:spacing w:val="-4"/>
          <w:shd w:fill="F7F7F8" w:color="auto" w:val="clear"/>
        </w:rPr>
        <w:t> </w:t>
      </w:r>
      <w:r>
        <w:rPr>
          <w:color w:val="374151"/>
          <w:shd w:fill="F7F7F8" w:color="auto" w:val="clear"/>
        </w:rPr>
        <w:t>needs.</w:t>
      </w:r>
      <w:r>
        <w:rPr>
          <w:color w:val="374151"/>
          <w:spacing w:val="-3"/>
          <w:shd w:fill="F7F7F8" w:color="auto" w:val="clear"/>
        </w:rPr>
        <w:t> </w:t>
      </w:r>
      <w:r>
        <w:rPr>
          <w:color w:val="374151"/>
          <w:shd w:fill="F7F7F8" w:color="auto" w:val="clear"/>
        </w:rPr>
        <w:t>It</w:t>
      </w:r>
      <w:r>
        <w:rPr>
          <w:color w:val="374151"/>
          <w:spacing w:val="-3"/>
          <w:shd w:fill="F7F7F8" w:color="auto" w:val="clear"/>
        </w:rPr>
        <w:t> </w:t>
      </w:r>
      <w:r>
        <w:rPr>
          <w:color w:val="374151"/>
          <w:shd w:fill="F7F7F8" w:color="auto" w:val="clear"/>
        </w:rPr>
        <w:t>also</w:t>
      </w:r>
      <w:r>
        <w:rPr>
          <w:color w:val="374151"/>
          <w:spacing w:val="-3"/>
          <w:shd w:fill="F7F7F8" w:color="auto" w:val="clear"/>
        </w:rPr>
        <w:t> </w:t>
      </w:r>
      <w:r>
        <w:rPr>
          <w:color w:val="374151"/>
          <w:shd w:fill="F7F7F8" w:color="auto" w:val="clear"/>
        </w:rPr>
        <w:t>offers</w:t>
      </w:r>
      <w:r>
        <w:rPr>
          <w:color w:val="374151"/>
          <w:spacing w:val="-3"/>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podcast</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resources</w:t>
      </w:r>
      <w:r>
        <w:rPr>
          <w:color w:val="374151"/>
          <w:spacing w:val="-3"/>
          <w:shd w:fill="F7F7F8" w:color="auto" w:val="clear"/>
        </w:rPr>
        <w:t> </w:t>
      </w:r>
      <w:r>
        <w:rPr>
          <w:color w:val="374151"/>
          <w:shd w:fill="F7F7F8" w:color="auto" w:val="clear"/>
        </w:rPr>
        <w:t>on</w:t>
      </w:r>
      <w:r>
        <w:rPr>
          <w:color w:val="374151"/>
          <w:spacing w:val="-3"/>
          <w:shd w:fill="F7F7F8" w:color="auto" w:val="clear"/>
        </w:rPr>
        <w:t> </w:t>
      </w:r>
      <w:r>
        <w:rPr>
          <w:color w:val="374151"/>
          <w:shd w:fill="F7F7F8" w:color="auto" w:val="clear"/>
        </w:rPr>
        <w:t>mental</w:t>
      </w:r>
      <w:r>
        <w:rPr>
          <w:color w:val="374151"/>
          <w:spacing w:val="-3"/>
          <w:shd w:fill="F7F7F8" w:color="auto" w:val="clear"/>
        </w:rPr>
        <w:t> </w:t>
      </w:r>
      <w:r>
        <w:rPr>
          <w:color w:val="374151"/>
          <w:shd w:fill="F7F7F8" w:color="auto" w:val="clear"/>
        </w:rPr>
        <w:t>health</w:t>
      </w:r>
      <w:r>
        <w:rPr>
          <w:color w:val="374151"/>
          <w:spacing w:val="-3"/>
          <w:shd w:fill="F7F7F8" w:color="auto" w:val="clear"/>
        </w:rPr>
        <w:t> </w:t>
      </w:r>
      <w:r>
        <w:rPr>
          <w:color w:val="374151"/>
          <w:shd w:fill="F7F7F8" w:color="auto" w:val="clear"/>
        </w:rPr>
        <w:t>and</w:t>
      </w:r>
      <w:r>
        <w:rPr>
          <w:color w:val="374151"/>
        </w:rPr>
        <w:t> </w:t>
      </w:r>
      <w:r>
        <w:rPr>
          <w:color w:val="374151"/>
          <w:spacing w:val="-2"/>
          <w:shd w:fill="F7F7F8" w:color="auto" w:val="clear"/>
        </w:rPr>
        <w:t>wellness.</w:t>
      </w:r>
    </w:p>
    <w:p>
      <w:pPr>
        <w:pStyle w:val="BodyText"/>
        <w:spacing w:before="2"/>
      </w:pPr>
    </w:p>
    <w:p>
      <w:pPr>
        <w:pStyle w:val="BodyText"/>
        <w:tabs>
          <w:tab w:pos="999" w:val="left" w:leader="none"/>
        </w:tabs>
        <w:spacing w:line="235" w:lineRule="auto" w:before="1"/>
        <w:ind w:left="1000" w:right="521"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National</w:t>
      </w:r>
      <w:r>
        <w:rPr>
          <w:b/>
          <w:bCs/>
          <w:color w:val="374151"/>
          <w:spacing w:val="-5"/>
          <w:shd w:fill="F7F7F8" w:color="auto" w:val="clear"/>
        </w:rPr>
        <w:t> </w:t>
      </w:r>
      <w:r>
        <w:rPr>
          <w:b/>
          <w:bCs/>
          <w:color w:val="374151"/>
          <w:shd w:fill="F7F7F8" w:color="auto" w:val="clear"/>
        </w:rPr>
        <w:t>Asian</w:t>
      </w:r>
      <w:r>
        <w:rPr>
          <w:b/>
          <w:bCs/>
          <w:color w:val="374151"/>
          <w:spacing w:val="-5"/>
          <w:shd w:fill="F7F7F8" w:color="auto" w:val="clear"/>
        </w:rPr>
        <w:t> </w:t>
      </w:r>
      <w:r>
        <w:rPr>
          <w:b/>
          <w:bCs/>
          <w:color w:val="374151"/>
          <w:shd w:fill="F7F7F8" w:color="auto" w:val="clear"/>
        </w:rPr>
        <w:t>American Pacific Islander Mental Health</w:t>
      </w:r>
      <w:r>
        <w:rPr>
          <w:b/>
          <w:bCs/>
          <w:color w:val="374151"/>
          <w:spacing w:val="-5"/>
          <w:shd w:fill="F7F7F8" w:color="auto" w:val="clear"/>
        </w:rPr>
        <w:t> </w:t>
      </w:r>
      <w:r>
        <w:rPr>
          <w:b/>
          <w:bCs/>
          <w:color w:val="374151"/>
          <w:spacing w:val="-5"/>
        </w:rPr>
        <w:t> </w:t>
      </w:r>
      <w:r>
        <w:rPr>
          <w:b/>
          <w:bCs/>
          <w:color w:val="374151"/>
          <w:shd w:fill="F7F7F8" w:color="auto" w:val="clear"/>
        </w:rPr>
        <w:t>Association</w:t>
      </w:r>
      <w:r>
        <w:rPr>
          <w:b/>
          <w:bCs/>
          <w:color w:val="374151"/>
          <w:spacing w:val="-18"/>
          <w:shd w:fill="F7F7F8" w:color="auto" w:val="clear"/>
        </w:rPr>
        <w:t> </w:t>
      </w:r>
      <w:r>
        <w:rPr>
          <w:color w:val="374151"/>
          <w:shd w:fill="F7F7F8" w:color="auto" w:val="clear"/>
        </w:rPr>
        <w:t>(</w:t>
      </w:r>
      <w:r>
        <w:rPr>
          <w:color w:val="111827"/>
          <w:u w:val="single" w:color="111827"/>
          <w:shd w:fill="F7F7F8" w:color="auto" w:val="clear"/>
        </w:rPr>
        <w:t>www.naapimha.org</w:t>
      </w:r>
      <w:r>
        <w:rPr>
          <w:color w:val="374151"/>
          <w:shd w:fill="F7F7F8" w:color="auto" w:val="clear"/>
        </w:rPr>
        <w:t>):</w:t>
      </w:r>
      <w:r>
        <w:rPr>
          <w:color w:val="374151"/>
          <w:spacing w:val="-17"/>
          <w:shd w:fill="F7F7F8" w:color="auto" w:val="clear"/>
        </w:rPr>
        <w:t> </w:t>
      </w:r>
      <w:r>
        <w:rPr>
          <w:color w:val="374151"/>
          <w:shd w:fill="F7F7F8" w:color="auto" w:val="clear"/>
        </w:rPr>
        <w:t>The</w:t>
      </w:r>
      <w:r>
        <w:rPr>
          <w:color w:val="374151"/>
          <w:spacing w:val="-17"/>
          <w:shd w:fill="F7F7F8" w:color="auto" w:val="clear"/>
        </w:rPr>
        <w:t> </w:t>
      </w:r>
      <w:r>
        <w:rPr>
          <w:color w:val="374151"/>
          <w:shd w:fill="F7F7F8" w:color="auto" w:val="clear"/>
        </w:rPr>
        <w:t>National</w:t>
      </w:r>
      <w:r>
        <w:rPr>
          <w:color w:val="374151"/>
          <w:spacing w:val="-17"/>
          <w:shd w:fill="F7F7F8" w:color="auto" w:val="clear"/>
        </w:rPr>
        <w:t> </w:t>
      </w:r>
      <w:r>
        <w:rPr>
          <w:color w:val="374151"/>
          <w:shd w:fill="F7F7F8" w:color="auto" w:val="clear"/>
        </w:rPr>
        <w:t>Asian</w:t>
      </w:r>
      <w:r>
        <w:rPr>
          <w:color w:val="374151"/>
          <w:spacing w:val="-18"/>
          <w:shd w:fill="F7F7F8" w:color="auto" w:val="clear"/>
        </w:rPr>
        <w:t> </w:t>
      </w:r>
      <w:r>
        <w:rPr>
          <w:color w:val="374151"/>
          <w:shd w:fill="F7F7F8" w:color="auto" w:val="clear"/>
        </w:rPr>
        <w:t>American</w:t>
      </w:r>
      <w:r>
        <w:rPr>
          <w:color w:val="374151"/>
          <w:spacing w:val="-10"/>
          <w:shd w:fill="F7F7F8" w:color="auto" w:val="clear"/>
        </w:rPr>
        <w:t> </w:t>
      </w:r>
      <w:r>
        <w:rPr>
          <w:color w:val="374151"/>
          <w:shd w:fill="F7F7F8" w:color="auto" w:val="clear"/>
        </w:rPr>
        <w:t>Pacific</w:t>
      </w:r>
      <w:r>
        <w:rPr>
          <w:color w:val="374151"/>
        </w:rPr>
        <w:t> </w:t>
      </w:r>
      <w:r>
        <w:rPr>
          <w:color w:val="374151"/>
          <w:shd w:fill="F7F7F8" w:color="auto" w:val="clear"/>
        </w:rPr>
        <w:t>Islander Mental Health</w:t>
      </w:r>
      <w:r>
        <w:rPr>
          <w:color w:val="374151"/>
          <w:spacing w:val="-12"/>
          <w:shd w:fill="F7F7F8" w:color="auto" w:val="clear"/>
        </w:rPr>
        <w:t> </w:t>
      </w:r>
      <w:r>
        <w:rPr>
          <w:color w:val="374151"/>
          <w:shd w:fill="F7F7F8" w:color="auto" w:val="clear"/>
        </w:rPr>
        <w:t>Association offers resources, advocacy, and </w:t>
      </w:r>
      <w:r>
        <w:rPr>
          <w:color w:val="374151"/>
        </w:rPr>
        <w:t> </w:t>
      </w:r>
      <w:r>
        <w:rPr>
          <w:color w:val="374151"/>
          <w:shd w:fill="F7F7F8" w:color="auto" w:val="clear"/>
        </w:rPr>
        <w:t>support for</w:t>
      </w:r>
      <w:r>
        <w:rPr>
          <w:color w:val="374151"/>
          <w:spacing w:val="-10"/>
          <w:shd w:fill="F7F7F8" w:color="auto" w:val="clear"/>
        </w:rPr>
        <w:t> </w:t>
      </w:r>
      <w:r>
        <w:rPr>
          <w:color w:val="374151"/>
          <w:shd w:fill="F7F7F8" w:color="auto" w:val="clear"/>
        </w:rPr>
        <w:t>Asian</w:t>
      </w:r>
      <w:r>
        <w:rPr>
          <w:color w:val="374151"/>
          <w:spacing w:val="-10"/>
          <w:shd w:fill="F7F7F8" w:color="auto" w:val="clear"/>
        </w:rPr>
        <w:t> </w:t>
      </w:r>
      <w:r>
        <w:rPr>
          <w:color w:val="374151"/>
          <w:shd w:fill="F7F7F8" w:color="auto" w:val="clear"/>
        </w:rPr>
        <w:t>American, Native Hawaiian, and Pacific Islander </w:t>
      </w:r>
      <w:r>
        <w:rPr>
          <w:color w:val="374151"/>
        </w:rPr>
        <w:t> </w:t>
      </w:r>
      <w:r>
        <w:rPr>
          <w:color w:val="374151"/>
          <w:shd w:fill="F7F7F8" w:color="auto" w:val="clear"/>
        </w:rPr>
        <w:t>communities. Their website provides information on mental health and </w:t>
      </w:r>
      <w:r>
        <w:rPr>
          <w:color w:val="374151"/>
        </w:rPr>
        <w:t> </w:t>
      </w:r>
      <w:r>
        <w:rPr>
          <w:color w:val="374151"/>
          <w:shd w:fill="F7F7F8" w:color="auto" w:val="clear"/>
        </w:rPr>
        <w:t>culturally competent care.</w:t>
      </w:r>
    </w:p>
    <w:p>
      <w:pPr>
        <w:pStyle w:val="BodyText"/>
        <w:spacing w:before="6"/>
      </w:pPr>
    </w:p>
    <w:p>
      <w:pPr>
        <w:pStyle w:val="BodyText"/>
        <w:tabs>
          <w:tab w:pos="999" w:val="left" w:leader="none"/>
        </w:tabs>
        <w:spacing w:line="235" w:lineRule="auto"/>
        <w:ind w:left="1000" w:right="925"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National</w:t>
      </w:r>
      <w:r>
        <w:rPr>
          <w:b/>
          <w:bCs/>
          <w:color w:val="374151"/>
          <w:spacing w:val="-15"/>
          <w:shd w:fill="F7F7F8" w:color="auto" w:val="clear"/>
        </w:rPr>
        <w:t> </w:t>
      </w:r>
      <w:r>
        <w:rPr>
          <w:b/>
          <w:bCs/>
          <w:color w:val="374151"/>
          <w:shd w:fill="F7F7F8" w:color="auto" w:val="clear"/>
        </w:rPr>
        <w:t>Indigenous</w:t>
      </w:r>
      <w:r>
        <w:rPr>
          <w:b/>
          <w:bCs/>
          <w:color w:val="374151"/>
          <w:spacing w:val="-18"/>
          <w:shd w:fill="F7F7F8" w:color="auto" w:val="clear"/>
        </w:rPr>
        <w:t> </w:t>
      </w:r>
      <w:r>
        <w:rPr>
          <w:b/>
          <w:bCs/>
          <w:color w:val="374151"/>
          <w:shd w:fill="F7F7F8" w:color="auto" w:val="clear"/>
        </w:rPr>
        <w:t>Women's</w:t>
      </w:r>
      <w:r>
        <w:rPr>
          <w:b/>
          <w:bCs/>
          <w:color w:val="374151"/>
          <w:spacing w:val="-13"/>
          <w:shd w:fill="F7F7F8" w:color="auto" w:val="clear"/>
        </w:rPr>
        <w:t> </w:t>
      </w:r>
      <w:r>
        <w:rPr>
          <w:b/>
          <w:bCs/>
          <w:color w:val="374151"/>
          <w:shd w:fill="F7F7F8" w:color="auto" w:val="clear"/>
        </w:rPr>
        <w:t>Resource</w:t>
      </w:r>
      <w:r>
        <w:rPr>
          <w:b/>
          <w:bCs/>
          <w:color w:val="374151"/>
          <w:spacing w:val="-14"/>
          <w:shd w:fill="F7F7F8" w:color="auto" w:val="clear"/>
        </w:rPr>
        <w:t> </w:t>
      </w:r>
      <w:r>
        <w:rPr>
          <w:b/>
          <w:bCs/>
          <w:color w:val="374151"/>
          <w:shd w:fill="F7F7F8" w:color="auto" w:val="clear"/>
        </w:rPr>
        <w:t>Center</w:t>
      </w:r>
      <w:r>
        <w:rPr>
          <w:b/>
          <w:bCs/>
          <w:color w:val="374151"/>
          <w:spacing w:val="-14"/>
          <w:shd w:fill="F7F7F8" w:color="auto" w:val="clear"/>
        </w:rPr>
        <w:t> </w:t>
      </w:r>
      <w:r>
        <w:rPr>
          <w:color w:val="374151"/>
          <w:shd w:fill="F7F7F8" w:color="auto" w:val="clear"/>
        </w:rPr>
        <w:t>(</w:t>
      </w:r>
      <w:r>
        <w:rPr>
          <w:color w:val="111827"/>
          <w:u w:val="single" w:color="111827"/>
          <w:shd w:fill="F7F7F8" w:color="auto" w:val="clear"/>
        </w:rPr>
        <w:t>www.niwrc.org</w:t>
      </w:r>
      <w:r>
        <w:rPr>
          <w:color w:val="374151"/>
          <w:shd w:fill="F7F7F8" w:color="auto" w:val="clear"/>
        </w:rPr>
        <w:t>):</w:t>
      </w:r>
      <w:r>
        <w:rPr>
          <w:color w:val="374151"/>
          <w:spacing w:val="-18"/>
          <w:shd w:fill="F7F7F8" w:color="auto" w:val="clear"/>
        </w:rPr>
        <w:t> </w:t>
      </w:r>
      <w:r>
        <w:rPr>
          <w:color w:val="374151"/>
          <w:spacing w:val="-18"/>
        </w:rPr>
        <w:t> </w:t>
      </w:r>
      <w:r>
        <w:rPr>
          <w:color w:val="374151"/>
          <w:shd w:fill="F7F7F8" w:color="auto" w:val="clear"/>
        </w:rPr>
        <w:t>The National Indigenous Women's Resource Center focuses on </w:t>
      </w:r>
      <w:r>
        <w:rPr>
          <w:color w:val="374151"/>
        </w:rPr>
        <w:t> </w:t>
      </w:r>
      <w:r>
        <w:rPr>
          <w:color w:val="374151"/>
          <w:shd w:fill="F7F7F8" w:color="auto" w:val="clear"/>
        </w:rPr>
        <w:t>addressing domestic violence, sexual assault, and other forms of </w:t>
      </w:r>
      <w:r>
        <w:rPr>
          <w:color w:val="374151"/>
        </w:rPr>
        <w:t> </w:t>
      </w:r>
      <w:r>
        <w:rPr>
          <w:color w:val="374151"/>
          <w:shd w:fill="F7F7F8" w:color="auto" w:val="clear"/>
        </w:rPr>
        <w:t>violence against Indigenous women. Their website offers resources, </w:t>
      </w:r>
      <w:r>
        <w:rPr>
          <w:color w:val="374151"/>
        </w:rPr>
        <w:t> </w:t>
      </w:r>
      <w:r>
        <w:rPr>
          <w:color w:val="374151"/>
          <w:shd w:fill="F7F7F8" w:color="auto" w:val="clear"/>
        </w:rPr>
        <w:t>toolkits, and information on cultural practices and healing within </w:t>
      </w:r>
      <w:r>
        <w:rPr>
          <w:color w:val="374151"/>
        </w:rPr>
        <w:t> </w:t>
      </w:r>
      <w:r>
        <w:rPr>
          <w:color w:val="374151"/>
          <w:shd w:fill="F7F7F8" w:color="auto" w:val="clear"/>
        </w:rPr>
        <w:t>Indigenous communities.</w:t>
      </w:r>
    </w:p>
    <w:p>
      <w:pPr>
        <w:pStyle w:val="BodyText"/>
        <w:spacing w:before="7"/>
      </w:pPr>
    </w:p>
    <w:p>
      <w:pPr>
        <w:pStyle w:val="BodyText"/>
        <w:tabs>
          <w:tab w:pos="999" w:val="left" w:leader="none"/>
        </w:tabs>
        <w:spacing w:line="235" w:lineRule="auto"/>
        <w:ind w:left="1000" w:right="521"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The</w:t>
      </w:r>
      <w:r>
        <w:rPr>
          <w:b/>
          <w:bCs/>
          <w:color w:val="374151"/>
          <w:spacing w:val="-17"/>
          <w:shd w:fill="F7F7F8" w:color="auto" w:val="clear"/>
        </w:rPr>
        <w:t> </w:t>
      </w:r>
      <w:r>
        <w:rPr>
          <w:b/>
          <w:bCs/>
          <w:color w:val="374151"/>
          <w:shd w:fill="F7F7F8" w:color="auto" w:val="clear"/>
        </w:rPr>
        <w:t>Trevor</w:t>
      </w:r>
      <w:r>
        <w:rPr>
          <w:b/>
          <w:bCs/>
          <w:color w:val="374151"/>
          <w:spacing w:val="-17"/>
          <w:shd w:fill="F7F7F8" w:color="auto" w:val="clear"/>
        </w:rPr>
        <w:t> </w:t>
      </w:r>
      <w:r>
        <w:rPr>
          <w:b/>
          <w:bCs/>
          <w:color w:val="374151"/>
          <w:shd w:fill="F7F7F8" w:color="auto" w:val="clear"/>
        </w:rPr>
        <w:t>Project</w:t>
      </w:r>
      <w:r>
        <w:rPr>
          <w:b/>
          <w:bCs/>
          <w:color w:val="374151"/>
          <w:spacing w:val="-12"/>
          <w:shd w:fill="F7F7F8" w:color="auto" w:val="clear"/>
        </w:rPr>
        <w:t> </w:t>
      </w:r>
      <w:r>
        <w:rPr>
          <w:color w:val="374151"/>
          <w:shd w:fill="F7F7F8" w:color="auto" w:val="clear"/>
        </w:rPr>
        <w:t>(</w:t>
      </w:r>
      <w:r>
        <w:rPr>
          <w:color w:val="111827"/>
          <w:u w:val="single" w:color="111827"/>
          <w:shd w:fill="F7F7F8" w:color="auto" w:val="clear"/>
        </w:rPr>
        <w:t>www.thetrevorproject.org</w:t>
      </w:r>
      <w:r>
        <w:rPr>
          <w:color w:val="374151"/>
          <w:shd w:fill="F7F7F8" w:color="auto" w:val="clear"/>
        </w:rPr>
        <w:t>):</w:t>
      </w:r>
      <w:r>
        <w:rPr>
          <w:color w:val="374151"/>
          <w:spacing w:val="-17"/>
          <w:shd w:fill="F7F7F8" w:color="auto" w:val="clear"/>
        </w:rPr>
        <w:t> </w:t>
      </w:r>
      <w:r>
        <w:rPr>
          <w:color w:val="374151"/>
          <w:shd w:fill="F7F7F8" w:color="auto" w:val="clear"/>
        </w:rPr>
        <w:t>The</w:t>
      </w:r>
      <w:r>
        <w:rPr>
          <w:color w:val="374151"/>
          <w:spacing w:val="-17"/>
          <w:shd w:fill="F7F7F8" w:color="auto" w:val="clear"/>
        </w:rPr>
        <w:t> </w:t>
      </w:r>
      <w:r>
        <w:rPr>
          <w:color w:val="374151"/>
          <w:shd w:fill="F7F7F8" w:color="auto" w:val="clear"/>
        </w:rPr>
        <w:t>Trevor</w:t>
      </w:r>
      <w:r>
        <w:rPr>
          <w:color w:val="374151"/>
          <w:spacing w:val="-12"/>
          <w:shd w:fill="F7F7F8" w:color="auto" w:val="clear"/>
        </w:rPr>
        <w:t> </w:t>
      </w:r>
      <w:r>
        <w:rPr>
          <w:color w:val="374151"/>
          <w:shd w:fill="F7F7F8" w:color="auto" w:val="clear"/>
        </w:rPr>
        <w:t>Project</w:t>
      </w:r>
      <w:r>
        <w:rPr>
          <w:color w:val="374151"/>
          <w:spacing w:val="-12"/>
          <w:shd w:fill="F7F7F8" w:color="auto" w:val="clear"/>
        </w:rPr>
        <w:t> </w:t>
      </w:r>
      <w:r>
        <w:rPr>
          <w:color w:val="374151"/>
          <w:shd w:fill="F7F7F8" w:color="auto" w:val="clear"/>
        </w:rPr>
        <w:t>is</w:t>
      </w:r>
      <w:r>
        <w:rPr>
          <w:color w:val="374151"/>
          <w:spacing w:val="-12"/>
          <w:shd w:fill="F7F7F8" w:color="auto" w:val="clear"/>
        </w:rPr>
        <w:t> </w:t>
      </w:r>
      <w:r>
        <w:rPr>
          <w:color w:val="374151"/>
          <w:shd w:fill="F7F7F8" w:color="auto" w:val="clear"/>
        </w:rPr>
        <w:t>a</w:t>
      </w:r>
      <w:r>
        <w:rPr>
          <w:color w:val="374151"/>
        </w:rPr>
        <w:t> </w:t>
      </w:r>
      <w:r>
        <w:rPr>
          <w:color w:val="374151"/>
          <w:shd w:fill="F7F7F8" w:color="auto" w:val="clear"/>
        </w:rPr>
        <w:t>leading</w:t>
      </w:r>
      <w:r>
        <w:rPr>
          <w:color w:val="374151"/>
          <w:spacing w:val="-6"/>
          <w:shd w:fill="F7F7F8" w:color="auto" w:val="clear"/>
        </w:rPr>
        <w:t> </w:t>
      </w:r>
      <w:r>
        <w:rPr>
          <w:color w:val="374151"/>
          <w:shd w:fill="F7F7F8" w:color="auto" w:val="clear"/>
        </w:rPr>
        <w:t>organization</w:t>
      </w:r>
      <w:r>
        <w:rPr>
          <w:color w:val="374151"/>
          <w:spacing w:val="-6"/>
          <w:shd w:fill="F7F7F8" w:color="auto" w:val="clear"/>
        </w:rPr>
        <w:t> </w:t>
      </w:r>
      <w:r>
        <w:rPr>
          <w:color w:val="374151"/>
          <w:shd w:fill="F7F7F8" w:color="auto" w:val="clear"/>
        </w:rPr>
        <w:t>providing</w:t>
      </w:r>
      <w:r>
        <w:rPr>
          <w:color w:val="374151"/>
          <w:spacing w:val="-6"/>
          <w:shd w:fill="F7F7F8" w:color="auto" w:val="clear"/>
        </w:rPr>
        <w:t> </w:t>
      </w:r>
      <w:r>
        <w:rPr>
          <w:color w:val="374151"/>
          <w:shd w:fill="F7F7F8" w:color="auto" w:val="clear"/>
        </w:rPr>
        <w:t>crisis</w:t>
      </w:r>
      <w:r>
        <w:rPr>
          <w:color w:val="374151"/>
          <w:spacing w:val="-6"/>
          <w:shd w:fill="F7F7F8" w:color="auto" w:val="clear"/>
        </w:rPr>
        <w:t> </w:t>
      </w:r>
      <w:r>
        <w:rPr>
          <w:color w:val="374151"/>
          <w:shd w:fill="F7F7F8" w:color="auto" w:val="clear"/>
        </w:rPr>
        <w:t>intervention</w:t>
      </w:r>
      <w:r>
        <w:rPr>
          <w:color w:val="374151"/>
          <w:spacing w:val="-6"/>
          <w:shd w:fill="F7F7F8" w:color="auto" w:val="clear"/>
        </w:rPr>
        <w:t> </w:t>
      </w:r>
      <w:r>
        <w:rPr>
          <w:color w:val="374151"/>
          <w:shd w:fill="F7F7F8" w:color="auto" w:val="clear"/>
        </w:rPr>
        <w:t>and</w:t>
      </w:r>
      <w:r>
        <w:rPr>
          <w:color w:val="374151"/>
          <w:spacing w:val="-6"/>
          <w:shd w:fill="F7F7F8" w:color="auto" w:val="clear"/>
        </w:rPr>
        <w:t> </w:t>
      </w:r>
      <w:r>
        <w:rPr>
          <w:color w:val="374151"/>
          <w:shd w:fill="F7F7F8" w:color="auto" w:val="clear"/>
        </w:rPr>
        <w:t>suicide</w:t>
      </w:r>
      <w:r>
        <w:rPr>
          <w:color w:val="374151"/>
          <w:spacing w:val="-7"/>
          <w:shd w:fill="F7F7F8" w:color="auto" w:val="clear"/>
        </w:rPr>
        <w:t> </w:t>
      </w:r>
      <w:r>
        <w:rPr>
          <w:color w:val="374151"/>
          <w:shd w:fill="F7F7F8" w:color="auto" w:val="clear"/>
        </w:rPr>
        <w:t>prevention</w:t>
      </w:r>
      <w:r>
        <w:rPr>
          <w:color w:val="374151"/>
        </w:rPr>
        <w:t> </w:t>
      </w:r>
      <w:r>
        <w:rPr>
          <w:color w:val="374151"/>
          <w:shd w:fill="F7F7F8" w:color="auto" w:val="clear"/>
        </w:rPr>
        <w:t>services to LGBTQ+ youth.</w:t>
      </w:r>
      <w:r>
        <w:rPr>
          <w:color w:val="374151"/>
          <w:spacing w:val="-4"/>
          <w:shd w:fill="F7F7F8" w:color="auto" w:val="clear"/>
        </w:rPr>
        <w:t> </w:t>
      </w:r>
      <w:r>
        <w:rPr>
          <w:color w:val="374151"/>
          <w:shd w:fill="F7F7F8" w:color="auto" w:val="clear"/>
        </w:rPr>
        <w:t>Their website offers resources, educational </w:t>
      </w:r>
      <w:r>
        <w:rPr>
          <w:color w:val="374151"/>
        </w:rPr>
        <w:t> </w:t>
      </w:r>
      <w:r>
        <w:rPr>
          <w:color w:val="374151"/>
          <w:shd w:fill="F7F7F8" w:color="auto" w:val="clear"/>
        </w:rPr>
        <w:t>materials, and a 24/7 helpline for LGBTQ+ individuals in need of </w:t>
      </w:r>
      <w:r>
        <w:rPr>
          <w:color w:val="374151"/>
        </w:rPr>
        <w:t> </w:t>
      </w:r>
      <w:r>
        <w:rPr>
          <w:color w:val="374151"/>
          <w:spacing w:val="-2"/>
          <w:shd w:fill="F7F7F8" w:color="auto" w:val="clear"/>
        </w:rPr>
        <w:t>support.</w:t>
      </w:r>
    </w:p>
    <w:p>
      <w:pPr>
        <w:pStyle w:val="BodyText"/>
        <w:spacing w:before="2"/>
      </w:pPr>
    </w:p>
    <w:p>
      <w:pPr>
        <w:pStyle w:val="BodyText"/>
        <w:tabs>
          <w:tab w:pos="999" w:val="left" w:leader="none"/>
        </w:tabs>
        <w:spacing w:line="235" w:lineRule="auto"/>
        <w:ind w:left="1000" w:right="738"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National</w:t>
      </w:r>
      <w:r>
        <w:rPr>
          <w:b/>
          <w:bCs/>
          <w:color w:val="374151"/>
          <w:spacing w:val="-8"/>
          <w:shd w:fill="F7F7F8" w:color="auto" w:val="clear"/>
        </w:rPr>
        <w:t> </w:t>
      </w:r>
      <w:r>
        <w:rPr>
          <w:b/>
          <w:bCs/>
          <w:color w:val="374151"/>
          <w:shd w:fill="F7F7F8" w:color="auto" w:val="clear"/>
        </w:rPr>
        <w:t>Coalition</w:t>
      </w:r>
      <w:r>
        <w:rPr>
          <w:b/>
          <w:bCs/>
          <w:color w:val="374151"/>
          <w:spacing w:val="-8"/>
          <w:shd w:fill="F7F7F8" w:color="auto" w:val="clear"/>
        </w:rPr>
        <w:t> </w:t>
      </w:r>
      <w:r>
        <w:rPr>
          <w:b/>
          <w:bCs/>
          <w:color w:val="374151"/>
          <w:shd w:fill="F7F7F8" w:color="auto" w:val="clear"/>
        </w:rPr>
        <w:t>for</w:t>
      </w:r>
      <w:r>
        <w:rPr>
          <w:b/>
          <w:bCs/>
          <w:color w:val="374151"/>
          <w:spacing w:val="-13"/>
          <w:shd w:fill="F7F7F8" w:color="auto" w:val="clear"/>
        </w:rPr>
        <w:t> </w:t>
      </w:r>
      <w:r>
        <w:rPr>
          <w:b/>
          <w:bCs/>
          <w:color w:val="374151"/>
          <w:shd w:fill="F7F7F8" w:color="auto" w:val="clear"/>
        </w:rPr>
        <w:t>Sexual</w:t>
      </w:r>
      <w:r>
        <w:rPr>
          <w:b/>
          <w:bCs/>
          <w:color w:val="374151"/>
          <w:spacing w:val="-8"/>
          <w:shd w:fill="F7F7F8" w:color="auto" w:val="clear"/>
        </w:rPr>
        <w:t> </w:t>
      </w:r>
      <w:r>
        <w:rPr>
          <w:b/>
          <w:bCs/>
          <w:color w:val="374151"/>
          <w:shd w:fill="F7F7F8" w:color="auto" w:val="clear"/>
        </w:rPr>
        <w:t>Freedom</w:t>
      </w:r>
      <w:r>
        <w:rPr>
          <w:b/>
          <w:bCs/>
          <w:color w:val="374151"/>
          <w:spacing w:val="-9"/>
          <w:shd w:fill="F7F7F8" w:color="auto" w:val="clear"/>
        </w:rPr>
        <w:t> </w:t>
      </w:r>
      <w:r>
        <w:rPr>
          <w:color w:val="374151"/>
          <w:shd w:fill="F7F7F8" w:color="auto" w:val="clear"/>
        </w:rPr>
        <w:t>(</w:t>
      </w:r>
      <w:r>
        <w:rPr>
          <w:color w:val="111827"/>
          <w:u w:val="single" w:color="111827"/>
          <w:shd w:fill="F7F7F8" w:color="auto" w:val="clear"/>
        </w:rPr>
        <w:t>www.ncsfreedom.org</w:t>
      </w:r>
      <w:r>
        <w:rPr>
          <w:color w:val="374151"/>
          <w:shd w:fill="F7F7F8" w:color="auto" w:val="clear"/>
        </w:rPr>
        <w:t>):</w:t>
      </w:r>
      <w:r>
        <w:rPr>
          <w:color w:val="374151"/>
          <w:spacing w:val="-13"/>
          <w:shd w:fill="F7F7F8" w:color="auto" w:val="clear"/>
        </w:rPr>
        <w:t> </w:t>
      </w:r>
      <w:r>
        <w:rPr>
          <w:color w:val="374151"/>
          <w:shd w:fill="F7F7F8" w:color="auto" w:val="clear"/>
        </w:rPr>
        <w:t>The</w:t>
      </w:r>
      <w:r>
        <w:rPr>
          <w:color w:val="374151"/>
          <w:spacing w:val="-9"/>
          <w:shd w:fill="F7F7F8" w:color="auto" w:val="clear"/>
        </w:rPr>
        <w:t> </w:t>
      </w:r>
      <w:r>
        <w:rPr>
          <w:color w:val="374151"/>
          <w:spacing w:val="-9"/>
        </w:rPr>
        <w:t> </w:t>
      </w:r>
      <w:r>
        <w:rPr>
          <w:color w:val="374151"/>
          <w:shd w:fill="F7F7F8" w:color="auto" w:val="clear"/>
        </w:rPr>
        <w:t>National Coalition for Sexual Freedom advocates for the rights of </w:t>
      </w:r>
      <w:r>
        <w:rPr>
          <w:color w:val="374151"/>
        </w:rPr>
        <w:t> </w:t>
      </w:r>
      <w:r>
        <w:rPr>
          <w:color w:val="374151"/>
          <w:shd w:fill="F7F7F8" w:color="auto" w:val="clear"/>
        </w:rPr>
        <w:t>consenting adults in the BDSM, fetish, and non-monogamous </w:t>
      </w:r>
      <w:r>
        <w:rPr>
          <w:color w:val="374151"/>
        </w:rPr>
        <w:t> </w:t>
      </w:r>
      <w:r>
        <w:rPr>
          <w:color w:val="374151"/>
          <w:shd w:fill="F7F7F8" w:color="auto" w:val="clear"/>
        </w:rPr>
        <w:t>communities.</w:t>
      </w:r>
      <w:r>
        <w:rPr>
          <w:color w:val="374151"/>
          <w:spacing w:val="-11"/>
          <w:shd w:fill="F7F7F8" w:color="auto" w:val="clear"/>
        </w:rPr>
        <w:t> </w:t>
      </w:r>
      <w:r>
        <w:rPr>
          <w:color w:val="374151"/>
          <w:shd w:fill="F7F7F8" w:color="auto" w:val="clear"/>
        </w:rPr>
        <w:t>Their</w:t>
      </w:r>
      <w:r>
        <w:rPr>
          <w:color w:val="374151"/>
          <w:spacing w:val="-6"/>
          <w:shd w:fill="F7F7F8" w:color="auto" w:val="clear"/>
        </w:rPr>
        <w:t> </w:t>
      </w:r>
      <w:r>
        <w:rPr>
          <w:color w:val="374151"/>
          <w:shd w:fill="F7F7F8" w:color="auto" w:val="clear"/>
        </w:rPr>
        <w:t>website</w:t>
      </w:r>
      <w:r>
        <w:rPr>
          <w:color w:val="374151"/>
          <w:spacing w:val="-6"/>
          <w:shd w:fill="F7F7F8" w:color="auto" w:val="clear"/>
        </w:rPr>
        <w:t> </w:t>
      </w:r>
      <w:r>
        <w:rPr>
          <w:color w:val="374151"/>
          <w:shd w:fill="F7F7F8" w:color="auto" w:val="clear"/>
        </w:rPr>
        <w:t>provides</w:t>
      </w:r>
      <w:r>
        <w:rPr>
          <w:color w:val="374151"/>
          <w:spacing w:val="-6"/>
          <w:shd w:fill="F7F7F8" w:color="auto" w:val="clear"/>
        </w:rPr>
        <w:t> </w:t>
      </w:r>
      <w:r>
        <w:rPr>
          <w:color w:val="374151"/>
          <w:shd w:fill="F7F7F8" w:color="auto" w:val="clear"/>
        </w:rPr>
        <w:t>resources,</w:t>
      </w:r>
      <w:r>
        <w:rPr>
          <w:color w:val="374151"/>
          <w:spacing w:val="-6"/>
          <w:shd w:fill="F7F7F8" w:color="auto" w:val="clear"/>
        </w:rPr>
        <w:t> </w:t>
      </w:r>
      <w:r>
        <w:rPr>
          <w:color w:val="374151"/>
          <w:shd w:fill="F7F7F8" w:color="auto" w:val="clear"/>
        </w:rPr>
        <w:t>educational</w:t>
      </w:r>
      <w:r>
        <w:rPr>
          <w:color w:val="374151"/>
          <w:spacing w:val="-6"/>
          <w:shd w:fill="F7F7F8" w:color="auto" w:val="clear"/>
        </w:rPr>
        <w:t> </w:t>
      </w:r>
      <w:r>
        <w:rPr>
          <w:color w:val="374151"/>
          <w:shd w:fill="F7F7F8" w:color="auto" w:val="clear"/>
        </w:rPr>
        <w:t>materials,</w:t>
      </w:r>
      <w:r>
        <w:rPr>
          <w:color w:val="374151"/>
          <w:spacing w:val="-6"/>
          <w:shd w:fill="F7F7F8" w:color="auto" w:val="clear"/>
        </w:rPr>
        <w:t> </w:t>
      </w:r>
      <w:r>
        <w:rPr>
          <w:color w:val="374151"/>
          <w:spacing w:val="-6"/>
        </w:rPr>
        <w:t> </w:t>
      </w:r>
      <w:r>
        <w:rPr>
          <w:color w:val="374151"/>
          <w:shd w:fill="F7F7F8" w:color="auto" w:val="clear"/>
        </w:rPr>
        <w:t>and support for individuals within these communities.</w:t>
      </w:r>
    </w:p>
    <w:p>
      <w:pPr>
        <w:spacing w:after="0" w:line="235" w:lineRule="auto"/>
        <w:sectPr>
          <w:pgSz w:w="12240" w:h="15840"/>
          <w:pgMar w:header="0" w:footer="765" w:top="1260" w:bottom="980" w:left="1400" w:right="1180"/>
        </w:sectPr>
      </w:pPr>
    </w:p>
    <w:p>
      <w:pPr>
        <w:tabs>
          <w:tab w:pos="999" w:val="left" w:leader="none"/>
        </w:tabs>
        <w:spacing w:line="235" w:lineRule="auto" w:before="111"/>
        <w:ind w:left="1000" w:right="544" w:hanging="500"/>
        <w:jc w:val="left"/>
        <w:rPr>
          <w:sz w:val="28"/>
          <w:szCs w:val="28"/>
        </w:rPr>
      </w:pPr>
      <w:r>
        <w:rPr>
          <w:rFonts w:ascii="Microsoft Sans Serif" w:hAnsi="Microsoft Sans Serif" w:cs="Microsoft Sans Serif" w:eastAsia="Microsoft Sans Serif"/>
          <w:color w:val="374151"/>
          <w:spacing w:val="-10"/>
          <w:w w:val="110"/>
          <w:position w:val="-1"/>
          <w:sz w:val="28"/>
          <w:szCs w:val="28"/>
        </w:rPr>
        <w:t>๏</w:t>
      </w:r>
      <w:r>
        <w:rPr>
          <w:rFonts w:ascii="Microsoft Sans Serif" w:hAnsi="Microsoft Sans Serif" w:cs="Microsoft Sans Serif" w:eastAsia="Microsoft Sans Serif"/>
          <w:color w:val="374151"/>
          <w:position w:val="-1"/>
          <w:sz w:val="28"/>
          <w:szCs w:val="28"/>
        </w:rPr>
        <w:tab/>
      </w:r>
      <w:r>
        <w:rPr>
          <w:b/>
          <w:bCs/>
          <w:color w:val="374151"/>
          <w:sz w:val="28"/>
          <w:szCs w:val="28"/>
          <w:shd w:fill="F7F7F8" w:color="auto" w:val="clear"/>
        </w:rPr>
        <w:t>Sexuality Information and Education Council of the United States </w:t>
      </w:r>
      <w:r>
        <w:rPr>
          <w:b/>
          <w:bCs/>
          <w:color w:val="374151"/>
          <w:sz w:val="28"/>
          <w:szCs w:val="28"/>
        </w:rPr>
        <w:t> </w:t>
      </w:r>
      <w:r>
        <w:rPr>
          <w:color w:val="374151"/>
          <w:sz w:val="28"/>
          <w:szCs w:val="28"/>
          <w:shd w:fill="F7F7F8" w:color="auto" w:val="clear"/>
        </w:rPr>
        <w:t>(SIECUS)</w:t>
      </w:r>
      <w:r>
        <w:rPr>
          <w:color w:val="374151"/>
          <w:spacing w:val="-3"/>
          <w:sz w:val="28"/>
          <w:szCs w:val="28"/>
          <w:shd w:fill="F7F7F8" w:color="auto" w:val="clear"/>
        </w:rPr>
        <w:t> </w:t>
      </w:r>
      <w:r>
        <w:rPr>
          <w:color w:val="374151"/>
          <w:sz w:val="28"/>
          <w:szCs w:val="28"/>
          <w:shd w:fill="F7F7F8" w:color="auto" w:val="clear"/>
        </w:rPr>
        <w:t>(</w:t>
      </w:r>
      <w:r>
        <w:rPr>
          <w:color w:val="111827"/>
          <w:sz w:val="28"/>
          <w:szCs w:val="28"/>
          <w:u w:val="single" w:color="111827"/>
          <w:shd w:fill="F7F7F8" w:color="auto" w:val="clear"/>
        </w:rPr>
        <w:t>www.siecus.org</w:t>
      </w:r>
      <w:r>
        <w:rPr>
          <w:color w:val="374151"/>
          <w:sz w:val="28"/>
          <w:szCs w:val="28"/>
          <w:shd w:fill="F7F7F8" w:color="auto" w:val="clear"/>
        </w:rPr>
        <w:t>):</w:t>
      </w:r>
      <w:r>
        <w:rPr>
          <w:color w:val="374151"/>
          <w:spacing w:val="-3"/>
          <w:sz w:val="28"/>
          <w:szCs w:val="28"/>
          <w:shd w:fill="F7F7F8" w:color="auto" w:val="clear"/>
        </w:rPr>
        <w:t> </w:t>
      </w:r>
      <w:r>
        <w:rPr>
          <w:color w:val="374151"/>
          <w:sz w:val="28"/>
          <w:szCs w:val="28"/>
          <w:shd w:fill="F7F7F8" w:color="auto" w:val="clear"/>
        </w:rPr>
        <w:t>SIECUS</w:t>
      </w:r>
      <w:r>
        <w:rPr>
          <w:color w:val="374151"/>
          <w:spacing w:val="-3"/>
          <w:sz w:val="28"/>
          <w:szCs w:val="28"/>
          <w:shd w:fill="F7F7F8" w:color="auto" w:val="clear"/>
        </w:rPr>
        <w:t> </w:t>
      </w:r>
      <w:r>
        <w:rPr>
          <w:color w:val="374151"/>
          <w:sz w:val="28"/>
          <w:szCs w:val="28"/>
          <w:shd w:fill="F7F7F8" w:color="auto" w:val="clear"/>
        </w:rPr>
        <w:t>is</w:t>
      </w:r>
      <w:r>
        <w:rPr>
          <w:color w:val="374151"/>
          <w:spacing w:val="-3"/>
          <w:sz w:val="28"/>
          <w:szCs w:val="28"/>
          <w:shd w:fill="F7F7F8" w:color="auto" w:val="clear"/>
        </w:rPr>
        <w:t> </w:t>
      </w:r>
      <w:r>
        <w:rPr>
          <w:color w:val="374151"/>
          <w:sz w:val="28"/>
          <w:szCs w:val="28"/>
          <w:shd w:fill="F7F7F8" w:color="auto" w:val="clear"/>
        </w:rPr>
        <w:t>an</w:t>
      </w:r>
      <w:r>
        <w:rPr>
          <w:color w:val="374151"/>
          <w:spacing w:val="-3"/>
          <w:sz w:val="28"/>
          <w:szCs w:val="28"/>
          <w:shd w:fill="F7F7F8" w:color="auto" w:val="clear"/>
        </w:rPr>
        <w:t> </w:t>
      </w:r>
      <w:r>
        <w:rPr>
          <w:color w:val="374151"/>
          <w:sz w:val="28"/>
          <w:szCs w:val="28"/>
          <w:shd w:fill="F7F7F8" w:color="auto" w:val="clear"/>
        </w:rPr>
        <w:t>organization</w:t>
      </w:r>
      <w:r>
        <w:rPr>
          <w:color w:val="374151"/>
          <w:spacing w:val="-3"/>
          <w:sz w:val="28"/>
          <w:szCs w:val="28"/>
          <w:shd w:fill="F7F7F8" w:color="auto" w:val="clear"/>
        </w:rPr>
        <w:t> </w:t>
      </w:r>
      <w:r>
        <w:rPr>
          <w:color w:val="374151"/>
          <w:sz w:val="28"/>
          <w:szCs w:val="28"/>
          <w:shd w:fill="F7F7F8" w:color="auto" w:val="clear"/>
        </w:rPr>
        <w:t>that</w:t>
      </w:r>
      <w:r>
        <w:rPr>
          <w:color w:val="374151"/>
          <w:spacing w:val="-3"/>
          <w:sz w:val="28"/>
          <w:szCs w:val="28"/>
          <w:shd w:fill="F7F7F8" w:color="auto" w:val="clear"/>
        </w:rPr>
        <w:t> </w:t>
      </w:r>
      <w:r>
        <w:rPr>
          <w:color w:val="374151"/>
          <w:sz w:val="28"/>
          <w:szCs w:val="28"/>
          <w:shd w:fill="F7F7F8" w:color="auto" w:val="clear"/>
        </w:rPr>
        <w:t>advocates</w:t>
      </w:r>
      <w:r>
        <w:rPr>
          <w:color w:val="374151"/>
          <w:spacing w:val="-4"/>
          <w:sz w:val="28"/>
          <w:szCs w:val="28"/>
          <w:shd w:fill="F7F7F8" w:color="auto" w:val="clear"/>
        </w:rPr>
        <w:t> </w:t>
      </w:r>
      <w:r>
        <w:rPr>
          <w:color w:val="374151"/>
          <w:spacing w:val="-4"/>
          <w:sz w:val="28"/>
          <w:szCs w:val="28"/>
        </w:rPr>
        <w:t> </w:t>
      </w:r>
      <w:r>
        <w:rPr>
          <w:color w:val="374151"/>
          <w:sz w:val="28"/>
          <w:szCs w:val="28"/>
          <w:shd w:fill="F7F7F8" w:color="auto" w:val="clear"/>
        </w:rPr>
        <w:t>for comprehensive sexuality education and sexual health.</w:t>
      </w:r>
      <w:r>
        <w:rPr>
          <w:color w:val="374151"/>
          <w:spacing w:val="-5"/>
          <w:sz w:val="28"/>
          <w:szCs w:val="28"/>
          <w:shd w:fill="F7F7F8" w:color="auto" w:val="clear"/>
        </w:rPr>
        <w:t> </w:t>
      </w:r>
      <w:r>
        <w:rPr>
          <w:color w:val="374151"/>
          <w:sz w:val="28"/>
          <w:szCs w:val="28"/>
          <w:shd w:fill="F7F7F8" w:color="auto" w:val="clear"/>
        </w:rPr>
        <w:t>Their website </w:t>
      </w:r>
      <w:r>
        <w:rPr>
          <w:color w:val="374151"/>
          <w:sz w:val="28"/>
          <w:szCs w:val="28"/>
        </w:rPr>
        <w:t> </w:t>
      </w:r>
      <w:r>
        <w:rPr>
          <w:color w:val="374151"/>
          <w:sz w:val="28"/>
          <w:szCs w:val="28"/>
          <w:shd w:fill="F7F7F8" w:color="auto" w:val="clear"/>
        </w:rPr>
        <w:t>provides</w:t>
      </w:r>
      <w:r>
        <w:rPr>
          <w:color w:val="374151"/>
          <w:spacing w:val="-5"/>
          <w:sz w:val="28"/>
          <w:szCs w:val="28"/>
          <w:shd w:fill="F7F7F8" w:color="auto" w:val="clear"/>
        </w:rPr>
        <w:t> </w:t>
      </w:r>
      <w:r>
        <w:rPr>
          <w:color w:val="374151"/>
          <w:sz w:val="28"/>
          <w:szCs w:val="28"/>
          <w:shd w:fill="F7F7F8" w:color="auto" w:val="clear"/>
        </w:rPr>
        <w:t>educational</w:t>
      </w:r>
      <w:r>
        <w:rPr>
          <w:color w:val="374151"/>
          <w:spacing w:val="-5"/>
          <w:sz w:val="28"/>
          <w:szCs w:val="28"/>
          <w:shd w:fill="F7F7F8" w:color="auto" w:val="clear"/>
        </w:rPr>
        <w:t> </w:t>
      </w:r>
      <w:r>
        <w:rPr>
          <w:color w:val="374151"/>
          <w:sz w:val="28"/>
          <w:szCs w:val="28"/>
          <w:shd w:fill="F7F7F8" w:color="auto" w:val="clear"/>
        </w:rPr>
        <w:t>resources,</w:t>
      </w:r>
      <w:r>
        <w:rPr>
          <w:color w:val="374151"/>
          <w:spacing w:val="-5"/>
          <w:sz w:val="28"/>
          <w:szCs w:val="28"/>
          <w:shd w:fill="F7F7F8" w:color="auto" w:val="clear"/>
        </w:rPr>
        <w:t> </w:t>
      </w:r>
      <w:r>
        <w:rPr>
          <w:color w:val="374151"/>
          <w:sz w:val="28"/>
          <w:szCs w:val="28"/>
          <w:shd w:fill="F7F7F8" w:color="auto" w:val="clear"/>
        </w:rPr>
        <w:t>research,</w:t>
      </w:r>
      <w:r>
        <w:rPr>
          <w:color w:val="374151"/>
          <w:spacing w:val="-5"/>
          <w:sz w:val="28"/>
          <w:szCs w:val="28"/>
          <w:shd w:fill="F7F7F8" w:color="auto" w:val="clear"/>
        </w:rPr>
        <w:t> </w:t>
      </w:r>
      <w:r>
        <w:rPr>
          <w:color w:val="374151"/>
          <w:sz w:val="28"/>
          <w:szCs w:val="28"/>
          <w:shd w:fill="F7F7F8" w:color="auto" w:val="clear"/>
        </w:rPr>
        <w:t>and</w:t>
      </w:r>
      <w:r>
        <w:rPr>
          <w:color w:val="374151"/>
          <w:spacing w:val="-5"/>
          <w:sz w:val="28"/>
          <w:szCs w:val="28"/>
          <w:shd w:fill="F7F7F8" w:color="auto" w:val="clear"/>
        </w:rPr>
        <w:t> </w:t>
      </w:r>
      <w:r>
        <w:rPr>
          <w:color w:val="374151"/>
          <w:sz w:val="28"/>
          <w:szCs w:val="28"/>
          <w:shd w:fill="F7F7F8" w:color="auto" w:val="clear"/>
        </w:rPr>
        <w:t>policy</w:t>
      </w:r>
      <w:r>
        <w:rPr>
          <w:color w:val="374151"/>
          <w:spacing w:val="-5"/>
          <w:sz w:val="28"/>
          <w:szCs w:val="28"/>
          <w:shd w:fill="F7F7F8" w:color="auto" w:val="clear"/>
        </w:rPr>
        <w:t> </w:t>
      </w:r>
      <w:r>
        <w:rPr>
          <w:color w:val="374151"/>
          <w:sz w:val="28"/>
          <w:szCs w:val="28"/>
          <w:shd w:fill="F7F7F8" w:color="auto" w:val="clear"/>
        </w:rPr>
        <w:t>advocacy</w:t>
      </w:r>
      <w:r>
        <w:rPr>
          <w:color w:val="374151"/>
          <w:spacing w:val="-5"/>
          <w:sz w:val="28"/>
          <w:szCs w:val="28"/>
          <w:shd w:fill="F7F7F8" w:color="auto" w:val="clear"/>
        </w:rPr>
        <w:t> </w:t>
      </w:r>
      <w:r>
        <w:rPr>
          <w:color w:val="374151"/>
          <w:sz w:val="28"/>
          <w:szCs w:val="28"/>
          <w:shd w:fill="F7F7F8" w:color="auto" w:val="clear"/>
        </w:rPr>
        <w:t>materials</w:t>
      </w:r>
      <w:r>
        <w:rPr>
          <w:color w:val="374151"/>
          <w:spacing w:val="-6"/>
          <w:sz w:val="28"/>
          <w:szCs w:val="28"/>
          <w:shd w:fill="F7F7F8" w:color="auto" w:val="clear"/>
        </w:rPr>
        <w:t> </w:t>
      </w:r>
      <w:r>
        <w:rPr>
          <w:color w:val="374151"/>
          <w:spacing w:val="-6"/>
          <w:sz w:val="28"/>
          <w:szCs w:val="28"/>
        </w:rPr>
        <w:t> </w:t>
      </w:r>
      <w:r>
        <w:rPr>
          <w:color w:val="374151"/>
          <w:sz w:val="28"/>
          <w:szCs w:val="28"/>
          <w:shd w:fill="F7F7F8" w:color="auto" w:val="clear"/>
        </w:rPr>
        <w:t>on various topics related to human sexuality.</w:t>
      </w:r>
    </w:p>
    <w:p>
      <w:pPr>
        <w:pStyle w:val="BodyText"/>
        <w:spacing w:before="2"/>
      </w:pPr>
    </w:p>
    <w:p>
      <w:pPr>
        <w:pStyle w:val="BodyText"/>
        <w:tabs>
          <w:tab w:pos="999" w:val="left" w:leader="none"/>
        </w:tabs>
        <w:spacing w:line="235" w:lineRule="auto"/>
        <w:ind w:left="1000" w:right="668"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National</w:t>
      </w:r>
      <w:r>
        <w:rPr>
          <w:b/>
          <w:bCs/>
          <w:color w:val="374151"/>
          <w:spacing w:val="-6"/>
          <w:shd w:fill="F7F7F8" w:color="auto" w:val="clear"/>
        </w:rPr>
        <w:t> </w:t>
      </w:r>
      <w:r>
        <w:rPr>
          <w:b/>
          <w:bCs/>
          <w:color w:val="374151"/>
          <w:shd w:fill="F7F7F8" w:color="auto" w:val="clear"/>
        </w:rPr>
        <w:t>Center</w:t>
      </w:r>
      <w:r>
        <w:rPr>
          <w:b/>
          <w:bCs/>
          <w:color w:val="374151"/>
          <w:spacing w:val="-12"/>
          <w:shd w:fill="F7F7F8" w:color="auto" w:val="clear"/>
        </w:rPr>
        <w:t> </w:t>
      </w:r>
      <w:r>
        <w:rPr>
          <w:b/>
          <w:bCs/>
          <w:color w:val="374151"/>
          <w:shd w:fill="F7F7F8" w:color="auto" w:val="clear"/>
        </w:rPr>
        <w:t>for</w:t>
      </w:r>
      <w:r>
        <w:rPr>
          <w:b/>
          <w:bCs/>
          <w:color w:val="374151"/>
          <w:spacing w:val="-16"/>
          <w:shd w:fill="F7F7F8" w:color="auto" w:val="clear"/>
        </w:rPr>
        <w:t> </w:t>
      </w:r>
      <w:r>
        <w:rPr>
          <w:b/>
          <w:bCs/>
          <w:color w:val="374151"/>
          <w:shd w:fill="F7F7F8" w:color="auto" w:val="clear"/>
        </w:rPr>
        <w:t>Transgender</w:t>
      </w:r>
      <w:r>
        <w:rPr>
          <w:b/>
          <w:bCs/>
          <w:color w:val="374151"/>
          <w:spacing w:val="-12"/>
          <w:shd w:fill="F7F7F8" w:color="auto" w:val="clear"/>
        </w:rPr>
        <w:t> </w:t>
      </w:r>
      <w:r>
        <w:rPr>
          <w:b/>
          <w:bCs/>
          <w:color w:val="374151"/>
          <w:shd w:fill="F7F7F8" w:color="auto" w:val="clear"/>
        </w:rPr>
        <w:t>Equality</w:t>
      </w:r>
      <w:r>
        <w:rPr>
          <w:b/>
          <w:bCs/>
          <w:color w:val="374151"/>
          <w:spacing w:val="-7"/>
          <w:shd w:fill="F7F7F8" w:color="auto" w:val="clear"/>
        </w:rPr>
        <w:t> </w:t>
      </w:r>
      <w:r>
        <w:rPr>
          <w:color w:val="374151"/>
          <w:shd w:fill="F7F7F8" w:color="auto" w:val="clear"/>
        </w:rPr>
        <w:t>(</w:t>
      </w:r>
      <w:r>
        <w:rPr>
          <w:color w:val="111827"/>
          <w:u w:val="single" w:color="111827"/>
          <w:shd w:fill="F7F7F8" w:color="auto" w:val="clear"/>
        </w:rPr>
        <w:t>www.transequality.org</w:t>
      </w:r>
      <w:r>
        <w:rPr>
          <w:color w:val="374151"/>
          <w:shd w:fill="F7F7F8" w:color="auto" w:val="clear"/>
        </w:rPr>
        <w:t>):</w:t>
      </w:r>
      <w:r>
        <w:rPr>
          <w:color w:val="374151"/>
          <w:spacing w:val="-12"/>
          <w:shd w:fill="F7F7F8" w:color="auto" w:val="clear"/>
        </w:rPr>
        <w:t> </w:t>
      </w:r>
      <w:r>
        <w:rPr>
          <w:color w:val="374151"/>
          <w:spacing w:val="-12"/>
        </w:rPr>
        <w:t> </w:t>
      </w:r>
      <w:r>
        <w:rPr>
          <w:color w:val="374151"/>
          <w:shd w:fill="F7F7F8" w:color="auto" w:val="clear"/>
        </w:rPr>
        <w:t>The National Center for Transgender Equality advocates for policy </w:t>
      </w:r>
      <w:r>
        <w:rPr>
          <w:color w:val="374151"/>
        </w:rPr>
        <w:t> </w:t>
      </w:r>
      <w:r>
        <w:rPr>
          <w:color w:val="374151"/>
          <w:shd w:fill="F7F7F8" w:color="auto" w:val="clear"/>
        </w:rPr>
        <w:t>change</w:t>
      </w:r>
      <w:r>
        <w:rPr>
          <w:color w:val="374151"/>
          <w:spacing w:val="-5"/>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social</w:t>
      </w:r>
      <w:r>
        <w:rPr>
          <w:color w:val="374151"/>
          <w:spacing w:val="-4"/>
          <w:shd w:fill="F7F7F8" w:color="auto" w:val="clear"/>
        </w:rPr>
        <w:t> </w:t>
      </w:r>
      <w:r>
        <w:rPr>
          <w:color w:val="374151"/>
          <w:shd w:fill="F7F7F8" w:color="auto" w:val="clear"/>
        </w:rPr>
        <w:t>equality</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transgender</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gender</w:t>
      </w:r>
      <w:r>
        <w:rPr>
          <w:color w:val="374151"/>
          <w:spacing w:val="-4"/>
          <w:shd w:fill="F7F7F8" w:color="auto" w:val="clear"/>
        </w:rPr>
        <w:t> </w:t>
      </w:r>
      <w:r>
        <w:rPr>
          <w:color w:val="374151"/>
          <w:shd w:fill="F7F7F8" w:color="auto" w:val="clear"/>
        </w:rPr>
        <w:t>non-conforming</w:t>
      </w:r>
      <w:r>
        <w:rPr>
          <w:color w:val="374151"/>
          <w:spacing w:val="-5"/>
          <w:shd w:fill="F7F7F8" w:color="auto" w:val="clear"/>
        </w:rPr>
        <w:t> </w:t>
      </w:r>
      <w:r>
        <w:rPr>
          <w:color w:val="374151"/>
          <w:spacing w:val="-5"/>
        </w:rPr>
        <w:t> </w:t>
      </w:r>
      <w:r>
        <w:rPr>
          <w:color w:val="374151"/>
          <w:shd w:fill="F7F7F8" w:color="auto" w:val="clear"/>
        </w:rPr>
        <w:t>individuals. Their website offers resources, educational materials, and </w:t>
      </w:r>
      <w:r>
        <w:rPr>
          <w:color w:val="374151"/>
        </w:rPr>
        <w:t> </w:t>
      </w:r>
      <w:r>
        <w:rPr>
          <w:color w:val="374151"/>
          <w:shd w:fill="F7F7F8" w:color="auto" w:val="clear"/>
        </w:rPr>
        <w:t>support for transgender individuals and their allies.</w:t>
      </w:r>
    </w:p>
    <w:p>
      <w:pPr>
        <w:pStyle w:val="BodyText"/>
        <w:spacing w:before="2"/>
      </w:pPr>
    </w:p>
    <w:p>
      <w:pPr>
        <w:pStyle w:val="BodyText"/>
        <w:tabs>
          <w:tab w:pos="999" w:val="left" w:leader="none"/>
        </w:tabs>
        <w:spacing w:line="235" w:lineRule="auto"/>
        <w:ind w:left="1000" w:right="867"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National Association of Social Workers (NASW)</w:t>
      </w:r>
      <w:r>
        <w:rPr>
          <w:b/>
          <w:bCs/>
          <w:color w:val="374151"/>
        </w:rPr>
        <w:t> </w:t>
      </w:r>
      <w:r>
        <w:rPr>
          <w:color w:val="374151"/>
          <w:shd w:fill="F7F7F8" w:color="auto" w:val="clear"/>
        </w:rPr>
        <w:t>(</w:t>
      </w:r>
      <w:r>
        <w:rPr>
          <w:color w:val="111827"/>
          <w:u w:val="single" w:color="111827"/>
          <w:shd w:fill="F7F7F8" w:color="auto" w:val="clear"/>
        </w:rPr>
        <w:t>www.socialworkers.org</w:t>
      </w:r>
      <w:r>
        <w:rPr>
          <w:color w:val="374151"/>
          <w:shd w:fill="F7F7F8" w:color="auto" w:val="clear"/>
        </w:rPr>
        <w:t>):</w:t>
      </w:r>
      <w:r>
        <w:rPr>
          <w:color w:val="374151"/>
          <w:spacing w:val="-4"/>
          <w:shd w:fill="F7F7F8" w:color="auto" w:val="clear"/>
        </w:rPr>
        <w:t> </w:t>
      </w:r>
      <w:r>
        <w:rPr>
          <w:color w:val="374151"/>
          <w:shd w:fill="F7F7F8" w:color="auto" w:val="clear"/>
        </w:rPr>
        <w:t>NASW</w:t>
      </w:r>
      <w:r>
        <w:rPr>
          <w:color w:val="374151"/>
          <w:spacing w:val="-9"/>
          <w:shd w:fill="F7F7F8" w:color="auto" w:val="clear"/>
        </w:rPr>
        <w:t> </w:t>
      </w:r>
      <w:r>
        <w:rPr>
          <w:color w:val="374151"/>
          <w:shd w:fill="F7F7F8" w:color="auto" w:val="clear"/>
        </w:rPr>
        <w:t>provides</w:t>
      </w:r>
      <w:r>
        <w:rPr>
          <w:color w:val="374151"/>
          <w:spacing w:val="-4"/>
          <w:shd w:fill="F7F7F8" w:color="auto" w:val="clear"/>
        </w:rPr>
        <w:t> </w:t>
      </w:r>
      <w:r>
        <w:rPr>
          <w:color w:val="374151"/>
          <w:shd w:fill="F7F7F8" w:color="auto" w:val="clear"/>
        </w:rPr>
        <w:t>resources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support</w:t>
      </w:r>
      <w:r>
        <w:rPr>
          <w:color w:val="374151"/>
          <w:spacing w:val="-4"/>
          <w:shd w:fill="F7F7F8" w:color="auto" w:val="clear"/>
        </w:rPr>
        <w:t> </w:t>
      </w:r>
      <w:r>
        <w:rPr>
          <w:color w:val="374151"/>
          <w:shd w:fill="F7F7F8" w:color="auto" w:val="clear"/>
        </w:rPr>
        <w:t>for</w:t>
      </w:r>
      <w:r>
        <w:rPr>
          <w:color w:val="374151"/>
          <w:spacing w:val="-5"/>
          <w:shd w:fill="F7F7F8" w:color="auto" w:val="clear"/>
        </w:rPr>
        <w:t> </w:t>
      </w:r>
      <w:r>
        <w:rPr>
          <w:color w:val="374151"/>
          <w:spacing w:val="-5"/>
        </w:rPr>
        <w:t> </w:t>
      </w:r>
      <w:r>
        <w:rPr>
          <w:color w:val="374151"/>
          <w:shd w:fill="F7F7F8" w:color="auto" w:val="clear"/>
        </w:rPr>
        <w:t>social workers and individuals seeking social work services. Their </w:t>
      </w:r>
      <w:r>
        <w:rPr>
          <w:color w:val="374151"/>
        </w:rPr>
        <w:t> </w:t>
      </w:r>
      <w:r>
        <w:rPr>
          <w:color w:val="374151"/>
          <w:shd w:fill="F7F7F8" w:color="auto" w:val="clear"/>
        </w:rPr>
        <w:t>website</w:t>
      </w:r>
      <w:r>
        <w:rPr>
          <w:color w:val="374151"/>
          <w:spacing w:val="-6"/>
          <w:shd w:fill="F7F7F8" w:color="auto" w:val="clear"/>
        </w:rPr>
        <w:t> </w:t>
      </w:r>
      <w:r>
        <w:rPr>
          <w:color w:val="374151"/>
          <w:shd w:fill="F7F7F8" w:color="auto" w:val="clear"/>
        </w:rPr>
        <w:t>offers</w:t>
      </w:r>
      <w:r>
        <w:rPr>
          <w:color w:val="374151"/>
          <w:spacing w:val="-5"/>
          <w:shd w:fill="F7F7F8" w:color="auto" w:val="clear"/>
        </w:rPr>
        <w:t> </w:t>
      </w:r>
      <w:r>
        <w:rPr>
          <w:color w:val="374151"/>
          <w:shd w:fill="F7F7F8" w:color="auto" w:val="clear"/>
        </w:rPr>
        <w:t>information</w:t>
      </w:r>
      <w:r>
        <w:rPr>
          <w:color w:val="374151"/>
          <w:spacing w:val="-5"/>
          <w:shd w:fill="F7F7F8" w:color="auto" w:val="clear"/>
        </w:rPr>
        <w:t> </w:t>
      </w:r>
      <w:r>
        <w:rPr>
          <w:color w:val="374151"/>
          <w:shd w:fill="F7F7F8" w:color="auto" w:val="clear"/>
        </w:rPr>
        <w:t>on</w:t>
      </w:r>
      <w:r>
        <w:rPr>
          <w:color w:val="374151"/>
          <w:spacing w:val="-5"/>
          <w:shd w:fill="F7F7F8" w:color="auto" w:val="clear"/>
        </w:rPr>
        <w:t> </w:t>
      </w:r>
      <w:r>
        <w:rPr>
          <w:color w:val="374151"/>
          <w:shd w:fill="F7F7F8" w:color="auto" w:val="clear"/>
        </w:rPr>
        <w:t>cultural</w:t>
      </w:r>
      <w:r>
        <w:rPr>
          <w:color w:val="374151"/>
          <w:spacing w:val="-5"/>
          <w:shd w:fill="F7F7F8" w:color="auto" w:val="clear"/>
        </w:rPr>
        <w:t> </w:t>
      </w:r>
      <w:r>
        <w:rPr>
          <w:color w:val="374151"/>
          <w:shd w:fill="F7F7F8" w:color="auto" w:val="clear"/>
        </w:rPr>
        <w:t>competence,</w:t>
      </w:r>
      <w:r>
        <w:rPr>
          <w:color w:val="374151"/>
          <w:spacing w:val="-5"/>
          <w:shd w:fill="F7F7F8" w:color="auto" w:val="clear"/>
        </w:rPr>
        <w:t> </w:t>
      </w:r>
      <w:r>
        <w:rPr>
          <w:color w:val="374151"/>
          <w:shd w:fill="F7F7F8" w:color="auto" w:val="clear"/>
        </w:rPr>
        <w:t>social</w:t>
      </w:r>
      <w:r>
        <w:rPr>
          <w:color w:val="374151"/>
          <w:spacing w:val="-5"/>
          <w:shd w:fill="F7F7F8" w:color="auto" w:val="clear"/>
        </w:rPr>
        <w:t> </w:t>
      </w:r>
      <w:r>
        <w:rPr>
          <w:color w:val="374151"/>
          <w:shd w:fill="F7F7F8" w:color="auto" w:val="clear"/>
        </w:rPr>
        <w:t>justice,</w:t>
      </w:r>
      <w:r>
        <w:rPr>
          <w:color w:val="374151"/>
          <w:spacing w:val="-5"/>
          <w:shd w:fill="F7F7F8" w:color="auto" w:val="clear"/>
        </w:rPr>
        <w:t> </w:t>
      </w:r>
      <w:r>
        <w:rPr>
          <w:color w:val="374151"/>
          <w:shd w:fill="F7F7F8" w:color="auto" w:val="clear"/>
        </w:rPr>
        <w:t>and</w:t>
      </w:r>
      <w:r>
        <w:rPr>
          <w:color w:val="374151"/>
          <w:spacing w:val="-6"/>
          <w:shd w:fill="F7F7F8" w:color="auto" w:val="clear"/>
        </w:rPr>
        <w:t> </w:t>
      </w:r>
      <w:r>
        <w:rPr>
          <w:color w:val="374151"/>
          <w:spacing w:val="-6"/>
        </w:rPr>
        <w:t> </w:t>
      </w:r>
      <w:r>
        <w:rPr>
          <w:color w:val="374151"/>
          <w:shd w:fill="F7F7F8" w:color="auto" w:val="clear"/>
        </w:rPr>
        <w:t>advocacy for diverse populations.</w:t>
      </w:r>
    </w:p>
    <w:p>
      <w:pPr>
        <w:pStyle w:val="BodyText"/>
        <w:spacing w:before="2"/>
      </w:pPr>
    </w:p>
    <w:p>
      <w:pPr>
        <w:pStyle w:val="BodyText"/>
        <w:tabs>
          <w:tab w:pos="999" w:val="left" w:leader="none"/>
        </w:tabs>
        <w:spacing w:line="235" w:lineRule="auto"/>
        <w:ind w:left="1000" w:right="668" w:hanging="50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b/>
          <w:bCs/>
          <w:color w:val="374151"/>
          <w:shd w:fill="F7F7F8" w:color="auto" w:val="clear"/>
        </w:rPr>
        <w:t>Association</w:t>
      </w:r>
      <w:r>
        <w:rPr>
          <w:b/>
          <w:bCs/>
          <w:color w:val="374151"/>
          <w:spacing w:val="-14"/>
          <w:shd w:fill="F7F7F8" w:color="auto" w:val="clear"/>
        </w:rPr>
        <w:t> </w:t>
      </w:r>
      <w:r>
        <w:rPr>
          <w:b/>
          <w:bCs/>
          <w:color w:val="374151"/>
          <w:shd w:fill="F7F7F8" w:color="auto" w:val="clear"/>
        </w:rPr>
        <w:t>of</w:t>
      </w:r>
      <w:r>
        <w:rPr>
          <w:b/>
          <w:bCs/>
          <w:color w:val="374151"/>
          <w:spacing w:val="-9"/>
          <w:shd w:fill="F7F7F8" w:color="auto" w:val="clear"/>
        </w:rPr>
        <w:t> </w:t>
      </w:r>
      <w:r>
        <w:rPr>
          <w:b/>
          <w:bCs/>
          <w:color w:val="374151"/>
          <w:shd w:fill="F7F7F8" w:color="auto" w:val="clear"/>
        </w:rPr>
        <w:t>Black</w:t>
      </w:r>
      <w:r>
        <w:rPr>
          <w:b/>
          <w:bCs/>
          <w:color w:val="374151"/>
          <w:spacing w:val="-9"/>
          <w:shd w:fill="F7F7F8" w:color="auto" w:val="clear"/>
        </w:rPr>
        <w:t> </w:t>
      </w:r>
      <w:r>
        <w:rPr>
          <w:b/>
          <w:bCs/>
          <w:color w:val="374151"/>
          <w:shd w:fill="F7F7F8" w:color="auto" w:val="clear"/>
        </w:rPr>
        <w:t>Psychologists</w:t>
      </w:r>
      <w:r>
        <w:rPr>
          <w:b/>
          <w:bCs/>
          <w:color w:val="374151"/>
          <w:spacing w:val="-10"/>
          <w:shd w:fill="F7F7F8" w:color="auto" w:val="clear"/>
        </w:rPr>
        <w:t> </w:t>
      </w:r>
      <w:r>
        <w:rPr>
          <w:color w:val="374151"/>
          <w:shd w:fill="F7F7F8" w:color="auto" w:val="clear"/>
        </w:rPr>
        <w:t>(</w:t>
      </w:r>
      <w:r>
        <w:rPr>
          <w:color w:val="111827"/>
          <w:u w:val="single" w:color="111827"/>
          <w:shd w:fill="F7F7F8" w:color="auto" w:val="clear"/>
        </w:rPr>
        <w:t>www.abpsi.org</w:t>
      </w:r>
      <w:r>
        <w:rPr>
          <w:color w:val="374151"/>
          <w:shd w:fill="F7F7F8" w:color="auto" w:val="clear"/>
        </w:rPr>
        <w:t>):</w:t>
      </w:r>
      <w:r>
        <w:rPr>
          <w:color w:val="374151"/>
          <w:spacing w:val="-14"/>
          <w:shd w:fill="F7F7F8" w:color="auto" w:val="clear"/>
        </w:rPr>
        <w:t> </w:t>
      </w:r>
      <w:r>
        <w:rPr>
          <w:color w:val="374151"/>
          <w:shd w:fill="F7F7F8" w:color="auto" w:val="clear"/>
        </w:rPr>
        <w:t>The</w:t>
      </w:r>
      <w:r>
        <w:rPr>
          <w:color w:val="374151"/>
          <w:spacing w:val="-18"/>
          <w:shd w:fill="F7F7F8" w:color="auto" w:val="clear"/>
        </w:rPr>
        <w:t> </w:t>
      </w:r>
      <w:r>
        <w:rPr>
          <w:color w:val="374151"/>
          <w:shd w:fill="F7F7F8" w:color="auto" w:val="clear"/>
        </w:rPr>
        <w:t>Association</w:t>
      </w:r>
      <w:r>
        <w:rPr>
          <w:color w:val="374151"/>
          <w:spacing w:val="-9"/>
          <w:shd w:fill="F7F7F8" w:color="auto" w:val="clear"/>
        </w:rPr>
        <w:t> </w:t>
      </w:r>
      <w:r>
        <w:rPr>
          <w:color w:val="374151"/>
          <w:spacing w:val="-9"/>
        </w:rPr>
        <w:t> </w:t>
      </w:r>
      <w:r>
        <w:rPr>
          <w:color w:val="374151"/>
          <w:shd w:fill="F7F7F8" w:color="auto" w:val="clear"/>
        </w:rPr>
        <w:t>of Black Psychologists promotes the mental health and well-being of </w:t>
      </w:r>
      <w:r>
        <w:rPr>
          <w:color w:val="374151"/>
        </w:rPr>
        <w:t> </w:t>
      </w:r>
      <w:r>
        <w:rPr>
          <w:color w:val="374151"/>
          <w:shd w:fill="F7F7F8" w:color="auto" w:val="clear"/>
        </w:rPr>
        <w:t>Black individuals and communities. Their website offers resources, </w:t>
      </w:r>
      <w:r>
        <w:rPr>
          <w:color w:val="374151"/>
        </w:rPr>
        <w:t> </w:t>
      </w:r>
      <w:r>
        <w:rPr>
          <w:color w:val="374151"/>
          <w:shd w:fill="F7F7F8" w:color="auto" w:val="clear"/>
        </w:rPr>
        <w:t>directories,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educational</w:t>
      </w:r>
      <w:r>
        <w:rPr>
          <w:color w:val="374151"/>
          <w:spacing w:val="-4"/>
          <w:shd w:fill="F7F7F8" w:color="auto" w:val="clear"/>
        </w:rPr>
        <w:t> </w:t>
      </w:r>
      <w:r>
        <w:rPr>
          <w:color w:val="374151"/>
          <w:shd w:fill="F7F7F8" w:color="auto" w:val="clear"/>
        </w:rPr>
        <w:t>materials</w:t>
      </w:r>
      <w:r>
        <w:rPr>
          <w:color w:val="374151"/>
          <w:spacing w:val="-4"/>
          <w:shd w:fill="F7F7F8" w:color="auto" w:val="clear"/>
        </w:rPr>
        <w:t> </w:t>
      </w:r>
      <w:r>
        <w:rPr>
          <w:color w:val="374151"/>
          <w:shd w:fill="F7F7F8" w:color="auto" w:val="clear"/>
        </w:rPr>
        <w:t>on</w:t>
      </w:r>
      <w:r>
        <w:rPr>
          <w:color w:val="374151"/>
          <w:spacing w:val="-4"/>
          <w:shd w:fill="F7F7F8" w:color="auto" w:val="clear"/>
        </w:rPr>
        <w:t> </w:t>
      </w:r>
      <w:r>
        <w:rPr>
          <w:color w:val="374151"/>
          <w:shd w:fill="F7F7F8" w:color="auto" w:val="clear"/>
        </w:rPr>
        <w:t>topics</w:t>
      </w:r>
      <w:r>
        <w:rPr>
          <w:color w:val="374151"/>
          <w:spacing w:val="-4"/>
          <w:shd w:fill="F7F7F8" w:color="auto" w:val="clear"/>
        </w:rPr>
        <w:t> </w:t>
      </w:r>
      <w:r>
        <w:rPr>
          <w:color w:val="374151"/>
          <w:shd w:fill="F7F7F8" w:color="auto" w:val="clear"/>
        </w:rPr>
        <w:t>related</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5"/>
          <w:shd w:fill="F7F7F8" w:color="auto" w:val="clear"/>
        </w:rPr>
        <w:t> </w:t>
      </w:r>
      <w:r>
        <w:rPr>
          <w:color w:val="374151"/>
          <w:spacing w:val="-5"/>
        </w:rPr>
        <w:t> </w:t>
      </w:r>
      <w:r>
        <w:rPr>
          <w:color w:val="374151"/>
          <w:shd w:fill="F7F7F8" w:color="auto" w:val="clear"/>
        </w:rPr>
        <w:t>and cultural competence.</w:t>
      </w:r>
    </w:p>
    <w:p>
      <w:pPr>
        <w:pStyle w:val="BodyText"/>
        <w:spacing w:before="2"/>
      </w:pPr>
    </w:p>
    <w:p>
      <w:pPr>
        <w:tabs>
          <w:tab w:pos="999" w:val="left" w:leader="none"/>
        </w:tabs>
        <w:spacing w:line="235" w:lineRule="auto" w:before="0"/>
        <w:ind w:left="1000" w:right="502" w:hanging="500"/>
        <w:jc w:val="left"/>
        <w:rPr>
          <w:sz w:val="28"/>
          <w:szCs w:val="28"/>
        </w:rPr>
      </w:pPr>
      <w:r>
        <w:rPr>
          <w:rFonts w:ascii="Microsoft Sans Serif" w:hAnsi="Microsoft Sans Serif" w:cs="Microsoft Sans Serif" w:eastAsia="Microsoft Sans Serif"/>
          <w:color w:val="374151"/>
          <w:spacing w:val="-10"/>
          <w:w w:val="110"/>
          <w:position w:val="-1"/>
          <w:sz w:val="28"/>
          <w:szCs w:val="28"/>
        </w:rPr>
        <w:t>๏</w:t>
      </w:r>
      <w:r>
        <w:rPr>
          <w:rFonts w:ascii="Microsoft Sans Serif" w:hAnsi="Microsoft Sans Serif" w:cs="Microsoft Sans Serif" w:eastAsia="Microsoft Sans Serif"/>
          <w:color w:val="374151"/>
          <w:position w:val="-1"/>
          <w:sz w:val="28"/>
          <w:szCs w:val="28"/>
        </w:rPr>
        <w:tab/>
      </w:r>
      <w:r>
        <w:rPr>
          <w:b/>
          <w:bCs/>
          <w:color w:val="374151"/>
          <w:sz w:val="28"/>
          <w:szCs w:val="28"/>
          <w:shd w:fill="F7F7F8" w:color="auto" w:val="clear"/>
        </w:rPr>
        <w:t>American</w:t>
      </w:r>
      <w:r>
        <w:rPr>
          <w:b/>
          <w:bCs/>
          <w:color w:val="374151"/>
          <w:spacing w:val="-7"/>
          <w:sz w:val="28"/>
          <w:szCs w:val="28"/>
          <w:shd w:fill="F7F7F8" w:color="auto" w:val="clear"/>
        </w:rPr>
        <w:t> </w:t>
      </w:r>
      <w:r>
        <w:rPr>
          <w:b/>
          <w:bCs/>
          <w:color w:val="374151"/>
          <w:sz w:val="28"/>
          <w:szCs w:val="28"/>
          <w:shd w:fill="F7F7F8" w:color="auto" w:val="clear"/>
        </w:rPr>
        <w:t>Association of Sexuality Educators, Counselors, and </w:t>
      </w:r>
      <w:r>
        <w:rPr>
          <w:b/>
          <w:bCs/>
          <w:color w:val="374151"/>
          <w:sz w:val="28"/>
          <w:szCs w:val="28"/>
        </w:rPr>
        <w:t> </w:t>
      </w:r>
      <w:r>
        <w:rPr>
          <w:b/>
          <w:bCs/>
          <w:color w:val="374151"/>
          <w:sz w:val="28"/>
          <w:szCs w:val="28"/>
          <w:shd w:fill="F7F7F8" w:color="auto" w:val="clear"/>
        </w:rPr>
        <w:t>Therapists</w:t>
      </w:r>
      <w:r>
        <w:rPr>
          <w:b/>
          <w:bCs/>
          <w:color w:val="374151"/>
          <w:spacing w:val="-9"/>
          <w:sz w:val="28"/>
          <w:szCs w:val="28"/>
          <w:shd w:fill="F7F7F8" w:color="auto" w:val="clear"/>
        </w:rPr>
        <w:t> </w:t>
      </w:r>
      <w:r>
        <w:rPr>
          <w:b/>
          <w:bCs/>
          <w:color w:val="374151"/>
          <w:sz w:val="28"/>
          <w:szCs w:val="28"/>
          <w:shd w:fill="F7F7F8" w:color="auto" w:val="clear"/>
        </w:rPr>
        <w:t>(AASECT)</w:t>
      </w:r>
      <w:r>
        <w:rPr>
          <w:b/>
          <w:bCs/>
          <w:color w:val="374151"/>
          <w:spacing w:val="-9"/>
          <w:sz w:val="28"/>
          <w:szCs w:val="28"/>
          <w:shd w:fill="F7F7F8" w:color="auto" w:val="clear"/>
        </w:rPr>
        <w:t> </w:t>
      </w:r>
      <w:r>
        <w:rPr>
          <w:b/>
          <w:bCs/>
          <w:color w:val="374151"/>
          <w:sz w:val="28"/>
          <w:szCs w:val="28"/>
          <w:shd w:fill="F7F7F8" w:color="auto" w:val="clear"/>
        </w:rPr>
        <w:t>(</w:t>
      </w:r>
      <w:r>
        <w:rPr>
          <w:b/>
          <w:bCs/>
          <w:color w:val="111827"/>
          <w:sz w:val="28"/>
          <w:szCs w:val="28"/>
          <w:u w:val="single" w:color="111827"/>
          <w:shd w:fill="F7F7F8" w:color="auto" w:val="clear"/>
        </w:rPr>
        <w:t>www.aasect.org</w:t>
      </w:r>
      <w:r>
        <w:rPr>
          <w:b/>
          <w:bCs/>
          <w:color w:val="374151"/>
          <w:sz w:val="28"/>
          <w:szCs w:val="28"/>
          <w:shd w:fill="F7F7F8" w:color="auto" w:val="clear"/>
        </w:rPr>
        <w:t>):</w:t>
      </w:r>
      <w:r>
        <w:rPr>
          <w:b/>
          <w:bCs/>
          <w:color w:val="374151"/>
          <w:spacing w:val="-9"/>
          <w:sz w:val="28"/>
          <w:szCs w:val="28"/>
          <w:shd w:fill="F7F7F8" w:color="auto" w:val="clear"/>
        </w:rPr>
        <w:t> </w:t>
      </w:r>
      <w:r>
        <w:rPr>
          <w:color w:val="374151"/>
          <w:sz w:val="28"/>
          <w:szCs w:val="28"/>
          <w:shd w:fill="F7F7F8" w:color="auto" w:val="clear"/>
        </w:rPr>
        <w:t>AASECT</w:t>
      </w:r>
      <w:r>
        <w:rPr>
          <w:color w:val="374151"/>
          <w:spacing w:val="-14"/>
          <w:sz w:val="28"/>
          <w:szCs w:val="28"/>
          <w:shd w:fill="F7F7F8" w:color="auto" w:val="clear"/>
        </w:rPr>
        <w:t> </w:t>
      </w:r>
      <w:r>
        <w:rPr>
          <w:color w:val="374151"/>
          <w:sz w:val="28"/>
          <w:szCs w:val="28"/>
          <w:shd w:fill="F7F7F8" w:color="auto" w:val="clear"/>
        </w:rPr>
        <w:t>is</w:t>
      </w:r>
      <w:r>
        <w:rPr>
          <w:color w:val="374151"/>
          <w:spacing w:val="-9"/>
          <w:sz w:val="28"/>
          <w:szCs w:val="28"/>
          <w:shd w:fill="F7F7F8" w:color="auto" w:val="clear"/>
        </w:rPr>
        <w:t> </w:t>
      </w:r>
      <w:r>
        <w:rPr>
          <w:color w:val="374151"/>
          <w:sz w:val="28"/>
          <w:szCs w:val="28"/>
          <w:shd w:fill="F7F7F8" w:color="auto" w:val="clear"/>
        </w:rPr>
        <w:t>an</w:t>
      </w:r>
      <w:r>
        <w:rPr>
          <w:color w:val="374151"/>
          <w:spacing w:val="-9"/>
          <w:sz w:val="28"/>
          <w:szCs w:val="28"/>
          <w:shd w:fill="F7F7F8" w:color="auto" w:val="clear"/>
        </w:rPr>
        <w:t> </w:t>
      </w:r>
      <w:r>
        <w:rPr>
          <w:color w:val="374151"/>
          <w:sz w:val="28"/>
          <w:szCs w:val="28"/>
          <w:shd w:fill="F7F7F8" w:color="auto" w:val="clear"/>
        </w:rPr>
        <w:t>organization</w:t>
      </w:r>
      <w:r>
        <w:rPr>
          <w:color w:val="374151"/>
          <w:spacing w:val="-12"/>
          <w:sz w:val="28"/>
          <w:szCs w:val="28"/>
          <w:shd w:fill="F7F7F8" w:color="auto" w:val="clear"/>
        </w:rPr>
        <w:t> </w:t>
      </w:r>
      <w:r>
        <w:rPr>
          <w:color w:val="374151"/>
          <w:spacing w:val="-12"/>
          <w:sz w:val="28"/>
          <w:szCs w:val="28"/>
        </w:rPr>
        <w:t> </w:t>
      </w:r>
      <w:r>
        <w:rPr>
          <w:color w:val="374151"/>
          <w:sz w:val="28"/>
          <w:szCs w:val="28"/>
          <w:shd w:fill="F7F7F8" w:color="auto" w:val="clear"/>
        </w:rPr>
        <w:t>that promotes the understanding of human sexuality and provides </w:t>
      </w:r>
      <w:r>
        <w:rPr>
          <w:color w:val="374151"/>
          <w:sz w:val="28"/>
          <w:szCs w:val="28"/>
        </w:rPr>
        <w:t> </w:t>
      </w:r>
      <w:r>
        <w:rPr>
          <w:color w:val="374151"/>
          <w:sz w:val="28"/>
          <w:szCs w:val="28"/>
          <w:shd w:fill="F7F7F8" w:color="auto" w:val="clear"/>
        </w:rPr>
        <w:t>resources for sexuality educators, counselors, and therapists. Their </w:t>
      </w:r>
      <w:r>
        <w:rPr>
          <w:color w:val="374151"/>
          <w:sz w:val="28"/>
          <w:szCs w:val="28"/>
        </w:rPr>
        <w:t> </w:t>
      </w:r>
      <w:r>
        <w:rPr>
          <w:color w:val="374151"/>
          <w:sz w:val="28"/>
          <w:szCs w:val="28"/>
          <w:shd w:fill="F7F7F8" w:color="auto" w:val="clear"/>
        </w:rPr>
        <w:t>website offers directories, educational materials, and professional </w:t>
      </w:r>
      <w:r>
        <w:rPr>
          <w:color w:val="374151"/>
          <w:sz w:val="28"/>
          <w:szCs w:val="28"/>
        </w:rPr>
        <w:t> </w:t>
      </w:r>
      <w:r>
        <w:rPr>
          <w:color w:val="374151"/>
          <w:sz w:val="28"/>
          <w:szCs w:val="28"/>
          <w:shd w:fill="F7F7F8" w:color="auto" w:val="clear"/>
        </w:rPr>
        <w:t>development opportunities.</w:t>
      </w:r>
    </w:p>
    <w:p>
      <w:pPr>
        <w:pStyle w:val="BodyText"/>
        <w:spacing w:before="7"/>
      </w:pPr>
    </w:p>
    <w:p>
      <w:pPr>
        <w:tabs>
          <w:tab w:pos="999" w:val="left" w:leader="none"/>
        </w:tabs>
        <w:spacing w:line="235" w:lineRule="auto" w:before="0"/>
        <w:ind w:left="1000" w:right="738" w:hanging="500"/>
        <w:jc w:val="left"/>
        <w:rPr>
          <w:sz w:val="28"/>
          <w:szCs w:val="28"/>
        </w:rPr>
      </w:pPr>
      <w:r>
        <w:rPr>
          <w:rFonts w:ascii="Microsoft Sans Serif" w:hAnsi="Microsoft Sans Serif" w:cs="Microsoft Sans Serif" w:eastAsia="Microsoft Sans Serif"/>
          <w:color w:val="374151"/>
          <w:spacing w:val="-10"/>
          <w:w w:val="110"/>
          <w:position w:val="-1"/>
          <w:sz w:val="28"/>
          <w:szCs w:val="28"/>
        </w:rPr>
        <w:t>๏</w:t>
      </w:r>
      <w:r>
        <w:rPr>
          <w:rFonts w:ascii="Microsoft Sans Serif" w:hAnsi="Microsoft Sans Serif" w:cs="Microsoft Sans Serif" w:eastAsia="Microsoft Sans Serif"/>
          <w:color w:val="374151"/>
          <w:position w:val="-1"/>
          <w:sz w:val="28"/>
          <w:szCs w:val="28"/>
        </w:rPr>
        <w:tab/>
      </w:r>
      <w:r>
        <w:rPr>
          <w:b/>
          <w:bCs/>
          <w:color w:val="374151"/>
          <w:sz w:val="28"/>
          <w:szCs w:val="28"/>
          <w:shd w:fill="F7F7F8" w:color="auto" w:val="clear"/>
        </w:rPr>
        <w:t>Health Resource and Services</w:t>
      </w:r>
      <w:r>
        <w:rPr>
          <w:b/>
          <w:bCs/>
          <w:color w:val="374151"/>
          <w:spacing w:val="-9"/>
          <w:sz w:val="28"/>
          <w:szCs w:val="28"/>
          <w:shd w:fill="F7F7F8" w:color="auto" w:val="clear"/>
        </w:rPr>
        <w:t> </w:t>
      </w:r>
      <w:r>
        <w:rPr>
          <w:b/>
          <w:bCs/>
          <w:color w:val="374151"/>
          <w:sz w:val="28"/>
          <w:szCs w:val="28"/>
          <w:shd w:fill="F7F7F8" w:color="auto" w:val="clear"/>
        </w:rPr>
        <w:t>Administration (HRSA) Office of </w:t>
      </w:r>
      <w:r>
        <w:rPr>
          <w:b/>
          <w:bCs/>
          <w:color w:val="374151"/>
          <w:sz w:val="28"/>
          <w:szCs w:val="28"/>
        </w:rPr>
        <w:t> </w:t>
      </w:r>
      <w:r>
        <w:rPr>
          <w:b/>
          <w:bCs/>
          <w:color w:val="374151"/>
          <w:sz w:val="28"/>
          <w:szCs w:val="28"/>
          <w:shd w:fill="F7F7F8" w:color="auto" w:val="clear"/>
        </w:rPr>
        <w:t>Minority</w:t>
      </w:r>
      <w:r>
        <w:rPr>
          <w:b/>
          <w:bCs/>
          <w:color w:val="374151"/>
          <w:spacing w:val="-10"/>
          <w:sz w:val="28"/>
          <w:szCs w:val="28"/>
          <w:shd w:fill="F7F7F8" w:color="auto" w:val="clear"/>
        </w:rPr>
        <w:t> </w:t>
      </w:r>
      <w:r>
        <w:rPr>
          <w:b/>
          <w:bCs/>
          <w:color w:val="374151"/>
          <w:sz w:val="28"/>
          <w:szCs w:val="28"/>
          <w:shd w:fill="F7F7F8" w:color="auto" w:val="clear"/>
        </w:rPr>
        <w:t>Health</w:t>
      </w:r>
      <w:r>
        <w:rPr>
          <w:b/>
          <w:bCs/>
          <w:color w:val="374151"/>
          <w:spacing w:val="-10"/>
          <w:sz w:val="28"/>
          <w:szCs w:val="28"/>
          <w:shd w:fill="F7F7F8" w:color="auto" w:val="clear"/>
        </w:rPr>
        <w:t> </w:t>
      </w:r>
      <w:r>
        <w:rPr>
          <w:b/>
          <w:bCs/>
          <w:color w:val="374151"/>
          <w:sz w:val="28"/>
          <w:szCs w:val="28"/>
          <w:shd w:fill="F7F7F8" w:color="auto" w:val="clear"/>
        </w:rPr>
        <w:t>(</w:t>
      </w:r>
      <w:r>
        <w:rPr>
          <w:b/>
          <w:bCs/>
          <w:color w:val="111827"/>
          <w:sz w:val="28"/>
          <w:szCs w:val="28"/>
          <w:u w:val="single" w:color="111827"/>
          <w:shd w:fill="F7F7F8" w:color="auto" w:val="clear"/>
        </w:rPr>
        <w:t>www.minorityhealth.hrsa.gov</w:t>
      </w:r>
      <w:r>
        <w:rPr>
          <w:b/>
          <w:bCs/>
          <w:color w:val="374151"/>
          <w:sz w:val="28"/>
          <w:szCs w:val="28"/>
          <w:shd w:fill="F7F7F8" w:color="auto" w:val="clear"/>
        </w:rPr>
        <w:t>):</w:t>
      </w:r>
      <w:r>
        <w:rPr>
          <w:b/>
          <w:bCs/>
          <w:color w:val="374151"/>
          <w:spacing w:val="-10"/>
          <w:sz w:val="28"/>
          <w:szCs w:val="28"/>
          <w:shd w:fill="F7F7F8" w:color="auto" w:val="clear"/>
        </w:rPr>
        <w:t> </w:t>
      </w:r>
      <w:r>
        <w:rPr>
          <w:color w:val="374151"/>
          <w:sz w:val="28"/>
          <w:szCs w:val="28"/>
          <w:shd w:fill="F7F7F8" w:color="auto" w:val="clear"/>
        </w:rPr>
        <w:t>HRSA's</w:t>
      </w:r>
      <w:r>
        <w:rPr>
          <w:color w:val="374151"/>
          <w:spacing w:val="-10"/>
          <w:sz w:val="28"/>
          <w:szCs w:val="28"/>
          <w:shd w:fill="F7F7F8" w:color="auto" w:val="clear"/>
        </w:rPr>
        <w:t> </w:t>
      </w:r>
      <w:r>
        <w:rPr>
          <w:color w:val="374151"/>
          <w:sz w:val="28"/>
          <w:szCs w:val="28"/>
          <w:shd w:fill="F7F7F8" w:color="auto" w:val="clear"/>
        </w:rPr>
        <w:t>Office</w:t>
      </w:r>
      <w:r>
        <w:rPr>
          <w:color w:val="374151"/>
          <w:spacing w:val="-11"/>
          <w:sz w:val="28"/>
          <w:szCs w:val="28"/>
          <w:shd w:fill="F7F7F8" w:color="auto" w:val="clear"/>
        </w:rPr>
        <w:t> </w:t>
      </w:r>
      <w:r>
        <w:rPr>
          <w:color w:val="374151"/>
          <w:sz w:val="28"/>
          <w:szCs w:val="28"/>
          <w:shd w:fill="F7F7F8" w:color="auto" w:val="clear"/>
        </w:rPr>
        <w:t>of</w:t>
      </w:r>
      <w:r>
        <w:rPr>
          <w:color w:val="374151"/>
          <w:spacing w:val="-11"/>
          <w:sz w:val="28"/>
          <w:szCs w:val="28"/>
          <w:shd w:fill="F7F7F8" w:color="auto" w:val="clear"/>
        </w:rPr>
        <w:t> </w:t>
      </w:r>
      <w:r>
        <w:rPr>
          <w:color w:val="374151"/>
          <w:spacing w:val="-11"/>
          <w:sz w:val="28"/>
          <w:szCs w:val="28"/>
        </w:rPr>
        <w:t> </w:t>
      </w:r>
      <w:r>
        <w:rPr>
          <w:color w:val="374151"/>
          <w:sz w:val="28"/>
          <w:szCs w:val="28"/>
          <w:shd w:fill="F7F7F8" w:color="auto" w:val="clear"/>
        </w:rPr>
        <w:t>Minority Health offers resources and support for addressing health </w:t>
      </w:r>
      <w:r>
        <w:rPr>
          <w:color w:val="374151"/>
          <w:sz w:val="28"/>
          <w:szCs w:val="28"/>
        </w:rPr>
        <w:t> </w:t>
      </w:r>
      <w:r>
        <w:rPr>
          <w:color w:val="374151"/>
          <w:sz w:val="28"/>
          <w:szCs w:val="28"/>
          <w:shd w:fill="F7F7F8" w:color="auto" w:val="clear"/>
        </w:rPr>
        <w:t>disparities and promoting culturally competent care. Their website </w:t>
      </w:r>
      <w:r>
        <w:rPr>
          <w:color w:val="374151"/>
          <w:sz w:val="28"/>
          <w:szCs w:val="28"/>
        </w:rPr>
        <w:t> </w:t>
      </w:r>
      <w:r>
        <w:rPr>
          <w:color w:val="374151"/>
          <w:sz w:val="28"/>
          <w:szCs w:val="28"/>
          <w:shd w:fill="F7F7F8" w:color="auto" w:val="clear"/>
        </w:rPr>
        <w:t>provides information, toolkits, and resources specific to minority </w:t>
      </w:r>
      <w:r>
        <w:rPr>
          <w:color w:val="374151"/>
          <w:sz w:val="28"/>
          <w:szCs w:val="28"/>
        </w:rPr>
        <w:t> </w:t>
      </w:r>
      <w:r>
        <w:rPr>
          <w:color w:val="374151"/>
          <w:spacing w:val="-2"/>
          <w:sz w:val="28"/>
          <w:szCs w:val="28"/>
          <w:shd w:fill="F7F7F8" w:color="auto" w:val="clear"/>
        </w:rPr>
        <w:t>populations.</w:t>
      </w:r>
    </w:p>
    <w:p>
      <w:pPr>
        <w:spacing w:after="0" w:line="235" w:lineRule="auto"/>
        <w:jc w:val="left"/>
        <w:rPr>
          <w:sz w:val="28"/>
          <w:szCs w:val="28"/>
        </w:rPr>
        <w:sectPr>
          <w:pgSz w:w="12240" w:h="15840"/>
          <w:pgMar w:header="0" w:footer="765" w:top="1220" w:bottom="980" w:left="1400" w:right="1180"/>
        </w:sectPr>
      </w:pPr>
    </w:p>
    <w:p>
      <w:pPr>
        <w:pStyle w:val="Heading2"/>
        <w:spacing w:before="66"/>
      </w:pPr>
      <w:r>
        <w:rPr>
          <w:color w:val="374151"/>
          <w:spacing w:val="-2"/>
          <w:shd w:fill="F7F7F8" w:color="auto" w:val="clear"/>
        </w:rPr>
        <w:t>References</w:t>
      </w:r>
    </w:p>
    <w:p>
      <w:pPr>
        <w:pStyle w:val="BodyText"/>
        <w:spacing w:before="1"/>
        <w:rPr>
          <w:b/>
          <w:sz w:val="38"/>
        </w:rPr>
      </w:pPr>
    </w:p>
    <w:p>
      <w:pPr>
        <w:pStyle w:val="ListParagraph"/>
        <w:numPr>
          <w:ilvl w:val="0"/>
          <w:numId w:val="13"/>
        </w:numPr>
        <w:tabs>
          <w:tab w:pos="1000" w:val="left" w:leader="none"/>
        </w:tabs>
        <w:spacing w:line="240" w:lineRule="auto" w:before="0" w:after="0"/>
        <w:ind w:left="1000" w:right="547" w:hanging="500"/>
        <w:jc w:val="left"/>
        <w:rPr>
          <w:sz w:val="28"/>
        </w:rPr>
      </w:pPr>
      <w:r>
        <w:rPr>
          <w:color w:val="374151"/>
          <w:sz w:val="28"/>
          <w:shd w:fill="F7F7F8" w:color="auto" w:val="clear"/>
        </w:rPr>
        <w:t>Smith, J. K., &amp; Johnson, L. M. (2020). Culturally Competent</w:t>
      </w:r>
      <w:r>
        <w:rPr>
          <w:color w:val="374151"/>
          <w:spacing w:val="-9"/>
          <w:sz w:val="28"/>
          <w:shd w:fill="F7F7F8" w:color="auto" w:val="clear"/>
        </w:rPr>
        <w:t> </w:t>
      </w:r>
      <w:r>
        <w:rPr>
          <w:color w:val="374151"/>
          <w:spacing w:val="-9"/>
          <w:sz w:val="28"/>
        </w:rPr>
        <w:t> </w:t>
      </w:r>
      <w:r>
        <w:rPr>
          <w:color w:val="374151"/>
          <w:sz w:val="28"/>
          <w:shd w:fill="F7F7F8" w:color="auto" w:val="clear"/>
        </w:rPr>
        <w:t>Approaches</w:t>
      </w:r>
      <w:r>
        <w:rPr>
          <w:color w:val="374151"/>
          <w:spacing w:val="-6"/>
          <w:sz w:val="28"/>
          <w:shd w:fill="F7F7F8" w:color="auto" w:val="clear"/>
        </w:rPr>
        <w:t> </w:t>
      </w:r>
      <w:r>
        <w:rPr>
          <w:color w:val="374151"/>
          <w:sz w:val="28"/>
          <w:shd w:fill="F7F7F8" w:color="auto" w:val="clear"/>
        </w:rPr>
        <w:t>to</w:t>
      </w:r>
      <w:r>
        <w:rPr>
          <w:color w:val="374151"/>
          <w:spacing w:val="-18"/>
          <w:sz w:val="28"/>
          <w:shd w:fill="F7F7F8" w:color="auto" w:val="clear"/>
        </w:rPr>
        <w:t> </w:t>
      </w:r>
      <w:r>
        <w:rPr>
          <w:color w:val="374151"/>
          <w:sz w:val="28"/>
          <w:shd w:fill="F7F7F8" w:color="auto" w:val="clear"/>
        </w:rPr>
        <w:t>Addressing</w:t>
      </w:r>
      <w:r>
        <w:rPr>
          <w:color w:val="374151"/>
          <w:spacing w:val="-4"/>
          <w:sz w:val="28"/>
          <w:shd w:fill="F7F7F8" w:color="auto" w:val="clear"/>
        </w:rPr>
        <w:t> </w:t>
      </w:r>
      <w:r>
        <w:rPr>
          <w:color w:val="374151"/>
          <w:sz w:val="28"/>
          <w:shd w:fill="F7F7F8" w:color="auto" w:val="clear"/>
        </w:rPr>
        <w:t>Sexual</w:t>
      </w:r>
      <w:r>
        <w:rPr>
          <w:color w:val="374151"/>
          <w:spacing w:val="-5"/>
          <w:sz w:val="28"/>
          <w:shd w:fill="F7F7F8" w:color="auto" w:val="clear"/>
        </w:rPr>
        <w:t> </w:t>
      </w:r>
      <w:r>
        <w:rPr>
          <w:color w:val="374151"/>
          <w:sz w:val="28"/>
          <w:shd w:fill="F7F7F8" w:color="auto" w:val="clear"/>
        </w:rPr>
        <w:t>Health</w:t>
      </w:r>
      <w:r>
        <w:rPr>
          <w:color w:val="374151"/>
          <w:spacing w:val="-5"/>
          <w:sz w:val="28"/>
          <w:shd w:fill="F7F7F8" w:color="auto" w:val="clear"/>
        </w:rPr>
        <w:t> </w:t>
      </w:r>
      <w:r>
        <w:rPr>
          <w:color w:val="374151"/>
          <w:sz w:val="28"/>
          <w:shd w:fill="F7F7F8" w:color="auto" w:val="clear"/>
        </w:rPr>
        <w:t>Disparities</w:t>
      </w:r>
      <w:r>
        <w:rPr>
          <w:color w:val="374151"/>
          <w:spacing w:val="-5"/>
          <w:sz w:val="28"/>
          <w:shd w:fill="F7F7F8" w:color="auto" w:val="clear"/>
        </w:rPr>
        <w:t> </w:t>
      </w:r>
      <w:r>
        <w:rPr>
          <w:color w:val="374151"/>
          <w:sz w:val="28"/>
          <w:shd w:fill="F7F7F8" w:color="auto" w:val="clear"/>
        </w:rPr>
        <w:t>in</w:t>
      </w:r>
      <w:r>
        <w:rPr>
          <w:color w:val="374151"/>
          <w:spacing w:val="-5"/>
          <w:sz w:val="28"/>
          <w:shd w:fill="F7F7F8" w:color="auto" w:val="clear"/>
        </w:rPr>
        <w:t> </w:t>
      </w:r>
      <w:r>
        <w:rPr>
          <w:color w:val="374151"/>
          <w:sz w:val="28"/>
          <w:shd w:fill="F7F7F8" w:color="auto" w:val="clear"/>
        </w:rPr>
        <w:t>Ethnic</w:t>
      </w:r>
      <w:r>
        <w:rPr>
          <w:color w:val="374151"/>
          <w:spacing w:val="-5"/>
          <w:sz w:val="28"/>
          <w:shd w:fill="F7F7F8" w:color="auto" w:val="clear"/>
        </w:rPr>
        <w:t> </w:t>
      </w:r>
      <w:r>
        <w:rPr>
          <w:color w:val="374151"/>
          <w:sz w:val="28"/>
          <w:shd w:fill="F7F7F8" w:color="auto" w:val="clear"/>
        </w:rPr>
        <w:t>Minority</w:t>
      </w:r>
      <w:r>
        <w:rPr>
          <w:color w:val="374151"/>
          <w:spacing w:val="-5"/>
          <w:sz w:val="28"/>
          <w:shd w:fill="F7F7F8" w:color="auto" w:val="clear"/>
        </w:rPr>
        <w:t> </w:t>
      </w:r>
      <w:r>
        <w:rPr>
          <w:color w:val="374151"/>
          <w:spacing w:val="-5"/>
          <w:sz w:val="28"/>
        </w:rPr>
        <w:t> </w:t>
      </w:r>
      <w:r>
        <w:rPr>
          <w:color w:val="374151"/>
          <w:sz w:val="28"/>
          <w:shd w:fill="F7F7F8" w:color="auto" w:val="clear"/>
        </w:rPr>
        <w:t>Communities. Journal of Multicultural Counseling and Development, </w:t>
      </w:r>
      <w:r>
        <w:rPr>
          <w:color w:val="374151"/>
          <w:sz w:val="28"/>
        </w:rPr>
        <w:t> </w:t>
      </w:r>
      <w:r>
        <w:rPr>
          <w:color w:val="374151"/>
          <w:sz w:val="28"/>
          <w:shd w:fill="F7F7F8" w:color="auto" w:val="clear"/>
        </w:rPr>
        <w:t>48(4), 267-280.</w:t>
      </w:r>
    </w:p>
    <w:p>
      <w:pPr>
        <w:pStyle w:val="ListParagraph"/>
        <w:numPr>
          <w:ilvl w:val="0"/>
          <w:numId w:val="13"/>
        </w:numPr>
        <w:tabs>
          <w:tab w:pos="1000" w:val="left" w:leader="none"/>
        </w:tabs>
        <w:spacing w:line="237" w:lineRule="auto" w:before="0" w:after="0"/>
        <w:ind w:left="1000" w:right="848" w:hanging="500"/>
        <w:jc w:val="both"/>
        <w:rPr>
          <w:sz w:val="28"/>
        </w:rPr>
      </w:pPr>
      <w:r>
        <w:rPr>
          <w:color w:val="374151"/>
          <w:sz w:val="28"/>
          <w:shd w:fill="F7F7F8" w:color="auto" w:val="clear"/>
        </w:rPr>
        <w:t>Thompson,</w:t>
      </w:r>
      <w:r>
        <w:rPr>
          <w:color w:val="374151"/>
          <w:spacing w:val="-4"/>
          <w:sz w:val="28"/>
          <w:shd w:fill="F7F7F8" w:color="auto" w:val="clear"/>
        </w:rPr>
        <w:t> </w:t>
      </w:r>
      <w:r>
        <w:rPr>
          <w:color w:val="374151"/>
          <w:sz w:val="28"/>
          <w:shd w:fill="F7F7F8" w:color="auto" w:val="clear"/>
        </w:rPr>
        <w:t>M.</w:t>
      </w:r>
      <w:r>
        <w:rPr>
          <w:color w:val="374151"/>
          <w:spacing w:val="-4"/>
          <w:sz w:val="28"/>
          <w:shd w:fill="F7F7F8" w:color="auto" w:val="clear"/>
        </w:rPr>
        <w:t> </w:t>
      </w:r>
      <w:r>
        <w:rPr>
          <w:color w:val="374151"/>
          <w:sz w:val="28"/>
          <w:shd w:fill="F7F7F8" w:color="auto" w:val="clear"/>
        </w:rPr>
        <w:t>P.,</w:t>
      </w:r>
      <w:r>
        <w:rPr>
          <w:color w:val="374151"/>
          <w:spacing w:val="-4"/>
          <w:sz w:val="28"/>
          <w:shd w:fill="F7F7F8" w:color="auto" w:val="clear"/>
        </w:rPr>
        <w:t> </w:t>
      </w:r>
      <w:r>
        <w:rPr>
          <w:color w:val="374151"/>
          <w:sz w:val="28"/>
          <w:shd w:fill="F7F7F8" w:color="auto" w:val="clear"/>
        </w:rPr>
        <w:t>&amp;</w:t>
      </w:r>
      <w:r>
        <w:rPr>
          <w:color w:val="374151"/>
          <w:spacing w:val="-4"/>
          <w:sz w:val="28"/>
          <w:shd w:fill="F7F7F8" w:color="auto" w:val="clear"/>
        </w:rPr>
        <w:t> </w:t>
      </w:r>
      <w:r>
        <w:rPr>
          <w:color w:val="374151"/>
          <w:sz w:val="28"/>
          <w:shd w:fill="F7F7F8" w:color="auto" w:val="clear"/>
        </w:rPr>
        <w:t>Chavez,</w:t>
      </w:r>
      <w:r>
        <w:rPr>
          <w:color w:val="374151"/>
          <w:spacing w:val="-10"/>
          <w:sz w:val="28"/>
          <w:shd w:fill="F7F7F8" w:color="auto" w:val="clear"/>
        </w:rPr>
        <w:t> </w:t>
      </w:r>
      <w:r>
        <w:rPr>
          <w:color w:val="374151"/>
          <w:sz w:val="28"/>
          <w:shd w:fill="F7F7F8" w:color="auto" w:val="clear"/>
        </w:rPr>
        <w:t>V.</w:t>
      </w:r>
      <w:r>
        <w:rPr>
          <w:color w:val="374151"/>
          <w:spacing w:val="-4"/>
          <w:sz w:val="28"/>
          <w:shd w:fill="F7F7F8" w:color="auto" w:val="clear"/>
        </w:rPr>
        <w:t> </w:t>
      </w:r>
      <w:r>
        <w:rPr>
          <w:color w:val="374151"/>
          <w:sz w:val="28"/>
          <w:shd w:fill="F7F7F8" w:color="auto" w:val="clear"/>
        </w:rPr>
        <w:t>(2020).</w:t>
      </w:r>
      <w:r>
        <w:rPr>
          <w:color w:val="374151"/>
          <w:spacing w:val="-4"/>
          <w:sz w:val="28"/>
          <w:shd w:fill="F7F7F8" w:color="auto" w:val="clear"/>
        </w:rPr>
        <w:t> </w:t>
      </w:r>
      <w:r>
        <w:rPr>
          <w:color w:val="374151"/>
          <w:sz w:val="28"/>
          <w:shd w:fill="F7F7F8" w:color="auto" w:val="clear"/>
        </w:rPr>
        <w:t>Cultural</w:t>
      </w:r>
      <w:r>
        <w:rPr>
          <w:color w:val="374151"/>
          <w:spacing w:val="-4"/>
          <w:sz w:val="28"/>
          <w:shd w:fill="F7F7F8" w:color="auto" w:val="clear"/>
        </w:rPr>
        <w:t> </w:t>
      </w:r>
      <w:r>
        <w:rPr>
          <w:color w:val="374151"/>
          <w:sz w:val="28"/>
          <w:shd w:fill="F7F7F8" w:color="auto" w:val="clear"/>
        </w:rPr>
        <w:t>Competence</w:t>
      </w:r>
      <w:r>
        <w:rPr>
          <w:color w:val="374151"/>
          <w:spacing w:val="-5"/>
          <w:sz w:val="28"/>
          <w:shd w:fill="F7F7F8" w:color="auto" w:val="clear"/>
        </w:rPr>
        <w:t> </w:t>
      </w:r>
      <w:r>
        <w:rPr>
          <w:color w:val="374151"/>
          <w:sz w:val="28"/>
          <w:shd w:fill="F7F7F8" w:color="auto" w:val="clear"/>
        </w:rPr>
        <w:t>in</w:t>
      </w:r>
      <w:r>
        <w:rPr>
          <w:color w:val="374151"/>
          <w:spacing w:val="-4"/>
          <w:sz w:val="28"/>
          <w:shd w:fill="F7F7F8" w:color="auto" w:val="clear"/>
        </w:rPr>
        <w:t> </w:t>
      </w:r>
      <w:r>
        <w:rPr>
          <w:color w:val="374151"/>
          <w:sz w:val="28"/>
          <w:shd w:fill="F7F7F8" w:color="auto" w:val="clear"/>
        </w:rPr>
        <w:t>Sex</w:t>
      </w:r>
      <w:r>
        <w:rPr>
          <w:color w:val="374151"/>
          <w:spacing w:val="-10"/>
          <w:sz w:val="28"/>
          <w:shd w:fill="F7F7F8" w:color="auto" w:val="clear"/>
        </w:rPr>
        <w:t> </w:t>
      </w:r>
      <w:r>
        <w:rPr>
          <w:color w:val="374151"/>
          <w:spacing w:val="-10"/>
          <w:sz w:val="28"/>
        </w:rPr>
        <w:t> </w:t>
      </w:r>
      <w:r>
        <w:rPr>
          <w:color w:val="374151"/>
          <w:sz w:val="28"/>
          <w:shd w:fill="F7F7F8" w:color="auto" w:val="clear"/>
        </w:rPr>
        <w:t>Therapy:</w:t>
      </w:r>
      <w:r>
        <w:rPr>
          <w:color w:val="374151"/>
          <w:spacing w:val="-18"/>
          <w:sz w:val="28"/>
          <w:shd w:fill="F7F7F8" w:color="auto" w:val="clear"/>
        </w:rPr>
        <w:t> </w:t>
      </w:r>
      <w:r>
        <w:rPr>
          <w:color w:val="374151"/>
          <w:sz w:val="28"/>
          <w:shd w:fill="F7F7F8" w:color="auto" w:val="clear"/>
        </w:rPr>
        <w:t>Addressing</w:t>
      </w:r>
      <w:r>
        <w:rPr>
          <w:color w:val="374151"/>
          <w:spacing w:val="-5"/>
          <w:sz w:val="28"/>
          <w:shd w:fill="F7F7F8" w:color="auto" w:val="clear"/>
        </w:rPr>
        <w:t> </w:t>
      </w:r>
      <w:r>
        <w:rPr>
          <w:color w:val="374151"/>
          <w:sz w:val="28"/>
          <w:shd w:fill="F7F7F8" w:color="auto" w:val="clear"/>
        </w:rPr>
        <w:t>Diverse</w:t>
      </w:r>
      <w:r>
        <w:rPr>
          <w:color w:val="374151"/>
          <w:spacing w:val="-5"/>
          <w:sz w:val="28"/>
          <w:shd w:fill="F7F7F8" w:color="auto" w:val="clear"/>
        </w:rPr>
        <w:t> </w:t>
      </w:r>
      <w:r>
        <w:rPr>
          <w:color w:val="374151"/>
          <w:sz w:val="28"/>
          <w:shd w:fill="F7F7F8" w:color="auto" w:val="clear"/>
        </w:rPr>
        <w:t>Client</w:t>
      </w:r>
      <w:r>
        <w:rPr>
          <w:color w:val="374151"/>
          <w:spacing w:val="-4"/>
          <w:sz w:val="28"/>
          <w:shd w:fill="F7F7F8" w:color="auto" w:val="clear"/>
        </w:rPr>
        <w:t> </w:t>
      </w:r>
      <w:r>
        <w:rPr>
          <w:color w:val="374151"/>
          <w:sz w:val="28"/>
          <w:shd w:fill="F7F7F8" w:color="auto" w:val="clear"/>
        </w:rPr>
        <w:t>Needs.</w:t>
      </w:r>
      <w:r>
        <w:rPr>
          <w:color w:val="374151"/>
          <w:spacing w:val="-4"/>
          <w:sz w:val="28"/>
          <w:shd w:fill="F7F7F8" w:color="auto" w:val="clear"/>
        </w:rPr>
        <w:t> </w:t>
      </w:r>
      <w:r>
        <w:rPr>
          <w:color w:val="374151"/>
          <w:sz w:val="28"/>
          <w:shd w:fill="F7F7F8" w:color="auto" w:val="clear"/>
        </w:rPr>
        <w:t>Journal</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Sex</w:t>
      </w:r>
      <w:r>
        <w:rPr>
          <w:color w:val="374151"/>
          <w:spacing w:val="-4"/>
          <w:sz w:val="28"/>
          <w:shd w:fill="F7F7F8" w:color="auto" w:val="clear"/>
        </w:rPr>
        <w:t> </w:t>
      </w:r>
      <w:r>
        <w:rPr>
          <w:color w:val="374151"/>
          <w:sz w:val="28"/>
          <w:shd w:fill="F7F7F8" w:color="auto" w:val="clear"/>
        </w:rPr>
        <w:t>&amp;</w:t>
      </w:r>
      <w:r>
        <w:rPr>
          <w:color w:val="374151"/>
          <w:spacing w:val="-4"/>
          <w:sz w:val="28"/>
          <w:shd w:fill="F7F7F8" w:color="auto" w:val="clear"/>
        </w:rPr>
        <w:t> </w:t>
      </w:r>
      <w:r>
        <w:rPr>
          <w:color w:val="374151"/>
          <w:sz w:val="28"/>
          <w:shd w:fill="F7F7F8" w:color="auto" w:val="clear"/>
        </w:rPr>
        <w:t>Marital</w:t>
      </w:r>
      <w:r>
        <w:rPr>
          <w:color w:val="374151"/>
          <w:spacing w:val="-10"/>
          <w:sz w:val="28"/>
          <w:shd w:fill="F7F7F8" w:color="auto" w:val="clear"/>
        </w:rPr>
        <w:t> </w:t>
      </w:r>
      <w:r>
        <w:rPr>
          <w:color w:val="374151"/>
          <w:spacing w:val="-10"/>
          <w:sz w:val="28"/>
        </w:rPr>
        <w:t> </w:t>
      </w:r>
      <w:r>
        <w:rPr>
          <w:color w:val="374151"/>
          <w:sz w:val="28"/>
          <w:shd w:fill="F7F7F8" w:color="auto" w:val="clear"/>
        </w:rPr>
        <w:t>Therapy, 46(2), 161-175.</w:t>
      </w:r>
    </w:p>
    <w:p>
      <w:pPr>
        <w:pStyle w:val="ListParagraph"/>
        <w:numPr>
          <w:ilvl w:val="0"/>
          <w:numId w:val="13"/>
        </w:numPr>
        <w:tabs>
          <w:tab w:pos="1000" w:val="left" w:leader="none"/>
        </w:tabs>
        <w:spacing w:line="240" w:lineRule="auto" w:before="0" w:after="0"/>
        <w:ind w:left="1000" w:right="633" w:hanging="500"/>
        <w:jc w:val="left"/>
        <w:rPr>
          <w:sz w:val="28"/>
        </w:rPr>
      </w:pPr>
      <w:r>
        <w:rPr>
          <w:color w:val="374151"/>
          <w:sz w:val="28"/>
          <w:shd w:fill="F7F7F8" w:color="auto" w:val="clear"/>
        </w:rPr>
        <w:t>Grant, J. M., &amp; Coleman, E. (2020). Transgender and Gender </w:t>
      </w:r>
      <w:r>
        <w:rPr>
          <w:color w:val="374151"/>
          <w:sz w:val="28"/>
        </w:rPr>
        <w:t> </w:t>
      </w:r>
      <w:r>
        <w:rPr>
          <w:color w:val="374151"/>
          <w:sz w:val="28"/>
          <w:shd w:fill="F7F7F8" w:color="auto" w:val="clear"/>
        </w:rPr>
        <w:t>Nonconforming</w:t>
      </w:r>
      <w:r>
        <w:rPr>
          <w:color w:val="374151"/>
          <w:spacing w:val="-6"/>
          <w:sz w:val="28"/>
          <w:shd w:fill="F7F7F8" w:color="auto" w:val="clear"/>
        </w:rPr>
        <w:t> </w:t>
      </w:r>
      <w:r>
        <w:rPr>
          <w:color w:val="374151"/>
          <w:sz w:val="28"/>
          <w:shd w:fill="F7F7F8" w:color="auto" w:val="clear"/>
        </w:rPr>
        <w:t>Cultural</w:t>
      </w:r>
      <w:r>
        <w:rPr>
          <w:color w:val="374151"/>
          <w:spacing w:val="-6"/>
          <w:sz w:val="28"/>
          <w:shd w:fill="F7F7F8" w:color="auto" w:val="clear"/>
        </w:rPr>
        <w:t> </w:t>
      </w:r>
      <w:r>
        <w:rPr>
          <w:color w:val="374151"/>
          <w:sz w:val="28"/>
          <w:shd w:fill="F7F7F8" w:color="auto" w:val="clear"/>
        </w:rPr>
        <w:t>Competence</w:t>
      </w:r>
      <w:r>
        <w:rPr>
          <w:color w:val="374151"/>
          <w:spacing w:val="-7"/>
          <w:sz w:val="28"/>
          <w:shd w:fill="F7F7F8" w:color="auto" w:val="clear"/>
        </w:rPr>
        <w:t> </w:t>
      </w:r>
      <w:r>
        <w:rPr>
          <w:color w:val="374151"/>
          <w:sz w:val="28"/>
          <w:shd w:fill="F7F7F8" w:color="auto" w:val="clear"/>
        </w:rPr>
        <w:t>for</w:t>
      </w:r>
      <w:r>
        <w:rPr>
          <w:color w:val="374151"/>
          <w:spacing w:val="-6"/>
          <w:sz w:val="28"/>
          <w:shd w:fill="F7F7F8" w:color="auto" w:val="clear"/>
        </w:rPr>
        <w:t> </w:t>
      </w:r>
      <w:r>
        <w:rPr>
          <w:color w:val="374151"/>
          <w:sz w:val="28"/>
          <w:shd w:fill="F7F7F8" w:color="auto" w:val="clear"/>
        </w:rPr>
        <w:t>Mental</w:t>
      </w:r>
      <w:r>
        <w:rPr>
          <w:color w:val="374151"/>
          <w:spacing w:val="-6"/>
          <w:sz w:val="28"/>
          <w:shd w:fill="F7F7F8" w:color="auto" w:val="clear"/>
        </w:rPr>
        <w:t> </w:t>
      </w:r>
      <w:r>
        <w:rPr>
          <w:color w:val="374151"/>
          <w:sz w:val="28"/>
          <w:shd w:fill="F7F7F8" w:color="auto" w:val="clear"/>
        </w:rPr>
        <w:t>Health</w:t>
      </w:r>
      <w:r>
        <w:rPr>
          <w:color w:val="374151"/>
          <w:spacing w:val="-6"/>
          <w:sz w:val="28"/>
          <w:shd w:fill="F7F7F8" w:color="auto" w:val="clear"/>
        </w:rPr>
        <w:t> </w:t>
      </w:r>
      <w:r>
        <w:rPr>
          <w:color w:val="374151"/>
          <w:sz w:val="28"/>
          <w:shd w:fill="F7F7F8" w:color="auto" w:val="clear"/>
        </w:rPr>
        <w:t>Professionals.</w:t>
      </w:r>
      <w:r>
        <w:rPr>
          <w:color w:val="374151"/>
          <w:spacing w:val="-7"/>
          <w:sz w:val="28"/>
          <w:shd w:fill="F7F7F8" w:color="auto" w:val="clear"/>
        </w:rPr>
        <w:t> </w:t>
      </w:r>
      <w:r>
        <w:rPr>
          <w:color w:val="374151"/>
          <w:spacing w:val="-7"/>
          <w:sz w:val="28"/>
        </w:rPr>
        <w:t> </w:t>
      </w:r>
      <w:r>
        <w:rPr>
          <w:color w:val="374151"/>
          <w:sz w:val="28"/>
          <w:shd w:fill="F7F7F8" w:color="auto" w:val="clear"/>
        </w:rPr>
        <w:t>Psychiatric Clinics of North America, 43(1), 115-128.</w:t>
      </w:r>
    </w:p>
    <w:p>
      <w:pPr>
        <w:pStyle w:val="ListParagraph"/>
        <w:numPr>
          <w:ilvl w:val="0"/>
          <w:numId w:val="13"/>
        </w:numPr>
        <w:tabs>
          <w:tab w:pos="1000" w:val="left" w:leader="none"/>
        </w:tabs>
        <w:spacing w:line="237" w:lineRule="auto" w:before="0" w:after="0"/>
        <w:ind w:left="1000" w:right="562" w:hanging="500"/>
        <w:jc w:val="left"/>
        <w:rPr>
          <w:sz w:val="28"/>
        </w:rPr>
      </w:pPr>
      <w:r>
        <w:rPr>
          <w:color w:val="374151"/>
          <w:sz w:val="28"/>
          <w:shd w:fill="F7F7F8" w:color="auto" w:val="clear"/>
        </w:rPr>
        <w:t>Lee, H.</w:t>
      </w:r>
      <w:r>
        <w:rPr>
          <w:color w:val="374151"/>
          <w:spacing w:val="-9"/>
          <w:sz w:val="28"/>
          <w:shd w:fill="F7F7F8" w:color="auto" w:val="clear"/>
        </w:rPr>
        <w:t> </w:t>
      </w:r>
      <w:r>
        <w:rPr>
          <w:color w:val="374151"/>
          <w:sz w:val="28"/>
          <w:shd w:fill="F7F7F8" w:color="auto" w:val="clear"/>
        </w:rPr>
        <w:t>Y., &amp; Ryu, S. (2020). Cultural Competence in</w:t>
      </w:r>
      <w:r>
        <w:rPr>
          <w:color w:val="374151"/>
          <w:spacing w:val="-14"/>
          <w:sz w:val="28"/>
          <w:shd w:fill="F7F7F8" w:color="auto" w:val="clear"/>
        </w:rPr>
        <w:t> </w:t>
      </w:r>
      <w:r>
        <w:rPr>
          <w:color w:val="374151"/>
          <w:sz w:val="28"/>
          <w:shd w:fill="F7F7F8" w:color="auto" w:val="clear"/>
        </w:rPr>
        <w:t>Addressing </w:t>
      </w:r>
      <w:r>
        <w:rPr>
          <w:color w:val="374151"/>
          <w:sz w:val="28"/>
        </w:rPr>
        <w:t> </w:t>
      </w:r>
      <w:r>
        <w:rPr>
          <w:color w:val="374151"/>
          <w:sz w:val="28"/>
          <w:shd w:fill="F7F7F8" w:color="auto" w:val="clear"/>
        </w:rPr>
        <w:t>Sexual</w:t>
      </w:r>
      <w:r>
        <w:rPr>
          <w:color w:val="374151"/>
          <w:spacing w:val="-7"/>
          <w:sz w:val="28"/>
          <w:shd w:fill="F7F7F8" w:color="auto" w:val="clear"/>
        </w:rPr>
        <w:t> </w:t>
      </w:r>
      <w:r>
        <w:rPr>
          <w:color w:val="374151"/>
          <w:sz w:val="28"/>
          <w:shd w:fill="F7F7F8" w:color="auto" w:val="clear"/>
        </w:rPr>
        <w:t>Health</w:t>
      </w:r>
      <w:r>
        <w:rPr>
          <w:color w:val="374151"/>
          <w:spacing w:val="-4"/>
          <w:sz w:val="28"/>
          <w:shd w:fill="F7F7F8" w:color="auto" w:val="clear"/>
        </w:rPr>
        <w:t> </w:t>
      </w:r>
      <w:r>
        <w:rPr>
          <w:color w:val="374151"/>
          <w:sz w:val="28"/>
          <w:shd w:fill="F7F7F8" w:color="auto" w:val="clear"/>
        </w:rPr>
        <w:t>among</w:t>
      </w:r>
      <w:r>
        <w:rPr>
          <w:color w:val="374151"/>
          <w:spacing w:val="-18"/>
          <w:sz w:val="28"/>
          <w:shd w:fill="F7F7F8" w:color="auto" w:val="clear"/>
        </w:rPr>
        <w:t> </w:t>
      </w:r>
      <w:r>
        <w:rPr>
          <w:color w:val="374151"/>
          <w:sz w:val="28"/>
          <w:shd w:fill="F7F7F8" w:color="auto" w:val="clear"/>
        </w:rPr>
        <w:t>Asian</w:t>
      </w:r>
      <w:r>
        <w:rPr>
          <w:color w:val="374151"/>
          <w:spacing w:val="-17"/>
          <w:sz w:val="28"/>
          <w:shd w:fill="F7F7F8" w:color="auto" w:val="clear"/>
        </w:rPr>
        <w:t> </w:t>
      </w:r>
      <w:r>
        <w:rPr>
          <w:color w:val="374151"/>
          <w:sz w:val="28"/>
          <w:shd w:fill="F7F7F8" w:color="auto" w:val="clear"/>
        </w:rPr>
        <w:t>American</w:t>
      </w:r>
      <w:r>
        <w:rPr>
          <w:color w:val="374151"/>
          <w:spacing w:val="-4"/>
          <w:sz w:val="28"/>
          <w:shd w:fill="F7F7F8" w:color="auto" w:val="clear"/>
        </w:rPr>
        <w:t> </w:t>
      </w:r>
      <w:r>
        <w:rPr>
          <w:color w:val="374151"/>
          <w:sz w:val="28"/>
          <w:shd w:fill="F7F7F8" w:color="auto" w:val="clear"/>
        </w:rPr>
        <w:t>Populations.</w:t>
      </w:r>
      <w:r>
        <w:rPr>
          <w:color w:val="374151"/>
          <w:spacing w:val="-4"/>
          <w:sz w:val="28"/>
          <w:shd w:fill="F7F7F8" w:color="auto" w:val="clear"/>
        </w:rPr>
        <w:t> </w:t>
      </w:r>
      <w:r>
        <w:rPr>
          <w:color w:val="374151"/>
          <w:sz w:val="28"/>
          <w:shd w:fill="F7F7F8" w:color="auto" w:val="clear"/>
        </w:rPr>
        <w:t>Journal</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Ethnic</w:t>
      </w:r>
      <w:r>
        <w:rPr>
          <w:color w:val="374151"/>
          <w:spacing w:val="-5"/>
          <w:sz w:val="28"/>
          <w:shd w:fill="F7F7F8" w:color="auto" w:val="clear"/>
        </w:rPr>
        <w:t> </w:t>
      </w:r>
      <w:r>
        <w:rPr>
          <w:color w:val="374151"/>
          <w:sz w:val="28"/>
          <w:shd w:fill="F7F7F8" w:color="auto" w:val="clear"/>
        </w:rPr>
        <w:t>&amp;</w:t>
      </w:r>
      <w:r>
        <w:rPr>
          <w:color w:val="374151"/>
          <w:spacing w:val="-5"/>
          <w:sz w:val="28"/>
          <w:shd w:fill="F7F7F8" w:color="auto" w:val="clear"/>
        </w:rPr>
        <w:t> </w:t>
      </w:r>
      <w:r>
        <w:rPr>
          <w:color w:val="374151"/>
          <w:spacing w:val="-5"/>
          <w:sz w:val="28"/>
        </w:rPr>
        <w:t> </w:t>
      </w:r>
      <w:r>
        <w:rPr>
          <w:color w:val="374151"/>
          <w:sz w:val="28"/>
          <w:shd w:fill="F7F7F8" w:color="auto" w:val="clear"/>
        </w:rPr>
        <w:t>Cultural Diversity in Social Work, 29(2), 145-161.</w:t>
      </w:r>
    </w:p>
    <w:p>
      <w:pPr>
        <w:pStyle w:val="ListParagraph"/>
        <w:numPr>
          <w:ilvl w:val="0"/>
          <w:numId w:val="13"/>
        </w:numPr>
        <w:tabs>
          <w:tab w:pos="1000" w:val="left" w:leader="none"/>
        </w:tabs>
        <w:spacing w:line="240" w:lineRule="auto" w:before="0" w:after="0"/>
        <w:ind w:left="1000" w:right="843" w:hanging="500"/>
        <w:jc w:val="left"/>
        <w:rPr>
          <w:sz w:val="28"/>
        </w:rPr>
      </w:pPr>
      <w:r>
        <w:rPr>
          <w:color w:val="374151"/>
          <w:sz w:val="28"/>
          <w:shd w:fill="F7F7F8" w:color="auto" w:val="clear"/>
        </w:rPr>
        <w:t>Crenshaw,</w:t>
      </w:r>
      <w:r>
        <w:rPr>
          <w:color w:val="374151"/>
          <w:spacing w:val="-7"/>
          <w:sz w:val="28"/>
          <w:shd w:fill="F7F7F8" w:color="auto" w:val="clear"/>
        </w:rPr>
        <w:t> </w:t>
      </w:r>
      <w:r>
        <w:rPr>
          <w:color w:val="374151"/>
          <w:sz w:val="28"/>
          <w:shd w:fill="F7F7F8" w:color="auto" w:val="clear"/>
        </w:rPr>
        <w:t>K.</w:t>
      </w:r>
      <w:r>
        <w:rPr>
          <w:color w:val="374151"/>
          <w:spacing w:val="-7"/>
          <w:sz w:val="28"/>
          <w:shd w:fill="F7F7F8" w:color="auto" w:val="clear"/>
        </w:rPr>
        <w:t> </w:t>
      </w:r>
      <w:r>
        <w:rPr>
          <w:color w:val="374151"/>
          <w:sz w:val="28"/>
          <w:shd w:fill="F7F7F8" w:color="auto" w:val="clear"/>
        </w:rPr>
        <w:t>(2020).</w:t>
      </w:r>
      <w:r>
        <w:rPr>
          <w:color w:val="374151"/>
          <w:spacing w:val="-7"/>
          <w:sz w:val="28"/>
          <w:shd w:fill="F7F7F8" w:color="auto" w:val="clear"/>
        </w:rPr>
        <w:t> </w:t>
      </w:r>
      <w:r>
        <w:rPr>
          <w:color w:val="374151"/>
          <w:sz w:val="28"/>
          <w:shd w:fill="F7F7F8" w:color="auto" w:val="clear"/>
        </w:rPr>
        <w:t>Intersectionality:</w:t>
      </w:r>
      <w:r>
        <w:rPr>
          <w:color w:val="374151"/>
          <w:spacing w:val="-7"/>
          <w:sz w:val="28"/>
          <w:shd w:fill="F7F7F8" w:color="auto" w:val="clear"/>
        </w:rPr>
        <w:t> </w:t>
      </w:r>
      <w:r>
        <w:rPr>
          <w:color w:val="374151"/>
          <w:sz w:val="28"/>
          <w:shd w:fill="F7F7F8" w:color="auto" w:val="clear"/>
        </w:rPr>
        <w:t>Mapping</w:t>
      </w:r>
      <w:r>
        <w:rPr>
          <w:color w:val="374151"/>
          <w:spacing w:val="-7"/>
          <w:sz w:val="28"/>
          <w:shd w:fill="F7F7F8" w:color="auto" w:val="clear"/>
        </w:rPr>
        <w:t> </w:t>
      </w:r>
      <w:r>
        <w:rPr>
          <w:color w:val="374151"/>
          <w:sz w:val="28"/>
          <w:shd w:fill="F7F7F8" w:color="auto" w:val="clear"/>
        </w:rPr>
        <w:t>the</w:t>
      </w:r>
      <w:r>
        <w:rPr>
          <w:color w:val="374151"/>
          <w:spacing w:val="-8"/>
          <w:sz w:val="28"/>
          <w:shd w:fill="F7F7F8" w:color="auto" w:val="clear"/>
        </w:rPr>
        <w:t> </w:t>
      </w:r>
      <w:r>
        <w:rPr>
          <w:color w:val="374151"/>
          <w:sz w:val="28"/>
          <w:shd w:fill="F7F7F8" w:color="auto" w:val="clear"/>
        </w:rPr>
        <w:t>Movements</w:t>
      </w:r>
      <w:r>
        <w:rPr>
          <w:color w:val="374151"/>
          <w:spacing w:val="-7"/>
          <w:sz w:val="28"/>
          <w:shd w:fill="F7F7F8" w:color="auto" w:val="clear"/>
        </w:rPr>
        <w:t> </w:t>
      </w:r>
      <w:r>
        <w:rPr>
          <w:color w:val="374151"/>
          <w:sz w:val="28"/>
          <w:shd w:fill="F7F7F8" w:color="auto" w:val="clear"/>
        </w:rPr>
        <w:t>of</w:t>
      </w:r>
      <w:r>
        <w:rPr>
          <w:color w:val="374151"/>
          <w:spacing w:val="-7"/>
          <w:sz w:val="28"/>
          <w:shd w:fill="F7F7F8" w:color="auto" w:val="clear"/>
        </w:rPr>
        <w:t> </w:t>
      </w:r>
      <w:r>
        <w:rPr>
          <w:color w:val="374151"/>
          <w:sz w:val="28"/>
          <w:shd w:fill="F7F7F8" w:color="auto" w:val="clear"/>
        </w:rPr>
        <w:t>a</w:t>
      </w:r>
      <w:r>
        <w:rPr>
          <w:color w:val="374151"/>
          <w:spacing w:val="-12"/>
          <w:sz w:val="28"/>
          <w:shd w:fill="F7F7F8" w:color="auto" w:val="clear"/>
        </w:rPr>
        <w:t> </w:t>
      </w:r>
      <w:r>
        <w:rPr>
          <w:color w:val="374151"/>
          <w:spacing w:val="-12"/>
          <w:sz w:val="28"/>
        </w:rPr>
        <w:t> </w:t>
      </w:r>
      <w:r>
        <w:rPr>
          <w:color w:val="374151"/>
          <w:sz w:val="28"/>
          <w:shd w:fill="F7F7F8" w:color="auto" w:val="clear"/>
        </w:rPr>
        <w:t>Theory. Du Bois Review: Social Science Research on Race, 17(2), </w:t>
      </w:r>
      <w:r>
        <w:rPr>
          <w:color w:val="374151"/>
          <w:sz w:val="28"/>
        </w:rPr>
        <w:t> </w:t>
      </w:r>
      <w:r>
        <w:rPr>
          <w:color w:val="374151"/>
          <w:spacing w:val="-2"/>
          <w:sz w:val="28"/>
          <w:shd w:fill="F7F7F8" w:color="auto" w:val="clear"/>
        </w:rPr>
        <w:t>367-38</w:t>
      </w:r>
    </w:p>
    <w:p>
      <w:pPr>
        <w:pStyle w:val="ListParagraph"/>
        <w:numPr>
          <w:ilvl w:val="0"/>
          <w:numId w:val="13"/>
        </w:numPr>
        <w:tabs>
          <w:tab w:pos="1000" w:val="left" w:leader="none"/>
        </w:tabs>
        <w:spacing w:line="237" w:lineRule="auto" w:before="0" w:after="0"/>
        <w:ind w:left="1000" w:right="1014" w:hanging="500"/>
        <w:jc w:val="left"/>
        <w:rPr>
          <w:sz w:val="28"/>
        </w:rPr>
      </w:pPr>
      <w:r>
        <w:rPr>
          <w:color w:val="374151"/>
          <w:sz w:val="28"/>
          <w:shd w:fill="F7F7F8" w:color="auto" w:val="clear"/>
        </w:rPr>
        <w:t>Ortega,</w:t>
      </w:r>
      <w:r>
        <w:rPr>
          <w:color w:val="374151"/>
          <w:spacing w:val="-10"/>
          <w:sz w:val="28"/>
          <w:shd w:fill="F7F7F8" w:color="auto" w:val="clear"/>
        </w:rPr>
        <w:t> </w:t>
      </w:r>
      <w:r>
        <w:rPr>
          <w:color w:val="374151"/>
          <w:sz w:val="28"/>
          <w:shd w:fill="F7F7F8" w:color="auto" w:val="clear"/>
        </w:rPr>
        <w:t>A. N., Rosenheck, R.,</w:t>
      </w:r>
      <w:r>
        <w:rPr>
          <w:color w:val="374151"/>
          <w:spacing w:val="-10"/>
          <w:sz w:val="28"/>
          <w:shd w:fill="F7F7F8" w:color="auto" w:val="clear"/>
        </w:rPr>
        <w:t> </w:t>
      </w:r>
      <w:r>
        <w:rPr>
          <w:color w:val="374151"/>
          <w:sz w:val="28"/>
          <w:shd w:fill="F7F7F8" w:color="auto" w:val="clear"/>
        </w:rPr>
        <w:t>Alegria, M., &amp; Desai, R.</w:t>
      </w:r>
      <w:r>
        <w:rPr>
          <w:color w:val="374151"/>
          <w:spacing w:val="-10"/>
          <w:sz w:val="28"/>
          <w:shd w:fill="F7F7F8" w:color="auto" w:val="clear"/>
        </w:rPr>
        <w:t> </w:t>
      </w:r>
      <w:r>
        <w:rPr>
          <w:color w:val="374151"/>
          <w:sz w:val="28"/>
          <w:shd w:fill="F7F7F8" w:color="auto" w:val="clear"/>
        </w:rPr>
        <w:t>A. (2020).</w:t>
      </w:r>
      <w:r>
        <w:rPr>
          <w:color w:val="374151"/>
          <w:spacing w:val="-10"/>
          <w:sz w:val="28"/>
          <w:shd w:fill="F7F7F8" w:color="auto" w:val="clear"/>
        </w:rPr>
        <w:t> </w:t>
      </w:r>
      <w:r>
        <w:rPr>
          <w:color w:val="374151"/>
          <w:spacing w:val="-10"/>
          <w:sz w:val="28"/>
        </w:rPr>
        <w:t> </w:t>
      </w:r>
      <w:r>
        <w:rPr>
          <w:color w:val="374151"/>
          <w:sz w:val="28"/>
          <w:shd w:fill="F7F7F8" w:color="auto" w:val="clear"/>
        </w:rPr>
        <w:t>Acculturation and Sexual Orientation Disparities in Mental Health </w:t>
      </w:r>
      <w:r>
        <w:rPr>
          <w:color w:val="374151"/>
          <w:sz w:val="28"/>
        </w:rPr>
        <w:t> </w:t>
      </w:r>
      <w:r>
        <w:rPr>
          <w:color w:val="374151"/>
          <w:sz w:val="28"/>
          <w:shd w:fill="F7F7F8" w:color="auto" w:val="clear"/>
        </w:rPr>
        <w:t>among</w:t>
      </w:r>
      <w:r>
        <w:rPr>
          <w:color w:val="374151"/>
          <w:spacing w:val="-18"/>
          <w:sz w:val="28"/>
          <w:shd w:fill="F7F7F8" w:color="auto" w:val="clear"/>
        </w:rPr>
        <w:t> </w:t>
      </w:r>
      <w:r>
        <w:rPr>
          <w:color w:val="374151"/>
          <w:sz w:val="28"/>
          <w:shd w:fill="F7F7F8" w:color="auto" w:val="clear"/>
        </w:rPr>
        <w:t>Asian</w:t>
      </w:r>
      <w:r>
        <w:rPr>
          <w:color w:val="374151"/>
          <w:spacing w:val="-5"/>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Latino</w:t>
      </w:r>
      <w:r>
        <w:rPr>
          <w:color w:val="374151"/>
          <w:spacing w:val="-4"/>
          <w:sz w:val="28"/>
          <w:shd w:fill="F7F7F8" w:color="auto" w:val="clear"/>
        </w:rPr>
        <w:t> </w:t>
      </w:r>
      <w:r>
        <w:rPr>
          <w:color w:val="374151"/>
          <w:sz w:val="28"/>
          <w:shd w:fill="F7F7F8" w:color="auto" w:val="clear"/>
        </w:rPr>
        <w:t>Immigrant</w:t>
      </w:r>
      <w:r>
        <w:rPr>
          <w:color w:val="374151"/>
          <w:spacing w:val="-4"/>
          <w:sz w:val="28"/>
          <w:shd w:fill="F7F7F8" w:color="auto" w:val="clear"/>
        </w:rPr>
        <w:t> </w:t>
      </w:r>
      <w:r>
        <w:rPr>
          <w:color w:val="374151"/>
          <w:sz w:val="28"/>
          <w:shd w:fill="F7F7F8" w:color="auto" w:val="clear"/>
        </w:rPr>
        <w:t>Men.</w:t>
      </w:r>
      <w:r>
        <w:rPr>
          <w:color w:val="374151"/>
          <w:spacing w:val="-4"/>
          <w:sz w:val="28"/>
          <w:shd w:fill="F7F7F8" w:color="auto" w:val="clear"/>
        </w:rPr>
        <w:t> </w:t>
      </w:r>
      <w:r>
        <w:rPr>
          <w:color w:val="374151"/>
          <w:sz w:val="28"/>
          <w:shd w:fill="F7F7F8" w:color="auto" w:val="clear"/>
        </w:rPr>
        <w:t>Journal</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Immigrant</w:t>
      </w:r>
      <w:r>
        <w:rPr>
          <w:color w:val="374151"/>
          <w:spacing w:val="-4"/>
          <w:sz w:val="28"/>
          <w:shd w:fill="F7F7F8" w:color="auto" w:val="clear"/>
        </w:rPr>
        <w:t> </w:t>
      </w:r>
      <w:r>
        <w:rPr>
          <w:color w:val="374151"/>
          <w:sz w:val="28"/>
          <w:shd w:fill="F7F7F8" w:color="auto" w:val="clear"/>
        </w:rPr>
        <w:t>and</w:t>
      </w:r>
      <w:r>
        <w:rPr>
          <w:color w:val="374151"/>
          <w:spacing w:val="-5"/>
          <w:sz w:val="28"/>
          <w:shd w:fill="F7F7F8" w:color="auto" w:val="clear"/>
        </w:rPr>
        <w:t> </w:t>
      </w:r>
      <w:r>
        <w:rPr>
          <w:color w:val="374151"/>
          <w:spacing w:val="-5"/>
          <w:sz w:val="28"/>
        </w:rPr>
        <w:t> </w:t>
      </w:r>
      <w:r>
        <w:rPr>
          <w:color w:val="374151"/>
          <w:sz w:val="28"/>
          <w:shd w:fill="F7F7F8" w:color="auto" w:val="clear"/>
        </w:rPr>
        <w:t>Minority Health, 22(4), 657-664.</w:t>
      </w:r>
    </w:p>
    <w:p>
      <w:pPr>
        <w:pStyle w:val="ListParagraph"/>
        <w:numPr>
          <w:ilvl w:val="0"/>
          <w:numId w:val="13"/>
        </w:numPr>
        <w:tabs>
          <w:tab w:pos="1000" w:val="left" w:leader="none"/>
        </w:tabs>
        <w:spacing w:line="240" w:lineRule="auto" w:before="0" w:after="0"/>
        <w:ind w:left="1000" w:right="962" w:hanging="500"/>
        <w:jc w:val="left"/>
        <w:rPr>
          <w:sz w:val="28"/>
        </w:rPr>
      </w:pPr>
      <w:r>
        <w:rPr>
          <w:color w:val="374151"/>
          <w:sz w:val="28"/>
          <w:shd w:fill="F7F7F8" w:color="auto" w:val="clear"/>
        </w:rPr>
        <w:t>Hamzehgardeshi, Z., Hazavehei, S. M. M., Shirzadpour, N., &amp; </w:t>
      </w:r>
      <w:r>
        <w:rPr>
          <w:color w:val="374151"/>
          <w:sz w:val="28"/>
        </w:rPr>
        <w:t> </w:t>
      </w:r>
      <w:r>
        <w:rPr>
          <w:color w:val="374151"/>
          <w:sz w:val="28"/>
          <w:shd w:fill="F7F7F8" w:color="auto" w:val="clear"/>
        </w:rPr>
        <w:t>Ghanbarnejad,</w:t>
      </w:r>
      <w:r>
        <w:rPr>
          <w:color w:val="374151"/>
          <w:spacing w:val="-9"/>
          <w:sz w:val="28"/>
          <w:shd w:fill="F7F7F8" w:color="auto" w:val="clear"/>
        </w:rPr>
        <w:t> </w:t>
      </w:r>
      <w:r>
        <w:rPr>
          <w:color w:val="374151"/>
          <w:sz w:val="28"/>
          <w:shd w:fill="F7F7F8" w:color="auto" w:val="clear"/>
        </w:rPr>
        <w:t>A. (2020). Cultural Competence in Sexual and </w:t>
      </w:r>
      <w:r>
        <w:rPr>
          <w:color w:val="374151"/>
          <w:sz w:val="28"/>
        </w:rPr>
        <w:t> </w:t>
      </w:r>
      <w:r>
        <w:rPr>
          <w:color w:val="374151"/>
          <w:sz w:val="28"/>
          <w:shd w:fill="F7F7F8" w:color="auto" w:val="clear"/>
        </w:rPr>
        <w:t>Reproductive</w:t>
      </w:r>
      <w:r>
        <w:rPr>
          <w:color w:val="374151"/>
          <w:spacing w:val="-18"/>
          <w:sz w:val="28"/>
          <w:shd w:fill="F7F7F8" w:color="auto" w:val="clear"/>
        </w:rPr>
        <w:t> </w:t>
      </w:r>
      <w:r>
        <w:rPr>
          <w:color w:val="374151"/>
          <w:sz w:val="28"/>
          <w:shd w:fill="F7F7F8" w:color="auto" w:val="clear"/>
        </w:rPr>
        <w:t>Health</w:t>
      </w:r>
      <w:r>
        <w:rPr>
          <w:color w:val="374151"/>
          <w:spacing w:val="-9"/>
          <w:sz w:val="28"/>
          <w:shd w:fill="F7F7F8" w:color="auto" w:val="clear"/>
        </w:rPr>
        <w:t> </w:t>
      </w:r>
      <w:r>
        <w:rPr>
          <w:color w:val="374151"/>
          <w:sz w:val="28"/>
          <w:shd w:fill="F7F7F8" w:color="auto" w:val="clear"/>
        </w:rPr>
        <w:t>Education:</w:t>
      </w:r>
      <w:r>
        <w:rPr>
          <w:color w:val="374151"/>
          <w:spacing w:val="-18"/>
          <w:sz w:val="28"/>
          <w:shd w:fill="F7F7F8" w:color="auto" w:val="clear"/>
        </w:rPr>
        <w:t> </w:t>
      </w:r>
      <w:r>
        <w:rPr>
          <w:color w:val="374151"/>
          <w:sz w:val="28"/>
          <w:shd w:fill="F7F7F8" w:color="auto" w:val="clear"/>
        </w:rPr>
        <w:t>A</w:t>
      </w:r>
      <w:r>
        <w:rPr>
          <w:color w:val="374151"/>
          <w:spacing w:val="-17"/>
          <w:sz w:val="28"/>
          <w:shd w:fill="F7F7F8" w:color="auto" w:val="clear"/>
        </w:rPr>
        <w:t> </w:t>
      </w:r>
      <w:r>
        <w:rPr>
          <w:color w:val="374151"/>
          <w:sz w:val="28"/>
          <w:shd w:fill="F7F7F8" w:color="auto" w:val="clear"/>
        </w:rPr>
        <w:t>Systematic</w:t>
      </w:r>
      <w:r>
        <w:rPr>
          <w:color w:val="374151"/>
          <w:spacing w:val="-9"/>
          <w:sz w:val="28"/>
          <w:shd w:fill="F7F7F8" w:color="auto" w:val="clear"/>
        </w:rPr>
        <w:t> </w:t>
      </w:r>
      <w:r>
        <w:rPr>
          <w:color w:val="374151"/>
          <w:sz w:val="28"/>
          <w:shd w:fill="F7F7F8" w:color="auto" w:val="clear"/>
        </w:rPr>
        <w:t>Review.</w:t>
      </w:r>
      <w:r>
        <w:rPr>
          <w:color w:val="374151"/>
          <w:spacing w:val="-8"/>
          <w:sz w:val="28"/>
          <w:shd w:fill="F7F7F8" w:color="auto" w:val="clear"/>
        </w:rPr>
        <w:t> </w:t>
      </w:r>
      <w:r>
        <w:rPr>
          <w:color w:val="374151"/>
          <w:sz w:val="28"/>
          <w:shd w:fill="F7F7F8" w:color="auto" w:val="clear"/>
        </w:rPr>
        <w:t>International</w:t>
      </w:r>
      <w:r>
        <w:rPr>
          <w:color w:val="374151"/>
          <w:spacing w:val="-9"/>
          <w:sz w:val="28"/>
          <w:shd w:fill="F7F7F8" w:color="auto" w:val="clear"/>
        </w:rPr>
        <w:t> </w:t>
      </w:r>
      <w:r>
        <w:rPr>
          <w:color w:val="374151"/>
          <w:spacing w:val="-9"/>
          <w:sz w:val="28"/>
        </w:rPr>
        <w:t> </w:t>
      </w:r>
      <w:r>
        <w:rPr>
          <w:color w:val="374151"/>
          <w:sz w:val="28"/>
          <w:shd w:fill="F7F7F8" w:color="auto" w:val="clear"/>
        </w:rPr>
        <w:t>Journal</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Environmental</w:t>
      </w:r>
      <w:r>
        <w:rPr>
          <w:color w:val="374151"/>
          <w:spacing w:val="-4"/>
          <w:sz w:val="28"/>
          <w:shd w:fill="F7F7F8" w:color="auto" w:val="clear"/>
        </w:rPr>
        <w:t> </w:t>
      </w:r>
      <w:r>
        <w:rPr>
          <w:color w:val="374151"/>
          <w:sz w:val="28"/>
          <w:shd w:fill="F7F7F8" w:color="auto" w:val="clear"/>
        </w:rPr>
        <w:t>Research</w:t>
      </w:r>
      <w:r>
        <w:rPr>
          <w:color w:val="374151"/>
          <w:spacing w:val="-4"/>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Public</w:t>
      </w:r>
      <w:r>
        <w:rPr>
          <w:color w:val="374151"/>
          <w:spacing w:val="-5"/>
          <w:sz w:val="28"/>
          <w:shd w:fill="F7F7F8" w:color="auto" w:val="clear"/>
        </w:rPr>
        <w:t> </w:t>
      </w:r>
      <w:r>
        <w:rPr>
          <w:color w:val="374151"/>
          <w:sz w:val="28"/>
          <w:shd w:fill="F7F7F8" w:color="auto" w:val="clear"/>
        </w:rPr>
        <w:t>Health,</w:t>
      </w:r>
      <w:r>
        <w:rPr>
          <w:color w:val="374151"/>
          <w:spacing w:val="-4"/>
          <w:sz w:val="28"/>
          <w:shd w:fill="F7F7F8" w:color="auto" w:val="clear"/>
        </w:rPr>
        <w:t> </w:t>
      </w:r>
      <w:r>
        <w:rPr>
          <w:color w:val="374151"/>
          <w:sz w:val="28"/>
          <w:shd w:fill="F7F7F8" w:color="auto" w:val="clear"/>
        </w:rPr>
        <w:t>17(12),</w:t>
      </w:r>
      <w:r>
        <w:rPr>
          <w:color w:val="374151"/>
          <w:spacing w:val="-4"/>
          <w:sz w:val="28"/>
          <w:shd w:fill="F7F7F8" w:color="auto" w:val="clear"/>
        </w:rPr>
        <w:t> </w:t>
      </w:r>
      <w:r>
        <w:rPr>
          <w:color w:val="374151"/>
          <w:sz w:val="28"/>
          <w:shd w:fill="F7F7F8" w:color="auto" w:val="clear"/>
        </w:rPr>
        <w:t>4372.</w:t>
      </w:r>
    </w:p>
    <w:p>
      <w:pPr>
        <w:pStyle w:val="ListParagraph"/>
        <w:numPr>
          <w:ilvl w:val="0"/>
          <w:numId w:val="13"/>
        </w:numPr>
        <w:tabs>
          <w:tab w:pos="1000" w:val="left" w:leader="none"/>
        </w:tabs>
        <w:spacing w:line="237" w:lineRule="auto" w:before="0" w:after="0"/>
        <w:ind w:left="1000" w:right="858" w:hanging="500"/>
        <w:jc w:val="left"/>
        <w:rPr>
          <w:sz w:val="28"/>
        </w:rPr>
      </w:pPr>
      <w:r>
        <w:rPr>
          <w:color w:val="374151"/>
          <w:sz w:val="28"/>
          <w:shd w:fill="F7F7F8" w:color="auto" w:val="clear"/>
        </w:rPr>
        <w:t>Galupo, M. P., Henise, S. B., &amp; Mercer, N. L. (2020). Examining </w:t>
      </w:r>
      <w:r>
        <w:rPr>
          <w:color w:val="374151"/>
          <w:sz w:val="28"/>
        </w:rPr>
        <w:t> </w:t>
      </w:r>
      <w:r>
        <w:rPr>
          <w:color w:val="374151"/>
          <w:sz w:val="28"/>
          <w:shd w:fill="F7F7F8" w:color="auto" w:val="clear"/>
        </w:rPr>
        <w:t>Cultural</w:t>
      </w:r>
      <w:r>
        <w:rPr>
          <w:color w:val="374151"/>
          <w:spacing w:val="-11"/>
          <w:sz w:val="28"/>
          <w:shd w:fill="F7F7F8" w:color="auto" w:val="clear"/>
        </w:rPr>
        <w:t> </w:t>
      </w:r>
      <w:r>
        <w:rPr>
          <w:color w:val="374151"/>
          <w:sz w:val="28"/>
          <w:shd w:fill="F7F7F8" w:color="auto" w:val="clear"/>
        </w:rPr>
        <w:t>Competence</w:t>
      </w:r>
      <w:r>
        <w:rPr>
          <w:color w:val="374151"/>
          <w:spacing w:val="-7"/>
          <w:sz w:val="28"/>
          <w:shd w:fill="F7F7F8" w:color="auto" w:val="clear"/>
        </w:rPr>
        <w:t> </w:t>
      </w:r>
      <w:r>
        <w:rPr>
          <w:color w:val="374151"/>
          <w:sz w:val="28"/>
          <w:shd w:fill="F7F7F8" w:color="auto" w:val="clear"/>
        </w:rPr>
        <w:t>among</w:t>
      </w:r>
      <w:r>
        <w:rPr>
          <w:color w:val="374151"/>
          <w:spacing w:val="-6"/>
          <w:sz w:val="28"/>
          <w:shd w:fill="F7F7F8" w:color="auto" w:val="clear"/>
        </w:rPr>
        <w:t> </w:t>
      </w:r>
      <w:r>
        <w:rPr>
          <w:color w:val="374151"/>
          <w:sz w:val="28"/>
          <w:shd w:fill="F7F7F8" w:color="auto" w:val="clear"/>
        </w:rPr>
        <w:t>Sexuality</w:t>
      </w:r>
      <w:r>
        <w:rPr>
          <w:color w:val="374151"/>
          <w:spacing w:val="-6"/>
          <w:sz w:val="28"/>
          <w:shd w:fill="F7F7F8" w:color="auto" w:val="clear"/>
        </w:rPr>
        <w:t> </w:t>
      </w:r>
      <w:r>
        <w:rPr>
          <w:color w:val="374151"/>
          <w:sz w:val="28"/>
          <w:shd w:fill="F7F7F8" w:color="auto" w:val="clear"/>
        </w:rPr>
        <w:t>Educators:</w:t>
      </w:r>
      <w:r>
        <w:rPr>
          <w:color w:val="374151"/>
          <w:spacing w:val="-18"/>
          <w:sz w:val="28"/>
          <w:shd w:fill="F7F7F8" w:color="auto" w:val="clear"/>
        </w:rPr>
        <w:t> </w:t>
      </w:r>
      <w:r>
        <w:rPr>
          <w:color w:val="374151"/>
          <w:sz w:val="28"/>
          <w:shd w:fill="F7F7F8" w:color="auto" w:val="clear"/>
        </w:rPr>
        <w:t>A</w:t>
      </w:r>
      <w:r>
        <w:rPr>
          <w:color w:val="374151"/>
          <w:spacing w:val="-17"/>
          <w:sz w:val="28"/>
          <w:shd w:fill="F7F7F8" w:color="auto" w:val="clear"/>
        </w:rPr>
        <w:t> </w:t>
      </w:r>
      <w:r>
        <w:rPr>
          <w:color w:val="374151"/>
          <w:sz w:val="28"/>
          <w:shd w:fill="F7F7F8" w:color="auto" w:val="clear"/>
        </w:rPr>
        <w:t>Mixed-Methods</w:t>
      </w:r>
      <w:r>
        <w:rPr>
          <w:color w:val="374151"/>
          <w:spacing w:val="-7"/>
          <w:sz w:val="28"/>
          <w:shd w:fill="F7F7F8" w:color="auto" w:val="clear"/>
        </w:rPr>
        <w:t> </w:t>
      </w:r>
      <w:r>
        <w:rPr>
          <w:color w:val="374151"/>
          <w:spacing w:val="-7"/>
          <w:sz w:val="28"/>
        </w:rPr>
        <w:t> </w:t>
      </w:r>
      <w:r>
        <w:rPr>
          <w:color w:val="374151"/>
          <w:sz w:val="28"/>
          <w:shd w:fill="F7F7F8" w:color="auto" w:val="clear"/>
        </w:rPr>
        <w:t>Study. Journal of Sex Research, 57(6), 712-725.</w:t>
      </w:r>
    </w:p>
    <w:p>
      <w:pPr>
        <w:pStyle w:val="ListParagraph"/>
        <w:numPr>
          <w:ilvl w:val="0"/>
          <w:numId w:val="13"/>
        </w:numPr>
        <w:tabs>
          <w:tab w:pos="1000" w:val="left" w:leader="none"/>
        </w:tabs>
        <w:spacing w:line="240" w:lineRule="auto" w:before="0" w:after="0"/>
        <w:ind w:left="1000" w:right="733" w:hanging="500"/>
        <w:jc w:val="left"/>
        <w:rPr>
          <w:sz w:val="28"/>
        </w:rPr>
      </w:pPr>
      <w:r>
        <w:rPr>
          <w:color w:val="374151"/>
          <w:sz w:val="28"/>
          <w:shd w:fill="F7F7F8" w:color="auto" w:val="clear"/>
        </w:rPr>
        <w:t>Pachankis, J. E., Hatzenbuehler, M. L., Starks,</w:t>
      </w:r>
      <w:r>
        <w:rPr>
          <w:color w:val="374151"/>
          <w:spacing w:val="-4"/>
          <w:sz w:val="28"/>
          <w:shd w:fill="F7F7F8" w:color="auto" w:val="clear"/>
        </w:rPr>
        <w:t> </w:t>
      </w:r>
      <w:r>
        <w:rPr>
          <w:color w:val="374151"/>
          <w:sz w:val="28"/>
          <w:shd w:fill="F7F7F8" w:color="auto" w:val="clear"/>
        </w:rPr>
        <w:t>T. J., &amp; Reisner, S. L. </w:t>
      </w:r>
      <w:r>
        <w:rPr>
          <w:color w:val="374151"/>
          <w:sz w:val="28"/>
        </w:rPr>
        <w:t> </w:t>
      </w:r>
      <w:r>
        <w:rPr>
          <w:color w:val="374151"/>
          <w:sz w:val="28"/>
          <w:shd w:fill="F7F7F8" w:color="auto" w:val="clear"/>
        </w:rPr>
        <w:t>(2020).</w:t>
      </w:r>
      <w:r>
        <w:rPr>
          <w:color w:val="374151"/>
          <w:spacing w:val="-14"/>
          <w:sz w:val="28"/>
          <w:shd w:fill="F7F7F8" w:color="auto" w:val="clear"/>
        </w:rPr>
        <w:t> </w:t>
      </w:r>
      <w:r>
        <w:rPr>
          <w:color w:val="374151"/>
          <w:sz w:val="28"/>
          <w:shd w:fill="F7F7F8" w:color="auto" w:val="clear"/>
        </w:rPr>
        <w:t>LGB-Affirming</w:t>
      </w:r>
      <w:r>
        <w:rPr>
          <w:color w:val="374151"/>
          <w:spacing w:val="-18"/>
          <w:sz w:val="28"/>
          <w:shd w:fill="F7F7F8" w:color="auto" w:val="clear"/>
        </w:rPr>
        <w:t> </w:t>
      </w:r>
      <w:r>
        <w:rPr>
          <w:color w:val="374151"/>
          <w:sz w:val="28"/>
          <w:shd w:fill="F7F7F8" w:color="auto" w:val="clear"/>
        </w:rPr>
        <w:t>Versus</w:t>
      </w:r>
      <w:r>
        <w:rPr>
          <w:color w:val="374151"/>
          <w:spacing w:val="-13"/>
          <w:sz w:val="28"/>
          <w:shd w:fill="F7F7F8" w:color="auto" w:val="clear"/>
        </w:rPr>
        <w:t> </w:t>
      </w:r>
      <w:r>
        <w:rPr>
          <w:color w:val="374151"/>
          <w:sz w:val="28"/>
          <w:shd w:fill="F7F7F8" w:color="auto" w:val="clear"/>
        </w:rPr>
        <w:t>Non-LGB-Affirming</w:t>
      </w:r>
      <w:r>
        <w:rPr>
          <w:color w:val="374151"/>
          <w:spacing w:val="-14"/>
          <w:sz w:val="28"/>
          <w:shd w:fill="F7F7F8" w:color="auto" w:val="clear"/>
        </w:rPr>
        <w:t> </w:t>
      </w:r>
      <w:r>
        <w:rPr>
          <w:color w:val="374151"/>
          <w:sz w:val="28"/>
          <w:shd w:fill="F7F7F8" w:color="auto" w:val="clear"/>
        </w:rPr>
        <w:t>Interventions</w:t>
      </w:r>
      <w:r>
        <w:rPr>
          <w:color w:val="374151"/>
          <w:spacing w:val="-14"/>
          <w:sz w:val="28"/>
          <w:shd w:fill="F7F7F8" w:color="auto" w:val="clear"/>
        </w:rPr>
        <w:t> </w:t>
      </w:r>
      <w:r>
        <w:rPr>
          <w:color w:val="374151"/>
          <w:sz w:val="28"/>
          <w:shd w:fill="F7F7F8" w:color="auto" w:val="clear"/>
        </w:rPr>
        <w:t>for</w:t>
      </w:r>
      <w:r>
        <w:rPr>
          <w:color w:val="374151"/>
          <w:spacing w:val="-14"/>
          <w:sz w:val="28"/>
          <w:shd w:fill="F7F7F8" w:color="auto" w:val="clear"/>
        </w:rPr>
        <w:t> </w:t>
      </w:r>
      <w:r>
        <w:rPr>
          <w:color w:val="374151"/>
          <w:spacing w:val="-14"/>
          <w:sz w:val="28"/>
        </w:rPr>
        <w:t> </w:t>
      </w:r>
      <w:r>
        <w:rPr>
          <w:color w:val="374151"/>
          <w:sz w:val="28"/>
          <w:shd w:fill="F7F7F8" w:color="auto" w:val="clear"/>
        </w:rPr>
        <w:t>Sexual Minority Health:</w:t>
      </w:r>
      <w:r>
        <w:rPr>
          <w:color w:val="374151"/>
          <w:spacing w:val="-9"/>
          <w:sz w:val="28"/>
          <w:shd w:fill="F7F7F8" w:color="auto" w:val="clear"/>
        </w:rPr>
        <w:t> </w:t>
      </w:r>
      <w:r>
        <w:rPr>
          <w:color w:val="374151"/>
          <w:sz w:val="28"/>
          <w:shd w:fill="F7F7F8" w:color="auto" w:val="clear"/>
        </w:rPr>
        <w:t>A</w:t>
      </w:r>
      <w:r>
        <w:rPr>
          <w:color w:val="374151"/>
          <w:spacing w:val="-9"/>
          <w:sz w:val="28"/>
          <w:shd w:fill="F7F7F8" w:color="auto" w:val="clear"/>
        </w:rPr>
        <w:t> </w:t>
      </w:r>
      <w:r>
        <w:rPr>
          <w:color w:val="374151"/>
          <w:sz w:val="28"/>
          <w:shd w:fill="F7F7F8" w:color="auto" w:val="clear"/>
        </w:rPr>
        <w:t>Mixed Methods</w:t>
      </w:r>
      <w:r>
        <w:rPr>
          <w:color w:val="374151"/>
          <w:spacing w:val="-9"/>
          <w:sz w:val="28"/>
          <w:shd w:fill="F7F7F8" w:color="auto" w:val="clear"/>
        </w:rPr>
        <w:t> </w:t>
      </w:r>
      <w:r>
        <w:rPr>
          <w:color w:val="374151"/>
          <w:sz w:val="28"/>
          <w:shd w:fill="F7F7F8" w:color="auto" w:val="clear"/>
        </w:rPr>
        <w:t>Analysis. LGBT Health, </w:t>
      </w:r>
      <w:r>
        <w:rPr>
          <w:color w:val="374151"/>
          <w:sz w:val="28"/>
        </w:rPr>
        <w:t> </w:t>
      </w:r>
      <w:r>
        <w:rPr>
          <w:color w:val="374151"/>
          <w:sz w:val="28"/>
          <w:shd w:fill="F7F7F8" w:color="auto" w:val="clear"/>
        </w:rPr>
        <w:t>7(8), 421-428.</w:t>
      </w:r>
    </w:p>
    <w:p>
      <w:pPr>
        <w:pStyle w:val="ListParagraph"/>
        <w:numPr>
          <w:ilvl w:val="0"/>
          <w:numId w:val="13"/>
        </w:numPr>
        <w:tabs>
          <w:tab w:pos="1000" w:val="left" w:leader="none"/>
        </w:tabs>
        <w:spacing w:line="237" w:lineRule="auto" w:before="0" w:after="0"/>
        <w:ind w:left="1000" w:right="586" w:hanging="500"/>
        <w:jc w:val="both"/>
        <w:rPr>
          <w:sz w:val="28"/>
        </w:rPr>
      </w:pPr>
      <w:r>
        <w:rPr>
          <w:color w:val="374151"/>
          <w:sz w:val="28"/>
          <w:shd w:fill="F7F7F8" w:color="auto" w:val="clear"/>
        </w:rPr>
        <w:t>Rodriguez, E. M., Pascale-Hague, D., &amp; Gonzalez-Ramirez, L. (2020). </w:t>
      </w:r>
      <w:r>
        <w:rPr>
          <w:color w:val="374151"/>
          <w:sz w:val="28"/>
        </w:rPr>
        <w:t> </w:t>
      </w:r>
      <w:r>
        <w:rPr>
          <w:color w:val="374151"/>
          <w:sz w:val="28"/>
          <w:shd w:fill="F7F7F8" w:color="auto" w:val="clear"/>
        </w:rPr>
        <w:t>Cultural</w:t>
      </w:r>
      <w:r>
        <w:rPr>
          <w:color w:val="374151"/>
          <w:spacing w:val="-5"/>
          <w:sz w:val="28"/>
          <w:shd w:fill="F7F7F8" w:color="auto" w:val="clear"/>
        </w:rPr>
        <w:t> </w:t>
      </w:r>
      <w:r>
        <w:rPr>
          <w:color w:val="374151"/>
          <w:sz w:val="28"/>
          <w:shd w:fill="F7F7F8" w:color="auto" w:val="clear"/>
        </w:rPr>
        <w:t>Competence</w:t>
      </w:r>
      <w:r>
        <w:rPr>
          <w:color w:val="374151"/>
          <w:spacing w:val="-6"/>
          <w:sz w:val="28"/>
          <w:shd w:fill="F7F7F8" w:color="auto" w:val="clear"/>
        </w:rPr>
        <w:t> </w:t>
      </w:r>
      <w:r>
        <w:rPr>
          <w:color w:val="374151"/>
          <w:sz w:val="28"/>
          <w:shd w:fill="F7F7F8" w:color="auto" w:val="clear"/>
        </w:rPr>
        <w:t>in</w:t>
      </w:r>
      <w:r>
        <w:rPr>
          <w:color w:val="374151"/>
          <w:spacing w:val="-5"/>
          <w:sz w:val="28"/>
          <w:shd w:fill="F7F7F8" w:color="auto" w:val="clear"/>
        </w:rPr>
        <w:t> </w:t>
      </w:r>
      <w:r>
        <w:rPr>
          <w:color w:val="374151"/>
          <w:sz w:val="28"/>
          <w:shd w:fill="F7F7F8" w:color="auto" w:val="clear"/>
        </w:rPr>
        <w:t>Mental</w:t>
      </w:r>
      <w:r>
        <w:rPr>
          <w:color w:val="374151"/>
          <w:spacing w:val="-5"/>
          <w:sz w:val="28"/>
          <w:shd w:fill="F7F7F8" w:color="auto" w:val="clear"/>
        </w:rPr>
        <w:t> </w:t>
      </w:r>
      <w:r>
        <w:rPr>
          <w:color w:val="374151"/>
          <w:sz w:val="28"/>
          <w:shd w:fill="F7F7F8" w:color="auto" w:val="clear"/>
        </w:rPr>
        <w:t>Health</w:t>
      </w:r>
      <w:r>
        <w:rPr>
          <w:color w:val="374151"/>
          <w:spacing w:val="-5"/>
          <w:sz w:val="28"/>
          <w:shd w:fill="F7F7F8" w:color="auto" w:val="clear"/>
        </w:rPr>
        <w:t> </w:t>
      </w:r>
      <w:r>
        <w:rPr>
          <w:color w:val="374151"/>
          <w:sz w:val="28"/>
          <w:shd w:fill="F7F7F8" w:color="auto" w:val="clear"/>
        </w:rPr>
        <w:t>and</w:t>
      </w:r>
      <w:r>
        <w:rPr>
          <w:color w:val="374151"/>
          <w:spacing w:val="-5"/>
          <w:sz w:val="28"/>
          <w:shd w:fill="F7F7F8" w:color="auto" w:val="clear"/>
        </w:rPr>
        <w:t> </w:t>
      </w:r>
      <w:r>
        <w:rPr>
          <w:color w:val="374151"/>
          <w:sz w:val="28"/>
          <w:shd w:fill="F7F7F8" w:color="auto" w:val="clear"/>
        </w:rPr>
        <w:t>School-Based</w:t>
      </w:r>
      <w:r>
        <w:rPr>
          <w:color w:val="374151"/>
          <w:spacing w:val="-5"/>
          <w:sz w:val="28"/>
          <w:shd w:fill="F7F7F8" w:color="auto" w:val="clear"/>
        </w:rPr>
        <w:t> </w:t>
      </w:r>
      <w:r>
        <w:rPr>
          <w:color w:val="374151"/>
          <w:sz w:val="28"/>
          <w:shd w:fill="F7F7F8" w:color="auto" w:val="clear"/>
        </w:rPr>
        <w:t>Interventions</w:t>
      </w:r>
      <w:r>
        <w:rPr>
          <w:color w:val="374151"/>
          <w:spacing w:val="-6"/>
          <w:sz w:val="28"/>
          <w:shd w:fill="F7F7F8" w:color="auto" w:val="clear"/>
        </w:rPr>
        <w:t> </w:t>
      </w:r>
      <w:r>
        <w:rPr>
          <w:color w:val="374151"/>
          <w:spacing w:val="-6"/>
          <w:sz w:val="28"/>
        </w:rPr>
        <w:t> </w:t>
      </w:r>
      <w:r>
        <w:rPr>
          <w:color w:val="374151"/>
          <w:sz w:val="28"/>
          <w:shd w:fill="F7F7F8" w:color="auto" w:val="clear"/>
        </w:rPr>
        <w:t>with</w:t>
      </w:r>
      <w:r>
        <w:rPr>
          <w:color w:val="374151"/>
          <w:spacing w:val="-11"/>
          <w:sz w:val="28"/>
          <w:shd w:fill="F7F7F8" w:color="auto" w:val="clear"/>
        </w:rPr>
        <w:t> </w:t>
      </w:r>
      <w:r>
        <w:rPr>
          <w:color w:val="374151"/>
          <w:sz w:val="28"/>
          <w:shd w:fill="F7F7F8" w:color="auto" w:val="clear"/>
        </w:rPr>
        <w:t>Sexual</w:t>
      </w:r>
      <w:r>
        <w:rPr>
          <w:color w:val="374151"/>
          <w:spacing w:val="-6"/>
          <w:sz w:val="28"/>
          <w:shd w:fill="F7F7F8" w:color="auto" w:val="clear"/>
        </w:rPr>
        <w:t> </w:t>
      </w:r>
      <w:r>
        <w:rPr>
          <w:color w:val="374151"/>
          <w:sz w:val="28"/>
          <w:shd w:fill="F7F7F8" w:color="auto" w:val="clear"/>
        </w:rPr>
        <w:t>and</w:t>
      </w:r>
      <w:r>
        <w:rPr>
          <w:color w:val="374151"/>
          <w:spacing w:val="-6"/>
          <w:sz w:val="28"/>
          <w:shd w:fill="F7F7F8" w:color="auto" w:val="clear"/>
        </w:rPr>
        <w:t> </w:t>
      </w:r>
      <w:r>
        <w:rPr>
          <w:color w:val="374151"/>
          <w:sz w:val="28"/>
          <w:shd w:fill="F7F7F8" w:color="auto" w:val="clear"/>
        </w:rPr>
        <w:t>Gender</w:t>
      </w:r>
      <w:r>
        <w:rPr>
          <w:color w:val="374151"/>
          <w:spacing w:val="-6"/>
          <w:sz w:val="28"/>
          <w:shd w:fill="F7F7F8" w:color="auto" w:val="clear"/>
        </w:rPr>
        <w:t> </w:t>
      </w:r>
      <w:r>
        <w:rPr>
          <w:color w:val="374151"/>
          <w:sz w:val="28"/>
          <w:shd w:fill="F7F7F8" w:color="auto" w:val="clear"/>
        </w:rPr>
        <w:t>Minority</w:t>
      </w:r>
      <w:r>
        <w:rPr>
          <w:color w:val="374151"/>
          <w:spacing w:val="-16"/>
          <w:sz w:val="28"/>
          <w:shd w:fill="F7F7F8" w:color="auto" w:val="clear"/>
        </w:rPr>
        <w:t> </w:t>
      </w:r>
      <w:r>
        <w:rPr>
          <w:color w:val="374151"/>
          <w:sz w:val="28"/>
          <w:shd w:fill="F7F7F8" w:color="auto" w:val="clear"/>
        </w:rPr>
        <w:t>Youth:</w:t>
      </w:r>
      <w:r>
        <w:rPr>
          <w:color w:val="374151"/>
          <w:spacing w:val="-18"/>
          <w:sz w:val="28"/>
          <w:shd w:fill="F7F7F8" w:color="auto" w:val="clear"/>
        </w:rPr>
        <w:t> </w:t>
      </w:r>
      <w:r>
        <w:rPr>
          <w:color w:val="374151"/>
          <w:sz w:val="28"/>
          <w:shd w:fill="F7F7F8" w:color="auto" w:val="clear"/>
        </w:rPr>
        <w:t>A</w:t>
      </w:r>
      <w:r>
        <w:rPr>
          <w:color w:val="374151"/>
          <w:spacing w:val="-17"/>
          <w:sz w:val="28"/>
          <w:shd w:fill="F7F7F8" w:color="auto" w:val="clear"/>
        </w:rPr>
        <w:t> </w:t>
      </w:r>
      <w:r>
        <w:rPr>
          <w:color w:val="374151"/>
          <w:sz w:val="28"/>
          <w:shd w:fill="F7F7F8" w:color="auto" w:val="clear"/>
        </w:rPr>
        <w:t>Scoping</w:t>
      </w:r>
      <w:r>
        <w:rPr>
          <w:color w:val="374151"/>
          <w:spacing w:val="-6"/>
          <w:sz w:val="28"/>
          <w:shd w:fill="F7F7F8" w:color="auto" w:val="clear"/>
        </w:rPr>
        <w:t> </w:t>
      </w:r>
      <w:r>
        <w:rPr>
          <w:color w:val="374151"/>
          <w:sz w:val="28"/>
          <w:shd w:fill="F7F7F8" w:color="auto" w:val="clear"/>
        </w:rPr>
        <w:t>Review.</w:t>
      </w:r>
      <w:r>
        <w:rPr>
          <w:color w:val="374151"/>
          <w:spacing w:val="-6"/>
          <w:sz w:val="28"/>
          <w:shd w:fill="F7F7F8" w:color="auto" w:val="clear"/>
        </w:rPr>
        <w:t> </w:t>
      </w:r>
      <w:r>
        <w:rPr>
          <w:color w:val="374151"/>
          <w:sz w:val="28"/>
          <w:shd w:fill="F7F7F8" w:color="auto" w:val="clear"/>
        </w:rPr>
        <w:t>Journal</w:t>
      </w:r>
      <w:r>
        <w:rPr>
          <w:color w:val="374151"/>
          <w:spacing w:val="-6"/>
          <w:sz w:val="28"/>
          <w:shd w:fill="F7F7F8" w:color="auto" w:val="clear"/>
        </w:rPr>
        <w:t> </w:t>
      </w:r>
      <w:r>
        <w:rPr>
          <w:color w:val="374151"/>
          <w:sz w:val="28"/>
          <w:shd w:fill="F7F7F8" w:color="auto" w:val="clear"/>
        </w:rPr>
        <w:t>of</w:t>
      </w:r>
      <w:r>
        <w:rPr>
          <w:color w:val="374151"/>
          <w:spacing w:val="-7"/>
          <w:sz w:val="28"/>
          <w:shd w:fill="F7F7F8" w:color="auto" w:val="clear"/>
        </w:rPr>
        <w:t> </w:t>
      </w:r>
      <w:r>
        <w:rPr>
          <w:color w:val="374151"/>
          <w:spacing w:val="-7"/>
          <w:sz w:val="28"/>
        </w:rPr>
        <w:t> </w:t>
      </w:r>
      <w:r>
        <w:rPr>
          <w:color w:val="374151"/>
          <w:sz w:val="28"/>
          <w:shd w:fill="F7F7F8" w:color="auto" w:val="clear"/>
        </w:rPr>
        <w:t>LGBT Youth, 17(4), 473-497.</w:t>
      </w:r>
    </w:p>
    <w:p>
      <w:pPr>
        <w:spacing w:after="0" w:line="237" w:lineRule="auto"/>
        <w:jc w:val="both"/>
        <w:rPr>
          <w:sz w:val="28"/>
        </w:rPr>
        <w:sectPr>
          <w:pgSz w:w="12240" w:h="15840"/>
          <w:pgMar w:header="0" w:footer="765" w:top="1260" w:bottom="980" w:left="1400" w:right="1180"/>
        </w:sectPr>
      </w:pPr>
    </w:p>
    <w:p>
      <w:pPr>
        <w:pStyle w:val="Heading1"/>
        <w:numPr>
          <w:ilvl w:val="0"/>
          <w:numId w:val="3"/>
        </w:numPr>
        <w:tabs>
          <w:tab w:pos="616" w:val="left" w:leader="none"/>
        </w:tabs>
        <w:spacing w:line="240" w:lineRule="auto" w:before="70" w:after="0"/>
        <w:ind w:left="616" w:right="0" w:hanging="336"/>
        <w:jc w:val="left"/>
      </w:pPr>
      <w:bookmarkStart w:name="_TOC_250004" w:id="6"/>
      <w:r>
        <w:rPr>
          <w:spacing w:val="-4"/>
        </w:rPr>
        <w:t>Sexual</w:t>
      </w:r>
      <w:r>
        <w:rPr>
          <w:spacing w:val="-26"/>
        </w:rPr>
        <w:t> </w:t>
      </w:r>
      <w:r>
        <w:rPr>
          <w:spacing w:val="-4"/>
        </w:rPr>
        <w:t>Violence</w:t>
      </w:r>
      <w:r>
        <w:rPr>
          <w:spacing w:val="-11"/>
        </w:rPr>
        <w:t> </w:t>
      </w:r>
      <w:r>
        <w:rPr>
          <w:spacing w:val="-4"/>
        </w:rPr>
        <w:t>and</w:t>
      </w:r>
      <w:r>
        <w:rPr>
          <w:spacing w:val="-49"/>
        </w:rPr>
        <w:t> </w:t>
      </w:r>
      <w:bookmarkEnd w:id="6"/>
      <w:r>
        <w:rPr>
          <w:spacing w:val="-4"/>
        </w:rPr>
        <w:t>Abuse</w:t>
      </w:r>
    </w:p>
    <w:p>
      <w:pPr>
        <w:pStyle w:val="BodyText"/>
        <w:spacing w:before="1"/>
        <w:rPr>
          <w:b/>
          <w:sz w:val="48"/>
        </w:rPr>
      </w:pPr>
    </w:p>
    <w:p>
      <w:pPr>
        <w:pStyle w:val="BodyText"/>
        <w:spacing w:line="259" w:lineRule="auto"/>
        <w:ind w:left="400" w:right="697"/>
      </w:pPr>
      <w:r>
        <w:rPr/>
        <w:t>All forms of sexual and sexuality-related violence have multiple negative effects on health and well-being. People living in violent relationships, for example, may be unable to make sexual and reproductive choices, either through direct exposure to forced or coerced sex or because they are unable to control or negotiate regular use of contraception and condoms. This puts them at risk of unwanted pregnancy (for women), and STIs including HIV. Intimate partner violence in pregnancy increases the likelihood of abortion, miscarriage,</w:t>
      </w:r>
      <w:r>
        <w:rPr>
          <w:spacing w:val="-6"/>
        </w:rPr>
        <w:t> </w:t>
      </w:r>
      <w:r>
        <w:rPr/>
        <w:t>stillbirth,</w:t>
      </w:r>
      <w:r>
        <w:rPr>
          <w:spacing w:val="-4"/>
        </w:rPr>
        <w:t> </w:t>
      </w:r>
      <w:r>
        <w:rPr/>
        <w:t>preterm</w:t>
      </w:r>
      <w:r>
        <w:rPr>
          <w:spacing w:val="-4"/>
        </w:rPr>
        <w:t> </w:t>
      </w:r>
      <w:r>
        <w:rPr/>
        <w:t>delivery</w:t>
      </w:r>
      <w:r>
        <w:rPr>
          <w:spacing w:val="-4"/>
        </w:rPr>
        <w:t> </w:t>
      </w:r>
      <w:r>
        <w:rPr/>
        <w:t>and</w:t>
      </w:r>
      <w:r>
        <w:rPr>
          <w:spacing w:val="-4"/>
        </w:rPr>
        <w:t> </w:t>
      </w:r>
      <w:r>
        <w:rPr/>
        <w:t>low</w:t>
      </w:r>
      <w:r>
        <w:rPr>
          <w:spacing w:val="-4"/>
        </w:rPr>
        <w:t> </w:t>
      </w:r>
      <w:r>
        <w:rPr/>
        <w:t>birth</w:t>
      </w:r>
      <w:r>
        <w:rPr>
          <w:spacing w:val="-4"/>
        </w:rPr>
        <w:t> </w:t>
      </w:r>
      <w:r>
        <w:rPr/>
        <w:t>weight.</w:t>
      </w:r>
      <w:r>
        <w:rPr>
          <w:spacing w:val="-31"/>
        </w:rPr>
        <w:t> </w:t>
      </w:r>
      <w:r>
        <w:rPr/>
        <w:t>An</w:t>
      </w:r>
      <w:r>
        <w:rPr>
          <w:spacing w:val="-4"/>
        </w:rPr>
        <w:t> </w:t>
      </w:r>
      <w:r>
        <w:rPr/>
        <w:t>example</w:t>
      </w:r>
      <w:r>
        <w:rPr>
          <w:spacing w:val="-5"/>
        </w:rPr>
        <w:t> </w:t>
      </w:r>
      <w:r>
        <w:rPr/>
        <w:t>of the way in which the law has an impact on sexual health is the legal understanding of rape, which has historically been understood as sexual intercourse by a man with a woman who is not his wife, through force and against her will, involving vaginal penetration by a penis. Under such a definition, women who have been raped by their husbands, women who have been raped anally, men and transgender individuals cannot claim, legitimately, to have been raped. International criminal law has evolved to define rape in much broader terms, covering different invasive acts perpetrated</w:t>
      </w:r>
      <w:r>
        <w:rPr>
          <w:spacing w:val="-2"/>
        </w:rPr>
        <w:t> </w:t>
      </w:r>
      <w:r>
        <w:rPr/>
        <w:t>by</w:t>
      </w:r>
      <w:r>
        <w:rPr>
          <w:spacing w:val="-2"/>
        </w:rPr>
        <w:t> </w:t>
      </w:r>
      <w:r>
        <w:rPr/>
        <w:t>and</w:t>
      </w:r>
      <w:r>
        <w:rPr>
          <w:spacing w:val="-2"/>
        </w:rPr>
        <w:t> </w:t>
      </w:r>
      <w:r>
        <w:rPr/>
        <w:t>against</w:t>
      </w:r>
      <w:r>
        <w:rPr>
          <w:spacing w:val="-2"/>
        </w:rPr>
        <w:t> </w:t>
      </w:r>
      <w:r>
        <w:rPr/>
        <w:t>people</w:t>
      </w:r>
      <w:r>
        <w:rPr>
          <w:spacing w:val="-3"/>
        </w:rPr>
        <w:t> </w:t>
      </w:r>
      <w:r>
        <w:rPr/>
        <w:t>of</w:t>
      </w:r>
      <w:r>
        <w:rPr>
          <w:spacing w:val="-2"/>
        </w:rPr>
        <w:t> </w:t>
      </w:r>
      <w:r>
        <w:rPr/>
        <w:t>any</w:t>
      </w:r>
      <w:r>
        <w:rPr>
          <w:spacing w:val="-2"/>
        </w:rPr>
        <w:t> </w:t>
      </w:r>
      <w:r>
        <w:rPr/>
        <w:t>sex</w:t>
      </w:r>
      <w:r>
        <w:rPr>
          <w:spacing w:val="-2"/>
        </w:rPr>
        <w:t> </w:t>
      </w:r>
      <w:r>
        <w:rPr/>
        <w:t>or</w:t>
      </w:r>
      <w:r>
        <w:rPr>
          <w:spacing w:val="-2"/>
        </w:rPr>
        <w:t> </w:t>
      </w:r>
      <w:r>
        <w:rPr/>
        <w:t>gender,</w:t>
      </w:r>
      <w:r>
        <w:rPr>
          <w:spacing w:val="-2"/>
        </w:rPr>
        <w:t> </w:t>
      </w:r>
      <w:r>
        <w:rPr/>
        <w:t>and</w:t>
      </w:r>
      <w:r>
        <w:rPr>
          <w:spacing w:val="-2"/>
        </w:rPr>
        <w:t> </w:t>
      </w:r>
      <w:r>
        <w:rPr/>
        <w:t>recognizing</w:t>
      </w:r>
      <w:r>
        <w:rPr>
          <w:spacing w:val="-2"/>
        </w:rPr>
        <w:t> </w:t>
      </w:r>
      <w:r>
        <w:rPr/>
        <w:t>that rape within marriage is a crime in all circumstances. Many national laws have been amended over the past decade in line with these human rights standards.</w:t>
      </w:r>
      <w:r>
        <w:rPr>
          <w:spacing w:val="-3"/>
        </w:rPr>
        <w:t> </w:t>
      </w:r>
      <w:r>
        <w:rPr/>
        <w:t>This accommodates access to needed health services for all (unmarried girls and women, men, boys and transgender persons) as well as recourse to due process and redress, which plays a role in health.</w:t>
      </w:r>
    </w:p>
    <w:p>
      <w:pPr>
        <w:pStyle w:val="BodyText"/>
        <w:spacing w:line="259" w:lineRule="auto" w:before="67"/>
        <w:ind w:left="400" w:right="502"/>
        <w:rPr>
          <w:sz w:val="24"/>
        </w:rPr>
      </w:pPr>
      <w:r>
        <w:rPr/>
        <w:t>States have obligations to bring their laws and regulations that affect sexual health into alignment with human rights laws and standards. Removing barriers in access to sexual health information and services, and putting in place</w:t>
      </w:r>
      <w:r>
        <w:rPr>
          <w:spacing w:val="-4"/>
        </w:rPr>
        <w:t> </w:t>
      </w:r>
      <w:r>
        <w:rPr/>
        <w:t>laws</w:t>
      </w:r>
      <w:r>
        <w:rPr>
          <w:spacing w:val="-3"/>
        </w:rPr>
        <w:t> </w:t>
      </w:r>
      <w:r>
        <w:rPr/>
        <w:t>and</w:t>
      </w:r>
      <w:r>
        <w:rPr>
          <w:spacing w:val="-3"/>
        </w:rPr>
        <w:t> </w:t>
      </w:r>
      <w:r>
        <w:rPr/>
        <w:t>regulations</w:t>
      </w:r>
      <w:r>
        <w:rPr>
          <w:spacing w:val="-3"/>
        </w:rPr>
        <w:t> </w:t>
      </w:r>
      <w:r>
        <w:rPr/>
        <w:t>that</w:t>
      </w:r>
      <w:r>
        <w:rPr>
          <w:spacing w:val="-3"/>
        </w:rPr>
        <w:t> </w:t>
      </w:r>
      <w:r>
        <w:rPr/>
        <w:t>aim</w:t>
      </w:r>
      <w:r>
        <w:rPr>
          <w:spacing w:val="-3"/>
        </w:rPr>
        <w:t> </w:t>
      </w:r>
      <w:r>
        <w:rPr/>
        <w:t>to</w:t>
      </w:r>
      <w:r>
        <w:rPr>
          <w:spacing w:val="-3"/>
        </w:rPr>
        <w:t> </w:t>
      </w:r>
      <w:r>
        <w:rPr/>
        <w:t>support</w:t>
      </w:r>
      <w:r>
        <w:rPr>
          <w:spacing w:val="-10"/>
        </w:rPr>
        <w:t> </w:t>
      </w:r>
      <w:r>
        <w:rPr/>
        <w:t>and</w:t>
      </w:r>
      <w:r>
        <w:rPr>
          <w:spacing w:val="-8"/>
        </w:rPr>
        <w:t> </w:t>
      </w:r>
      <w:r>
        <w:rPr/>
        <w:t>promote</w:t>
      </w:r>
      <w:r>
        <w:rPr>
          <w:spacing w:val="-9"/>
        </w:rPr>
        <w:t> </w:t>
      </w:r>
      <w:r>
        <w:rPr/>
        <w:t>sexual</w:t>
      </w:r>
      <w:r>
        <w:rPr>
          <w:spacing w:val="-8"/>
        </w:rPr>
        <w:t> </w:t>
      </w:r>
      <w:r>
        <w:rPr/>
        <w:t>health,</w:t>
      </w:r>
      <w:r>
        <w:rPr>
          <w:spacing w:val="-8"/>
        </w:rPr>
        <w:t> </w:t>
      </w:r>
      <w:r>
        <w:rPr/>
        <w:t>are actions that are also in line with the</w:t>
      </w:r>
      <w:r>
        <w:rPr>
          <w:spacing w:val="-9"/>
        </w:rPr>
        <w:t> </w:t>
      </w:r>
      <w:r>
        <w:rPr/>
        <w:t>World Health Organization’s global reproductive health strategy</w:t>
      </w:r>
      <w:r>
        <w:rPr>
          <w:sz w:val="24"/>
        </w:rPr>
        <w:t>.</w:t>
      </w:r>
    </w:p>
    <w:p>
      <w:pPr>
        <w:pStyle w:val="Heading2"/>
        <w:spacing w:before="71"/>
        <w:ind w:left="400"/>
      </w:pPr>
      <w:r>
        <w:rPr/>
        <w:t>Sexual</w:t>
      </w:r>
      <w:r>
        <w:rPr>
          <w:spacing w:val="-15"/>
        </w:rPr>
        <w:t> </w:t>
      </w:r>
      <w:r>
        <w:rPr/>
        <w:t>and</w:t>
      </w:r>
      <w:r>
        <w:rPr>
          <w:spacing w:val="-10"/>
        </w:rPr>
        <w:t> </w:t>
      </w:r>
      <w:r>
        <w:rPr/>
        <w:t>Sexuality</w:t>
      </w:r>
      <w:r>
        <w:rPr>
          <w:spacing w:val="-10"/>
        </w:rPr>
        <w:t> </w:t>
      </w:r>
      <w:r>
        <w:rPr/>
        <w:t>Related</w:t>
      </w:r>
      <w:r>
        <w:rPr>
          <w:spacing w:val="-14"/>
        </w:rPr>
        <w:t> </w:t>
      </w:r>
      <w:r>
        <w:rPr>
          <w:spacing w:val="-2"/>
        </w:rPr>
        <w:t>Violence</w:t>
      </w:r>
    </w:p>
    <w:p>
      <w:pPr>
        <w:pStyle w:val="BodyText"/>
        <w:spacing w:line="259" w:lineRule="auto" w:before="122"/>
        <w:ind w:left="400" w:right="668"/>
      </w:pPr>
      <w:r>
        <w:rPr/>
        <w:t>Over the past three decades, extensive research in all regions of the world has brought to light the extent of sexual violence and sexuality-related violence. Sexual violence has a profound impact on physical and mental health.</w:t>
      </w:r>
      <w:r>
        <w:rPr>
          <w:spacing w:val="-25"/>
        </w:rPr>
        <w:t> </w:t>
      </w:r>
      <w:r>
        <w:rPr/>
        <w:t>As</w:t>
      </w:r>
      <w:r>
        <w:rPr>
          <w:spacing w:val="-8"/>
        </w:rPr>
        <w:t> </w:t>
      </w:r>
      <w:r>
        <w:rPr/>
        <w:t>well</w:t>
      </w:r>
      <w:r>
        <w:rPr>
          <w:spacing w:val="-5"/>
        </w:rPr>
        <w:t> </w:t>
      </w:r>
      <w:r>
        <w:rPr/>
        <w:t>as</w:t>
      </w:r>
      <w:r>
        <w:rPr>
          <w:spacing w:val="-5"/>
        </w:rPr>
        <w:t> </w:t>
      </w:r>
      <w:r>
        <w:rPr/>
        <w:t>causing</w:t>
      </w:r>
      <w:r>
        <w:rPr>
          <w:spacing w:val="-5"/>
        </w:rPr>
        <w:t> </w:t>
      </w:r>
      <w:r>
        <w:rPr/>
        <w:t>physical</w:t>
      </w:r>
      <w:r>
        <w:rPr>
          <w:spacing w:val="-5"/>
        </w:rPr>
        <w:t> </w:t>
      </w:r>
      <w:r>
        <w:rPr/>
        <w:t>injury,</w:t>
      </w:r>
      <w:r>
        <w:rPr>
          <w:spacing w:val="-5"/>
        </w:rPr>
        <w:t> </w:t>
      </w:r>
      <w:r>
        <w:rPr/>
        <w:t>it</w:t>
      </w:r>
      <w:r>
        <w:rPr>
          <w:spacing w:val="-5"/>
        </w:rPr>
        <w:t> </w:t>
      </w:r>
      <w:r>
        <w:rPr/>
        <w:t>is</w:t>
      </w:r>
      <w:r>
        <w:rPr>
          <w:spacing w:val="-5"/>
        </w:rPr>
        <w:t> </w:t>
      </w:r>
      <w:r>
        <w:rPr/>
        <w:t>associated</w:t>
      </w:r>
      <w:r>
        <w:rPr>
          <w:spacing w:val="-5"/>
        </w:rPr>
        <w:t> </w:t>
      </w:r>
      <w:r>
        <w:rPr/>
        <w:t>with</w:t>
      </w:r>
      <w:r>
        <w:rPr>
          <w:spacing w:val="-5"/>
        </w:rPr>
        <w:t> </w:t>
      </w:r>
      <w:r>
        <w:rPr/>
        <w:t>an</w:t>
      </w:r>
      <w:r>
        <w:rPr>
          <w:spacing w:val="-5"/>
        </w:rPr>
        <w:t> </w:t>
      </w:r>
      <w:r>
        <w:rPr/>
        <w:t>increased risk of a range of sexual and reproductive health problems, with both</w:t>
      </w:r>
    </w:p>
    <w:p>
      <w:pPr>
        <w:spacing w:after="0" w:line="259" w:lineRule="auto"/>
        <w:sectPr>
          <w:pgSz w:w="12240" w:h="15840"/>
          <w:pgMar w:header="0" w:footer="765" w:top="1680" w:bottom="980" w:left="1400" w:right="1180"/>
        </w:sectPr>
      </w:pPr>
    </w:p>
    <w:p>
      <w:pPr>
        <w:pStyle w:val="BodyText"/>
        <w:spacing w:line="259" w:lineRule="auto" w:before="66"/>
        <w:ind w:left="400" w:right="604"/>
      </w:pPr>
      <w:r>
        <w:rPr/>
        <w:t>immediate and long-term consequences. People living in violent relationships, for example, may be</w:t>
      </w:r>
      <w:r>
        <w:rPr>
          <w:spacing w:val="-1"/>
        </w:rPr>
        <w:t> </w:t>
      </w:r>
      <w:r>
        <w:rPr/>
        <w:t>unable</w:t>
      </w:r>
      <w:r>
        <w:rPr>
          <w:spacing w:val="-1"/>
        </w:rPr>
        <w:t> </w:t>
      </w:r>
      <w:r>
        <w:rPr/>
        <w:t>to make</w:t>
      </w:r>
      <w:r>
        <w:rPr>
          <w:spacing w:val="-1"/>
        </w:rPr>
        <w:t> </w:t>
      </w:r>
      <w:r>
        <w:rPr/>
        <w:t>sexual and reproductive choices, either due to being directly subjected to forced or coerced sex, or because</w:t>
      </w:r>
      <w:r>
        <w:rPr>
          <w:spacing w:val="-4"/>
        </w:rPr>
        <w:t> </w:t>
      </w:r>
      <w:r>
        <w:rPr/>
        <w:t>they</w:t>
      </w:r>
      <w:r>
        <w:rPr>
          <w:spacing w:val="-3"/>
        </w:rPr>
        <w:t> </w:t>
      </w:r>
      <w:r>
        <w:rPr/>
        <w:t>are</w:t>
      </w:r>
      <w:r>
        <w:rPr>
          <w:spacing w:val="-4"/>
        </w:rPr>
        <w:t> </w:t>
      </w:r>
      <w:r>
        <w:rPr/>
        <w:t>unable</w:t>
      </w:r>
      <w:r>
        <w:rPr>
          <w:spacing w:val="-4"/>
        </w:rPr>
        <w:t> </w:t>
      </w:r>
      <w:r>
        <w:rPr/>
        <w:t>to</w:t>
      </w:r>
      <w:r>
        <w:rPr>
          <w:spacing w:val="-3"/>
        </w:rPr>
        <w:t> </w:t>
      </w:r>
      <w:r>
        <w:rPr/>
        <w:t>control</w:t>
      </w:r>
      <w:r>
        <w:rPr>
          <w:spacing w:val="-3"/>
        </w:rPr>
        <w:t> </w:t>
      </w:r>
      <w:r>
        <w:rPr/>
        <w:t>or</w:t>
      </w:r>
      <w:r>
        <w:rPr>
          <w:spacing w:val="-3"/>
        </w:rPr>
        <w:t> </w:t>
      </w:r>
      <w:r>
        <w:rPr/>
        <w:t>negotiate</w:t>
      </w:r>
      <w:r>
        <w:rPr>
          <w:spacing w:val="-4"/>
        </w:rPr>
        <w:t> </w:t>
      </w:r>
      <w:r>
        <w:rPr/>
        <w:t>the</w:t>
      </w:r>
      <w:r>
        <w:rPr>
          <w:spacing w:val="-4"/>
        </w:rPr>
        <w:t> </w:t>
      </w:r>
      <w:r>
        <w:rPr/>
        <w:t>use</w:t>
      </w:r>
      <w:r>
        <w:rPr>
          <w:spacing w:val="-4"/>
        </w:rPr>
        <w:t> </w:t>
      </w:r>
      <w:r>
        <w:rPr/>
        <w:t>of</w:t>
      </w:r>
      <w:r>
        <w:rPr>
          <w:spacing w:val="-3"/>
        </w:rPr>
        <w:t> </w:t>
      </w:r>
      <w:r>
        <w:rPr/>
        <w:t>contraception</w:t>
      </w:r>
      <w:r>
        <w:rPr>
          <w:spacing w:val="-3"/>
        </w:rPr>
        <w:t> </w:t>
      </w:r>
      <w:r>
        <w:rPr/>
        <w:t>and condoms. This puts them at risk of unwanted pregnancy and sexually transmitted infections (STIs), including HIV.</w:t>
      </w:r>
    </w:p>
    <w:p>
      <w:pPr>
        <w:pStyle w:val="BodyText"/>
        <w:spacing w:line="259" w:lineRule="auto" w:before="87"/>
        <w:ind w:left="400" w:right="668"/>
      </w:pPr>
      <w:r>
        <w:rPr/>
        <w:t>Intimate</w:t>
      </w:r>
      <w:r>
        <w:rPr>
          <w:spacing w:val="-5"/>
        </w:rPr>
        <w:t> </w:t>
      </w:r>
      <w:r>
        <w:rPr/>
        <w:t>partner</w:t>
      </w:r>
      <w:r>
        <w:rPr>
          <w:spacing w:val="-4"/>
        </w:rPr>
        <w:t> </w:t>
      </w:r>
      <w:r>
        <w:rPr/>
        <w:t>violence</w:t>
      </w:r>
      <w:r>
        <w:rPr>
          <w:spacing w:val="-5"/>
        </w:rPr>
        <w:t> </w:t>
      </w:r>
      <w:r>
        <w:rPr/>
        <w:t>in</w:t>
      </w:r>
      <w:r>
        <w:rPr>
          <w:spacing w:val="-4"/>
        </w:rPr>
        <w:t> </w:t>
      </w:r>
      <w:r>
        <w:rPr/>
        <w:t>pregnancy</w:t>
      </w:r>
      <w:r>
        <w:rPr>
          <w:spacing w:val="-4"/>
        </w:rPr>
        <w:t> </w:t>
      </w:r>
      <w:r>
        <w:rPr/>
        <w:t>increases</w:t>
      </w:r>
      <w:r>
        <w:rPr>
          <w:spacing w:val="-4"/>
        </w:rPr>
        <w:t> </w:t>
      </w:r>
      <w:r>
        <w:rPr/>
        <w:t>the</w:t>
      </w:r>
      <w:r>
        <w:rPr>
          <w:spacing w:val="-5"/>
        </w:rPr>
        <w:t> </w:t>
      </w:r>
      <w:r>
        <w:rPr/>
        <w:t>likelihood</w:t>
      </w:r>
      <w:r>
        <w:rPr>
          <w:spacing w:val="-4"/>
        </w:rPr>
        <w:t> </w:t>
      </w:r>
      <w:r>
        <w:rPr/>
        <w:t>of</w:t>
      </w:r>
      <w:r>
        <w:rPr>
          <w:spacing w:val="-4"/>
        </w:rPr>
        <w:t> </w:t>
      </w:r>
      <w:r>
        <w:rPr/>
        <w:t>abortion, miscarriage, stillbirth, preterm delivery and low birth weight. People subjected</w:t>
      </w:r>
      <w:r>
        <w:rPr>
          <w:spacing w:val="-10"/>
        </w:rPr>
        <w:t> </w:t>
      </w:r>
      <w:r>
        <w:rPr/>
        <w:t>to</w:t>
      </w:r>
      <w:r>
        <w:rPr>
          <w:spacing w:val="-10"/>
        </w:rPr>
        <w:t> </w:t>
      </w:r>
      <w:r>
        <w:rPr/>
        <w:t>violence,</w:t>
      </w:r>
      <w:r>
        <w:rPr>
          <w:spacing w:val="-10"/>
        </w:rPr>
        <w:t> </w:t>
      </w:r>
      <w:r>
        <w:rPr/>
        <w:t>including</w:t>
      </w:r>
      <w:r>
        <w:rPr>
          <w:spacing w:val="-5"/>
        </w:rPr>
        <w:t> </w:t>
      </w:r>
      <w:r>
        <w:rPr/>
        <w:t>sexual</w:t>
      </w:r>
      <w:r>
        <w:rPr>
          <w:spacing w:val="-5"/>
        </w:rPr>
        <w:t> </w:t>
      </w:r>
      <w:r>
        <w:rPr/>
        <w:t>and</w:t>
      </w:r>
      <w:r>
        <w:rPr>
          <w:spacing w:val="-5"/>
        </w:rPr>
        <w:t> </w:t>
      </w:r>
      <w:r>
        <w:rPr/>
        <w:t>sexuality-related</w:t>
      </w:r>
      <w:r>
        <w:rPr>
          <w:spacing w:val="-5"/>
        </w:rPr>
        <w:t> </w:t>
      </w:r>
      <w:r>
        <w:rPr/>
        <w:t>violence,</w:t>
      </w:r>
      <w:r>
        <w:rPr>
          <w:spacing w:val="-5"/>
        </w:rPr>
        <w:t> </w:t>
      </w:r>
      <w:r>
        <w:rPr/>
        <w:t>have been found to be at increased risk of depression, post-traumatic stress disorder, sleep difficulties, eating disorders and emotional distress.</w:t>
      </w:r>
    </w:p>
    <w:p>
      <w:pPr>
        <w:pStyle w:val="BodyText"/>
        <w:spacing w:line="259" w:lineRule="auto" w:before="92"/>
        <w:ind w:left="400" w:right="604"/>
      </w:pPr>
      <w:r>
        <w:rPr/>
        <w:t>Recent global prevalence figures indicate that, overall, 35% of women worldwide have experienced either intimate partner violence or non-partner sexual</w:t>
      </w:r>
      <w:r>
        <w:rPr>
          <w:spacing w:val="-3"/>
        </w:rPr>
        <w:t> </w:t>
      </w:r>
      <w:r>
        <w:rPr/>
        <w:t>violence</w:t>
      </w:r>
      <w:r>
        <w:rPr>
          <w:spacing w:val="-4"/>
        </w:rPr>
        <w:t> </w:t>
      </w:r>
      <w:r>
        <w:rPr/>
        <w:t>in</w:t>
      </w:r>
      <w:r>
        <w:rPr>
          <w:spacing w:val="-3"/>
        </w:rPr>
        <w:t> </w:t>
      </w:r>
      <w:r>
        <w:rPr/>
        <w:t>their</w:t>
      </w:r>
      <w:r>
        <w:rPr>
          <w:spacing w:val="-3"/>
        </w:rPr>
        <w:t> </w:t>
      </w:r>
      <w:r>
        <w:rPr/>
        <w:t>lifetime.</w:t>
      </w:r>
      <w:r>
        <w:rPr>
          <w:spacing w:val="-3"/>
        </w:rPr>
        <w:t> </w:t>
      </w:r>
      <w:r>
        <w:rPr/>
        <w:t>On</w:t>
      </w:r>
      <w:r>
        <w:rPr>
          <w:spacing w:val="-3"/>
        </w:rPr>
        <w:t> </w:t>
      </w:r>
      <w:r>
        <w:rPr/>
        <w:t>average,</w:t>
      </w:r>
      <w:r>
        <w:rPr>
          <w:spacing w:val="-3"/>
        </w:rPr>
        <w:t> </w:t>
      </w:r>
      <w:r>
        <w:rPr/>
        <w:t>30%</w:t>
      </w:r>
      <w:r>
        <w:rPr>
          <w:spacing w:val="-3"/>
        </w:rPr>
        <w:t> </w:t>
      </w:r>
      <w:r>
        <w:rPr/>
        <w:t>of</w:t>
      </w:r>
      <w:r>
        <w:rPr>
          <w:spacing w:val="-3"/>
        </w:rPr>
        <w:t> </w:t>
      </w:r>
      <w:r>
        <w:rPr/>
        <w:t>women</w:t>
      </w:r>
      <w:r>
        <w:rPr>
          <w:spacing w:val="-3"/>
        </w:rPr>
        <w:t> </w:t>
      </w:r>
      <w:r>
        <w:rPr/>
        <w:t>who</w:t>
      </w:r>
      <w:r>
        <w:rPr>
          <w:spacing w:val="-3"/>
        </w:rPr>
        <w:t> </w:t>
      </w:r>
      <w:r>
        <w:rPr/>
        <w:t>have</w:t>
      </w:r>
      <w:r>
        <w:rPr>
          <w:spacing w:val="-4"/>
        </w:rPr>
        <w:t> </w:t>
      </w:r>
      <w:r>
        <w:rPr/>
        <w:t>been in a relationship report that they have</w:t>
      </w:r>
      <w:r>
        <w:rPr>
          <w:spacing w:val="-2"/>
        </w:rPr>
        <w:t> </w:t>
      </w:r>
      <w:r>
        <w:rPr/>
        <w:t>experienced some</w:t>
      </w:r>
      <w:r>
        <w:rPr>
          <w:spacing w:val="-2"/>
        </w:rPr>
        <w:t> </w:t>
      </w:r>
      <w:r>
        <w:rPr/>
        <w:t>form</w:t>
      </w:r>
      <w:r>
        <w:rPr>
          <w:spacing w:val="-2"/>
        </w:rPr>
        <w:t> </w:t>
      </w:r>
      <w:r>
        <w:rPr/>
        <w:t>of physical or sexual violence by their partner. Globally, as many as 38% of murders of women are committed by an intimate partner. Data indicate that there is a higher incidence of sexual violence directed against women and girls.</w:t>
      </w:r>
    </w:p>
    <w:p>
      <w:pPr>
        <w:pStyle w:val="BodyText"/>
        <w:spacing w:line="259" w:lineRule="auto"/>
        <w:ind w:left="400" w:right="694"/>
      </w:pPr>
      <w:r>
        <w:rPr/>
        <w:t>However, sexual violence and sexuality-related violence can be, and is, directed against anyone – women, men, girls, boys, transgender people and intersex people </w:t>
      </w:r>
      <w:r>
        <w:rPr>
          <w:i/>
        </w:rPr>
        <w:t>– </w:t>
      </w:r>
      <w:r>
        <w:rPr/>
        <w:t>and particularly against people in positions of vulnerability, such as people engaged in sex work, migrants, internally displaced persons and refugees, and people with disabilities. For example, increasing attention is being paid to sexual violence against men in conflict situations. In the last decade, sexualized violence against men and boys – including rape, sexual torture, mutilation of the genitals, sexual humiliation, sexual enslavement, forced incest and forced rape – has been reported in 25 armed conflicts across the world. Sexual and sexuality-related violence serve as a form of punishment and control, which may be committed by both non-state actors such as family members, neighbors or co-workers, as well as by agents of the state such as police, with the intention of inducing shame</w:t>
      </w:r>
      <w:r>
        <w:rPr>
          <w:spacing w:val="-4"/>
        </w:rPr>
        <w:t> </w:t>
      </w:r>
      <w:r>
        <w:rPr/>
        <w:t>and</w:t>
      </w:r>
      <w:r>
        <w:rPr>
          <w:spacing w:val="-3"/>
        </w:rPr>
        <w:t> </w:t>
      </w:r>
      <w:r>
        <w:rPr/>
        <w:t>diminishing</w:t>
      </w:r>
      <w:r>
        <w:rPr>
          <w:spacing w:val="-3"/>
        </w:rPr>
        <w:t> </w:t>
      </w:r>
      <w:r>
        <w:rPr/>
        <w:t>the</w:t>
      </w:r>
      <w:r>
        <w:rPr>
          <w:spacing w:val="-4"/>
        </w:rPr>
        <w:t> </w:t>
      </w:r>
      <w:r>
        <w:rPr/>
        <w:t>reputation</w:t>
      </w:r>
      <w:r>
        <w:rPr>
          <w:spacing w:val="-3"/>
        </w:rPr>
        <w:t> </w:t>
      </w:r>
      <w:r>
        <w:rPr/>
        <w:t>of</w:t>
      </w:r>
      <w:r>
        <w:rPr>
          <w:spacing w:val="-3"/>
        </w:rPr>
        <w:t> </w:t>
      </w:r>
      <w:r>
        <w:rPr/>
        <w:t>the</w:t>
      </w:r>
      <w:r>
        <w:rPr>
          <w:spacing w:val="-4"/>
        </w:rPr>
        <w:t> </w:t>
      </w:r>
      <w:r>
        <w:rPr/>
        <w:t>victim</w:t>
      </w:r>
      <w:r>
        <w:rPr>
          <w:spacing w:val="-3"/>
        </w:rPr>
        <w:t> </w:t>
      </w:r>
      <w:r>
        <w:rPr/>
        <w:t>of</w:t>
      </w:r>
      <w:r>
        <w:rPr>
          <w:spacing w:val="-3"/>
        </w:rPr>
        <w:t> </w:t>
      </w:r>
      <w:r>
        <w:rPr/>
        <w:t>violence.</w:t>
      </w:r>
      <w:r>
        <w:rPr>
          <w:spacing w:val="-9"/>
        </w:rPr>
        <w:t> </w:t>
      </w:r>
      <w:r>
        <w:rPr/>
        <w:t>These</w:t>
      </w:r>
      <w:r>
        <w:rPr>
          <w:spacing w:val="-4"/>
        </w:rPr>
        <w:t> </w:t>
      </w:r>
      <w:r>
        <w:rPr/>
        <w:t>forms of violence stem from other forms of inequality, and serve to reinforce hierarchies of power based on gender, class, race, ethnicity, caste, sexual orientation, gender identity and expression, or other important social divisions. Victims of sexual violence may perceive themselves to be responsible, or may actually be held responsible by others, for the violence. They feel shame, dishonor, humiliation, guilt and stigmatization, all of</w:t>
      </w:r>
    </w:p>
    <w:p>
      <w:pPr>
        <w:spacing w:after="0" w:line="259" w:lineRule="auto"/>
        <w:sectPr>
          <w:pgSz w:w="12240" w:h="15840"/>
          <w:pgMar w:header="0" w:footer="765" w:top="1260" w:bottom="980" w:left="1400" w:right="1180"/>
        </w:sectPr>
      </w:pPr>
    </w:p>
    <w:p>
      <w:pPr>
        <w:pStyle w:val="BodyText"/>
        <w:spacing w:line="259" w:lineRule="auto" w:before="66"/>
        <w:ind w:left="400" w:right="1179"/>
        <w:jc w:val="both"/>
      </w:pPr>
      <w:r>
        <w:rPr/>
        <w:t>which</w:t>
      </w:r>
      <w:r>
        <w:rPr>
          <w:spacing w:val="-2"/>
        </w:rPr>
        <w:t> </w:t>
      </w:r>
      <w:r>
        <w:rPr/>
        <w:t>contribute</w:t>
      </w:r>
      <w:r>
        <w:rPr>
          <w:spacing w:val="-3"/>
        </w:rPr>
        <w:t> </w:t>
      </w:r>
      <w:r>
        <w:rPr/>
        <w:t>to</w:t>
      </w:r>
      <w:r>
        <w:rPr>
          <w:spacing w:val="-2"/>
        </w:rPr>
        <w:t> </w:t>
      </w:r>
      <w:r>
        <w:rPr/>
        <w:t>making</w:t>
      </w:r>
      <w:r>
        <w:rPr>
          <w:spacing w:val="-2"/>
        </w:rPr>
        <w:t> </w:t>
      </w:r>
      <w:r>
        <w:rPr/>
        <w:t>it</w:t>
      </w:r>
      <w:r>
        <w:rPr>
          <w:spacing w:val="-6"/>
        </w:rPr>
        <w:t> </w:t>
      </w:r>
      <w:r>
        <w:rPr/>
        <w:t>difficult</w:t>
      </w:r>
      <w:r>
        <w:rPr>
          <w:spacing w:val="-6"/>
        </w:rPr>
        <w:t> </w:t>
      </w:r>
      <w:r>
        <w:rPr/>
        <w:t>to</w:t>
      </w:r>
      <w:r>
        <w:rPr>
          <w:spacing w:val="-6"/>
        </w:rPr>
        <w:t> </w:t>
      </w:r>
      <w:r>
        <w:rPr/>
        <w:t>report</w:t>
      </w:r>
      <w:r>
        <w:rPr>
          <w:spacing w:val="-7"/>
        </w:rPr>
        <w:t> </w:t>
      </w:r>
      <w:r>
        <w:rPr/>
        <w:t>incidents</w:t>
      </w:r>
      <w:r>
        <w:rPr>
          <w:spacing w:val="-6"/>
        </w:rPr>
        <w:t> </w:t>
      </w:r>
      <w:r>
        <w:rPr/>
        <w:t>of</w:t>
      </w:r>
      <w:r>
        <w:rPr>
          <w:spacing w:val="-6"/>
        </w:rPr>
        <w:t> </w:t>
      </w:r>
      <w:r>
        <w:rPr/>
        <w:t>violence,</w:t>
      </w:r>
      <w:r>
        <w:rPr>
          <w:spacing w:val="-6"/>
        </w:rPr>
        <w:t> </w:t>
      </w:r>
      <w:r>
        <w:rPr/>
        <w:t>as well</w:t>
      </w:r>
      <w:r>
        <w:rPr>
          <w:spacing w:val="-8"/>
        </w:rPr>
        <w:t> </w:t>
      </w:r>
      <w:r>
        <w:rPr/>
        <w:t>as</w:t>
      </w:r>
      <w:r>
        <w:rPr>
          <w:spacing w:val="-8"/>
        </w:rPr>
        <w:t> </w:t>
      </w:r>
      <w:r>
        <w:rPr/>
        <w:t>to</w:t>
      </w:r>
      <w:r>
        <w:rPr>
          <w:spacing w:val="-8"/>
        </w:rPr>
        <w:t> </w:t>
      </w:r>
      <w:r>
        <w:rPr/>
        <w:t>seek</w:t>
      </w:r>
      <w:r>
        <w:rPr>
          <w:spacing w:val="-8"/>
        </w:rPr>
        <w:t> </w:t>
      </w:r>
      <w:r>
        <w:rPr/>
        <w:t>treatment</w:t>
      </w:r>
      <w:r>
        <w:rPr>
          <w:spacing w:val="-9"/>
        </w:rPr>
        <w:t> </w:t>
      </w:r>
      <w:r>
        <w:rPr/>
        <w:t>and</w:t>
      </w:r>
      <w:r>
        <w:rPr>
          <w:spacing w:val="-8"/>
        </w:rPr>
        <w:t> </w:t>
      </w:r>
      <w:r>
        <w:rPr/>
        <w:t>care</w:t>
      </w:r>
      <w:r>
        <w:rPr>
          <w:spacing w:val="-9"/>
        </w:rPr>
        <w:t> </w:t>
      </w:r>
      <w:r>
        <w:rPr/>
        <w:t>for</w:t>
      </w:r>
      <w:r>
        <w:rPr>
          <w:spacing w:val="-8"/>
        </w:rPr>
        <w:t> </w:t>
      </w:r>
      <w:r>
        <w:rPr/>
        <w:t>related</w:t>
      </w:r>
      <w:r>
        <w:rPr>
          <w:spacing w:val="-4"/>
        </w:rPr>
        <w:t> </w:t>
      </w:r>
      <w:r>
        <w:rPr/>
        <w:t>physical</w:t>
      </w:r>
      <w:r>
        <w:rPr>
          <w:spacing w:val="-4"/>
        </w:rPr>
        <w:t> </w:t>
      </w:r>
      <w:r>
        <w:rPr/>
        <w:t>and</w:t>
      </w:r>
      <w:r>
        <w:rPr>
          <w:spacing w:val="-4"/>
        </w:rPr>
        <w:t> </w:t>
      </w:r>
      <w:r>
        <w:rPr/>
        <w:t>psychological injuries,</w:t>
      </w:r>
      <w:r>
        <w:rPr>
          <w:spacing w:val="-1"/>
        </w:rPr>
        <w:t> </w:t>
      </w:r>
      <w:r>
        <w:rPr/>
        <w:t>thus</w:t>
      </w:r>
      <w:r>
        <w:rPr>
          <w:spacing w:val="-1"/>
        </w:rPr>
        <w:t> </w:t>
      </w:r>
      <w:r>
        <w:rPr/>
        <w:t>compounding</w:t>
      </w:r>
      <w:r>
        <w:rPr>
          <w:spacing w:val="-1"/>
        </w:rPr>
        <w:t> </w:t>
      </w:r>
      <w:r>
        <w:rPr/>
        <w:t>the</w:t>
      </w:r>
      <w:r>
        <w:rPr>
          <w:spacing w:val="-2"/>
        </w:rPr>
        <w:t> </w:t>
      </w:r>
      <w:r>
        <w:rPr/>
        <w:t>health</w:t>
      </w:r>
      <w:r>
        <w:rPr>
          <w:spacing w:val="-1"/>
        </w:rPr>
        <w:t> </w:t>
      </w:r>
      <w:r>
        <w:rPr/>
        <w:t>problems.</w:t>
      </w:r>
      <w:r>
        <w:rPr>
          <w:spacing w:val="-1"/>
        </w:rPr>
        <w:t> </w:t>
      </w:r>
      <w:r>
        <w:rPr/>
        <w:t>Sexual</w:t>
      </w:r>
      <w:r>
        <w:rPr>
          <w:spacing w:val="-1"/>
        </w:rPr>
        <w:t> </w:t>
      </w:r>
      <w:r>
        <w:rPr/>
        <w:t>violence</w:t>
      </w:r>
      <w:r>
        <w:rPr>
          <w:spacing w:val="-2"/>
        </w:rPr>
        <w:t> </w:t>
      </w:r>
      <w:r>
        <w:rPr/>
        <w:t>is</w:t>
      </w:r>
      <w:r>
        <w:rPr>
          <w:spacing w:val="-1"/>
        </w:rPr>
        <w:t> </w:t>
      </w:r>
      <w:r>
        <w:rPr/>
        <w:t>thus responsible for a significant disease burden.</w:t>
      </w:r>
    </w:p>
    <w:p>
      <w:pPr>
        <w:pStyle w:val="BodyText"/>
        <w:spacing w:line="259" w:lineRule="auto" w:before="73"/>
        <w:ind w:left="400" w:right="648"/>
      </w:pPr>
      <w:r>
        <w:rPr/>
        <w:t>Violence, including sexual violence and sexuality related violence, is a violation of fundamental human rights, most notably the rights to life, to be free from torture and inhuman and degrading treatment, to the highest attainable standard of health, and to bodily integrity, dignity and self- determination.</w:t>
      </w:r>
      <w:r>
        <w:rPr>
          <w:spacing w:val="40"/>
        </w:rPr>
        <w:t> </w:t>
      </w:r>
      <w:r>
        <w:rPr/>
        <w:t>Addressing violence against women in particular, international and regional human rights standards have made clear that the elimination of violence against women is essential for women’s individual and social development and their full and equal participation in all sectors and spheres of society. Human rights bodies have specifically condemned traditional attitudes that regard women as subordinate to men, particularly because they perpetuate practices involving violence or coercion, the effect of which is to deprive women of the enjoyment of many of their human rights. Under international and regional human rights law, states have a responsibility to protect all individuals from all forms of violence. In line with the human rights concept of “due diligence”, which applies to all persons, states must adopt legislative, administrative, social and economic measures necessary to prevent, investigate and punish acts of violence including rape, sexual violence, homophobic violence, female genital mutilation and trafficking into forced prostitution, whether perpetrated by the</w:t>
      </w:r>
      <w:r>
        <w:rPr>
          <w:spacing w:val="-5"/>
        </w:rPr>
        <w:t> </w:t>
      </w:r>
      <w:r>
        <w:rPr/>
        <w:t>state</w:t>
      </w:r>
      <w:r>
        <w:rPr>
          <w:spacing w:val="-5"/>
        </w:rPr>
        <w:t> </w:t>
      </w:r>
      <w:r>
        <w:rPr/>
        <w:t>or</w:t>
      </w:r>
      <w:r>
        <w:rPr>
          <w:spacing w:val="-4"/>
        </w:rPr>
        <w:t> </w:t>
      </w:r>
      <w:r>
        <w:rPr/>
        <w:t>by</w:t>
      </w:r>
      <w:r>
        <w:rPr>
          <w:spacing w:val="-4"/>
        </w:rPr>
        <w:t> </w:t>
      </w:r>
      <w:r>
        <w:rPr/>
        <w:t>private</w:t>
      </w:r>
      <w:r>
        <w:rPr>
          <w:spacing w:val="-5"/>
        </w:rPr>
        <w:t> </w:t>
      </w:r>
      <w:r>
        <w:rPr/>
        <w:t>persons.</w:t>
      </w:r>
      <w:r>
        <w:rPr>
          <w:spacing w:val="-4"/>
        </w:rPr>
        <w:t> </w:t>
      </w:r>
      <w:r>
        <w:rPr/>
        <w:t>States</w:t>
      </w:r>
      <w:r>
        <w:rPr>
          <w:spacing w:val="-4"/>
        </w:rPr>
        <w:t> </w:t>
      </w:r>
      <w:r>
        <w:rPr/>
        <w:t>should</w:t>
      </w:r>
      <w:r>
        <w:rPr>
          <w:spacing w:val="-4"/>
        </w:rPr>
        <w:t> </w:t>
      </w:r>
      <w:r>
        <w:rPr/>
        <w:t>also</w:t>
      </w:r>
      <w:r>
        <w:rPr>
          <w:spacing w:val="-4"/>
        </w:rPr>
        <w:t> </w:t>
      </w:r>
      <w:r>
        <w:rPr/>
        <w:t>provide</w:t>
      </w:r>
      <w:r>
        <w:rPr>
          <w:spacing w:val="-5"/>
        </w:rPr>
        <w:t> </w:t>
      </w:r>
      <w:r>
        <w:rPr/>
        <w:t>effective</w:t>
      </w:r>
      <w:r>
        <w:rPr>
          <w:spacing w:val="-5"/>
        </w:rPr>
        <w:t> </w:t>
      </w:r>
      <w:r>
        <w:rPr/>
        <w:t>remedies, compensation and a mechanism for seeking redress.</w:t>
      </w:r>
    </w:p>
    <w:p>
      <w:pPr>
        <w:pStyle w:val="BodyText"/>
        <w:spacing w:line="259" w:lineRule="auto" w:before="69"/>
        <w:ind w:left="400" w:right="769"/>
      </w:pPr>
      <w:r>
        <w:rPr/>
        <w:t>Many states have adopted national legislation to address the issue of domestic</w:t>
      </w:r>
      <w:r>
        <w:rPr>
          <w:spacing w:val="-14"/>
        </w:rPr>
        <w:t> </w:t>
      </w:r>
      <w:r>
        <w:rPr/>
        <w:t>and</w:t>
      </w:r>
      <w:r>
        <w:rPr>
          <w:spacing w:val="-8"/>
        </w:rPr>
        <w:t> </w:t>
      </w:r>
      <w:r>
        <w:rPr/>
        <w:t>intimate</w:t>
      </w:r>
      <w:r>
        <w:rPr>
          <w:spacing w:val="-9"/>
        </w:rPr>
        <w:t> </w:t>
      </w:r>
      <w:r>
        <w:rPr/>
        <w:t>partner</w:t>
      </w:r>
      <w:r>
        <w:rPr>
          <w:spacing w:val="-8"/>
        </w:rPr>
        <w:t> </w:t>
      </w:r>
      <w:r>
        <w:rPr/>
        <w:t>violence,</w:t>
      </w:r>
      <w:r>
        <w:rPr>
          <w:spacing w:val="-8"/>
        </w:rPr>
        <w:t> </w:t>
      </w:r>
      <w:r>
        <w:rPr/>
        <w:t>including</w:t>
      </w:r>
      <w:r>
        <w:rPr>
          <w:spacing w:val="-8"/>
        </w:rPr>
        <w:t> </w:t>
      </w:r>
      <w:r>
        <w:rPr/>
        <w:t>sexual</w:t>
      </w:r>
      <w:r>
        <w:rPr>
          <w:spacing w:val="-8"/>
        </w:rPr>
        <w:t> </w:t>
      </w:r>
      <w:r>
        <w:rPr/>
        <w:t>violence.</w:t>
      </w:r>
      <w:r>
        <w:rPr>
          <w:spacing w:val="-18"/>
        </w:rPr>
        <w:t> </w:t>
      </w:r>
      <w:r>
        <w:rPr/>
        <w:t>Yet</w:t>
      </w:r>
      <w:r>
        <w:rPr>
          <w:spacing w:val="-8"/>
        </w:rPr>
        <w:t> </w:t>
      </w:r>
      <w:r>
        <w:rPr/>
        <w:t>there are still national laws that do not recognize the diversity of forms or contexts of sexual violence, often leading to serious negative consequences for health and rights. On the other hand, international and regional human rights standards now define the diversity of forms of violence, perpetrators and victims, and a growing number of national laws and jurisprudence reflect this, as highlighted in this chapter.</w:t>
      </w:r>
      <w:r>
        <w:rPr>
          <w:spacing w:val="-7"/>
        </w:rPr>
        <w:t> </w:t>
      </w:r>
      <w:r>
        <w:rPr/>
        <w:t>This section focuses on those forms of violence that are directly sexual or related to sexuality, including rape, child sexual abuse, forced marriage, trafficking into forced prostitution, regardless of the gender or sex of the victim. It also addresses other</w:t>
      </w:r>
      <w:r>
        <w:rPr>
          <w:spacing w:val="-2"/>
        </w:rPr>
        <w:t> </w:t>
      </w:r>
      <w:r>
        <w:rPr/>
        <w:t>forms</w:t>
      </w:r>
      <w:r>
        <w:rPr>
          <w:spacing w:val="-2"/>
        </w:rPr>
        <w:t> </w:t>
      </w:r>
      <w:r>
        <w:rPr/>
        <w:t>of</w:t>
      </w:r>
      <w:r>
        <w:rPr>
          <w:spacing w:val="-2"/>
        </w:rPr>
        <w:t> </w:t>
      </w:r>
      <w:r>
        <w:rPr/>
        <w:t>violence</w:t>
      </w:r>
      <w:r>
        <w:rPr>
          <w:spacing w:val="-3"/>
        </w:rPr>
        <w:t> </w:t>
      </w:r>
      <w:r>
        <w:rPr/>
        <w:t>affecting</w:t>
      </w:r>
      <w:r>
        <w:rPr>
          <w:spacing w:val="-2"/>
        </w:rPr>
        <w:t> </w:t>
      </w:r>
      <w:r>
        <w:rPr/>
        <w:t>bodily</w:t>
      </w:r>
      <w:r>
        <w:rPr>
          <w:spacing w:val="-2"/>
        </w:rPr>
        <w:t> </w:t>
      </w:r>
      <w:r>
        <w:rPr/>
        <w:t>and</w:t>
      </w:r>
      <w:r>
        <w:rPr>
          <w:spacing w:val="-2"/>
        </w:rPr>
        <w:t> </w:t>
      </w:r>
      <w:r>
        <w:rPr/>
        <w:t>sexual</w:t>
      </w:r>
      <w:r>
        <w:rPr>
          <w:spacing w:val="-2"/>
        </w:rPr>
        <w:t> </w:t>
      </w:r>
      <w:r>
        <w:rPr/>
        <w:t>integrity</w:t>
      </w:r>
      <w:r>
        <w:rPr>
          <w:spacing w:val="-2"/>
        </w:rPr>
        <w:t> </w:t>
      </w:r>
      <w:r>
        <w:rPr/>
        <w:t>such</w:t>
      </w:r>
      <w:r>
        <w:rPr>
          <w:spacing w:val="-2"/>
        </w:rPr>
        <w:t> </w:t>
      </w:r>
      <w:r>
        <w:rPr/>
        <w:t>as</w:t>
      </w:r>
      <w:r>
        <w:rPr>
          <w:spacing w:val="-2"/>
        </w:rPr>
        <w:t> </w:t>
      </w:r>
      <w:r>
        <w:rPr/>
        <w:t>female genital mutilation, coercive practices within health services that directly</w:t>
      </w:r>
    </w:p>
    <w:p>
      <w:pPr>
        <w:spacing w:after="0" w:line="259" w:lineRule="auto"/>
        <w:sectPr>
          <w:pgSz w:w="12240" w:h="15840"/>
          <w:pgMar w:header="0" w:footer="765" w:top="1260" w:bottom="980" w:left="1400" w:right="1180"/>
        </w:sectPr>
      </w:pPr>
    </w:p>
    <w:p>
      <w:pPr>
        <w:pStyle w:val="BodyText"/>
        <w:spacing w:line="259" w:lineRule="auto" w:before="66"/>
        <w:ind w:left="400" w:right="502"/>
      </w:pPr>
      <w:r>
        <w:rPr/>
        <w:t>affect people’s sexual and reproductive health, and violence committed against</w:t>
      </w:r>
      <w:r>
        <w:rPr>
          <w:spacing w:val="-4"/>
        </w:rPr>
        <w:t> </w:t>
      </w:r>
      <w:r>
        <w:rPr/>
        <w:t>persons</w:t>
      </w:r>
      <w:r>
        <w:rPr>
          <w:spacing w:val="-4"/>
        </w:rPr>
        <w:t> </w:t>
      </w:r>
      <w:r>
        <w:rPr/>
        <w:t>because</w:t>
      </w:r>
      <w:r>
        <w:rPr>
          <w:spacing w:val="-5"/>
        </w:rPr>
        <w:t> </w:t>
      </w:r>
      <w:r>
        <w:rPr/>
        <w:t>of</w:t>
      </w:r>
      <w:r>
        <w:rPr>
          <w:spacing w:val="-4"/>
        </w:rPr>
        <w:t> </w:t>
      </w:r>
      <w:r>
        <w:rPr/>
        <w:t>their</w:t>
      </w:r>
      <w:r>
        <w:rPr>
          <w:spacing w:val="-4"/>
        </w:rPr>
        <w:t> </w:t>
      </w:r>
      <w:r>
        <w:rPr/>
        <w:t>real</w:t>
      </w:r>
      <w:r>
        <w:rPr>
          <w:spacing w:val="-4"/>
        </w:rPr>
        <w:t> </w:t>
      </w:r>
      <w:r>
        <w:rPr/>
        <w:t>or</w:t>
      </w:r>
      <w:r>
        <w:rPr>
          <w:spacing w:val="-4"/>
        </w:rPr>
        <w:t> </w:t>
      </w:r>
      <w:r>
        <w:rPr/>
        <w:t>perceived</w:t>
      </w:r>
      <w:r>
        <w:rPr>
          <w:spacing w:val="-4"/>
        </w:rPr>
        <w:t> </w:t>
      </w:r>
      <w:r>
        <w:rPr/>
        <w:t>sexual</w:t>
      </w:r>
      <w:r>
        <w:rPr>
          <w:spacing w:val="-4"/>
        </w:rPr>
        <w:t> </w:t>
      </w:r>
      <w:r>
        <w:rPr/>
        <w:t>practices,</w:t>
      </w:r>
      <w:r>
        <w:rPr>
          <w:spacing w:val="-4"/>
        </w:rPr>
        <w:t> </w:t>
      </w:r>
      <w:r>
        <w:rPr/>
        <w:t>behavior and expression, including hate crimes and so-called honor killings.</w:t>
      </w:r>
    </w:p>
    <w:p>
      <w:pPr>
        <w:pStyle w:val="Heading2"/>
        <w:spacing w:line="259" w:lineRule="auto" w:before="87"/>
        <w:ind w:left="400" w:right="925"/>
      </w:pPr>
      <w:r>
        <w:rPr/>
        <w:t>Health,</w:t>
      </w:r>
      <w:r>
        <w:rPr>
          <w:spacing w:val="-10"/>
        </w:rPr>
        <w:t> </w:t>
      </w:r>
      <w:r>
        <w:rPr/>
        <w:t>human</w:t>
      </w:r>
      <w:r>
        <w:rPr>
          <w:spacing w:val="-10"/>
        </w:rPr>
        <w:t> </w:t>
      </w:r>
      <w:r>
        <w:rPr/>
        <w:t>rights</w:t>
      </w:r>
      <w:r>
        <w:rPr>
          <w:spacing w:val="-10"/>
        </w:rPr>
        <w:t> </w:t>
      </w:r>
      <w:r>
        <w:rPr/>
        <w:t>and</w:t>
      </w:r>
      <w:r>
        <w:rPr>
          <w:spacing w:val="-10"/>
        </w:rPr>
        <w:t> </w:t>
      </w:r>
      <w:r>
        <w:rPr/>
        <w:t>legal</w:t>
      </w:r>
      <w:r>
        <w:rPr>
          <w:spacing w:val="-11"/>
        </w:rPr>
        <w:t> </w:t>
      </w:r>
      <w:r>
        <w:rPr/>
        <w:t>implications</w:t>
      </w:r>
      <w:r>
        <w:rPr>
          <w:spacing w:val="-10"/>
        </w:rPr>
        <w:t> </w:t>
      </w:r>
      <w:r>
        <w:rPr/>
        <w:t>of</w:t>
      </w:r>
      <w:r>
        <w:rPr>
          <w:spacing w:val="-10"/>
        </w:rPr>
        <w:t> </w:t>
      </w:r>
      <w:r>
        <w:rPr/>
        <w:t>different</w:t>
      </w:r>
      <w:r>
        <w:rPr>
          <w:spacing w:val="-10"/>
        </w:rPr>
        <w:t> </w:t>
      </w:r>
      <w:r>
        <w:rPr/>
        <w:t>forms</w:t>
      </w:r>
      <w:r>
        <w:rPr>
          <w:spacing w:val="-10"/>
        </w:rPr>
        <w:t> </w:t>
      </w:r>
      <w:r>
        <w:rPr/>
        <w:t>of sexual and sexuality-related violence</w:t>
      </w:r>
    </w:p>
    <w:p>
      <w:pPr>
        <w:spacing w:before="96"/>
        <w:ind w:left="400" w:right="0" w:firstLine="0"/>
        <w:jc w:val="left"/>
        <w:rPr>
          <w:b/>
          <w:sz w:val="28"/>
        </w:rPr>
      </w:pPr>
      <w:r>
        <w:rPr>
          <w:b/>
          <w:sz w:val="28"/>
        </w:rPr>
        <w:t>Sexual</w:t>
      </w:r>
      <w:r>
        <w:rPr>
          <w:b/>
          <w:spacing w:val="-12"/>
          <w:sz w:val="28"/>
        </w:rPr>
        <w:t> </w:t>
      </w:r>
      <w:r>
        <w:rPr>
          <w:b/>
          <w:sz w:val="28"/>
        </w:rPr>
        <w:t>assault</w:t>
      </w:r>
      <w:r>
        <w:rPr>
          <w:b/>
          <w:spacing w:val="-7"/>
          <w:sz w:val="28"/>
        </w:rPr>
        <w:t> </w:t>
      </w:r>
      <w:r>
        <w:rPr>
          <w:b/>
          <w:sz w:val="28"/>
        </w:rPr>
        <w:t>including</w:t>
      </w:r>
      <w:r>
        <w:rPr>
          <w:b/>
          <w:spacing w:val="-5"/>
          <w:sz w:val="28"/>
        </w:rPr>
        <w:t> </w:t>
      </w:r>
      <w:r>
        <w:rPr>
          <w:b/>
          <w:spacing w:val="-4"/>
          <w:sz w:val="28"/>
        </w:rPr>
        <w:t>rape</w:t>
      </w:r>
    </w:p>
    <w:p>
      <w:pPr>
        <w:pStyle w:val="BodyText"/>
        <w:spacing w:line="259" w:lineRule="auto" w:before="122"/>
        <w:ind w:left="400" w:right="628"/>
      </w:pPr>
      <w:r>
        <w:rPr/>
        <w:t>Someone who is sexually assaulted, including someone who is raped or coerced into unwanted sexual intercourse, has little or no control over the situation, and the sexual health consequences are</w:t>
      </w:r>
      <w:r>
        <w:rPr>
          <w:spacing w:val="-2"/>
        </w:rPr>
        <w:t> </w:t>
      </w:r>
      <w:r>
        <w:rPr/>
        <w:t>serious: possible</w:t>
      </w:r>
      <w:r>
        <w:rPr>
          <w:spacing w:val="-1"/>
        </w:rPr>
        <w:t> </w:t>
      </w:r>
      <w:r>
        <w:rPr/>
        <w:t>unwanted pregnancy, and the need for abortion, which might be unsafe; exposure to STIs including HIV; and other reproductive and gynaecological</w:t>
      </w:r>
      <w:r>
        <w:rPr>
          <w:spacing w:val="-3"/>
        </w:rPr>
        <w:t> </w:t>
      </w:r>
      <w:r>
        <w:rPr/>
        <w:t>morbidities. Cases are often unreported or undocumented because people who are sexually assaulted often suffer feelings of shame, blame or psychological distress, and because the responses they get from formal institutions (police, judiciary, health), as well as from community members, are frequently unsympathetic, discriminatory and traumatizing. Very few cases of rape, for example, are actually reported to the police, making it almost impossible to estimate the actual extent of rape worldwide, but it occurs in all countries of the world, both within and outside marriage and intimate partnerships. It is also widespread in times of conflict. The legal understanding of sexual assault and rape has been historically narrow in scope. Rape, for example, has traditionally been understood as “unlawful” sexual intercourse by a man with a woman who is not his wife, through force and against her will, and involving vaginal penetration by a penis. Under such a definition, women who</w:t>
      </w:r>
      <w:r>
        <w:rPr>
          <w:spacing w:val="-5"/>
        </w:rPr>
        <w:t> </w:t>
      </w:r>
      <w:r>
        <w:rPr/>
        <w:t>have</w:t>
      </w:r>
      <w:r>
        <w:rPr>
          <w:spacing w:val="-6"/>
        </w:rPr>
        <w:t> </w:t>
      </w:r>
      <w:r>
        <w:rPr/>
        <w:t>been</w:t>
      </w:r>
      <w:r>
        <w:rPr>
          <w:spacing w:val="-5"/>
        </w:rPr>
        <w:t> </w:t>
      </w:r>
      <w:r>
        <w:rPr/>
        <w:t>raped</w:t>
      </w:r>
      <w:r>
        <w:rPr>
          <w:spacing w:val="-5"/>
        </w:rPr>
        <w:t> </w:t>
      </w:r>
      <w:r>
        <w:rPr/>
        <w:t>by</w:t>
      </w:r>
      <w:r>
        <w:rPr>
          <w:spacing w:val="-5"/>
        </w:rPr>
        <w:t> </w:t>
      </w:r>
      <w:r>
        <w:rPr/>
        <w:t>their</w:t>
      </w:r>
      <w:r>
        <w:rPr>
          <w:spacing w:val="-5"/>
        </w:rPr>
        <w:t> </w:t>
      </w:r>
      <w:r>
        <w:rPr/>
        <w:t>husbands,</w:t>
      </w:r>
      <w:r>
        <w:rPr>
          <w:spacing w:val="-5"/>
        </w:rPr>
        <w:t> </w:t>
      </w:r>
      <w:r>
        <w:rPr/>
        <w:t>women</w:t>
      </w:r>
      <w:r>
        <w:rPr>
          <w:spacing w:val="-5"/>
        </w:rPr>
        <w:t> </w:t>
      </w:r>
      <w:r>
        <w:rPr/>
        <w:t>who</w:t>
      </w:r>
      <w:r>
        <w:rPr>
          <w:spacing w:val="-5"/>
        </w:rPr>
        <w:t> </w:t>
      </w:r>
      <w:r>
        <w:rPr/>
        <w:t>have</w:t>
      </w:r>
      <w:r>
        <w:rPr>
          <w:spacing w:val="-6"/>
        </w:rPr>
        <w:t> </w:t>
      </w:r>
      <w:r>
        <w:rPr/>
        <w:t>been</w:t>
      </w:r>
      <w:r>
        <w:rPr>
          <w:spacing w:val="-5"/>
        </w:rPr>
        <w:t> </w:t>
      </w:r>
      <w:r>
        <w:rPr/>
        <w:t>raped</w:t>
      </w:r>
      <w:r>
        <w:rPr>
          <w:spacing w:val="-5"/>
        </w:rPr>
        <w:t> </w:t>
      </w:r>
      <w:r>
        <w:rPr/>
        <w:t>anally, men and transgender individuals cannot legitimately claim to have been raped. In 2010, international criminal law elaborated the elements of the crime of rape, radically changing this traditional understanding, and these elements have been affirmed by a number of national laws.</w:t>
      </w:r>
      <w:r>
        <w:rPr>
          <w:spacing w:val="-2"/>
        </w:rPr>
        <w:t> </w:t>
      </w:r>
      <w:r>
        <w:rPr/>
        <w:t>The</w:t>
      </w:r>
      <w:r>
        <w:rPr/>
        <w:t> consideration</w:t>
      </w:r>
      <w:r>
        <w:rPr>
          <w:spacing w:val="-4"/>
        </w:rPr>
        <w:t> </w:t>
      </w:r>
      <w:r>
        <w:rPr/>
        <w:t>of</w:t>
      </w:r>
      <w:r>
        <w:rPr>
          <w:spacing w:val="-4"/>
        </w:rPr>
        <w:t> </w:t>
      </w:r>
      <w:r>
        <w:rPr/>
        <w:t>these</w:t>
      </w:r>
      <w:r>
        <w:rPr>
          <w:spacing w:val="-5"/>
        </w:rPr>
        <w:t> </w:t>
      </w:r>
      <w:r>
        <w:rPr/>
        <w:t>elements</w:t>
      </w:r>
      <w:r>
        <w:rPr>
          <w:spacing w:val="-4"/>
        </w:rPr>
        <w:t> </w:t>
      </w:r>
      <w:r>
        <w:rPr/>
        <w:t>requires,</w:t>
      </w:r>
      <w:r>
        <w:rPr>
          <w:spacing w:val="-4"/>
        </w:rPr>
        <w:t> </w:t>
      </w:r>
      <w:r>
        <w:rPr/>
        <w:t>for</w:t>
      </w:r>
      <w:r>
        <w:rPr>
          <w:spacing w:val="-4"/>
        </w:rPr>
        <w:t> </w:t>
      </w:r>
      <w:r>
        <w:rPr/>
        <w:t>example,</w:t>
      </w:r>
      <w:r>
        <w:rPr>
          <w:spacing w:val="-4"/>
        </w:rPr>
        <w:t> </w:t>
      </w:r>
      <w:r>
        <w:rPr/>
        <w:t>a</w:t>
      </w:r>
      <w:r>
        <w:rPr>
          <w:spacing w:val="-5"/>
        </w:rPr>
        <w:t> </w:t>
      </w:r>
      <w:r>
        <w:rPr/>
        <w:t>broader</w:t>
      </w:r>
      <w:r>
        <w:rPr>
          <w:spacing w:val="-4"/>
        </w:rPr>
        <w:t> </w:t>
      </w:r>
      <w:r>
        <w:rPr/>
        <w:t>definition</w:t>
      </w:r>
      <w:r>
        <w:rPr>
          <w:spacing w:val="-4"/>
        </w:rPr>
        <w:t> </w:t>
      </w:r>
      <w:r>
        <w:rPr/>
        <w:t>of what constitutes rape, which should cover coercive “invasion” or “conduct resulting in penetration, however slight, of any part of the</w:t>
      </w:r>
      <w:r>
        <w:rPr>
          <w:spacing w:val="-1"/>
        </w:rPr>
        <w:t> </w:t>
      </w:r>
      <w:r>
        <w:rPr/>
        <w:t>body of the</w:t>
      </w:r>
      <w:r>
        <w:rPr>
          <w:spacing w:val="-1"/>
        </w:rPr>
        <w:t> </w:t>
      </w:r>
      <w:r>
        <w:rPr/>
        <w:t>victim</w:t>
      </w:r>
    </w:p>
    <w:p>
      <w:pPr>
        <w:pStyle w:val="BodyText"/>
        <w:spacing w:line="302" w:lineRule="exact"/>
        <w:ind w:left="400"/>
      </w:pPr>
      <w:r>
        <w:rPr/>
        <w:t>...</w:t>
      </w:r>
      <w:r>
        <w:rPr>
          <w:spacing w:val="-1"/>
        </w:rPr>
        <w:t> </w:t>
      </w:r>
      <w:r>
        <w:rPr/>
        <w:t>with</w:t>
      </w:r>
      <w:r>
        <w:rPr>
          <w:spacing w:val="-1"/>
        </w:rPr>
        <w:t> </w:t>
      </w:r>
      <w:r>
        <w:rPr/>
        <w:t>a</w:t>
      </w:r>
      <w:r>
        <w:rPr>
          <w:spacing w:val="-2"/>
        </w:rPr>
        <w:t> </w:t>
      </w:r>
      <w:r>
        <w:rPr/>
        <w:t>sexual</w:t>
      </w:r>
      <w:r>
        <w:rPr>
          <w:spacing w:val="-1"/>
        </w:rPr>
        <w:t> </w:t>
      </w:r>
      <w:r>
        <w:rPr/>
        <w:t>organ,</w:t>
      </w:r>
      <w:r>
        <w:rPr>
          <w:spacing w:val="-1"/>
        </w:rPr>
        <w:t> </w:t>
      </w:r>
      <w:r>
        <w:rPr/>
        <w:t>or</w:t>
      </w:r>
      <w:r>
        <w:rPr>
          <w:spacing w:val="-1"/>
        </w:rPr>
        <w:t> </w:t>
      </w:r>
      <w:r>
        <w:rPr/>
        <w:t>of</w:t>
      </w:r>
      <w:r>
        <w:rPr>
          <w:spacing w:val="-1"/>
        </w:rPr>
        <w:t> </w:t>
      </w:r>
      <w:r>
        <w:rPr/>
        <w:t>the</w:t>
      </w:r>
      <w:r>
        <w:rPr>
          <w:spacing w:val="-2"/>
        </w:rPr>
        <w:t> </w:t>
      </w:r>
      <w:r>
        <w:rPr/>
        <w:t>anal</w:t>
      </w:r>
      <w:r>
        <w:rPr>
          <w:spacing w:val="-1"/>
        </w:rPr>
        <w:t> </w:t>
      </w:r>
      <w:r>
        <w:rPr/>
        <w:t>or</w:t>
      </w:r>
      <w:r>
        <w:rPr>
          <w:spacing w:val="-1"/>
        </w:rPr>
        <w:t> </w:t>
      </w:r>
      <w:r>
        <w:rPr/>
        <w:t>genital</w:t>
      </w:r>
      <w:r>
        <w:rPr>
          <w:spacing w:val="-1"/>
        </w:rPr>
        <w:t> </w:t>
      </w:r>
      <w:r>
        <w:rPr/>
        <w:t>opening</w:t>
      </w:r>
      <w:r>
        <w:rPr>
          <w:spacing w:val="-1"/>
        </w:rPr>
        <w:t> </w:t>
      </w:r>
      <w:r>
        <w:rPr/>
        <w:t>of</w:t>
      </w:r>
      <w:r>
        <w:rPr>
          <w:spacing w:val="-1"/>
        </w:rPr>
        <w:t> </w:t>
      </w:r>
      <w:r>
        <w:rPr/>
        <w:t>the</w:t>
      </w:r>
      <w:r>
        <w:rPr>
          <w:spacing w:val="-2"/>
        </w:rPr>
        <w:t> </w:t>
      </w:r>
      <w:r>
        <w:rPr/>
        <w:t>victim</w:t>
      </w:r>
      <w:r>
        <w:rPr>
          <w:spacing w:val="-1"/>
        </w:rPr>
        <w:t> </w:t>
      </w:r>
      <w:r>
        <w:rPr>
          <w:spacing w:val="-4"/>
        </w:rPr>
        <w:t>with</w:t>
      </w:r>
    </w:p>
    <w:p>
      <w:pPr>
        <w:pStyle w:val="BodyText"/>
        <w:spacing w:line="259" w:lineRule="auto" w:before="25"/>
        <w:ind w:left="400" w:right="672"/>
      </w:pPr>
      <w:r>
        <w:rPr/>
        <w:t>any object or any other part of the body”.</w:t>
      </w:r>
      <w:r>
        <w:rPr>
          <w:spacing w:val="-11"/>
        </w:rPr>
        <w:t> </w:t>
      </w:r>
      <w:r>
        <w:rPr/>
        <w:t>The</w:t>
      </w:r>
      <w:r>
        <w:rPr>
          <w:spacing w:val="-1"/>
        </w:rPr>
        <w:t> </w:t>
      </w:r>
      <w:r>
        <w:rPr/>
        <w:t>definition of rape</w:t>
      </w:r>
      <w:r>
        <w:rPr>
          <w:spacing w:val="-1"/>
        </w:rPr>
        <w:t> </w:t>
      </w:r>
      <w:r>
        <w:rPr/>
        <w:t>should also be broad enough to be gender-neutral, meaning that it can apply to any person of whatever sex or gender. In addition, international and regional human rights laws now recognizes that rape can take place within marriage and</w:t>
      </w:r>
      <w:r>
        <w:rPr>
          <w:spacing w:val="-4"/>
        </w:rPr>
        <w:t> </w:t>
      </w:r>
      <w:r>
        <w:rPr/>
        <w:t>is</w:t>
      </w:r>
      <w:r>
        <w:rPr>
          <w:spacing w:val="-3"/>
        </w:rPr>
        <w:t> </w:t>
      </w:r>
      <w:r>
        <w:rPr/>
        <w:t>a</w:t>
      </w:r>
      <w:r>
        <w:rPr>
          <w:spacing w:val="-4"/>
        </w:rPr>
        <w:t> </w:t>
      </w:r>
      <w:r>
        <w:rPr/>
        <w:t>crime</w:t>
      </w:r>
      <w:r>
        <w:rPr>
          <w:spacing w:val="-4"/>
        </w:rPr>
        <w:t> </w:t>
      </w:r>
      <w:r>
        <w:rPr/>
        <w:t>in</w:t>
      </w:r>
      <w:r>
        <w:rPr>
          <w:spacing w:val="-3"/>
        </w:rPr>
        <w:t> </w:t>
      </w:r>
      <w:r>
        <w:rPr/>
        <w:t>all</w:t>
      </w:r>
      <w:r>
        <w:rPr>
          <w:spacing w:val="-3"/>
        </w:rPr>
        <w:t> </w:t>
      </w:r>
      <w:r>
        <w:rPr/>
        <w:t>circumstances.</w:t>
      </w:r>
      <w:r>
        <w:rPr>
          <w:spacing w:val="-25"/>
        </w:rPr>
        <w:t> </w:t>
      </w:r>
      <w:r>
        <w:rPr/>
        <w:t>At</w:t>
      </w:r>
      <w:r>
        <w:rPr>
          <w:spacing w:val="-3"/>
        </w:rPr>
        <w:t> </w:t>
      </w:r>
      <w:r>
        <w:rPr/>
        <w:t>the</w:t>
      </w:r>
      <w:r>
        <w:rPr>
          <w:spacing w:val="-4"/>
        </w:rPr>
        <w:t> </w:t>
      </w:r>
      <w:r>
        <w:rPr/>
        <w:t>regional</w:t>
      </w:r>
      <w:r>
        <w:rPr>
          <w:spacing w:val="-3"/>
        </w:rPr>
        <w:t> </w:t>
      </w:r>
      <w:r>
        <w:rPr/>
        <w:t>level,</w:t>
      </w:r>
      <w:r>
        <w:rPr>
          <w:spacing w:val="-3"/>
        </w:rPr>
        <w:t> </w:t>
      </w:r>
      <w:r>
        <w:rPr/>
        <w:t>the</w:t>
      </w:r>
      <w:r>
        <w:rPr>
          <w:spacing w:val="-4"/>
        </w:rPr>
        <w:t> </w:t>
      </w:r>
      <w:r>
        <w:rPr/>
        <w:t>language</w:t>
      </w:r>
      <w:r>
        <w:rPr>
          <w:spacing w:val="-4"/>
        </w:rPr>
        <w:t> </w:t>
      </w:r>
      <w:r>
        <w:rPr/>
        <w:t>of</w:t>
      </w:r>
      <w:r>
        <w:rPr>
          <w:spacing w:val="-3"/>
        </w:rPr>
        <w:t> </w:t>
      </w:r>
      <w:r>
        <w:rPr/>
        <w:t>the</w:t>
      </w:r>
    </w:p>
    <w:p>
      <w:pPr>
        <w:spacing w:after="0" w:line="259" w:lineRule="auto"/>
        <w:sectPr>
          <w:pgSz w:w="12240" w:h="15840"/>
          <w:pgMar w:header="0" w:footer="765" w:top="1260" w:bottom="980" w:left="1400" w:right="1180"/>
        </w:sectPr>
      </w:pPr>
    </w:p>
    <w:p>
      <w:pPr>
        <w:pStyle w:val="BodyText"/>
        <w:spacing w:line="259" w:lineRule="auto" w:before="66"/>
        <w:ind w:left="400" w:right="628"/>
      </w:pPr>
      <w:r>
        <w:rPr/>
        <w:t>Protocol to the</w:t>
      </w:r>
      <w:r>
        <w:rPr>
          <w:spacing w:val="-10"/>
        </w:rPr>
        <w:t> </w:t>
      </w:r>
      <w:r>
        <w:rPr/>
        <w:t>African</w:t>
      </w:r>
      <w:r>
        <w:rPr>
          <w:spacing w:val="-6"/>
        </w:rPr>
        <w:t> </w:t>
      </w:r>
      <w:r>
        <w:rPr/>
        <w:t>Charter on Human and Peoples’</w:t>
      </w:r>
      <w:r>
        <w:rPr>
          <w:spacing w:val="-39"/>
        </w:rPr>
        <w:t> </w:t>
      </w:r>
      <w:r>
        <w:rPr/>
        <w:t>Rights on the Rights of</w:t>
      </w:r>
      <w:r>
        <w:rPr>
          <w:spacing w:val="-7"/>
        </w:rPr>
        <w:t> </w:t>
      </w:r>
      <w:r>
        <w:rPr/>
        <w:t>Women in</w:t>
      </w:r>
      <w:r>
        <w:rPr>
          <w:spacing w:val="-27"/>
        </w:rPr>
        <w:t> </w:t>
      </w:r>
      <w:r>
        <w:rPr/>
        <w:t>Africa clearly indicates that immunity cannot be granted to husbands, as states are enjoined to adopt laws that prohibit “all forms of violence against women, including unwanted or forced sex whether the violence takes place in private or in public”. In a similar vein, the European Court of Human Rights has ruled unacceptable the idea of a husband being immune to prosecution for raping his wife, in line with what the Court termed</w:t>
      </w:r>
      <w:r>
        <w:rPr>
          <w:spacing w:val="-5"/>
        </w:rPr>
        <w:t> </w:t>
      </w:r>
      <w:r>
        <w:rPr/>
        <w:t>a</w:t>
      </w:r>
      <w:r>
        <w:rPr>
          <w:spacing w:val="-6"/>
        </w:rPr>
        <w:t> </w:t>
      </w:r>
      <w:r>
        <w:rPr/>
        <w:t>civilized</w:t>
      </w:r>
      <w:r>
        <w:rPr>
          <w:spacing w:val="-3"/>
        </w:rPr>
        <w:t> </w:t>
      </w:r>
      <w:r>
        <w:rPr/>
        <w:t>concept</w:t>
      </w:r>
      <w:r>
        <w:rPr>
          <w:spacing w:val="-3"/>
        </w:rPr>
        <w:t> </w:t>
      </w:r>
      <w:r>
        <w:rPr/>
        <w:t>of</w:t>
      </w:r>
      <w:r>
        <w:rPr>
          <w:spacing w:val="-3"/>
        </w:rPr>
        <w:t> </w:t>
      </w:r>
      <w:r>
        <w:rPr/>
        <w:t>marriage</w:t>
      </w:r>
      <w:r>
        <w:rPr>
          <w:spacing w:val="-4"/>
        </w:rPr>
        <w:t> </w:t>
      </w:r>
      <w:r>
        <w:rPr/>
        <w:t>but</w:t>
      </w:r>
      <w:r>
        <w:rPr>
          <w:spacing w:val="-3"/>
        </w:rPr>
        <w:t> </w:t>
      </w:r>
      <w:r>
        <w:rPr/>
        <w:t>also</w:t>
      </w:r>
      <w:r>
        <w:rPr>
          <w:spacing w:val="-3"/>
        </w:rPr>
        <w:t> </w:t>
      </w:r>
      <w:r>
        <w:rPr/>
        <w:t>with</w:t>
      </w:r>
      <w:r>
        <w:rPr>
          <w:spacing w:val="-3"/>
        </w:rPr>
        <w:t> </w:t>
      </w:r>
      <w:r>
        <w:rPr/>
        <w:t>the</w:t>
      </w:r>
      <w:r>
        <w:rPr>
          <w:spacing w:val="-4"/>
        </w:rPr>
        <w:t> </w:t>
      </w:r>
      <w:r>
        <w:rPr/>
        <w:t>fundamental</w:t>
      </w:r>
      <w:r>
        <w:rPr>
          <w:spacing w:val="-3"/>
        </w:rPr>
        <w:t> </w:t>
      </w:r>
      <w:r>
        <w:rPr/>
        <w:t>right</w:t>
      </w:r>
      <w:r>
        <w:rPr>
          <w:spacing w:val="-3"/>
        </w:rPr>
        <w:t> </w:t>
      </w:r>
      <w:r>
        <w:rPr/>
        <w:t>of respect for human dignity.</w:t>
      </w:r>
    </w:p>
    <w:p>
      <w:pPr>
        <w:pStyle w:val="BodyText"/>
        <w:spacing w:line="254" w:lineRule="auto" w:before="269"/>
        <w:ind w:left="400" w:right="544"/>
      </w:pPr>
      <w:r>
        <w:rPr/>
        <w:t>Many national laws have been amended over the past decade in line with these human rights standards. For example, laws have been changed to recognize</w:t>
      </w:r>
      <w:r>
        <w:rPr>
          <w:spacing w:val="-7"/>
        </w:rPr>
        <w:t> </w:t>
      </w:r>
      <w:r>
        <w:rPr/>
        <w:t>that</w:t>
      </w:r>
      <w:r>
        <w:rPr>
          <w:spacing w:val="-6"/>
        </w:rPr>
        <w:t> </w:t>
      </w:r>
      <w:r>
        <w:rPr/>
        <w:t>marital</w:t>
      </w:r>
      <w:r>
        <w:rPr>
          <w:spacing w:val="-6"/>
        </w:rPr>
        <w:t> </w:t>
      </w:r>
      <w:r>
        <w:rPr/>
        <w:t>rape</w:t>
      </w:r>
      <w:r>
        <w:rPr>
          <w:spacing w:val="-7"/>
        </w:rPr>
        <w:t> </w:t>
      </w:r>
      <w:r>
        <w:rPr/>
        <w:t>is</w:t>
      </w:r>
      <w:r>
        <w:rPr>
          <w:spacing w:val="-6"/>
        </w:rPr>
        <w:t> </w:t>
      </w:r>
      <w:r>
        <w:rPr/>
        <w:t>a</w:t>
      </w:r>
      <w:r>
        <w:rPr>
          <w:spacing w:val="-4"/>
        </w:rPr>
        <w:t> </w:t>
      </w:r>
      <w:r>
        <w:rPr/>
        <w:t>crime;</w:t>
      </w:r>
      <w:r>
        <w:rPr>
          <w:spacing w:val="-3"/>
        </w:rPr>
        <w:t> </w:t>
      </w:r>
      <w:r>
        <w:rPr/>
        <w:t>that</w:t>
      </w:r>
      <w:r>
        <w:rPr>
          <w:spacing w:val="-3"/>
        </w:rPr>
        <w:t> </w:t>
      </w:r>
      <w:r>
        <w:rPr/>
        <w:t>rape</w:t>
      </w:r>
      <w:r>
        <w:rPr>
          <w:spacing w:val="-4"/>
        </w:rPr>
        <w:t> </w:t>
      </w:r>
      <w:r>
        <w:rPr/>
        <w:t>can</w:t>
      </w:r>
      <w:r>
        <w:rPr>
          <w:spacing w:val="-3"/>
        </w:rPr>
        <w:t> </w:t>
      </w:r>
      <w:r>
        <w:rPr/>
        <w:t>be</w:t>
      </w:r>
      <w:r>
        <w:rPr>
          <w:spacing w:val="-4"/>
        </w:rPr>
        <w:t> </w:t>
      </w:r>
      <w:r>
        <w:rPr/>
        <w:t>committed</w:t>
      </w:r>
      <w:r>
        <w:rPr>
          <w:spacing w:val="-3"/>
        </w:rPr>
        <w:t> </w:t>
      </w:r>
      <w:r>
        <w:rPr/>
        <w:t>by</w:t>
      </w:r>
      <w:r>
        <w:rPr>
          <w:spacing w:val="-3"/>
        </w:rPr>
        <w:t> </w:t>
      </w:r>
      <w:r>
        <w:rPr/>
        <w:t>a</w:t>
      </w:r>
      <w:r>
        <w:rPr>
          <w:spacing w:val="-4"/>
        </w:rPr>
        <w:t> </w:t>
      </w:r>
      <w:r>
        <w:rPr/>
        <w:t>person of any gender against another person of any gender; that any act of penetration can be considered as rape; and that evidence of physical force is not required as proof of rape (e.g. South</w:t>
      </w:r>
      <w:r>
        <w:rPr>
          <w:spacing w:val="-26"/>
        </w:rPr>
        <w:t> </w:t>
      </w:r>
      <w:r>
        <w:rPr/>
        <w:t>Africa,</w:t>
      </w:r>
      <w:r>
        <w:rPr>
          <w:spacing w:val="-3"/>
        </w:rPr>
        <w:t> </w:t>
      </w:r>
      <w:r>
        <w:rPr/>
        <w:t>Thailand).</w:t>
      </w:r>
      <w:r>
        <w:rPr>
          <w:spacing w:val="-25"/>
        </w:rPr>
        <w:t> </w:t>
      </w:r>
      <w:r>
        <w:rPr/>
        <w:t>According to international human rights standards, the definition of rape should no longer require corroboration of a victim’s testimony by third parties. In this way, it can no longer be implied that women’s testimony cannot be relied upon.</w:t>
      </w:r>
    </w:p>
    <w:p>
      <w:pPr>
        <w:pStyle w:val="BodyText"/>
        <w:spacing w:line="254" w:lineRule="auto"/>
        <w:ind w:left="400" w:right="502"/>
      </w:pPr>
      <w:r>
        <w:rPr/>
        <w:t>Several national courts and legislatures have removed the requirement for corroboration of a third party to “prove” that rape has taken place.</w:t>
      </w:r>
      <w:r>
        <w:rPr>
          <w:spacing w:val="-1"/>
        </w:rPr>
        <w:t> </w:t>
      </w:r>
      <w:r>
        <w:rPr/>
        <w:t>The South African Supreme Court, for example, specifically stated that such a requirement was “based on an irrational and out-dated perception and unjust stereotyping</w:t>
      </w:r>
      <w:r>
        <w:rPr>
          <w:spacing w:val="40"/>
        </w:rPr>
        <w:t> </w:t>
      </w:r>
      <w:r>
        <w:rPr/>
        <w:t>against women as unreliable victims”, and the Kenyan Court of Appeal</w:t>
      </w:r>
      <w:r>
        <w:rPr>
          <w:spacing w:val="-5"/>
        </w:rPr>
        <w:t> </w:t>
      </w:r>
      <w:r>
        <w:rPr/>
        <w:t>found</w:t>
      </w:r>
      <w:r>
        <w:rPr>
          <w:spacing w:val="-5"/>
        </w:rPr>
        <w:t> </w:t>
      </w:r>
      <w:r>
        <w:rPr/>
        <w:t>that</w:t>
      </w:r>
      <w:r>
        <w:rPr>
          <w:spacing w:val="-5"/>
        </w:rPr>
        <w:t> </w:t>
      </w:r>
      <w:r>
        <w:rPr/>
        <w:t>such</w:t>
      </w:r>
      <w:r>
        <w:rPr>
          <w:spacing w:val="-5"/>
        </w:rPr>
        <w:t> </w:t>
      </w:r>
      <w:r>
        <w:rPr/>
        <w:t>requirement</w:t>
      </w:r>
      <w:r>
        <w:rPr>
          <w:spacing w:val="-5"/>
        </w:rPr>
        <w:t> </w:t>
      </w:r>
      <w:r>
        <w:rPr/>
        <w:t>constitutes</w:t>
      </w:r>
      <w:r>
        <w:rPr>
          <w:spacing w:val="-5"/>
        </w:rPr>
        <w:t> </w:t>
      </w:r>
      <w:r>
        <w:rPr/>
        <w:t>discrimination</w:t>
      </w:r>
      <w:r>
        <w:rPr>
          <w:spacing w:val="-5"/>
        </w:rPr>
        <w:t> </w:t>
      </w:r>
      <w:r>
        <w:rPr/>
        <w:t>against</w:t>
      </w:r>
      <w:r>
        <w:rPr>
          <w:spacing w:val="-5"/>
        </w:rPr>
        <w:t> </w:t>
      </w:r>
      <w:r>
        <w:rPr/>
        <w:t>women and is contrary to the concept of equality. People held in detention, such as prisoners,</w:t>
      </w:r>
      <w:r>
        <w:rPr>
          <w:spacing w:val="-2"/>
        </w:rPr>
        <w:t> </w:t>
      </w:r>
      <w:r>
        <w:rPr/>
        <w:t>can</w:t>
      </w:r>
      <w:r>
        <w:rPr>
          <w:spacing w:val="-2"/>
        </w:rPr>
        <w:t> </w:t>
      </w:r>
      <w:r>
        <w:rPr/>
        <w:t>be</w:t>
      </w:r>
      <w:r>
        <w:rPr>
          <w:spacing w:val="-3"/>
        </w:rPr>
        <w:t> </w:t>
      </w:r>
      <w:r>
        <w:rPr/>
        <w:t>particularly</w:t>
      </w:r>
      <w:r>
        <w:rPr>
          <w:spacing w:val="-2"/>
        </w:rPr>
        <w:t> </w:t>
      </w:r>
      <w:r>
        <w:rPr/>
        <w:t>at</w:t>
      </w:r>
      <w:r>
        <w:rPr>
          <w:spacing w:val="-2"/>
        </w:rPr>
        <w:t> </w:t>
      </w:r>
      <w:r>
        <w:rPr/>
        <w:t>risk</w:t>
      </w:r>
      <w:r>
        <w:rPr>
          <w:spacing w:val="-2"/>
        </w:rPr>
        <w:t> </w:t>
      </w:r>
      <w:r>
        <w:rPr/>
        <w:t>of</w:t>
      </w:r>
      <w:r>
        <w:rPr>
          <w:spacing w:val="-2"/>
        </w:rPr>
        <w:t> </w:t>
      </w:r>
      <w:r>
        <w:rPr/>
        <w:t>sexual</w:t>
      </w:r>
      <w:r>
        <w:rPr>
          <w:spacing w:val="-2"/>
        </w:rPr>
        <w:t> </w:t>
      </w:r>
      <w:r>
        <w:rPr/>
        <w:t>violence,</w:t>
      </w:r>
      <w:r>
        <w:rPr>
          <w:spacing w:val="-2"/>
        </w:rPr>
        <w:t> </w:t>
      </w:r>
      <w:r>
        <w:rPr/>
        <w:t>and</w:t>
      </w:r>
      <w:r>
        <w:rPr>
          <w:spacing w:val="-2"/>
        </w:rPr>
        <w:t> </w:t>
      </w:r>
      <w:r>
        <w:rPr/>
        <w:t>those</w:t>
      </w:r>
      <w:r>
        <w:rPr>
          <w:spacing w:val="-3"/>
        </w:rPr>
        <w:t> </w:t>
      </w:r>
      <w:r>
        <w:rPr/>
        <w:t>who</w:t>
      </w:r>
      <w:r>
        <w:rPr>
          <w:spacing w:val="-2"/>
        </w:rPr>
        <w:t> </w:t>
      </w:r>
      <w:r>
        <w:rPr/>
        <w:t>are</w:t>
      </w:r>
      <w:r>
        <w:rPr>
          <w:spacing w:val="-3"/>
        </w:rPr>
        <w:t> </w:t>
      </w:r>
      <w:r>
        <w:rPr/>
        <w:t>sex workers, homosexuals or transgender, as well as sex offenders, may be at increased risk of sexual violence from other inmates and sometimes also directly from prison guards. Prison authorities’</w:t>
      </w:r>
      <w:r>
        <w:rPr>
          <w:spacing w:val="-6"/>
        </w:rPr>
        <w:t> </w:t>
      </w:r>
      <w:r>
        <w:rPr/>
        <w:t>discriminatory attitudes towards these populations can create a climate in which such violations can easily proliferate. Rape in custodial situations has been regarded as a form of torture</w:t>
      </w:r>
      <w:r>
        <w:rPr>
          <w:spacing w:val="-2"/>
        </w:rPr>
        <w:t> </w:t>
      </w:r>
      <w:r>
        <w:rPr/>
        <w:t>and</w:t>
      </w:r>
      <w:r>
        <w:rPr>
          <w:spacing w:val="-1"/>
        </w:rPr>
        <w:t> </w:t>
      </w:r>
      <w:r>
        <w:rPr/>
        <w:t>cruel,</w:t>
      </w:r>
      <w:r>
        <w:rPr>
          <w:spacing w:val="-1"/>
        </w:rPr>
        <w:t> </w:t>
      </w:r>
      <w:r>
        <w:rPr/>
        <w:t>inhuman</w:t>
      </w:r>
      <w:r>
        <w:rPr>
          <w:spacing w:val="-1"/>
        </w:rPr>
        <w:t> </w:t>
      </w:r>
      <w:r>
        <w:rPr/>
        <w:t>and</w:t>
      </w:r>
      <w:r>
        <w:rPr>
          <w:spacing w:val="-1"/>
        </w:rPr>
        <w:t> </w:t>
      </w:r>
      <w:r>
        <w:rPr/>
        <w:t>degrading</w:t>
      </w:r>
      <w:r>
        <w:rPr>
          <w:spacing w:val="-1"/>
        </w:rPr>
        <w:t> </w:t>
      </w:r>
      <w:r>
        <w:rPr/>
        <w:t>treatment,</w:t>
      </w:r>
      <w:r>
        <w:rPr>
          <w:spacing w:val="-1"/>
        </w:rPr>
        <w:t> </w:t>
      </w:r>
      <w:r>
        <w:rPr/>
        <w:t>and</w:t>
      </w:r>
      <w:r>
        <w:rPr>
          <w:spacing w:val="-1"/>
        </w:rPr>
        <w:t> </w:t>
      </w:r>
      <w:r>
        <w:rPr/>
        <w:t>rape</w:t>
      </w:r>
      <w:r>
        <w:rPr>
          <w:spacing w:val="-2"/>
        </w:rPr>
        <w:t> </w:t>
      </w:r>
      <w:r>
        <w:rPr/>
        <w:t>of</w:t>
      </w:r>
      <w:r>
        <w:rPr>
          <w:spacing w:val="-1"/>
        </w:rPr>
        <w:t> </w:t>
      </w:r>
      <w:r>
        <w:rPr/>
        <w:t>a</w:t>
      </w:r>
      <w:r>
        <w:rPr>
          <w:spacing w:val="-2"/>
        </w:rPr>
        <w:t> </w:t>
      </w:r>
      <w:r>
        <w:rPr/>
        <w:t>detainee</w:t>
      </w:r>
      <w:r>
        <w:rPr>
          <w:spacing w:val="-2"/>
        </w:rPr>
        <w:t> </w:t>
      </w:r>
      <w:r>
        <w:rPr/>
        <w:t>by an official of the state is considered to be an especially grave and abhorrent form of ill treatment, given the ease with which the offender can exploit the vulnerability of his victim. Based on human rights standards, states are called upon to design and implement appropriate measures to prevent all sexual violence in all detention centers, ensure that all allegations of violence in detention centers are investigated promptly and independently, that</w:t>
      </w:r>
    </w:p>
    <w:p>
      <w:pPr>
        <w:spacing w:after="0" w:line="254" w:lineRule="auto"/>
        <w:sectPr>
          <w:pgSz w:w="12240" w:h="15840"/>
          <w:pgMar w:header="0" w:footer="765" w:top="1260" w:bottom="980" w:left="1400" w:right="1180"/>
        </w:sectPr>
      </w:pPr>
    </w:p>
    <w:p>
      <w:pPr>
        <w:pStyle w:val="BodyText"/>
        <w:spacing w:line="254" w:lineRule="auto" w:before="70"/>
        <w:ind w:left="400" w:right="554"/>
      </w:pPr>
      <w:r>
        <w:rPr/>
        <w:t>perpetrators are prosecuted and appropriately sentenced, and that victims can seek redress including appropriate compensation. Some countries have established specific legal protections against prison rape. In the USA, for example, following data collection that confirmed that sexual abuse was a significant problem in prisons, jails and immigrant detention centers, and even</w:t>
      </w:r>
      <w:r>
        <w:rPr>
          <w:spacing w:val="-3"/>
        </w:rPr>
        <w:t> </w:t>
      </w:r>
      <w:r>
        <w:rPr/>
        <w:t>more</w:t>
      </w:r>
      <w:r>
        <w:rPr>
          <w:spacing w:val="-4"/>
        </w:rPr>
        <w:t> </w:t>
      </w:r>
      <w:r>
        <w:rPr/>
        <w:t>likely</w:t>
      </w:r>
      <w:r>
        <w:rPr>
          <w:spacing w:val="-3"/>
        </w:rPr>
        <w:t> </w:t>
      </w:r>
      <w:r>
        <w:rPr/>
        <w:t>in</w:t>
      </w:r>
      <w:r>
        <w:rPr>
          <w:spacing w:val="-3"/>
        </w:rPr>
        <w:t> </w:t>
      </w:r>
      <w:r>
        <w:rPr/>
        <w:t>juvenile</w:t>
      </w:r>
      <w:r>
        <w:rPr>
          <w:spacing w:val="-4"/>
        </w:rPr>
        <w:t> </w:t>
      </w:r>
      <w:r>
        <w:rPr/>
        <w:t>facilities,</w:t>
      </w:r>
      <w:r>
        <w:rPr>
          <w:spacing w:val="-3"/>
        </w:rPr>
        <w:t> </w:t>
      </w:r>
      <w:r>
        <w:rPr/>
        <w:t>a</w:t>
      </w:r>
      <w:r>
        <w:rPr>
          <w:spacing w:val="-4"/>
        </w:rPr>
        <w:t> </w:t>
      </w:r>
      <w:r>
        <w:rPr/>
        <w:t>number</w:t>
      </w:r>
      <w:r>
        <w:rPr>
          <w:spacing w:val="-3"/>
        </w:rPr>
        <w:t> </w:t>
      </w:r>
      <w:r>
        <w:rPr/>
        <w:t>of</w:t>
      </w:r>
      <w:r>
        <w:rPr>
          <w:spacing w:val="-3"/>
        </w:rPr>
        <w:t> </w:t>
      </w:r>
      <w:r>
        <w:rPr/>
        <w:t>standards</w:t>
      </w:r>
      <w:r>
        <w:rPr>
          <w:spacing w:val="-3"/>
        </w:rPr>
        <w:t> </w:t>
      </w:r>
      <w:r>
        <w:rPr/>
        <w:t>have</w:t>
      </w:r>
      <w:r>
        <w:rPr>
          <w:spacing w:val="-4"/>
        </w:rPr>
        <w:t> </w:t>
      </w:r>
      <w:r>
        <w:rPr/>
        <w:t>been</w:t>
      </w:r>
      <w:r>
        <w:rPr>
          <w:spacing w:val="-5"/>
        </w:rPr>
        <w:t> </w:t>
      </w:r>
      <w:r>
        <w:rPr/>
        <w:t>put</w:t>
      </w:r>
      <w:r>
        <w:rPr>
          <w:spacing w:val="-6"/>
        </w:rPr>
        <w:t> </w:t>
      </w:r>
      <w:r>
        <w:rPr/>
        <w:t>in place,</w:t>
      </w:r>
      <w:r>
        <w:rPr>
          <w:spacing w:val="-4"/>
        </w:rPr>
        <w:t> </w:t>
      </w:r>
      <w:r>
        <w:rPr/>
        <w:t>including</w:t>
      </w:r>
      <w:r>
        <w:rPr>
          <w:spacing w:val="-4"/>
        </w:rPr>
        <w:t> </w:t>
      </w:r>
      <w:r>
        <w:rPr/>
        <w:t>prohibition</w:t>
      </w:r>
      <w:r>
        <w:rPr>
          <w:spacing w:val="-4"/>
        </w:rPr>
        <w:t> </w:t>
      </w:r>
      <w:r>
        <w:rPr/>
        <w:t>of</w:t>
      </w:r>
      <w:r>
        <w:rPr>
          <w:spacing w:val="-5"/>
        </w:rPr>
        <w:t> </w:t>
      </w:r>
      <w:r>
        <w:rPr/>
        <w:t>the</w:t>
      </w:r>
      <w:r>
        <w:rPr>
          <w:spacing w:val="-5"/>
        </w:rPr>
        <w:t> </w:t>
      </w:r>
      <w:r>
        <w:rPr/>
        <w:t>hiring</w:t>
      </w:r>
      <w:r>
        <w:rPr>
          <w:spacing w:val="-4"/>
        </w:rPr>
        <w:t> </w:t>
      </w:r>
      <w:r>
        <w:rPr/>
        <w:t>or</w:t>
      </w:r>
      <w:r>
        <w:rPr>
          <w:spacing w:val="-4"/>
        </w:rPr>
        <w:t> </w:t>
      </w:r>
      <w:r>
        <w:rPr/>
        <w:t>promotion</w:t>
      </w:r>
      <w:r>
        <w:rPr>
          <w:spacing w:val="-4"/>
        </w:rPr>
        <w:t> </w:t>
      </w:r>
      <w:r>
        <w:rPr/>
        <w:t>of</w:t>
      </w:r>
      <w:r>
        <w:rPr>
          <w:spacing w:val="-5"/>
        </w:rPr>
        <w:t> </w:t>
      </w:r>
      <w:r>
        <w:rPr/>
        <w:t>staff</w:t>
      </w:r>
      <w:r>
        <w:rPr>
          <w:spacing w:val="-4"/>
        </w:rPr>
        <w:t> </w:t>
      </w:r>
      <w:r>
        <w:rPr/>
        <w:t>who</w:t>
      </w:r>
      <w:r>
        <w:rPr>
          <w:spacing w:val="-4"/>
        </w:rPr>
        <w:t> </w:t>
      </w:r>
      <w:r>
        <w:rPr/>
        <w:t>have</w:t>
      </w:r>
      <w:r>
        <w:rPr>
          <w:spacing w:val="-5"/>
        </w:rPr>
        <w:t> </w:t>
      </w:r>
      <w:r>
        <w:rPr/>
        <w:t>been engaged in coercive sex, and limits on body searches by opposite-sex staff.</w:t>
      </w:r>
    </w:p>
    <w:p>
      <w:pPr>
        <w:pStyle w:val="BodyText"/>
        <w:spacing w:before="7"/>
        <w:rPr>
          <w:sz w:val="32"/>
        </w:rPr>
      </w:pPr>
    </w:p>
    <w:p>
      <w:pPr>
        <w:pStyle w:val="Heading2"/>
        <w:spacing w:before="1"/>
        <w:ind w:left="400"/>
      </w:pPr>
      <w:r>
        <w:rPr/>
        <w:t>Sexual</w:t>
      </w:r>
      <w:r>
        <w:rPr>
          <w:spacing w:val="-18"/>
        </w:rPr>
        <w:t> </w:t>
      </w:r>
      <w:r>
        <w:rPr/>
        <w:t>Abuse</w:t>
      </w:r>
      <w:r>
        <w:rPr>
          <w:spacing w:val="-7"/>
        </w:rPr>
        <w:t> </w:t>
      </w:r>
      <w:r>
        <w:rPr/>
        <w:t>of</w:t>
      </w:r>
      <w:r>
        <w:rPr>
          <w:spacing w:val="-3"/>
        </w:rPr>
        <w:t> </w:t>
      </w:r>
      <w:r>
        <w:rPr>
          <w:spacing w:val="-2"/>
        </w:rPr>
        <w:t>Children</w:t>
      </w:r>
    </w:p>
    <w:p>
      <w:pPr>
        <w:pStyle w:val="BodyText"/>
        <w:spacing w:line="259" w:lineRule="auto" w:before="122"/>
        <w:ind w:left="400" w:right="717"/>
      </w:pPr>
      <w:r>
        <w:rPr/>
        <w:t>Sexual abuse of children (i.e. people under the age of 18) occurs in all regions of the world and is part of a broader phenomenon of child maltreatment. It is a serious violation of a child’s rights to health and protection. Evidence from different parts of the world indicates that up to 20% of women and 5–10% of men report having been sexually abused as children. Sexual abuse of children has not been well documented at a population level, but clinic-based studies have shown severe effects on health, including sexual health, such as injuries, STIs (including HIV), trauma,</w:t>
      </w:r>
      <w:r>
        <w:rPr>
          <w:spacing w:val="-1"/>
        </w:rPr>
        <w:t> </w:t>
      </w:r>
      <w:r>
        <w:rPr/>
        <w:t>depression,</w:t>
      </w:r>
      <w:r>
        <w:rPr>
          <w:spacing w:val="-1"/>
        </w:rPr>
        <w:t> </w:t>
      </w:r>
      <w:r>
        <w:rPr/>
        <w:t>anxiety</w:t>
      </w:r>
      <w:r>
        <w:rPr>
          <w:spacing w:val="-1"/>
        </w:rPr>
        <w:t> </w:t>
      </w:r>
      <w:r>
        <w:rPr/>
        <w:t>and</w:t>
      </w:r>
      <w:r>
        <w:rPr>
          <w:spacing w:val="-1"/>
        </w:rPr>
        <w:t> </w:t>
      </w:r>
      <w:r>
        <w:rPr/>
        <w:t>even</w:t>
      </w:r>
      <w:r>
        <w:rPr>
          <w:spacing w:val="-1"/>
        </w:rPr>
        <w:t> </w:t>
      </w:r>
      <w:r>
        <w:rPr/>
        <w:t>death.</w:t>
      </w:r>
      <w:r>
        <w:rPr>
          <w:spacing w:val="-1"/>
        </w:rPr>
        <w:t> </w:t>
      </w:r>
      <w:r>
        <w:rPr/>
        <w:t>In</w:t>
      </w:r>
      <w:r>
        <w:rPr>
          <w:spacing w:val="-1"/>
        </w:rPr>
        <w:t> </w:t>
      </w:r>
      <w:r>
        <w:rPr/>
        <w:t>older</w:t>
      </w:r>
      <w:r>
        <w:rPr>
          <w:spacing w:val="-1"/>
        </w:rPr>
        <w:t> </w:t>
      </w:r>
      <w:r>
        <w:rPr/>
        <w:t>female</w:t>
      </w:r>
      <w:r>
        <w:rPr>
          <w:spacing w:val="-2"/>
        </w:rPr>
        <w:t> </w:t>
      </w:r>
      <w:r>
        <w:rPr/>
        <w:t>children,</w:t>
      </w:r>
      <w:r>
        <w:rPr>
          <w:spacing w:val="-1"/>
        </w:rPr>
        <w:t> </w:t>
      </w:r>
      <w:r>
        <w:rPr/>
        <w:t>it</w:t>
      </w:r>
      <w:r>
        <w:rPr>
          <w:spacing w:val="-1"/>
        </w:rPr>
        <w:t> </w:t>
      </w:r>
      <w:r>
        <w:rPr/>
        <w:t>may result in unwanted pregnancy and unsafe abortion with potential complications.</w:t>
      </w:r>
      <w:r>
        <w:rPr>
          <w:spacing w:val="-5"/>
        </w:rPr>
        <w:t> </w:t>
      </w:r>
      <w:r>
        <w:rPr/>
        <w:t>Sexually</w:t>
      </w:r>
      <w:r>
        <w:rPr>
          <w:spacing w:val="-5"/>
        </w:rPr>
        <w:t> </w:t>
      </w:r>
      <w:r>
        <w:rPr/>
        <w:t>abused</w:t>
      </w:r>
      <w:r>
        <w:rPr>
          <w:spacing w:val="-5"/>
        </w:rPr>
        <w:t> </w:t>
      </w:r>
      <w:r>
        <w:rPr/>
        <w:t>children</w:t>
      </w:r>
      <w:r>
        <w:rPr>
          <w:spacing w:val="-5"/>
        </w:rPr>
        <w:t> </w:t>
      </w:r>
      <w:r>
        <w:rPr/>
        <w:t>are</w:t>
      </w:r>
      <w:r>
        <w:rPr>
          <w:spacing w:val="-6"/>
        </w:rPr>
        <w:t> </w:t>
      </w:r>
      <w:r>
        <w:rPr/>
        <w:t>at</w:t>
      </w:r>
      <w:r>
        <w:rPr>
          <w:spacing w:val="-5"/>
        </w:rPr>
        <w:t> </w:t>
      </w:r>
      <w:r>
        <w:rPr/>
        <w:t>increased</w:t>
      </w:r>
      <w:r>
        <w:rPr>
          <w:spacing w:val="-5"/>
        </w:rPr>
        <w:t> </w:t>
      </w:r>
      <w:r>
        <w:rPr/>
        <w:t>risk</w:t>
      </w:r>
      <w:r>
        <w:rPr>
          <w:spacing w:val="-5"/>
        </w:rPr>
        <w:t> </w:t>
      </w:r>
      <w:r>
        <w:rPr/>
        <w:t>for</w:t>
      </w:r>
      <w:r>
        <w:rPr>
          <w:spacing w:val="-5"/>
        </w:rPr>
        <w:t> </w:t>
      </w:r>
      <w:r>
        <w:rPr/>
        <w:t>behavioral, physical and mental health problems including depression, smoking, obesity, high-risk sexual behaviors, harmful use of alcohol and drugs, and perpetrating or being a victim of violence. Children are understood to be at risk</w:t>
      </w:r>
      <w:r>
        <w:rPr>
          <w:spacing w:val="-2"/>
        </w:rPr>
        <w:t> </w:t>
      </w:r>
      <w:r>
        <w:rPr/>
        <w:t>of</w:t>
      </w:r>
      <w:r>
        <w:rPr>
          <w:spacing w:val="-2"/>
        </w:rPr>
        <w:t> </w:t>
      </w:r>
      <w:r>
        <w:rPr/>
        <w:t>sexual</w:t>
      </w:r>
      <w:r>
        <w:rPr>
          <w:spacing w:val="-2"/>
        </w:rPr>
        <w:t> </w:t>
      </w:r>
      <w:r>
        <w:rPr/>
        <w:t>harm</w:t>
      </w:r>
      <w:r>
        <w:rPr>
          <w:spacing w:val="-2"/>
        </w:rPr>
        <w:t> </w:t>
      </w:r>
      <w:r>
        <w:rPr/>
        <w:t>in</w:t>
      </w:r>
      <w:r>
        <w:rPr>
          <w:spacing w:val="-2"/>
        </w:rPr>
        <w:t> </w:t>
      </w:r>
      <w:r>
        <w:rPr/>
        <w:t>part</w:t>
      </w:r>
      <w:r>
        <w:rPr>
          <w:spacing w:val="-2"/>
        </w:rPr>
        <w:t> </w:t>
      </w:r>
      <w:r>
        <w:rPr/>
        <w:t>because</w:t>
      </w:r>
      <w:r>
        <w:rPr>
          <w:spacing w:val="-3"/>
        </w:rPr>
        <w:t> </w:t>
      </w:r>
      <w:r>
        <w:rPr/>
        <w:t>they</w:t>
      </w:r>
      <w:r>
        <w:rPr>
          <w:spacing w:val="-2"/>
        </w:rPr>
        <w:t> </w:t>
      </w:r>
      <w:r>
        <w:rPr/>
        <w:t>lack</w:t>
      </w:r>
      <w:r>
        <w:rPr>
          <w:spacing w:val="-2"/>
        </w:rPr>
        <w:t> </w:t>
      </w:r>
      <w:r>
        <w:rPr/>
        <w:t>the</w:t>
      </w:r>
      <w:r>
        <w:rPr>
          <w:spacing w:val="-3"/>
        </w:rPr>
        <w:t> </w:t>
      </w:r>
      <w:r>
        <w:rPr/>
        <w:t>ability</w:t>
      </w:r>
      <w:r>
        <w:rPr>
          <w:spacing w:val="-2"/>
        </w:rPr>
        <w:t> </w:t>
      </w:r>
      <w:r>
        <w:rPr/>
        <w:t>to</w:t>
      </w:r>
      <w:r>
        <w:rPr>
          <w:spacing w:val="-2"/>
        </w:rPr>
        <w:t> </w:t>
      </w:r>
      <w:r>
        <w:rPr/>
        <w:t>claim</w:t>
      </w:r>
      <w:r>
        <w:rPr>
          <w:spacing w:val="-2"/>
        </w:rPr>
        <w:t> </w:t>
      </w:r>
      <w:r>
        <w:rPr/>
        <w:t>their</w:t>
      </w:r>
      <w:r>
        <w:rPr>
          <w:spacing w:val="-2"/>
        </w:rPr>
        <w:t> </w:t>
      </w:r>
      <w:r>
        <w:rPr/>
        <w:t>rights, and also in part because of the power imbalances between younger and older</w:t>
      </w:r>
      <w:r>
        <w:rPr>
          <w:spacing w:val="-3"/>
        </w:rPr>
        <w:t> </w:t>
      </w:r>
      <w:r>
        <w:rPr/>
        <w:t>persons.</w:t>
      </w:r>
      <w:r>
        <w:rPr>
          <w:spacing w:val="-3"/>
        </w:rPr>
        <w:t> </w:t>
      </w:r>
      <w:r>
        <w:rPr/>
        <w:t>International</w:t>
      </w:r>
      <w:r>
        <w:rPr>
          <w:spacing w:val="-3"/>
        </w:rPr>
        <w:t> </w:t>
      </w:r>
      <w:r>
        <w:rPr/>
        <w:t>and</w:t>
      </w:r>
      <w:r>
        <w:rPr>
          <w:spacing w:val="-3"/>
        </w:rPr>
        <w:t> </w:t>
      </w:r>
      <w:r>
        <w:rPr/>
        <w:t>regional</w:t>
      </w:r>
      <w:r>
        <w:rPr>
          <w:spacing w:val="-3"/>
        </w:rPr>
        <w:t> </w:t>
      </w:r>
      <w:r>
        <w:rPr/>
        <w:t>human</w:t>
      </w:r>
      <w:r>
        <w:rPr>
          <w:spacing w:val="-3"/>
        </w:rPr>
        <w:t> </w:t>
      </w:r>
      <w:r>
        <w:rPr/>
        <w:t>rights</w:t>
      </w:r>
      <w:r>
        <w:rPr>
          <w:spacing w:val="-3"/>
        </w:rPr>
        <w:t> </w:t>
      </w:r>
      <w:r>
        <w:rPr/>
        <w:t>standards</w:t>
      </w:r>
      <w:r>
        <w:rPr>
          <w:spacing w:val="-7"/>
        </w:rPr>
        <w:t> </w:t>
      </w:r>
      <w:r>
        <w:rPr/>
        <w:t>provide</w:t>
      </w:r>
      <w:r>
        <w:rPr>
          <w:spacing w:val="-7"/>
        </w:rPr>
        <w:t> </w:t>
      </w:r>
      <w:r>
        <w:rPr/>
        <w:t>the framework for states’</w:t>
      </w:r>
      <w:r>
        <w:rPr>
          <w:spacing w:val="-35"/>
        </w:rPr>
        <w:t> </w:t>
      </w:r>
      <w:r>
        <w:rPr/>
        <w:t>obligations to take all appropriate legislative, administrative, social and educational measures to protect children from all forms of physical or mental violence, injury or abuse, including sexual abuse and to punish the perpetrators of such acts and protect the rights and interests of child victims. Regional standards also encourage children’s participation, according to their evolving capacity,</w:t>
      </w:r>
    </w:p>
    <w:p>
      <w:pPr>
        <w:pStyle w:val="BodyText"/>
        <w:spacing w:line="259" w:lineRule="auto" w:before="67"/>
        <w:ind w:left="400" w:right="502"/>
      </w:pPr>
      <w:r>
        <w:rPr/>
        <w:t>in the design and implementation of relevant state policies, stressing that assistance</w:t>
      </w:r>
      <w:r>
        <w:rPr>
          <w:spacing w:val="-5"/>
        </w:rPr>
        <w:t> </w:t>
      </w:r>
      <w:r>
        <w:rPr/>
        <w:t>to</w:t>
      </w:r>
      <w:r>
        <w:rPr>
          <w:spacing w:val="-5"/>
        </w:rPr>
        <w:t> </w:t>
      </w:r>
      <w:r>
        <w:rPr/>
        <w:t>victims</w:t>
      </w:r>
      <w:r>
        <w:rPr>
          <w:spacing w:val="-5"/>
        </w:rPr>
        <w:t> </w:t>
      </w:r>
      <w:r>
        <w:rPr/>
        <w:t>shall</w:t>
      </w:r>
      <w:r>
        <w:rPr>
          <w:spacing w:val="-5"/>
        </w:rPr>
        <w:t> </w:t>
      </w:r>
      <w:r>
        <w:rPr/>
        <w:t>take</w:t>
      </w:r>
      <w:r>
        <w:rPr>
          <w:spacing w:val="-5"/>
        </w:rPr>
        <w:t> </w:t>
      </w:r>
      <w:r>
        <w:rPr/>
        <w:t>due</w:t>
      </w:r>
      <w:r>
        <w:rPr>
          <w:spacing w:val="-5"/>
        </w:rPr>
        <w:t> </w:t>
      </w:r>
      <w:r>
        <w:rPr/>
        <w:t>account</w:t>
      </w:r>
      <w:r>
        <w:rPr>
          <w:spacing w:val="-5"/>
        </w:rPr>
        <w:t> </w:t>
      </w:r>
      <w:r>
        <w:rPr/>
        <w:t>of</w:t>
      </w:r>
      <w:r>
        <w:rPr>
          <w:spacing w:val="-5"/>
        </w:rPr>
        <w:t> </w:t>
      </w:r>
      <w:r>
        <w:rPr/>
        <w:t>the</w:t>
      </w:r>
      <w:r>
        <w:rPr>
          <w:spacing w:val="-5"/>
        </w:rPr>
        <w:t> </w:t>
      </w:r>
      <w:r>
        <w:rPr/>
        <w:t>child’s</w:t>
      </w:r>
      <w:r>
        <w:rPr>
          <w:spacing w:val="-5"/>
        </w:rPr>
        <w:t> </w:t>
      </w:r>
      <w:r>
        <w:rPr/>
        <w:t>views,</w:t>
      </w:r>
      <w:r>
        <w:rPr>
          <w:spacing w:val="-5"/>
        </w:rPr>
        <w:t> </w:t>
      </w:r>
      <w:r>
        <w:rPr/>
        <w:t>needs</w:t>
      </w:r>
      <w:r>
        <w:rPr>
          <w:spacing w:val="-5"/>
        </w:rPr>
        <w:t> </w:t>
      </w:r>
      <w:r>
        <w:rPr/>
        <w:t>and concerns, and always take into account the best interests of the child.</w:t>
      </w:r>
    </w:p>
    <w:p>
      <w:pPr>
        <w:pStyle w:val="BodyText"/>
        <w:spacing w:line="259" w:lineRule="auto"/>
        <w:ind w:left="400" w:right="668"/>
      </w:pPr>
      <w:r>
        <w:rPr/>
        <w:t>Importantly, the Convention and mental health problems including depression,</w:t>
      </w:r>
      <w:r>
        <w:rPr>
          <w:spacing w:val="-18"/>
        </w:rPr>
        <w:t> </w:t>
      </w:r>
      <w:r>
        <w:rPr/>
        <w:t>smoking,</w:t>
      </w:r>
      <w:r>
        <w:rPr>
          <w:spacing w:val="-15"/>
        </w:rPr>
        <w:t> </w:t>
      </w:r>
      <w:r>
        <w:rPr/>
        <w:t>obesity,</w:t>
      </w:r>
      <w:r>
        <w:rPr>
          <w:spacing w:val="-14"/>
        </w:rPr>
        <w:t> </w:t>
      </w:r>
      <w:r>
        <w:rPr/>
        <w:t>high-risk</w:t>
      </w:r>
      <w:r>
        <w:rPr>
          <w:spacing w:val="-14"/>
        </w:rPr>
        <w:t> </w:t>
      </w:r>
      <w:r>
        <w:rPr/>
        <w:t>sexual</w:t>
      </w:r>
      <w:r>
        <w:rPr>
          <w:spacing w:val="-13"/>
        </w:rPr>
        <w:t> </w:t>
      </w:r>
      <w:r>
        <w:rPr/>
        <w:t>behaviors,</w:t>
      </w:r>
      <w:r>
        <w:rPr>
          <w:spacing w:val="-14"/>
        </w:rPr>
        <w:t> </w:t>
      </w:r>
      <w:r>
        <w:rPr/>
        <w:t>harmful</w:t>
      </w:r>
      <w:r>
        <w:rPr>
          <w:spacing w:val="-14"/>
        </w:rPr>
        <w:t> </w:t>
      </w:r>
      <w:r>
        <w:rPr/>
        <w:t>use</w:t>
      </w:r>
      <w:r>
        <w:rPr>
          <w:spacing w:val="-21"/>
        </w:rPr>
        <w:t> </w:t>
      </w:r>
      <w:r>
        <w:rPr/>
        <w:t>of</w:t>
      </w:r>
    </w:p>
    <w:p>
      <w:pPr>
        <w:spacing w:after="0" w:line="259" w:lineRule="auto"/>
        <w:sectPr>
          <w:pgSz w:w="12240" w:h="15840"/>
          <w:pgMar w:header="0" w:footer="765" w:top="1280" w:bottom="980" w:left="1400" w:right="1180"/>
        </w:sectPr>
      </w:pPr>
    </w:p>
    <w:p>
      <w:pPr>
        <w:pStyle w:val="BodyText"/>
        <w:spacing w:line="259" w:lineRule="auto" w:before="66"/>
        <w:ind w:left="400" w:right="524"/>
      </w:pPr>
      <w:r>
        <w:rPr/>
        <w:t>alcohol and drugs, and perpetrating or being a victim of violence. Children</w:t>
      </w:r>
      <w:r>
        <w:rPr>
          <w:spacing w:val="40"/>
        </w:rPr>
        <w:t> </w:t>
      </w:r>
      <w:r>
        <w:rPr/>
        <w:t>are understood to be at risk of sexual harm in part because they lack the ability to claim their rights, and also in part because of the power imbalances between younger and older persons. International and regional human rights standards provide the framework for states’</w:t>
      </w:r>
      <w:r>
        <w:rPr>
          <w:spacing w:val="-28"/>
        </w:rPr>
        <w:t> </w:t>
      </w:r>
      <w:r>
        <w:rPr/>
        <w:t>obligations to take all appropriate legislative,</w:t>
      </w:r>
      <w:r>
        <w:rPr>
          <w:spacing w:val="-5"/>
        </w:rPr>
        <w:t> </w:t>
      </w:r>
      <w:r>
        <w:rPr/>
        <w:t>administrative,</w:t>
      </w:r>
      <w:r>
        <w:rPr>
          <w:spacing w:val="-5"/>
        </w:rPr>
        <w:t> </w:t>
      </w:r>
      <w:r>
        <w:rPr/>
        <w:t>social</w:t>
      </w:r>
      <w:r>
        <w:rPr>
          <w:spacing w:val="-5"/>
        </w:rPr>
        <w:t> </w:t>
      </w:r>
      <w:r>
        <w:rPr/>
        <w:t>and</w:t>
      </w:r>
      <w:r>
        <w:rPr>
          <w:spacing w:val="-5"/>
        </w:rPr>
        <w:t> </w:t>
      </w:r>
      <w:r>
        <w:rPr/>
        <w:t>educational</w:t>
      </w:r>
      <w:r>
        <w:rPr>
          <w:spacing w:val="-5"/>
        </w:rPr>
        <w:t> </w:t>
      </w:r>
      <w:r>
        <w:rPr/>
        <w:t>measures</w:t>
      </w:r>
      <w:r>
        <w:rPr>
          <w:spacing w:val="-5"/>
        </w:rPr>
        <w:t> </w:t>
      </w:r>
      <w:r>
        <w:rPr/>
        <w:t>to</w:t>
      </w:r>
      <w:r>
        <w:rPr>
          <w:spacing w:val="-5"/>
        </w:rPr>
        <w:t> </w:t>
      </w:r>
      <w:r>
        <w:rPr/>
        <w:t>protect</w:t>
      </w:r>
      <w:r>
        <w:rPr>
          <w:spacing w:val="-5"/>
        </w:rPr>
        <w:t> </w:t>
      </w:r>
      <w:r>
        <w:rPr/>
        <w:t>children from all forms of physical or mental violence, injury or abuse, including sexual abuse and to punish the perpetrators of such acts and protect the rights and interests of child victims. Regional standards also encourage children’s participation, according to their evolving capacity, in the design and implementation of relevant state policies, stressing that assistance to victims shall take due account of the child’s views, needs and concerns, and always take into account the best interests of the child. Importantly, the Convention should closely reflect the</w:t>
      </w:r>
      <w:r>
        <w:rPr>
          <w:spacing w:val="-1"/>
        </w:rPr>
        <w:t> </w:t>
      </w:r>
      <w:r>
        <w:rPr/>
        <w:t>recognition of the</w:t>
      </w:r>
      <w:r>
        <w:rPr>
          <w:spacing w:val="-1"/>
        </w:rPr>
        <w:t> </w:t>
      </w:r>
      <w:r>
        <w:rPr/>
        <w:t>status of people</w:t>
      </w:r>
      <w:r>
        <w:rPr>
          <w:spacing w:val="-1"/>
        </w:rPr>
        <w:t> </w:t>
      </w:r>
      <w:r>
        <w:rPr/>
        <w:t>under 18 years of age as rights holders, in accordance with their evolving capacity, age and </w:t>
      </w:r>
      <w:r>
        <w:rPr>
          <w:spacing w:val="-2"/>
        </w:rPr>
        <w:t>maturity.</w:t>
      </w:r>
    </w:p>
    <w:p>
      <w:pPr>
        <w:pStyle w:val="Heading2"/>
        <w:spacing w:before="75"/>
        <w:ind w:left="400"/>
      </w:pPr>
      <w:r>
        <w:rPr/>
        <w:t>Forced</w:t>
      </w:r>
      <w:r>
        <w:rPr>
          <w:spacing w:val="-19"/>
        </w:rPr>
        <w:t> </w:t>
      </w:r>
      <w:r>
        <w:rPr/>
        <w:t>Marriage</w:t>
      </w:r>
      <w:r>
        <w:rPr>
          <w:spacing w:val="-12"/>
        </w:rPr>
        <w:t> </w:t>
      </w:r>
      <w:r>
        <w:rPr/>
        <w:t>and</w:t>
      </w:r>
      <w:r>
        <w:rPr>
          <w:spacing w:val="-14"/>
        </w:rPr>
        <w:t> </w:t>
      </w:r>
      <w:r>
        <w:rPr/>
        <w:t>Sexuality</w:t>
      </w:r>
      <w:r>
        <w:rPr>
          <w:spacing w:val="-13"/>
        </w:rPr>
        <w:t> </w:t>
      </w:r>
      <w:r>
        <w:rPr/>
        <w:t>Related</w:t>
      </w:r>
      <w:r>
        <w:rPr>
          <w:spacing w:val="-17"/>
        </w:rPr>
        <w:t> </w:t>
      </w:r>
      <w:r>
        <w:rPr>
          <w:spacing w:val="-2"/>
        </w:rPr>
        <w:t>Violence</w:t>
      </w:r>
    </w:p>
    <w:p>
      <w:pPr>
        <w:pStyle w:val="BodyText"/>
        <w:spacing w:line="259" w:lineRule="auto" w:before="123"/>
        <w:ind w:left="400" w:right="672"/>
      </w:pPr>
      <w:r>
        <w:rPr/>
        <w:t>In a number of countries, children and adults – particularly women – may not be able to freely enter into marriage with their full consent for reasons linked to historical subordination, lack of economic independence, sociocultural</w:t>
      </w:r>
      <w:r>
        <w:rPr>
          <w:spacing w:val="-5"/>
        </w:rPr>
        <w:t> </w:t>
      </w:r>
      <w:r>
        <w:rPr/>
        <w:t>tradition</w:t>
      </w:r>
      <w:r>
        <w:rPr>
          <w:spacing w:val="-5"/>
        </w:rPr>
        <w:t> </w:t>
      </w:r>
      <w:r>
        <w:rPr/>
        <w:t>or</w:t>
      </w:r>
      <w:r>
        <w:rPr>
          <w:spacing w:val="-5"/>
        </w:rPr>
        <w:t> </w:t>
      </w:r>
      <w:r>
        <w:rPr/>
        <w:t>family</w:t>
      </w:r>
      <w:r>
        <w:rPr>
          <w:spacing w:val="-5"/>
        </w:rPr>
        <w:t> </w:t>
      </w:r>
      <w:r>
        <w:rPr/>
        <w:t>interest.</w:t>
      </w:r>
      <w:r>
        <w:rPr>
          <w:spacing w:val="-5"/>
        </w:rPr>
        <w:t> </w:t>
      </w:r>
      <w:r>
        <w:rPr/>
        <w:t>Practices</w:t>
      </w:r>
      <w:r>
        <w:rPr>
          <w:spacing w:val="-5"/>
        </w:rPr>
        <w:t> </w:t>
      </w:r>
      <w:r>
        <w:rPr/>
        <w:t>related</w:t>
      </w:r>
      <w:r>
        <w:rPr>
          <w:spacing w:val="-5"/>
        </w:rPr>
        <w:t> </w:t>
      </w:r>
      <w:r>
        <w:rPr/>
        <w:t>to</w:t>
      </w:r>
      <w:r>
        <w:rPr>
          <w:spacing w:val="-5"/>
        </w:rPr>
        <w:t> </w:t>
      </w:r>
      <w:r>
        <w:rPr/>
        <w:t>forced</w:t>
      </w:r>
      <w:r>
        <w:rPr>
          <w:spacing w:val="-5"/>
        </w:rPr>
        <w:t> </w:t>
      </w:r>
      <w:r>
        <w:rPr/>
        <w:t>marriage include child or early marriage, forced marriage in war, conflict and post- conflict</w:t>
      </w:r>
      <w:r>
        <w:rPr>
          <w:spacing w:val="-3"/>
        </w:rPr>
        <w:t> </w:t>
      </w:r>
      <w:r>
        <w:rPr/>
        <w:t>situations,</w:t>
      </w:r>
      <w:r>
        <w:rPr>
          <w:spacing w:val="-3"/>
        </w:rPr>
        <w:t> </w:t>
      </w:r>
      <w:r>
        <w:rPr/>
        <w:t>widow</w:t>
      </w:r>
      <w:r>
        <w:rPr>
          <w:spacing w:val="-3"/>
        </w:rPr>
        <w:t> </w:t>
      </w:r>
      <w:r>
        <w:rPr/>
        <w:t>inheritance,</w:t>
      </w:r>
      <w:r>
        <w:rPr>
          <w:spacing w:val="-3"/>
        </w:rPr>
        <w:t> </w:t>
      </w:r>
      <w:r>
        <w:rPr/>
        <w:t>and</w:t>
      </w:r>
      <w:r>
        <w:rPr>
          <w:spacing w:val="-3"/>
        </w:rPr>
        <w:t> </w:t>
      </w:r>
      <w:r>
        <w:rPr/>
        <w:t>forced</w:t>
      </w:r>
      <w:r>
        <w:rPr>
          <w:spacing w:val="-3"/>
        </w:rPr>
        <w:t> </w:t>
      </w:r>
      <w:r>
        <w:rPr/>
        <w:t>marriage</w:t>
      </w:r>
      <w:r>
        <w:rPr>
          <w:spacing w:val="-5"/>
        </w:rPr>
        <w:t> </w:t>
      </w:r>
      <w:r>
        <w:rPr/>
        <w:t>with</w:t>
      </w:r>
      <w:r>
        <w:rPr>
          <w:spacing w:val="-3"/>
        </w:rPr>
        <w:t> </w:t>
      </w:r>
      <w:r>
        <w:rPr/>
        <w:t>an abductor or rapist.</w:t>
      </w:r>
      <w:r>
        <w:rPr>
          <w:spacing w:val="-23"/>
        </w:rPr>
        <w:t> </w:t>
      </w:r>
      <w:r>
        <w:rPr/>
        <w:t>All such practices have a detrimental effect on the health and well- being of the people involved, and violate fundamental human rights.</w:t>
      </w:r>
    </w:p>
    <w:p>
      <w:pPr>
        <w:pStyle w:val="BodyText"/>
        <w:spacing w:line="259" w:lineRule="auto"/>
        <w:ind w:left="400" w:right="502"/>
      </w:pPr>
      <w:r>
        <w:rPr/>
        <w:t>International human rights standards are unequivocal: “marriage shall be entered into only with the free and full consent of the intending spouses”. Human rights bodies have frequently condemned both early and forced marriage</w:t>
      </w:r>
      <w:r>
        <w:rPr>
          <w:spacing w:val="-7"/>
        </w:rPr>
        <w:t> </w:t>
      </w:r>
      <w:r>
        <w:rPr/>
        <w:t>as</w:t>
      </w:r>
      <w:r>
        <w:rPr>
          <w:spacing w:val="-6"/>
        </w:rPr>
        <w:t> </w:t>
      </w:r>
      <w:r>
        <w:rPr/>
        <w:t>a</w:t>
      </w:r>
      <w:r>
        <w:rPr>
          <w:spacing w:val="-7"/>
        </w:rPr>
        <w:t> </w:t>
      </w:r>
      <w:r>
        <w:rPr/>
        <w:t>violation</w:t>
      </w:r>
      <w:r>
        <w:rPr>
          <w:spacing w:val="-6"/>
        </w:rPr>
        <w:t> </w:t>
      </w:r>
      <w:r>
        <w:rPr/>
        <w:t>of</w:t>
      </w:r>
      <w:r>
        <w:rPr>
          <w:spacing w:val="-6"/>
        </w:rPr>
        <w:t> </w:t>
      </w:r>
      <w:r>
        <w:rPr/>
        <w:t>women’s</w:t>
      </w:r>
      <w:r>
        <w:rPr>
          <w:spacing w:val="-6"/>
        </w:rPr>
        <w:t> </w:t>
      </w:r>
      <w:r>
        <w:rPr/>
        <w:t>rights</w:t>
      </w:r>
      <w:r>
        <w:rPr>
          <w:spacing w:val="-6"/>
        </w:rPr>
        <w:t> </w:t>
      </w:r>
      <w:r>
        <w:rPr/>
        <w:t>and</w:t>
      </w:r>
      <w:r>
        <w:rPr>
          <w:spacing w:val="-6"/>
        </w:rPr>
        <w:t> </w:t>
      </w:r>
      <w:r>
        <w:rPr/>
        <w:t>have</w:t>
      </w:r>
      <w:r>
        <w:rPr>
          <w:spacing w:val="-7"/>
        </w:rPr>
        <w:t> </w:t>
      </w:r>
      <w:r>
        <w:rPr/>
        <w:t>affirmed</w:t>
      </w:r>
      <w:r>
        <w:rPr>
          <w:spacing w:val="-6"/>
        </w:rPr>
        <w:t> </w:t>
      </w:r>
      <w:r>
        <w:rPr/>
        <w:t>that</w:t>
      </w:r>
      <w:r>
        <w:rPr>
          <w:spacing w:val="-6"/>
        </w:rPr>
        <w:t> </w:t>
      </w:r>
      <w:r>
        <w:rPr/>
        <w:t>a</w:t>
      </w:r>
      <w:r>
        <w:rPr>
          <w:spacing w:val="-7"/>
        </w:rPr>
        <w:t> </w:t>
      </w:r>
      <w:r>
        <w:rPr/>
        <w:t>woman’s right to choose when, if and whom she will marry must be protected and enforced by the law.</w:t>
      </w:r>
    </w:p>
    <w:p>
      <w:pPr>
        <w:pStyle w:val="Heading2"/>
        <w:spacing w:before="79"/>
        <w:ind w:left="400"/>
      </w:pPr>
      <w:r>
        <w:rPr/>
        <w:t>Child</w:t>
      </w:r>
      <w:r>
        <w:rPr>
          <w:spacing w:val="-5"/>
        </w:rPr>
        <w:t> </w:t>
      </w:r>
      <w:r>
        <w:rPr/>
        <w:t>or</w:t>
      </w:r>
      <w:r>
        <w:rPr>
          <w:spacing w:val="-8"/>
        </w:rPr>
        <w:t> </w:t>
      </w:r>
      <w:r>
        <w:rPr/>
        <w:t>Early</w:t>
      </w:r>
      <w:r>
        <w:rPr>
          <w:spacing w:val="-3"/>
        </w:rPr>
        <w:t> </w:t>
      </w:r>
      <w:r>
        <w:rPr>
          <w:spacing w:val="-2"/>
        </w:rPr>
        <w:t>Marriage</w:t>
      </w:r>
    </w:p>
    <w:p>
      <w:pPr>
        <w:pStyle w:val="BodyText"/>
        <w:spacing w:line="259" w:lineRule="auto" w:before="123"/>
        <w:ind w:left="400" w:right="668"/>
      </w:pPr>
      <w:r>
        <w:rPr/>
        <w:t>The practice of child or early marriage is widespread and occurs in all regions</w:t>
      </w:r>
      <w:r>
        <w:rPr>
          <w:spacing w:val="-3"/>
        </w:rPr>
        <w:t> </w:t>
      </w:r>
      <w:r>
        <w:rPr/>
        <w:t>of</w:t>
      </w:r>
      <w:r>
        <w:rPr>
          <w:spacing w:val="-3"/>
        </w:rPr>
        <w:t> </w:t>
      </w:r>
      <w:r>
        <w:rPr/>
        <w:t>the</w:t>
      </w:r>
      <w:r>
        <w:rPr>
          <w:spacing w:val="-4"/>
        </w:rPr>
        <w:t> </w:t>
      </w:r>
      <w:r>
        <w:rPr/>
        <w:t>world.</w:t>
      </w:r>
      <w:r>
        <w:rPr>
          <w:spacing w:val="-7"/>
        </w:rPr>
        <w:t> </w:t>
      </w:r>
      <w:r>
        <w:rPr/>
        <w:t>It</w:t>
      </w:r>
      <w:r>
        <w:rPr>
          <w:spacing w:val="-8"/>
        </w:rPr>
        <w:t> </w:t>
      </w:r>
      <w:r>
        <w:rPr/>
        <w:t>prevents</w:t>
      </w:r>
      <w:r>
        <w:rPr>
          <w:spacing w:val="-7"/>
        </w:rPr>
        <w:t> </w:t>
      </w:r>
      <w:r>
        <w:rPr/>
        <w:t>individuals</w:t>
      </w:r>
      <w:r>
        <w:rPr>
          <w:spacing w:val="-7"/>
        </w:rPr>
        <w:t> </w:t>
      </w:r>
      <w:r>
        <w:rPr/>
        <w:t>from</w:t>
      </w:r>
      <w:r>
        <w:rPr>
          <w:spacing w:val="-8"/>
        </w:rPr>
        <w:t> </w:t>
      </w:r>
      <w:r>
        <w:rPr/>
        <w:t>living</w:t>
      </w:r>
      <w:r>
        <w:rPr>
          <w:spacing w:val="-7"/>
        </w:rPr>
        <w:t> </w:t>
      </w:r>
      <w:r>
        <w:rPr/>
        <w:t>their</w:t>
      </w:r>
      <w:r>
        <w:rPr>
          <w:spacing w:val="-7"/>
        </w:rPr>
        <w:t> </w:t>
      </w:r>
      <w:r>
        <w:rPr/>
        <w:t>lives</w:t>
      </w:r>
      <w:r>
        <w:rPr>
          <w:spacing w:val="-7"/>
        </w:rPr>
        <w:t> </w:t>
      </w:r>
      <w:r>
        <w:rPr/>
        <w:t>free</w:t>
      </w:r>
      <w:r>
        <w:rPr>
          <w:spacing w:val="-8"/>
        </w:rPr>
        <w:t> </w:t>
      </w:r>
      <w:r>
        <w:rPr/>
        <w:t>from all forms of violence and it has adverse consequences on the enjoyment of human rights, such as the right to education, and the right to the highest attainable standard of health, including sexual and reproductive health.</w:t>
      </w:r>
    </w:p>
    <w:p>
      <w:pPr>
        <w:spacing w:after="0" w:line="259" w:lineRule="auto"/>
        <w:sectPr>
          <w:pgSz w:w="12240" w:h="15840"/>
          <w:pgMar w:header="0" w:footer="765" w:top="1260" w:bottom="980" w:left="1400" w:right="1180"/>
        </w:sectPr>
      </w:pPr>
    </w:p>
    <w:p>
      <w:pPr>
        <w:pStyle w:val="BodyText"/>
        <w:spacing w:line="259" w:lineRule="auto" w:before="66"/>
        <w:ind w:left="400" w:right="668"/>
      </w:pPr>
      <w:r>
        <w:rPr/>
        <w:t>Within marriage, young women and girls in particular are at risk of sexual abuse, rape, premature motherhood and domestic violence, with all associated physiological and psychological trauma.</w:t>
      </w:r>
      <w:r>
        <w:rPr>
          <w:spacing w:val="-8"/>
        </w:rPr>
        <w:t> </w:t>
      </w:r>
      <w:r>
        <w:rPr/>
        <w:t>Adolescent and child wives</w:t>
      </w:r>
      <w:r>
        <w:rPr>
          <w:spacing w:val="-2"/>
        </w:rPr>
        <w:t> </w:t>
      </w:r>
      <w:r>
        <w:rPr/>
        <w:t>are</w:t>
      </w:r>
      <w:r>
        <w:rPr>
          <w:spacing w:val="-3"/>
        </w:rPr>
        <w:t> </w:t>
      </w:r>
      <w:r>
        <w:rPr/>
        <w:t>less</w:t>
      </w:r>
      <w:r>
        <w:rPr>
          <w:spacing w:val="-2"/>
        </w:rPr>
        <w:t> </w:t>
      </w:r>
      <w:r>
        <w:rPr/>
        <w:t>able</w:t>
      </w:r>
      <w:r>
        <w:rPr>
          <w:spacing w:val="-3"/>
        </w:rPr>
        <w:t> </w:t>
      </w:r>
      <w:r>
        <w:rPr/>
        <w:t>than</w:t>
      </w:r>
      <w:r>
        <w:rPr>
          <w:spacing w:val="-2"/>
        </w:rPr>
        <w:t> </w:t>
      </w:r>
      <w:r>
        <w:rPr/>
        <w:t>their</w:t>
      </w:r>
      <w:r>
        <w:rPr>
          <w:spacing w:val="-5"/>
        </w:rPr>
        <w:t> </w:t>
      </w:r>
      <w:r>
        <w:rPr/>
        <w:t>adult</w:t>
      </w:r>
      <w:r>
        <w:rPr>
          <w:spacing w:val="-5"/>
        </w:rPr>
        <w:t> </w:t>
      </w:r>
      <w:r>
        <w:rPr/>
        <w:t>counterparts</w:t>
      </w:r>
      <w:r>
        <w:rPr>
          <w:spacing w:val="-5"/>
        </w:rPr>
        <w:t> </w:t>
      </w:r>
      <w:r>
        <w:rPr/>
        <w:t>to</w:t>
      </w:r>
      <w:r>
        <w:rPr>
          <w:spacing w:val="-5"/>
        </w:rPr>
        <w:t> </w:t>
      </w:r>
      <w:r>
        <w:rPr/>
        <w:t>negotiate</w:t>
      </w:r>
      <w:r>
        <w:rPr>
          <w:spacing w:val="-6"/>
        </w:rPr>
        <w:t> </w:t>
      </w:r>
      <w:r>
        <w:rPr/>
        <w:t>sex,</w:t>
      </w:r>
      <w:r>
        <w:rPr>
          <w:spacing w:val="-5"/>
        </w:rPr>
        <w:t> </w:t>
      </w:r>
      <w:r>
        <w:rPr/>
        <w:t>or</w:t>
      </w:r>
      <w:r>
        <w:rPr>
          <w:spacing w:val="-5"/>
        </w:rPr>
        <w:t> </w:t>
      </w:r>
      <w:r>
        <w:rPr/>
        <w:t>to</w:t>
      </w:r>
      <w:r>
        <w:rPr>
          <w:spacing w:val="-5"/>
        </w:rPr>
        <w:t> </w:t>
      </w:r>
      <w:r>
        <w:rPr/>
        <w:t>make free and informed decisions affecting their sexual and reproductive health, including</w:t>
      </w:r>
      <w:r>
        <w:rPr>
          <w:spacing w:val="-6"/>
        </w:rPr>
        <w:t> </w:t>
      </w:r>
      <w:r>
        <w:rPr/>
        <w:t>access</w:t>
      </w:r>
      <w:r>
        <w:rPr>
          <w:spacing w:val="-5"/>
        </w:rPr>
        <w:t> </w:t>
      </w:r>
      <w:r>
        <w:rPr/>
        <w:t>to</w:t>
      </w:r>
      <w:r>
        <w:rPr>
          <w:spacing w:val="-6"/>
        </w:rPr>
        <w:t> </w:t>
      </w:r>
      <w:r>
        <w:rPr/>
        <w:t>health</w:t>
      </w:r>
      <w:r>
        <w:rPr>
          <w:spacing w:val="-6"/>
        </w:rPr>
        <w:t> </w:t>
      </w:r>
      <w:r>
        <w:rPr/>
        <w:t>services</w:t>
      </w:r>
      <w:r>
        <w:rPr>
          <w:spacing w:val="-6"/>
        </w:rPr>
        <w:t> </w:t>
      </w:r>
      <w:r>
        <w:rPr/>
        <w:t>for</w:t>
      </w:r>
      <w:r>
        <w:rPr>
          <w:spacing w:val="-6"/>
        </w:rPr>
        <w:t> </w:t>
      </w:r>
      <w:r>
        <w:rPr/>
        <w:t>contraception</w:t>
      </w:r>
      <w:r>
        <w:rPr>
          <w:spacing w:val="-4"/>
        </w:rPr>
        <w:t> </w:t>
      </w:r>
      <w:r>
        <w:rPr/>
        <w:t>and</w:t>
      </w:r>
      <w:r>
        <w:rPr>
          <w:spacing w:val="-4"/>
        </w:rPr>
        <w:t> </w:t>
      </w:r>
      <w:r>
        <w:rPr/>
        <w:t>the</w:t>
      </w:r>
      <w:r>
        <w:rPr>
          <w:spacing w:val="-5"/>
        </w:rPr>
        <w:t> </w:t>
      </w:r>
      <w:r>
        <w:rPr/>
        <w:t>prevention</w:t>
      </w:r>
      <w:r>
        <w:rPr>
          <w:spacing w:val="-4"/>
        </w:rPr>
        <w:t> </w:t>
      </w:r>
      <w:r>
        <w:rPr/>
        <w:t>and treatment of STIs.</w:t>
      </w:r>
    </w:p>
    <w:p>
      <w:pPr>
        <w:pStyle w:val="BodyText"/>
        <w:spacing w:line="259" w:lineRule="auto" w:before="85"/>
        <w:ind w:left="400" w:right="502"/>
      </w:pPr>
      <w:r>
        <w:rPr/>
        <w:t>Early</w:t>
      </w:r>
      <w:r>
        <w:rPr>
          <w:spacing w:val="-4"/>
        </w:rPr>
        <w:t> </w:t>
      </w:r>
      <w:r>
        <w:rPr/>
        <w:t>marriage</w:t>
      </w:r>
      <w:r>
        <w:rPr>
          <w:spacing w:val="-4"/>
        </w:rPr>
        <w:t> </w:t>
      </w:r>
      <w:r>
        <w:rPr/>
        <w:t>is</w:t>
      </w:r>
      <w:r>
        <w:rPr>
          <w:spacing w:val="-4"/>
        </w:rPr>
        <w:t> </w:t>
      </w:r>
      <w:r>
        <w:rPr/>
        <w:t>very</w:t>
      </w:r>
      <w:r>
        <w:rPr>
          <w:spacing w:val="-4"/>
        </w:rPr>
        <w:t> </w:t>
      </w:r>
      <w:r>
        <w:rPr/>
        <w:t>often</w:t>
      </w:r>
      <w:r>
        <w:rPr>
          <w:spacing w:val="-4"/>
        </w:rPr>
        <w:t> </w:t>
      </w:r>
      <w:r>
        <w:rPr/>
        <w:t>linked</w:t>
      </w:r>
      <w:r>
        <w:rPr>
          <w:spacing w:val="-4"/>
        </w:rPr>
        <w:t> </w:t>
      </w:r>
      <w:r>
        <w:rPr/>
        <w:t>to</w:t>
      </w:r>
      <w:r>
        <w:rPr>
          <w:spacing w:val="-4"/>
        </w:rPr>
        <w:t> </w:t>
      </w:r>
      <w:r>
        <w:rPr/>
        <w:t>early</w:t>
      </w:r>
      <w:r>
        <w:rPr>
          <w:spacing w:val="-4"/>
        </w:rPr>
        <w:t> </w:t>
      </w:r>
      <w:r>
        <w:rPr/>
        <w:t>childbearing</w:t>
      </w:r>
      <w:r>
        <w:rPr>
          <w:spacing w:val="-4"/>
        </w:rPr>
        <w:t> </w:t>
      </w:r>
      <w:r>
        <w:rPr/>
        <w:t>as</w:t>
      </w:r>
      <w:r>
        <w:rPr>
          <w:spacing w:val="-4"/>
        </w:rPr>
        <w:t> </w:t>
      </w:r>
      <w:r>
        <w:rPr/>
        <w:t>in</w:t>
      </w:r>
      <w:r>
        <w:rPr>
          <w:spacing w:val="-4"/>
        </w:rPr>
        <w:t> </w:t>
      </w:r>
      <w:r>
        <w:rPr/>
        <w:t>many</w:t>
      </w:r>
      <w:r>
        <w:rPr>
          <w:spacing w:val="-4"/>
        </w:rPr>
        <w:t> </w:t>
      </w:r>
      <w:r>
        <w:rPr/>
        <w:t>countries there is considerable</w:t>
      </w:r>
      <w:r>
        <w:rPr>
          <w:spacing w:val="-2"/>
        </w:rPr>
        <w:t> </w:t>
      </w:r>
      <w:r>
        <w:rPr/>
        <w:t>pressure</w:t>
      </w:r>
      <w:r>
        <w:rPr>
          <w:spacing w:val="-2"/>
        </w:rPr>
        <w:t> </w:t>
      </w:r>
      <w:r>
        <w:rPr/>
        <w:t>on</w:t>
      </w:r>
      <w:r>
        <w:rPr>
          <w:spacing w:val="-1"/>
        </w:rPr>
        <w:t> </w:t>
      </w:r>
      <w:r>
        <w:rPr/>
        <w:t>girls</w:t>
      </w:r>
      <w:r>
        <w:rPr>
          <w:spacing w:val="-1"/>
        </w:rPr>
        <w:t> </w:t>
      </w:r>
      <w:r>
        <w:rPr/>
        <w:t>to</w:t>
      </w:r>
      <w:r>
        <w:rPr>
          <w:spacing w:val="-1"/>
        </w:rPr>
        <w:t> </w:t>
      </w:r>
      <w:r>
        <w:rPr/>
        <w:t>become</w:t>
      </w:r>
      <w:r>
        <w:rPr>
          <w:spacing w:val="-2"/>
        </w:rPr>
        <w:t> </w:t>
      </w:r>
      <w:r>
        <w:rPr/>
        <w:t>pregnant</w:t>
      </w:r>
      <w:r>
        <w:rPr>
          <w:spacing w:val="-2"/>
        </w:rPr>
        <w:t> </w:t>
      </w:r>
      <w:r>
        <w:rPr/>
        <w:t>soon</w:t>
      </w:r>
      <w:r>
        <w:rPr>
          <w:spacing w:val="-1"/>
        </w:rPr>
        <w:t> </w:t>
      </w:r>
      <w:r>
        <w:rPr/>
        <w:t>after</w:t>
      </w:r>
      <w:r>
        <w:rPr>
          <w:spacing w:val="-1"/>
        </w:rPr>
        <w:t> </w:t>
      </w:r>
      <w:r>
        <w:rPr/>
        <w:t>they</w:t>
      </w:r>
      <w:r>
        <w:rPr>
          <w:spacing w:val="-1"/>
        </w:rPr>
        <w:t> </w:t>
      </w:r>
      <w:r>
        <w:rPr/>
        <w:t>are married.</w:t>
      </w:r>
      <w:r>
        <w:rPr>
          <w:spacing w:val="-4"/>
        </w:rPr>
        <w:t> </w:t>
      </w:r>
      <w:r>
        <w:rPr/>
        <w:t>The health risks of early pregnancy for adolescent girls are considerable. Early childbirth is nearly always associated with lower socioeconomic status, reduced access to antenatal care, and poor nutritional status, all of which can lead to poor maternal and child health outcomes.</w:t>
      </w:r>
    </w:p>
    <w:p>
      <w:pPr>
        <w:pStyle w:val="BodyText"/>
        <w:spacing w:line="259" w:lineRule="auto"/>
        <w:ind w:left="400" w:right="502"/>
      </w:pPr>
      <w:r>
        <w:rPr/>
        <w:t>These include increased risks of: anaemia, premature labor, complications during</w:t>
      </w:r>
      <w:r>
        <w:rPr>
          <w:spacing w:val="39"/>
        </w:rPr>
        <w:t> </w:t>
      </w:r>
      <w:r>
        <w:rPr/>
        <w:t>delivery</w:t>
      </w:r>
      <w:r>
        <w:rPr>
          <w:spacing w:val="-4"/>
        </w:rPr>
        <w:t> </w:t>
      </w:r>
      <w:r>
        <w:rPr/>
        <w:t>(including</w:t>
      </w:r>
      <w:r>
        <w:rPr>
          <w:spacing w:val="-4"/>
        </w:rPr>
        <w:t> </w:t>
      </w:r>
      <w:r>
        <w:rPr/>
        <w:t>obstetric</w:t>
      </w:r>
      <w:r>
        <w:rPr>
          <w:spacing w:val="-5"/>
        </w:rPr>
        <w:t> </w:t>
      </w:r>
      <w:r>
        <w:rPr/>
        <w:t>fistula),</w:t>
      </w:r>
      <w:r>
        <w:rPr>
          <w:spacing w:val="-4"/>
        </w:rPr>
        <w:t> </w:t>
      </w:r>
      <w:r>
        <w:rPr/>
        <w:t>maternal</w:t>
      </w:r>
      <w:r>
        <w:rPr>
          <w:spacing w:val="-4"/>
        </w:rPr>
        <w:t> </w:t>
      </w:r>
      <w:r>
        <w:rPr/>
        <w:t>death,</w:t>
      </w:r>
      <w:r>
        <w:rPr>
          <w:spacing w:val="-4"/>
        </w:rPr>
        <w:t> </w:t>
      </w:r>
      <w:r>
        <w:rPr/>
        <w:t>low</w:t>
      </w:r>
      <w:r>
        <w:rPr>
          <w:spacing w:val="-4"/>
        </w:rPr>
        <w:t> </w:t>
      </w:r>
      <w:r>
        <w:rPr/>
        <w:t>birth</w:t>
      </w:r>
      <w:r>
        <w:rPr>
          <w:spacing w:val="-4"/>
        </w:rPr>
        <w:t> </w:t>
      </w:r>
      <w:r>
        <w:rPr/>
        <w:t>weight, and neonatal death. International and regional human rights standards and consensus documents call for the elimination of early and forced marriage.</w:t>
      </w:r>
    </w:p>
    <w:p>
      <w:pPr>
        <w:pStyle w:val="BodyText"/>
        <w:spacing w:line="259" w:lineRule="auto"/>
        <w:ind w:left="400" w:right="541"/>
      </w:pPr>
      <w:r>
        <w:rPr/>
        <w:t>They call for the recognition of a minimum age of marriage, which should be 18 years for both men and women, and for the official registration of all marriages</w:t>
      </w:r>
      <w:r>
        <w:rPr>
          <w:spacing w:val="-8"/>
        </w:rPr>
        <w:t> </w:t>
      </w:r>
      <w:r>
        <w:rPr/>
        <w:t>to</w:t>
      </w:r>
      <w:r>
        <w:rPr>
          <w:spacing w:val="-8"/>
        </w:rPr>
        <w:t> </w:t>
      </w:r>
      <w:r>
        <w:rPr/>
        <w:t>be</w:t>
      </w:r>
      <w:r>
        <w:rPr>
          <w:spacing w:val="-10"/>
        </w:rPr>
        <w:t> </w:t>
      </w:r>
      <w:r>
        <w:rPr/>
        <w:t>compulsory.</w:t>
      </w:r>
      <w:r>
        <w:rPr>
          <w:spacing w:val="-18"/>
        </w:rPr>
        <w:t> </w:t>
      </w:r>
      <w:r>
        <w:rPr/>
        <w:t>They</w:t>
      </w:r>
      <w:r>
        <w:rPr>
          <w:spacing w:val="-8"/>
        </w:rPr>
        <w:t> </w:t>
      </w:r>
      <w:r>
        <w:rPr/>
        <w:t>recognize</w:t>
      </w:r>
      <w:r>
        <w:rPr>
          <w:spacing w:val="-10"/>
        </w:rPr>
        <w:t> </w:t>
      </w:r>
      <w:r>
        <w:rPr/>
        <w:t>the</w:t>
      </w:r>
      <w:r>
        <w:rPr>
          <w:spacing w:val="-10"/>
        </w:rPr>
        <w:t> </w:t>
      </w:r>
      <w:r>
        <w:rPr/>
        <w:t>necessity</w:t>
      </w:r>
      <w:r>
        <w:rPr>
          <w:spacing w:val="-8"/>
        </w:rPr>
        <w:t> </w:t>
      </w:r>
      <w:r>
        <w:rPr/>
        <w:t>of</w:t>
      </w:r>
      <w:r>
        <w:rPr>
          <w:spacing w:val="-3"/>
        </w:rPr>
        <w:t> </w:t>
      </w:r>
      <w:r>
        <w:rPr/>
        <w:t>collective</w:t>
      </w:r>
      <w:r>
        <w:rPr>
          <w:spacing w:val="-3"/>
        </w:rPr>
        <w:t> </w:t>
      </w:r>
      <w:r>
        <w:rPr/>
        <w:t>efforts of governments, lawmakers, judicial authorities, law enforcement officials, traditional and religious leaders, civil society, media, the private sector and other</w:t>
      </w:r>
      <w:r>
        <w:rPr>
          <w:spacing w:val="-3"/>
        </w:rPr>
        <w:t> </w:t>
      </w:r>
      <w:r>
        <w:rPr/>
        <w:t>relevant</w:t>
      </w:r>
      <w:r>
        <w:rPr>
          <w:spacing w:val="-3"/>
        </w:rPr>
        <w:t> </w:t>
      </w:r>
      <w:r>
        <w:rPr/>
        <w:t>stakeholders</w:t>
      </w:r>
      <w:r>
        <w:rPr>
          <w:spacing w:val="-3"/>
        </w:rPr>
        <w:t> </w:t>
      </w:r>
      <w:r>
        <w:rPr/>
        <w:t>to</w:t>
      </w:r>
      <w:r>
        <w:rPr>
          <w:spacing w:val="-3"/>
        </w:rPr>
        <w:t> </w:t>
      </w:r>
      <w:r>
        <w:rPr/>
        <w:t>address</w:t>
      </w:r>
      <w:r>
        <w:rPr>
          <w:spacing w:val="-3"/>
        </w:rPr>
        <w:t> </w:t>
      </w:r>
      <w:r>
        <w:rPr/>
        <w:t>the</w:t>
      </w:r>
      <w:r>
        <w:rPr>
          <w:spacing w:val="-4"/>
        </w:rPr>
        <w:t> </w:t>
      </w:r>
      <w:r>
        <w:rPr/>
        <w:t>root</w:t>
      </w:r>
      <w:r>
        <w:rPr>
          <w:spacing w:val="-3"/>
        </w:rPr>
        <w:t> </w:t>
      </w:r>
      <w:r>
        <w:rPr/>
        <w:t>causes</w:t>
      </w:r>
      <w:r>
        <w:rPr>
          <w:spacing w:val="-3"/>
        </w:rPr>
        <w:t> </w:t>
      </w:r>
      <w:r>
        <w:rPr/>
        <w:t>of</w:t>
      </w:r>
      <w:r>
        <w:rPr>
          <w:spacing w:val="-3"/>
        </w:rPr>
        <w:t> </w:t>
      </w:r>
      <w:r>
        <w:rPr/>
        <w:t>this</w:t>
      </w:r>
      <w:r>
        <w:rPr>
          <w:spacing w:val="-3"/>
        </w:rPr>
        <w:t> </w:t>
      </w:r>
      <w:r>
        <w:rPr/>
        <w:t>practice.</w:t>
      </w:r>
      <w:r>
        <w:rPr>
          <w:spacing w:val="-3"/>
        </w:rPr>
        <w:t> </w:t>
      </w:r>
      <w:r>
        <w:rPr/>
        <w:t>In</w:t>
      </w:r>
      <w:r>
        <w:rPr>
          <w:spacing w:val="-3"/>
        </w:rPr>
        <w:t> </w:t>
      </w:r>
      <w:r>
        <w:rPr/>
        <w:t>order to protect children and eliminate early marriage, most countries have put in place an enabling legal framework, setting the minimum age of marriage at 18 years in accordance with these human rights standards. Even in those countries, however, compliance is often poor for a variety of reasons, such as the lack of accurate registration of all births, which is necessary for establishing the age of those marrying, or the fact that many families</w:t>
      </w:r>
      <w:r>
        <w:rPr>
          <w:spacing w:val="40"/>
        </w:rPr>
        <w:t> </w:t>
      </w:r>
      <w:r>
        <w:rPr/>
        <w:t>remain financially and otherwise materially invested in early marriage practices.</w:t>
      </w:r>
    </w:p>
    <w:p>
      <w:pPr>
        <w:pStyle w:val="BodyText"/>
        <w:spacing w:line="259" w:lineRule="auto"/>
        <w:ind w:left="400" w:right="502"/>
      </w:pPr>
      <w:r>
        <w:rPr/>
        <w:t>National courts are increasingly responding to this practice, upholding the fundamental rights of women to consent to marriage. For example, a Sharia Court</w:t>
      </w:r>
      <w:r>
        <w:rPr>
          <w:spacing w:val="-3"/>
        </w:rPr>
        <w:t> </w:t>
      </w:r>
      <w:r>
        <w:rPr/>
        <w:t>in</w:t>
      </w:r>
      <w:r>
        <w:rPr>
          <w:spacing w:val="-3"/>
        </w:rPr>
        <w:t> </w:t>
      </w:r>
      <w:r>
        <w:rPr/>
        <w:t>Nigeria</w:t>
      </w:r>
      <w:r>
        <w:rPr>
          <w:spacing w:val="-4"/>
        </w:rPr>
        <w:t> </w:t>
      </w:r>
      <w:r>
        <w:rPr/>
        <w:t>ruled</w:t>
      </w:r>
      <w:r>
        <w:rPr>
          <w:spacing w:val="-3"/>
        </w:rPr>
        <w:t> </w:t>
      </w:r>
      <w:r>
        <w:rPr/>
        <w:t>that</w:t>
      </w:r>
      <w:r>
        <w:rPr>
          <w:spacing w:val="-3"/>
        </w:rPr>
        <w:t> </w:t>
      </w:r>
      <w:r>
        <w:rPr/>
        <w:t>a</w:t>
      </w:r>
      <w:r>
        <w:rPr>
          <w:spacing w:val="-4"/>
        </w:rPr>
        <w:t> </w:t>
      </w:r>
      <w:r>
        <w:rPr/>
        <w:t>marriage</w:t>
      </w:r>
      <w:r>
        <w:rPr>
          <w:spacing w:val="-4"/>
        </w:rPr>
        <w:t> </w:t>
      </w:r>
      <w:r>
        <w:rPr/>
        <w:t>of</w:t>
      </w:r>
      <w:r>
        <w:rPr>
          <w:spacing w:val="-3"/>
        </w:rPr>
        <w:t> </w:t>
      </w:r>
      <w:r>
        <w:rPr/>
        <w:t>a</w:t>
      </w:r>
      <w:r>
        <w:rPr>
          <w:spacing w:val="-4"/>
        </w:rPr>
        <w:t> </w:t>
      </w:r>
      <w:r>
        <w:rPr/>
        <w:t>teenage</w:t>
      </w:r>
      <w:r>
        <w:rPr>
          <w:spacing w:val="-4"/>
        </w:rPr>
        <w:t> </w:t>
      </w:r>
      <w:r>
        <w:rPr/>
        <w:t>girl</w:t>
      </w:r>
      <w:r>
        <w:rPr>
          <w:spacing w:val="-3"/>
        </w:rPr>
        <w:t> </w:t>
      </w:r>
      <w:r>
        <w:rPr/>
        <w:t>conducted</w:t>
      </w:r>
      <w:r>
        <w:rPr>
          <w:spacing w:val="-3"/>
        </w:rPr>
        <w:t> </w:t>
      </w:r>
      <w:r>
        <w:rPr/>
        <w:t>without</w:t>
      </w:r>
      <w:r>
        <w:rPr>
          <w:spacing w:val="-3"/>
        </w:rPr>
        <w:t> </w:t>
      </w:r>
      <w:r>
        <w:rPr/>
        <w:t>her consent constituted a violation of the rights to liberty and dignity under the Nigerian Constitution and that it was against their understanding of Sharia Law.Forced marriage in conflict settings. Forced marriages arise in war, conflict and post-conflict settings where women, sometimes very young, are captured by fighters and forced to live as their “wives” (i.e. as sexual and/or</w:t>
      </w:r>
    </w:p>
    <w:p>
      <w:pPr>
        <w:spacing w:after="0" w:line="259" w:lineRule="auto"/>
        <w:sectPr>
          <w:pgSz w:w="12240" w:h="15840"/>
          <w:pgMar w:header="0" w:footer="765" w:top="1260" w:bottom="980" w:left="1400" w:right="1180"/>
        </w:sectPr>
      </w:pPr>
    </w:p>
    <w:p>
      <w:pPr>
        <w:pStyle w:val="BodyText"/>
        <w:spacing w:line="259" w:lineRule="auto" w:before="66"/>
        <w:ind w:left="400" w:right="502"/>
      </w:pPr>
      <w:r>
        <w:rPr/>
        <w:t>domestic</w:t>
      </w:r>
      <w:r>
        <w:rPr>
          <w:spacing w:val="-7"/>
        </w:rPr>
        <w:t> </w:t>
      </w:r>
      <w:r>
        <w:rPr/>
        <w:t>partners),</w:t>
      </w:r>
      <w:r>
        <w:rPr>
          <w:spacing w:val="-6"/>
        </w:rPr>
        <w:t> </w:t>
      </w:r>
      <w:r>
        <w:rPr/>
        <w:t>essentially</w:t>
      </w:r>
      <w:r>
        <w:rPr>
          <w:spacing w:val="-6"/>
        </w:rPr>
        <w:t> </w:t>
      </w:r>
      <w:r>
        <w:rPr/>
        <w:t>in</w:t>
      </w:r>
      <w:r>
        <w:rPr>
          <w:spacing w:val="-6"/>
        </w:rPr>
        <w:t> </w:t>
      </w:r>
      <w:r>
        <w:rPr/>
        <w:t>slavery.</w:t>
      </w:r>
      <w:r>
        <w:rPr>
          <w:spacing w:val="-6"/>
        </w:rPr>
        <w:t> </w:t>
      </w:r>
      <w:r>
        <w:rPr/>
        <w:t>Human</w:t>
      </w:r>
      <w:r>
        <w:rPr>
          <w:spacing w:val="-6"/>
        </w:rPr>
        <w:t> </w:t>
      </w:r>
      <w:r>
        <w:rPr/>
        <w:t>rights</w:t>
      </w:r>
      <w:r>
        <w:rPr>
          <w:spacing w:val="-6"/>
        </w:rPr>
        <w:t> </w:t>
      </w:r>
      <w:r>
        <w:rPr/>
        <w:t>bodies</w:t>
      </w:r>
      <w:r>
        <w:rPr>
          <w:spacing w:val="-6"/>
        </w:rPr>
        <w:t> </w:t>
      </w:r>
      <w:r>
        <w:rPr/>
        <w:t>are</w:t>
      </w:r>
      <w:r>
        <w:rPr>
          <w:spacing w:val="-7"/>
        </w:rPr>
        <w:t> </w:t>
      </w:r>
      <w:r>
        <w:rPr/>
        <w:t>calling</w:t>
      </w:r>
      <w:r>
        <w:rPr>
          <w:spacing w:val="-6"/>
        </w:rPr>
        <w:t> </w:t>
      </w:r>
      <w:r>
        <w:rPr/>
        <w:t>for the elimination of such practices. In Sierra Leone, for example, forced marriage has been judged a crime against humanity, and is recognized as “resulting in severe suffering, or physical, mental or psychological injury to the victim”.</w:t>
      </w:r>
    </w:p>
    <w:p>
      <w:pPr>
        <w:pStyle w:val="Heading2"/>
        <w:spacing w:before="87"/>
        <w:ind w:left="400"/>
      </w:pPr>
      <w:r>
        <w:rPr>
          <w:spacing w:val="-2"/>
        </w:rPr>
        <w:t>Widow</w:t>
      </w:r>
      <w:r>
        <w:rPr>
          <w:spacing w:val="-14"/>
        </w:rPr>
        <w:t> </w:t>
      </w:r>
      <w:r>
        <w:rPr>
          <w:spacing w:val="-2"/>
        </w:rPr>
        <w:t>Inheritance</w:t>
      </w:r>
    </w:p>
    <w:p>
      <w:pPr>
        <w:pStyle w:val="BodyText"/>
        <w:spacing w:line="259" w:lineRule="auto" w:before="149"/>
        <w:ind w:left="400" w:right="668"/>
      </w:pPr>
      <w:r>
        <w:rPr/>
        <w:t>Women’s free and full consent to marriage is also infringed by the practice of widow inheritance in some places. Drawn from local customary law and religious practices, such marriages still occurs in some parts of</w:t>
      </w:r>
      <w:r>
        <w:rPr>
          <w:spacing w:val="-14"/>
        </w:rPr>
        <w:t> </w:t>
      </w:r>
      <w:r>
        <w:rPr/>
        <w:t>Asia and Africa,</w:t>
      </w:r>
      <w:r>
        <w:rPr>
          <w:spacing w:val="-11"/>
        </w:rPr>
        <w:t> </w:t>
      </w:r>
      <w:r>
        <w:rPr/>
        <w:t>although</w:t>
      </w:r>
      <w:r>
        <w:rPr>
          <w:spacing w:val="-5"/>
        </w:rPr>
        <w:t> </w:t>
      </w:r>
      <w:r>
        <w:rPr/>
        <w:t>it</w:t>
      </w:r>
      <w:r>
        <w:rPr>
          <w:spacing w:val="-5"/>
        </w:rPr>
        <w:t> </w:t>
      </w:r>
      <w:r>
        <w:rPr/>
        <w:t>is</w:t>
      </w:r>
      <w:r>
        <w:rPr>
          <w:spacing w:val="-5"/>
        </w:rPr>
        <w:t> </w:t>
      </w:r>
      <w:r>
        <w:rPr/>
        <w:t>diminishing.</w:t>
      </w:r>
      <w:r>
        <w:rPr>
          <w:spacing w:val="-23"/>
        </w:rPr>
        <w:t> </w:t>
      </w:r>
      <w:r>
        <w:rPr/>
        <w:t>A</w:t>
      </w:r>
      <w:r>
        <w:rPr>
          <w:spacing w:val="-18"/>
        </w:rPr>
        <w:t> </w:t>
      </w:r>
      <w:r>
        <w:rPr/>
        <w:t>surviving</w:t>
      </w:r>
      <w:r>
        <w:rPr>
          <w:spacing w:val="-5"/>
        </w:rPr>
        <w:t> </w:t>
      </w:r>
      <w:r>
        <w:rPr/>
        <w:t>widow,</w:t>
      </w:r>
      <w:r>
        <w:rPr>
          <w:spacing w:val="-5"/>
        </w:rPr>
        <w:t> </w:t>
      </w:r>
      <w:r>
        <w:rPr/>
        <w:t>whether</w:t>
      </w:r>
      <w:r>
        <w:rPr>
          <w:spacing w:val="-5"/>
        </w:rPr>
        <w:t> </w:t>
      </w:r>
      <w:r>
        <w:rPr/>
        <w:t>a</w:t>
      </w:r>
      <w:r>
        <w:rPr>
          <w:spacing w:val="-7"/>
        </w:rPr>
        <w:t> </w:t>
      </w:r>
      <w:r>
        <w:rPr/>
        <w:t>minor</w:t>
      </w:r>
      <w:r>
        <w:rPr>
          <w:spacing w:val="-5"/>
        </w:rPr>
        <w:t> </w:t>
      </w:r>
      <w:r>
        <w:rPr/>
        <w:t>or</w:t>
      </w:r>
      <w:r>
        <w:rPr>
          <w:spacing w:val="-5"/>
        </w:rPr>
        <w:t> </w:t>
      </w:r>
      <w:r>
        <w:rPr/>
        <w:t>an adult, is “inherited” by a male relative (often the brother) of the deceased spouse, along with other goods and property of the estate, such that she becomes his wife. Often this is the condition imposed on the widow for being able to remain in her house, or to receive support from her husband’s kin.</w:t>
      </w:r>
      <w:r>
        <w:rPr>
          <w:spacing w:val="-1"/>
        </w:rPr>
        <w:t> </w:t>
      </w:r>
      <w:r>
        <w:rPr/>
        <w:t>Thus, she must enter a sexual relationship with a spouse not chosen by her,</w:t>
      </w:r>
      <w:r>
        <w:rPr>
          <w:spacing w:val="-4"/>
        </w:rPr>
        <w:t> </w:t>
      </w:r>
      <w:r>
        <w:rPr/>
        <w:t>which</w:t>
      </w:r>
      <w:r>
        <w:rPr>
          <w:spacing w:val="-4"/>
        </w:rPr>
        <w:t> </w:t>
      </w:r>
      <w:r>
        <w:rPr/>
        <w:t>is</w:t>
      </w:r>
      <w:r>
        <w:rPr>
          <w:spacing w:val="-4"/>
        </w:rPr>
        <w:t> </w:t>
      </w:r>
      <w:r>
        <w:rPr/>
        <w:t>a</w:t>
      </w:r>
      <w:r>
        <w:rPr>
          <w:spacing w:val="-5"/>
        </w:rPr>
        <w:t> </w:t>
      </w:r>
      <w:r>
        <w:rPr/>
        <w:t>form</w:t>
      </w:r>
      <w:r>
        <w:rPr>
          <w:spacing w:val="-4"/>
        </w:rPr>
        <w:t> </w:t>
      </w:r>
      <w:r>
        <w:rPr/>
        <w:t>of</w:t>
      </w:r>
      <w:r>
        <w:rPr>
          <w:spacing w:val="-4"/>
        </w:rPr>
        <w:t> </w:t>
      </w:r>
      <w:r>
        <w:rPr/>
        <w:t>coerced</w:t>
      </w:r>
      <w:r>
        <w:rPr>
          <w:spacing w:val="-4"/>
        </w:rPr>
        <w:t> </w:t>
      </w:r>
      <w:r>
        <w:rPr/>
        <w:t>sex,</w:t>
      </w:r>
      <w:r>
        <w:rPr>
          <w:spacing w:val="-4"/>
        </w:rPr>
        <w:t> </w:t>
      </w:r>
      <w:r>
        <w:rPr/>
        <w:t>with</w:t>
      </w:r>
      <w:r>
        <w:rPr>
          <w:spacing w:val="-4"/>
        </w:rPr>
        <w:t> </w:t>
      </w:r>
      <w:r>
        <w:rPr/>
        <w:t>many</w:t>
      </w:r>
      <w:r>
        <w:rPr>
          <w:spacing w:val="-4"/>
        </w:rPr>
        <w:t> </w:t>
      </w:r>
      <w:r>
        <w:rPr/>
        <w:t>potential</w:t>
      </w:r>
      <w:r>
        <w:rPr>
          <w:spacing w:val="-4"/>
        </w:rPr>
        <w:t> </w:t>
      </w:r>
      <w:r>
        <w:rPr/>
        <w:t>negative</w:t>
      </w:r>
      <w:r>
        <w:rPr>
          <w:spacing w:val="-5"/>
        </w:rPr>
        <w:t> </w:t>
      </w:r>
      <w:r>
        <w:rPr/>
        <w:t>sexual</w:t>
      </w:r>
      <w:r>
        <w:rPr>
          <w:spacing w:val="-4"/>
        </w:rPr>
        <w:t> </w:t>
      </w:r>
      <w:r>
        <w:rPr/>
        <w:t>and reproductive health consequences. Under human rights laws, states have an obligation to end any practice whereby a widow is liable to be inherited by another person, and states must ensure that “widows are not subjected to inhuman, humiliating or degrading treatment” and that a “widow shall have the right to remarry, and in that event, to marry the person of her choice”.</w:t>
      </w:r>
    </w:p>
    <w:p>
      <w:pPr>
        <w:pStyle w:val="Heading2"/>
        <w:spacing w:before="78"/>
        <w:ind w:left="400"/>
      </w:pPr>
      <w:r>
        <w:rPr/>
        <w:t>Marriage</w:t>
      </w:r>
      <w:r>
        <w:rPr>
          <w:spacing w:val="-6"/>
        </w:rPr>
        <w:t> </w:t>
      </w:r>
      <w:r>
        <w:rPr/>
        <w:t>with</w:t>
      </w:r>
      <w:r>
        <w:rPr>
          <w:spacing w:val="-2"/>
        </w:rPr>
        <w:t> </w:t>
      </w:r>
      <w:r>
        <w:rPr/>
        <w:t>an</w:t>
      </w:r>
      <w:r>
        <w:rPr>
          <w:spacing w:val="-17"/>
        </w:rPr>
        <w:t> </w:t>
      </w:r>
      <w:r>
        <w:rPr/>
        <w:t>Abductor</w:t>
      </w:r>
      <w:r>
        <w:rPr>
          <w:spacing w:val="-8"/>
        </w:rPr>
        <w:t> </w:t>
      </w:r>
      <w:r>
        <w:rPr/>
        <w:t>or</w:t>
      </w:r>
      <w:r>
        <w:rPr>
          <w:spacing w:val="-7"/>
        </w:rPr>
        <w:t> </w:t>
      </w:r>
      <w:r>
        <w:rPr>
          <w:spacing w:val="-2"/>
        </w:rPr>
        <w:t>Rapist</w:t>
      </w:r>
    </w:p>
    <w:p>
      <w:pPr>
        <w:pStyle w:val="BodyText"/>
        <w:spacing w:line="259" w:lineRule="auto" w:before="122"/>
        <w:ind w:left="400" w:right="649"/>
      </w:pPr>
      <w:r>
        <w:rPr/>
        <w:t>Women may also be forced to marry against their will or without free and full</w:t>
      </w:r>
      <w:r>
        <w:rPr>
          <w:spacing w:val="-3"/>
        </w:rPr>
        <w:t> </w:t>
      </w:r>
      <w:r>
        <w:rPr/>
        <w:t>consent</w:t>
      </w:r>
      <w:r>
        <w:rPr>
          <w:spacing w:val="-3"/>
        </w:rPr>
        <w:t> </w:t>
      </w:r>
      <w:r>
        <w:rPr/>
        <w:t>in</w:t>
      </w:r>
      <w:r>
        <w:rPr>
          <w:spacing w:val="-3"/>
        </w:rPr>
        <w:t> </w:t>
      </w:r>
      <w:r>
        <w:rPr/>
        <w:t>places</w:t>
      </w:r>
      <w:r>
        <w:rPr>
          <w:spacing w:val="-7"/>
        </w:rPr>
        <w:t> </w:t>
      </w:r>
      <w:r>
        <w:rPr/>
        <w:t>where</w:t>
      </w:r>
      <w:r>
        <w:rPr>
          <w:spacing w:val="-8"/>
        </w:rPr>
        <w:t> </w:t>
      </w:r>
      <w:r>
        <w:rPr/>
        <w:t>there</w:t>
      </w:r>
      <w:r>
        <w:rPr>
          <w:spacing w:val="-8"/>
        </w:rPr>
        <w:t> </w:t>
      </w:r>
      <w:r>
        <w:rPr/>
        <w:t>are</w:t>
      </w:r>
      <w:r>
        <w:rPr>
          <w:spacing w:val="-8"/>
        </w:rPr>
        <w:t> </w:t>
      </w:r>
      <w:r>
        <w:rPr/>
        <w:t>laws</w:t>
      </w:r>
      <w:r>
        <w:rPr>
          <w:spacing w:val="-7"/>
        </w:rPr>
        <w:t> </w:t>
      </w:r>
      <w:r>
        <w:rPr/>
        <w:t>that</w:t>
      </w:r>
      <w:r>
        <w:rPr>
          <w:spacing w:val="-7"/>
        </w:rPr>
        <w:t> </w:t>
      </w:r>
      <w:r>
        <w:rPr/>
        <w:t>allow</w:t>
      </w:r>
      <w:r>
        <w:rPr>
          <w:spacing w:val="-7"/>
        </w:rPr>
        <w:t> </w:t>
      </w:r>
      <w:r>
        <w:rPr/>
        <w:t>mitigation</w:t>
      </w:r>
      <w:r>
        <w:rPr>
          <w:spacing w:val="-7"/>
        </w:rPr>
        <w:t> </w:t>
      </w:r>
      <w:r>
        <w:rPr/>
        <w:t>(or</w:t>
      </w:r>
      <w:r>
        <w:rPr>
          <w:spacing w:val="-7"/>
        </w:rPr>
        <w:t> </w:t>
      </w:r>
      <w:r>
        <w:rPr/>
        <w:t>complete annulment)</w:t>
      </w:r>
      <w:r>
        <w:rPr>
          <w:spacing w:val="-1"/>
        </w:rPr>
        <w:t> </w:t>
      </w:r>
      <w:r>
        <w:rPr/>
        <w:t>of</w:t>
      </w:r>
      <w:r>
        <w:rPr>
          <w:spacing w:val="-1"/>
        </w:rPr>
        <w:t> </w:t>
      </w:r>
      <w:r>
        <w:rPr/>
        <w:t>punishment for an abductor or rapist if he agrees to marry the woman he has abducted or raped. Such laws are discriminatory as well as being harmful to the well-being of the abducted or raped woman, as she is then pressured to take as her husband a person who has assaulted her.</w:t>
      </w:r>
      <w:r>
        <w:rPr>
          <w:spacing w:val="-6"/>
        </w:rPr>
        <w:t> </w:t>
      </w:r>
      <w:r>
        <w:rPr/>
        <w:t>While a number of countries have such laws, there have been some positive reforms in line with international human rights protections, as, for example, in Ethiopia, which reformed its 1957 Penal Code in 2005 to remove the exculpation</w:t>
      </w:r>
      <w:r>
        <w:rPr>
          <w:spacing w:val="-2"/>
        </w:rPr>
        <w:t> </w:t>
      </w:r>
      <w:r>
        <w:rPr/>
        <w:t>of</w:t>
      </w:r>
      <w:r>
        <w:rPr>
          <w:spacing w:val="-2"/>
        </w:rPr>
        <w:t> </w:t>
      </w:r>
      <w:r>
        <w:rPr/>
        <w:t>an</w:t>
      </w:r>
      <w:r>
        <w:rPr>
          <w:spacing w:val="-2"/>
        </w:rPr>
        <w:t> </w:t>
      </w:r>
      <w:r>
        <w:rPr/>
        <w:t>alleged</w:t>
      </w:r>
      <w:r>
        <w:rPr>
          <w:spacing w:val="-2"/>
        </w:rPr>
        <w:t> </w:t>
      </w:r>
      <w:r>
        <w:rPr/>
        <w:t>rapist</w:t>
      </w:r>
      <w:r>
        <w:rPr>
          <w:spacing w:val="-2"/>
        </w:rPr>
        <w:t> </w:t>
      </w:r>
      <w:r>
        <w:rPr/>
        <w:t>in</w:t>
      </w:r>
      <w:r>
        <w:rPr>
          <w:spacing w:val="-2"/>
        </w:rPr>
        <w:t> </w:t>
      </w:r>
      <w:r>
        <w:rPr/>
        <w:t>light</w:t>
      </w:r>
      <w:r>
        <w:rPr>
          <w:spacing w:val="-2"/>
        </w:rPr>
        <w:t> </w:t>
      </w:r>
      <w:r>
        <w:rPr/>
        <w:t>of</w:t>
      </w:r>
      <w:r>
        <w:rPr>
          <w:spacing w:val="-2"/>
        </w:rPr>
        <w:t> </w:t>
      </w:r>
      <w:r>
        <w:rPr/>
        <w:t>a</w:t>
      </w:r>
      <w:r>
        <w:rPr>
          <w:spacing w:val="-3"/>
        </w:rPr>
        <w:t> </w:t>
      </w:r>
      <w:r>
        <w:rPr/>
        <w:t>subsequent</w:t>
      </w:r>
      <w:r>
        <w:rPr>
          <w:spacing w:val="-2"/>
        </w:rPr>
        <w:t> </w:t>
      </w:r>
      <w:r>
        <w:rPr/>
        <w:t>marriage</w:t>
      </w:r>
      <w:r>
        <w:rPr>
          <w:spacing w:val="-3"/>
        </w:rPr>
        <w:t> </w:t>
      </w:r>
      <w:r>
        <w:rPr/>
        <w:t>to</w:t>
      </w:r>
      <w:r>
        <w:rPr>
          <w:spacing w:val="-2"/>
        </w:rPr>
        <w:t> </w:t>
      </w:r>
      <w:r>
        <w:rPr/>
        <w:t>a</w:t>
      </w:r>
      <w:r>
        <w:rPr>
          <w:spacing w:val="-3"/>
        </w:rPr>
        <w:t> </w:t>
      </w:r>
      <w:r>
        <w:rPr/>
        <w:t>victim.</w:t>
      </w:r>
    </w:p>
    <w:p>
      <w:pPr>
        <w:pStyle w:val="Heading2"/>
        <w:spacing w:before="86"/>
        <w:ind w:left="400"/>
      </w:pPr>
      <w:r>
        <w:rPr/>
        <w:t>Violence</w:t>
      </w:r>
      <w:r>
        <w:rPr>
          <w:spacing w:val="-20"/>
        </w:rPr>
        <w:t> </w:t>
      </w:r>
      <w:r>
        <w:rPr/>
        <w:t>Based</w:t>
      </w:r>
      <w:r>
        <w:rPr>
          <w:spacing w:val="-17"/>
        </w:rPr>
        <w:t> </w:t>
      </w:r>
      <w:r>
        <w:rPr/>
        <w:t>on</w:t>
      </w:r>
      <w:r>
        <w:rPr>
          <w:spacing w:val="-15"/>
        </w:rPr>
        <w:t> </w:t>
      </w:r>
      <w:r>
        <w:rPr/>
        <w:t>Real</w:t>
      </w:r>
      <w:r>
        <w:rPr>
          <w:spacing w:val="-17"/>
        </w:rPr>
        <w:t> </w:t>
      </w:r>
      <w:r>
        <w:rPr/>
        <w:t>or</w:t>
      </w:r>
      <w:r>
        <w:rPr>
          <w:spacing w:val="-17"/>
        </w:rPr>
        <w:t> </w:t>
      </w:r>
      <w:r>
        <w:rPr/>
        <w:t>Perceived</w:t>
      </w:r>
      <w:r>
        <w:rPr>
          <w:spacing w:val="-15"/>
        </w:rPr>
        <w:t> </w:t>
      </w:r>
      <w:r>
        <w:rPr/>
        <w:t>Sexual</w:t>
      </w:r>
      <w:r>
        <w:rPr>
          <w:spacing w:val="-13"/>
        </w:rPr>
        <w:t> </w:t>
      </w:r>
      <w:r>
        <w:rPr/>
        <w:t>Behavior</w:t>
      </w:r>
      <w:r>
        <w:rPr>
          <w:spacing w:val="-18"/>
        </w:rPr>
        <w:t> </w:t>
      </w:r>
      <w:r>
        <w:rPr/>
        <w:t>or</w:t>
      </w:r>
      <w:r>
        <w:rPr>
          <w:spacing w:val="-17"/>
        </w:rPr>
        <w:t> </w:t>
      </w:r>
      <w:r>
        <w:rPr>
          <w:spacing w:val="-2"/>
        </w:rPr>
        <w:t>Expression</w:t>
      </w:r>
    </w:p>
    <w:p>
      <w:pPr>
        <w:pStyle w:val="BodyText"/>
        <w:spacing w:line="259" w:lineRule="auto" w:before="122"/>
        <w:ind w:left="400" w:right="790"/>
      </w:pPr>
      <w:r>
        <w:rPr/>
        <w:t>Violence committed against persons because of their real or perceived sexual</w:t>
      </w:r>
      <w:r>
        <w:rPr>
          <w:spacing w:val="-4"/>
        </w:rPr>
        <w:t> </w:t>
      </w:r>
      <w:r>
        <w:rPr/>
        <w:t>behavior</w:t>
      </w:r>
      <w:r>
        <w:rPr>
          <w:spacing w:val="-4"/>
        </w:rPr>
        <w:t> </w:t>
      </w:r>
      <w:r>
        <w:rPr/>
        <w:t>or</w:t>
      </w:r>
      <w:r>
        <w:rPr>
          <w:spacing w:val="-4"/>
        </w:rPr>
        <w:t> </w:t>
      </w:r>
      <w:r>
        <w:rPr/>
        <w:t>expression</w:t>
      </w:r>
      <w:r>
        <w:rPr>
          <w:spacing w:val="-4"/>
        </w:rPr>
        <w:t> </w:t>
      </w:r>
      <w:r>
        <w:rPr/>
        <w:t>has</w:t>
      </w:r>
      <w:r>
        <w:rPr>
          <w:spacing w:val="-4"/>
        </w:rPr>
        <w:t> </w:t>
      </w:r>
      <w:r>
        <w:rPr/>
        <w:t>been</w:t>
      </w:r>
      <w:r>
        <w:rPr>
          <w:spacing w:val="-4"/>
        </w:rPr>
        <w:t> </w:t>
      </w:r>
      <w:r>
        <w:rPr/>
        <w:t>recorded</w:t>
      </w:r>
      <w:r>
        <w:rPr>
          <w:spacing w:val="-4"/>
        </w:rPr>
        <w:t> </w:t>
      </w:r>
      <w:r>
        <w:rPr/>
        <w:t>in</w:t>
      </w:r>
      <w:r>
        <w:rPr>
          <w:spacing w:val="-4"/>
        </w:rPr>
        <w:t> </w:t>
      </w:r>
      <w:r>
        <w:rPr/>
        <w:t>all</w:t>
      </w:r>
      <w:r>
        <w:rPr>
          <w:spacing w:val="-4"/>
        </w:rPr>
        <w:t> </w:t>
      </w:r>
      <w:r>
        <w:rPr/>
        <w:t>regions</w:t>
      </w:r>
      <w:r>
        <w:rPr>
          <w:spacing w:val="-4"/>
        </w:rPr>
        <w:t> </w:t>
      </w:r>
      <w:r>
        <w:rPr/>
        <w:t>of</w:t>
      </w:r>
      <w:r>
        <w:rPr>
          <w:spacing w:val="-4"/>
        </w:rPr>
        <w:t> </w:t>
      </w:r>
      <w:r>
        <w:rPr/>
        <w:t>the</w:t>
      </w:r>
      <w:r>
        <w:rPr>
          <w:spacing w:val="-4"/>
        </w:rPr>
        <w:t> </w:t>
      </w:r>
      <w:r>
        <w:rPr/>
        <w:t>world. Among these sexual behaviors or forms of sexual expression are: having same-sex sexual partner(s), having extramarital sex, engaging in sex work,</w:t>
      </w:r>
    </w:p>
    <w:p>
      <w:pPr>
        <w:spacing w:after="0" w:line="259" w:lineRule="auto"/>
        <w:sectPr>
          <w:pgSz w:w="12240" w:h="15840"/>
          <w:pgMar w:header="0" w:footer="765" w:top="1260" w:bottom="980" w:left="1400" w:right="1180"/>
        </w:sectPr>
      </w:pPr>
    </w:p>
    <w:p>
      <w:pPr>
        <w:pStyle w:val="BodyText"/>
        <w:spacing w:line="259" w:lineRule="auto" w:before="66"/>
        <w:ind w:left="400" w:right="714"/>
      </w:pPr>
      <w:r>
        <w:rPr/>
        <w:t>perceived effeminate behavior by men, sexual contact with those viewed as being social inferiors or members of enemy groups, behavior deemed to dishonor the kin group, and sexual disobedience.</w:t>
      </w:r>
      <w:r>
        <w:rPr>
          <w:spacing w:val="-2"/>
        </w:rPr>
        <w:t> </w:t>
      </w:r>
      <w:r>
        <w:rPr/>
        <w:t>These behaviors are perceived as being nonconformist, transgressing societal or moral codes or norms, and violence is used to punish people for such conduct. The violent punishment may be physical or psychological, and the effects include: injury, reduced ability to access treatment for these injuries, humiliation, disempowerment and increased disease burden. Violence based on sexual orientation</w:t>
      </w:r>
      <w:r>
        <w:rPr>
          <w:spacing w:val="-5"/>
        </w:rPr>
        <w:t> </w:t>
      </w:r>
      <w:r>
        <w:rPr/>
        <w:t>or</w:t>
      </w:r>
      <w:r>
        <w:rPr>
          <w:spacing w:val="-5"/>
        </w:rPr>
        <w:t> </w:t>
      </w:r>
      <w:r>
        <w:rPr/>
        <w:t>gender</w:t>
      </w:r>
      <w:r>
        <w:rPr>
          <w:spacing w:val="-5"/>
        </w:rPr>
        <w:t> </w:t>
      </w:r>
      <w:r>
        <w:rPr/>
        <w:t>identity.</w:t>
      </w:r>
      <w:r>
        <w:rPr>
          <w:spacing w:val="-11"/>
        </w:rPr>
        <w:t> </w:t>
      </w:r>
      <w:r>
        <w:rPr/>
        <w:t>There</w:t>
      </w:r>
      <w:r>
        <w:rPr>
          <w:spacing w:val="-6"/>
        </w:rPr>
        <w:t> </w:t>
      </w:r>
      <w:r>
        <w:rPr/>
        <w:t>is</w:t>
      </w:r>
      <w:r>
        <w:rPr>
          <w:spacing w:val="-5"/>
        </w:rPr>
        <w:t> </w:t>
      </w:r>
      <w:r>
        <w:rPr/>
        <w:t>increasing</w:t>
      </w:r>
      <w:r>
        <w:rPr>
          <w:spacing w:val="-5"/>
        </w:rPr>
        <w:t> </w:t>
      </w:r>
      <w:r>
        <w:rPr/>
        <w:t>documentation</w:t>
      </w:r>
      <w:r>
        <w:rPr>
          <w:spacing w:val="-5"/>
        </w:rPr>
        <w:t> </w:t>
      </w:r>
      <w:r>
        <w:rPr/>
        <w:t>of</w:t>
      </w:r>
      <w:r>
        <w:rPr>
          <w:spacing w:val="-5"/>
        </w:rPr>
        <w:t> </w:t>
      </w:r>
      <w:r>
        <w:rPr/>
        <w:t>targeted violence against people who have (or are suspected to have) same-sex sexual relationships, and against transgender people. The extent of such violence is currently impossible to estimate as few states have systems in place for monitoring, recording and reporting these incidents. Even where systems exist, incidents may go unreported or are misreported because victims</w:t>
      </w:r>
      <w:r>
        <w:rPr>
          <w:spacing w:val="-1"/>
        </w:rPr>
        <w:t> </w:t>
      </w:r>
      <w:r>
        <w:rPr/>
        <w:t>distrust</w:t>
      </w:r>
      <w:r>
        <w:rPr>
          <w:spacing w:val="-1"/>
        </w:rPr>
        <w:t> </w:t>
      </w:r>
      <w:r>
        <w:rPr/>
        <w:t>the</w:t>
      </w:r>
      <w:r>
        <w:rPr>
          <w:spacing w:val="-2"/>
        </w:rPr>
        <w:t> </w:t>
      </w:r>
      <w:r>
        <w:rPr/>
        <w:t>police,</w:t>
      </w:r>
      <w:r>
        <w:rPr>
          <w:spacing w:val="-1"/>
        </w:rPr>
        <w:t> </w:t>
      </w:r>
      <w:r>
        <w:rPr/>
        <w:t>are</w:t>
      </w:r>
      <w:r>
        <w:rPr>
          <w:spacing w:val="-2"/>
        </w:rPr>
        <w:t> </w:t>
      </w:r>
      <w:r>
        <w:rPr/>
        <w:t>afraid</w:t>
      </w:r>
      <w:r>
        <w:rPr>
          <w:spacing w:val="-1"/>
        </w:rPr>
        <w:t> </w:t>
      </w:r>
      <w:r>
        <w:rPr/>
        <w:t>of</w:t>
      </w:r>
      <w:r>
        <w:rPr>
          <w:spacing w:val="-1"/>
        </w:rPr>
        <w:t> </w:t>
      </w:r>
      <w:r>
        <w:rPr/>
        <w:t>reprisals</w:t>
      </w:r>
      <w:r>
        <w:rPr>
          <w:spacing w:val="-1"/>
        </w:rPr>
        <w:t> </w:t>
      </w:r>
      <w:r>
        <w:rPr/>
        <w:t>or</w:t>
      </w:r>
      <w:r>
        <w:rPr>
          <w:spacing w:val="-1"/>
        </w:rPr>
        <w:t> </w:t>
      </w:r>
      <w:r>
        <w:rPr/>
        <w:t>threats</w:t>
      </w:r>
      <w:r>
        <w:rPr>
          <w:spacing w:val="-1"/>
        </w:rPr>
        <w:t> </w:t>
      </w:r>
      <w:r>
        <w:rPr/>
        <w:t>to</w:t>
      </w:r>
      <w:r>
        <w:rPr>
          <w:spacing w:val="-1"/>
        </w:rPr>
        <w:t> </w:t>
      </w:r>
      <w:r>
        <w:rPr/>
        <w:t>privacy,</w:t>
      </w:r>
      <w:r>
        <w:rPr>
          <w:spacing w:val="-1"/>
        </w:rPr>
        <w:t> </w:t>
      </w:r>
      <w:r>
        <w:rPr/>
        <w:t>or</w:t>
      </w:r>
      <w:r>
        <w:rPr>
          <w:spacing w:val="-1"/>
        </w:rPr>
        <w:t> </w:t>
      </w:r>
      <w:r>
        <w:rPr/>
        <w:t>are stigmatized. Homophobic and transphobic violence can take many forms, including harassment and bullying in schools, so-called street violence and other spontaneous attacks in public settings. Homophobic and transphobic violence can involve a high degree of cruelty and brutality, including beatings,</w:t>
      </w:r>
      <w:r>
        <w:rPr>
          <w:spacing w:val="-6"/>
        </w:rPr>
        <w:t> </w:t>
      </w:r>
      <w:r>
        <w:rPr/>
        <w:t>murder,</w:t>
      </w:r>
      <w:r>
        <w:rPr>
          <w:spacing w:val="-6"/>
        </w:rPr>
        <w:t> </w:t>
      </w:r>
      <w:r>
        <w:rPr/>
        <w:t>torture,</w:t>
      </w:r>
      <w:r>
        <w:rPr>
          <w:spacing w:val="-6"/>
        </w:rPr>
        <w:t> </w:t>
      </w:r>
      <w:r>
        <w:rPr/>
        <w:t>rape</w:t>
      </w:r>
      <w:r>
        <w:rPr>
          <w:spacing w:val="-7"/>
        </w:rPr>
        <w:t> </w:t>
      </w:r>
      <w:r>
        <w:rPr/>
        <w:t>and</w:t>
      </w:r>
      <w:r>
        <w:rPr>
          <w:spacing w:val="-6"/>
        </w:rPr>
        <w:t> </w:t>
      </w:r>
      <w:r>
        <w:rPr/>
        <w:t>other</w:t>
      </w:r>
      <w:r>
        <w:rPr>
          <w:spacing w:val="-6"/>
        </w:rPr>
        <w:t> </w:t>
      </w:r>
      <w:r>
        <w:rPr/>
        <w:t>types</w:t>
      </w:r>
      <w:r>
        <w:rPr>
          <w:spacing w:val="-6"/>
        </w:rPr>
        <w:t> </w:t>
      </w:r>
      <w:r>
        <w:rPr/>
        <w:t>of</w:t>
      </w:r>
      <w:r>
        <w:rPr>
          <w:spacing w:val="-6"/>
        </w:rPr>
        <w:t> </w:t>
      </w:r>
      <w:r>
        <w:rPr/>
        <w:t>sexual</w:t>
      </w:r>
      <w:r>
        <w:rPr>
          <w:spacing w:val="-6"/>
        </w:rPr>
        <w:t> </w:t>
      </w:r>
      <w:r>
        <w:rPr/>
        <w:t>assault.</w:t>
      </w:r>
      <w:r>
        <w:rPr>
          <w:spacing w:val="-12"/>
        </w:rPr>
        <w:t> </w:t>
      </w:r>
      <w:r>
        <w:rPr/>
        <w:t>Violent</w:t>
      </w:r>
      <w:r>
        <w:rPr>
          <w:spacing w:val="-6"/>
        </w:rPr>
        <w:t> </w:t>
      </w:r>
      <w:r>
        <w:rPr/>
        <w:t>acts may be committed by family members and friends, peers at school, health- care providers, co-workers, the police or others.</w:t>
      </w:r>
    </w:p>
    <w:p>
      <w:pPr>
        <w:pStyle w:val="BodyText"/>
        <w:spacing w:line="259" w:lineRule="auto" w:before="64"/>
        <w:ind w:left="400" w:right="668"/>
      </w:pPr>
      <w:r>
        <w:rPr/>
        <w:t>Severe violence and torture occurring in healthcare settings has been documented,</w:t>
      </w:r>
      <w:r>
        <w:rPr>
          <w:spacing w:val="-4"/>
        </w:rPr>
        <w:t> </w:t>
      </w:r>
      <w:r>
        <w:rPr/>
        <w:t>including</w:t>
      </w:r>
      <w:r>
        <w:rPr>
          <w:spacing w:val="-4"/>
        </w:rPr>
        <w:t> </w:t>
      </w:r>
      <w:r>
        <w:rPr/>
        <w:t>denial</w:t>
      </w:r>
      <w:r>
        <w:rPr>
          <w:spacing w:val="-4"/>
        </w:rPr>
        <w:t> </w:t>
      </w:r>
      <w:r>
        <w:rPr/>
        <w:t>of</w:t>
      </w:r>
      <w:r>
        <w:rPr>
          <w:spacing w:val="-4"/>
        </w:rPr>
        <w:t> </w:t>
      </w:r>
      <w:r>
        <w:rPr/>
        <w:t>medical</w:t>
      </w:r>
      <w:r>
        <w:rPr>
          <w:spacing w:val="-4"/>
        </w:rPr>
        <w:t> </w:t>
      </w:r>
      <w:r>
        <w:rPr/>
        <w:t>treatment,</w:t>
      </w:r>
      <w:r>
        <w:rPr>
          <w:spacing w:val="-4"/>
        </w:rPr>
        <w:t> </w:t>
      </w:r>
      <w:r>
        <w:rPr/>
        <w:t>use</w:t>
      </w:r>
      <w:r>
        <w:rPr>
          <w:spacing w:val="-5"/>
        </w:rPr>
        <w:t> </w:t>
      </w:r>
      <w:r>
        <w:rPr/>
        <w:t>of</w:t>
      </w:r>
      <w:r>
        <w:rPr>
          <w:spacing w:val="-4"/>
        </w:rPr>
        <w:t> </w:t>
      </w:r>
      <w:r>
        <w:rPr/>
        <w:t>verbal</w:t>
      </w:r>
      <w:r>
        <w:rPr>
          <w:spacing w:val="-4"/>
        </w:rPr>
        <w:t> </w:t>
      </w:r>
      <w:r>
        <w:rPr/>
        <w:t>abuse</w:t>
      </w:r>
      <w:r>
        <w:rPr>
          <w:spacing w:val="-5"/>
        </w:rPr>
        <w:t> </w:t>
      </w:r>
      <w:r>
        <w:rPr/>
        <w:t>and public humiliation, and a variety of forced procedures such as psychiatric evaluation and sterilization. Other types of violence perpetrated by health personnel and other state</w:t>
      </w:r>
      <w:r>
        <w:rPr>
          <w:spacing w:val="-1"/>
        </w:rPr>
        <w:t> </w:t>
      </w:r>
      <w:r>
        <w:rPr/>
        <w:t>officials include forcible anal examination for the prosecution of suspected homosexual activities, invasive virginity examination, hormone therapy, and so-called sex normalizing surgery and reparative therapy. These procedures are rarely medically necessary, can cause serious injury, scarring, loss of sexual sensation, pain, incontinence and lifelong depression, and have also</w:t>
      </w:r>
      <w:r>
        <w:rPr>
          <w:spacing w:val="-2"/>
        </w:rPr>
        <w:t> </w:t>
      </w:r>
      <w:r>
        <w:rPr/>
        <w:t>been</w:t>
      </w:r>
      <w:r>
        <w:rPr>
          <w:spacing w:val="-2"/>
        </w:rPr>
        <w:t> </w:t>
      </w:r>
      <w:r>
        <w:rPr/>
        <w:t>criticized</w:t>
      </w:r>
      <w:r>
        <w:rPr>
          <w:spacing w:val="-2"/>
        </w:rPr>
        <w:t> </w:t>
      </w:r>
      <w:r>
        <w:rPr/>
        <w:t>as</w:t>
      </w:r>
      <w:r>
        <w:rPr>
          <w:spacing w:val="-2"/>
        </w:rPr>
        <w:t> </w:t>
      </w:r>
      <w:r>
        <w:rPr/>
        <w:t>being</w:t>
      </w:r>
      <w:r>
        <w:rPr>
          <w:spacing w:val="-2"/>
        </w:rPr>
        <w:t> </w:t>
      </w:r>
      <w:r>
        <w:rPr/>
        <w:t>unscientific, potentially harmful and contributing to stigma.</w:t>
      </w:r>
    </w:p>
    <w:p>
      <w:pPr>
        <w:pStyle w:val="BodyText"/>
        <w:spacing w:line="259" w:lineRule="auto" w:before="72"/>
        <w:ind w:left="400" w:right="604"/>
      </w:pPr>
      <w:r>
        <w:rPr/>
        <w:t>Lesbian, gay and transgender people may be subject to aggravated violence and</w:t>
      </w:r>
      <w:r>
        <w:rPr>
          <w:spacing w:val="-7"/>
        </w:rPr>
        <w:t> </w:t>
      </w:r>
      <w:r>
        <w:rPr/>
        <w:t>abuse</w:t>
      </w:r>
      <w:r>
        <w:rPr>
          <w:spacing w:val="-8"/>
        </w:rPr>
        <w:t> </w:t>
      </w:r>
      <w:r>
        <w:rPr/>
        <w:t>by</w:t>
      </w:r>
      <w:r>
        <w:rPr>
          <w:spacing w:val="-3"/>
        </w:rPr>
        <w:t> </w:t>
      </w:r>
      <w:r>
        <w:rPr/>
        <w:t>inmates</w:t>
      </w:r>
      <w:r>
        <w:rPr>
          <w:spacing w:val="-3"/>
        </w:rPr>
        <w:t> </w:t>
      </w:r>
      <w:r>
        <w:rPr/>
        <w:t>and</w:t>
      </w:r>
      <w:r>
        <w:rPr>
          <w:spacing w:val="-3"/>
        </w:rPr>
        <w:t> </w:t>
      </w:r>
      <w:r>
        <w:rPr/>
        <w:t>prison</w:t>
      </w:r>
      <w:r>
        <w:rPr>
          <w:spacing w:val="-3"/>
        </w:rPr>
        <w:t> </w:t>
      </w:r>
      <w:r>
        <w:rPr/>
        <w:t>guards</w:t>
      </w:r>
      <w:r>
        <w:rPr>
          <w:spacing w:val="-3"/>
        </w:rPr>
        <w:t> </w:t>
      </w:r>
      <w:r>
        <w:rPr/>
        <w:t>when</w:t>
      </w:r>
      <w:r>
        <w:rPr>
          <w:spacing w:val="-3"/>
        </w:rPr>
        <w:t> </w:t>
      </w:r>
      <w:r>
        <w:rPr/>
        <w:t>they</w:t>
      </w:r>
      <w:r>
        <w:rPr>
          <w:spacing w:val="-3"/>
        </w:rPr>
        <w:t> </w:t>
      </w:r>
      <w:r>
        <w:rPr/>
        <w:t>are</w:t>
      </w:r>
      <w:r>
        <w:rPr>
          <w:spacing w:val="-4"/>
        </w:rPr>
        <w:t> </w:t>
      </w:r>
      <w:r>
        <w:rPr/>
        <w:t>in</w:t>
      </w:r>
      <w:r>
        <w:rPr>
          <w:spacing w:val="-3"/>
        </w:rPr>
        <w:t> </w:t>
      </w:r>
      <w:r>
        <w:rPr/>
        <w:t>detention</w:t>
      </w:r>
      <w:r>
        <w:rPr>
          <w:spacing w:val="-3"/>
        </w:rPr>
        <w:t> </w:t>
      </w:r>
      <w:r>
        <w:rPr/>
        <w:t>or</w:t>
      </w:r>
      <w:r>
        <w:rPr>
          <w:spacing w:val="-3"/>
        </w:rPr>
        <w:t> </w:t>
      </w:r>
      <w:r>
        <w:rPr/>
        <w:t>under state</w:t>
      </w:r>
      <w:r>
        <w:rPr>
          <w:spacing w:val="-5"/>
        </w:rPr>
        <w:t> </w:t>
      </w:r>
      <w:r>
        <w:rPr/>
        <w:t>care.</w:t>
      </w:r>
      <w:r>
        <w:rPr>
          <w:spacing w:val="-4"/>
        </w:rPr>
        <w:t> </w:t>
      </w:r>
      <w:r>
        <w:rPr/>
        <w:t>Incidents</w:t>
      </w:r>
      <w:r>
        <w:rPr>
          <w:spacing w:val="-4"/>
        </w:rPr>
        <w:t> </w:t>
      </w:r>
      <w:r>
        <w:rPr/>
        <w:t>have</w:t>
      </w:r>
      <w:r>
        <w:rPr>
          <w:spacing w:val="-5"/>
        </w:rPr>
        <w:t> </w:t>
      </w:r>
      <w:r>
        <w:rPr/>
        <w:t>been</w:t>
      </w:r>
      <w:r>
        <w:rPr>
          <w:spacing w:val="-4"/>
        </w:rPr>
        <w:t> </w:t>
      </w:r>
      <w:r>
        <w:rPr/>
        <w:t>reported</w:t>
      </w:r>
      <w:r>
        <w:rPr>
          <w:spacing w:val="-4"/>
        </w:rPr>
        <w:t> </w:t>
      </w:r>
      <w:r>
        <w:rPr/>
        <w:t>in</w:t>
      </w:r>
      <w:r>
        <w:rPr>
          <w:spacing w:val="-4"/>
        </w:rPr>
        <w:t> </w:t>
      </w:r>
      <w:r>
        <w:rPr/>
        <w:t>which</w:t>
      </w:r>
      <w:r>
        <w:rPr>
          <w:spacing w:val="-4"/>
        </w:rPr>
        <w:t> </w:t>
      </w:r>
      <w:r>
        <w:rPr/>
        <w:t>individuals</w:t>
      </w:r>
      <w:r>
        <w:rPr>
          <w:spacing w:val="-4"/>
        </w:rPr>
        <w:t> </w:t>
      </w:r>
      <w:r>
        <w:rPr/>
        <w:t>were</w:t>
      </w:r>
      <w:r>
        <w:rPr>
          <w:spacing w:val="-5"/>
        </w:rPr>
        <w:t> </w:t>
      </w:r>
      <w:r>
        <w:rPr/>
        <w:t>subjected to victimization by police and prison guards, and authorities failed to take reasonable measures to prevent violence against detainees perceived as</w:t>
      </w:r>
    </w:p>
    <w:p>
      <w:pPr>
        <w:spacing w:after="0" w:line="259" w:lineRule="auto"/>
        <w:sectPr>
          <w:pgSz w:w="12240" w:h="15840"/>
          <w:pgMar w:header="0" w:footer="765" w:top="1260" w:bottom="980" w:left="1400" w:right="1180"/>
        </w:sectPr>
      </w:pPr>
    </w:p>
    <w:p>
      <w:pPr>
        <w:pStyle w:val="BodyText"/>
        <w:spacing w:before="66"/>
        <w:ind w:left="400"/>
      </w:pPr>
      <w:r>
        <w:rPr/>
        <w:t>being</w:t>
      </w:r>
      <w:r>
        <w:rPr>
          <w:spacing w:val="-1"/>
        </w:rPr>
        <w:t> </w:t>
      </w:r>
      <w:r>
        <w:rPr/>
        <w:t>lesbian,</w:t>
      </w:r>
      <w:r>
        <w:rPr>
          <w:spacing w:val="-1"/>
        </w:rPr>
        <w:t> </w:t>
      </w:r>
      <w:r>
        <w:rPr/>
        <w:t>gay</w:t>
      </w:r>
      <w:r>
        <w:rPr>
          <w:spacing w:val="-1"/>
        </w:rPr>
        <w:t> </w:t>
      </w:r>
      <w:r>
        <w:rPr/>
        <w:t>or</w:t>
      </w:r>
      <w:r>
        <w:rPr>
          <w:spacing w:val="-1"/>
        </w:rPr>
        <w:t> </w:t>
      </w:r>
      <w:r>
        <w:rPr>
          <w:spacing w:val="-2"/>
        </w:rPr>
        <w:t>transgender.</w:t>
      </w:r>
    </w:p>
    <w:p>
      <w:pPr>
        <w:pStyle w:val="BodyText"/>
        <w:spacing w:line="259" w:lineRule="auto" w:before="106"/>
        <w:ind w:left="400" w:right="718"/>
      </w:pPr>
      <w:r>
        <w:rPr/>
        <w:t>Criminalization of same-sex sexual behavior and non-gender-conforming behavior, and discriminatory laws and regulations, can create and intensify stigma, discrimination and violence, all of which have direct effects on lesbian, gay, transgender, gender variant and intersex people’s health far beyond immediate injury. Criminal laws, public decency regulations and policing surveillance systems have all been used to harass, arrest, torture, rape and abuse people perceived as belonging to these groups. International and regional human rights bodies increasingly call for the respect and protection of lesbian, gay, transgender,</w:t>
      </w:r>
      <w:r>
        <w:rPr>
          <w:spacing w:val="-1"/>
        </w:rPr>
        <w:t> </w:t>
      </w:r>
      <w:r>
        <w:rPr/>
        <w:t>gender</w:t>
      </w:r>
      <w:r>
        <w:rPr>
          <w:spacing w:val="-1"/>
        </w:rPr>
        <w:t> </w:t>
      </w:r>
      <w:r>
        <w:rPr/>
        <w:t>variant</w:t>
      </w:r>
      <w:r>
        <w:rPr>
          <w:spacing w:val="-2"/>
        </w:rPr>
        <w:t> </w:t>
      </w:r>
      <w:r>
        <w:rPr/>
        <w:t>and intersex people’s human</w:t>
      </w:r>
      <w:r>
        <w:rPr>
          <w:spacing w:val="-8"/>
        </w:rPr>
        <w:t> </w:t>
      </w:r>
      <w:r>
        <w:rPr/>
        <w:t>rights,</w:t>
      </w:r>
      <w:r>
        <w:rPr>
          <w:spacing w:val="-8"/>
        </w:rPr>
        <w:t> </w:t>
      </w:r>
      <w:r>
        <w:rPr/>
        <w:t>including</w:t>
      </w:r>
      <w:r>
        <w:rPr>
          <w:spacing w:val="-8"/>
        </w:rPr>
        <w:t> </w:t>
      </w:r>
      <w:r>
        <w:rPr/>
        <w:t>respect</w:t>
      </w:r>
      <w:r>
        <w:rPr>
          <w:spacing w:val="-8"/>
        </w:rPr>
        <w:t> </w:t>
      </w:r>
      <w:r>
        <w:rPr/>
        <w:t>for</w:t>
      </w:r>
      <w:r>
        <w:rPr>
          <w:spacing w:val="-7"/>
        </w:rPr>
        <w:t> </w:t>
      </w:r>
      <w:r>
        <w:rPr/>
        <w:t>their rights to life, liberty and security of person, to be free from torture or inhuman and degrading</w:t>
      </w:r>
      <w:r>
        <w:rPr>
          <w:spacing w:val="40"/>
        </w:rPr>
        <w:t> </w:t>
      </w:r>
      <w:r>
        <w:rPr/>
        <w:t>treatment and discrimination, the rights to privacy, freedom of expression, association and peaceful assembly, and the right to the highest attainable standard of health. They have also recognized that stigma, discrimination, marginalization and violence</w:t>
      </w:r>
      <w:r>
        <w:rPr>
          <w:spacing w:val="-1"/>
        </w:rPr>
        <w:t> </w:t>
      </w:r>
      <w:r>
        <w:rPr/>
        <w:t>related to sexual orientation and gender identity and expression are often exacerbated</w:t>
      </w:r>
      <w:r>
        <w:rPr>
          <w:spacing w:val="-2"/>
        </w:rPr>
        <w:t> </w:t>
      </w:r>
      <w:r>
        <w:rPr/>
        <w:t>by</w:t>
      </w:r>
      <w:r>
        <w:rPr>
          <w:spacing w:val="-2"/>
        </w:rPr>
        <w:t> </w:t>
      </w:r>
      <w:r>
        <w:rPr/>
        <w:t>other</w:t>
      </w:r>
      <w:r>
        <w:rPr>
          <w:spacing w:val="-2"/>
        </w:rPr>
        <w:t> </w:t>
      </w:r>
      <w:r>
        <w:rPr/>
        <w:t>personal</w:t>
      </w:r>
      <w:r>
        <w:rPr>
          <w:spacing w:val="-2"/>
        </w:rPr>
        <w:t> </w:t>
      </w:r>
      <w:r>
        <w:rPr/>
        <w:t>characteristics</w:t>
      </w:r>
      <w:r>
        <w:rPr>
          <w:spacing w:val="-2"/>
        </w:rPr>
        <w:t> </w:t>
      </w:r>
      <w:r>
        <w:rPr/>
        <w:t>and</w:t>
      </w:r>
      <w:r>
        <w:rPr>
          <w:spacing w:val="-2"/>
        </w:rPr>
        <w:t> </w:t>
      </w:r>
      <w:r>
        <w:rPr/>
        <w:t>factors,</w:t>
      </w:r>
      <w:r>
        <w:rPr>
          <w:spacing w:val="-2"/>
        </w:rPr>
        <w:t> </w:t>
      </w:r>
      <w:r>
        <w:rPr/>
        <w:t>such</w:t>
      </w:r>
      <w:r>
        <w:rPr>
          <w:spacing w:val="-2"/>
        </w:rPr>
        <w:t> </w:t>
      </w:r>
      <w:r>
        <w:rPr/>
        <w:t>as</w:t>
      </w:r>
      <w:r>
        <w:rPr>
          <w:spacing w:val="-2"/>
        </w:rPr>
        <w:t> </w:t>
      </w:r>
      <w:r>
        <w:rPr/>
        <w:t>race, ethnicity, religion, socioeconomic status, being a migrant or residing in conflict settings, and so they have called for the elimination of multiple discrimination. International and regional human rights bodies have clearly condemned violent crime perpetrated against persons because of their</w:t>
      </w:r>
      <w:r>
        <w:rPr>
          <w:spacing w:val="40"/>
        </w:rPr>
        <w:t> </w:t>
      </w:r>
      <w:r>
        <w:rPr/>
        <w:t>sexual orientation and/or gender identity and expression, including by law enforcement officials, as well as the failure of states to address such crime</w:t>
      </w:r>
      <w:r>
        <w:rPr>
          <w:spacing w:val="40"/>
        </w:rPr>
        <w:t> </w:t>
      </w:r>
      <w:r>
        <w:rPr/>
        <w:t>in their legislation. They have urged states to ensure that these acts of violence and human rights violations are investigated and their perpetrators brought to justice. Human rights bodies call on states to adopt legislation and public policies against discrimination and violence by reason of gender identity and expression. They have also called for the</w:t>
      </w:r>
      <w:r>
        <w:rPr>
          <w:spacing w:val="40"/>
        </w:rPr>
        <w:t> </w:t>
      </w:r>
      <w:r>
        <w:rPr/>
        <w:t>implementation of special measures – including appropriate training of law enforcement and judicial</w:t>
      </w:r>
      <w:r>
        <w:rPr>
          <w:spacing w:val="-5"/>
        </w:rPr>
        <w:t> </w:t>
      </w:r>
      <w:r>
        <w:rPr/>
        <w:t>officials</w:t>
      </w:r>
      <w:r>
        <w:rPr>
          <w:spacing w:val="-5"/>
        </w:rPr>
        <w:t> </w:t>
      </w:r>
      <w:r>
        <w:rPr/>
        <w:t>–</w:t>
      </w:r>
      <w:r>
        <w:rPr>
          <w:spacing w:val="-5"/>
        </w:rPr>
        <w:t> </w:t>
      </w:r>
      <w:r>
        <w:rPr/>
        <w:t>to</w:t>
      </w:r>
      <w:r>
        <w:rPr>
          <w:spacing w:val="-5"/>
        </w:rPr>
        <w:t> </w:t>
      </w:r>
      <w:r>
        <w:rPr/>
        <w:t>protect</w:t>
      </w:r>
      <w:r>
        <w:rPr>
          <w:spacing w:val="-5"/>
        </w:rPr>
        <w:t> </w:t>
      </w:r>
      <w:r>
        <w:rPr/>
        <w:t>persons</w:t>
      </w:r>
      <w:r>
        <w:rPr>
          <w:spacing w:val="-5"/>
        </w:rPr>
        <w:t> </w:t>
      </w:r>
      <w:r>
        <w:rPr/>
        <w:t>in</w:t>
      </w:r>
      <w:r>
        <w:rPr>
          <w:spacing w:val="-5"/>
        </w:rPr>
        <w:t> </w:t>
      </w:r>
      <w:r>
        <w:rPr/>
        <w:t>prison</w:t>
      </w:r>
      <w:r>
        <w:rPr>
          <w:spacing w:val="-5"/>
        </w:rPr>
        <w:t> </w:t>
      </w:r>
      <w:r>
        <w:rPr/>
        <w:t>against</w:t>
      </w:r>
      <w:r>
        <w:rPr>
          <w:spacing w:val="-5"/>
        </w:rPr>
        <w:t> </w:t>
      </w:r>
      <w:r>
        <w:rPr/>
        <w:t>bias-motivated</w:t>
      </w:r>
      <w:r>
        <w:rPr>
          <w:spacing w:val="-5"/>
        </w:rPr>
        <w:t> </w:t>
      </w:r>
      <w:r>
        <w:rPr/>
        <w:t>crimes related to their sexual orientation or gender identity.</w:t>
      </w:r>
      <w:r>
        <w:rPr>
          <w:spacing w:val="-27"/>
        </w:rPr>
        <w:t> </w:t>
      </w:r>
      <w:r>
        <w:rPr/>
        <w:t>A</w:t>
      </w:r>
      <w:r>
        <w:rPr>
          <w:spacing w:val="-26"/>
        </w:rPr>
        <w:t> </w:t>
      </w:r>
      <w:r>
        <w:rPr/>
        <w:t>number of countries in all regions address discrimination and violence on the basis of sexual orientation and gender identity in their legislation. Some have included provisions in their laws for addressing crimes committed on the basis of sexual orientation and gender identity, and included hate crimes and bias- motivated crimes related to sexual orientation and gender identity and expression in the hate crimes statute (e.g.</w:t>
      </w:r>
      <w:r>
        <w:rPr>
          <w:spacing w:val="-11"/>
        </w:rPr>
        <w:t> </w:t>
      </w:r>
      <w:r>
        <w:rPr/>
        <w:t>Australia, USA). The anti- discrimination law in Serbia, for example, establishes the fundamental</w:t>
      </w:r>
    </w:p>
    <w:p>
      <w:pPr>
        <w:spacing w:after="0" w:line="259" w:lineRule="auto"/>
        <w:sectPr>
          <w:pgSz w:w="12240" w:h="15840"/>
          <w:pgMar w:header="0" w:footer="765" w:top="1260" w:bottom="980" w:left="1400" w:right="1180"/>
        </w:sectPr>
      </w:pPr>
    </w:p>
    <w:p>
      <w:pPr>
        <w:pStyle w:val="BodyText"/>
        <w:spacing w:line="259" w:lineRule="auto" w:before="66"/>
        <w:ind w:left="400" w:right="668"/>
      </w:pPr>
      <w:r>
        <w:rPr/>
        <w:t>principle of equality of people of different sexes and genders, and includes sexual orientation and gender identity among the grounds for non- discrimination. It specifies that rights pertaining to gender or gender</w:t>
      </w:r>
      <w:r>
        <w:rPr>
          <w:spacing w:val="40"/>
        </w:rPr>
        <w:t> </w:t>
      </w:r>
      <w:r>
        <w:rPr/>
        <w:t>Honor crimes and honor killings. In some regions, people may be killed because they</w:t>
      </w:r>
      <w:r>
        <w:rPr>
          <w:spacing w:val="-3"/>
        </w:rPr>
        <w:t> </w:t>
      </w:r>
      <w:r>
        <w:rPr/>
        <w:t>are</w:t>
      </w:r>
      <w:r>
        <w:rPr>
          <w:spacing w:val="-4"/>
        </w:rPr>
        <w:t> </w:t>
      </w:r>
      <w:r>
        <w:rPr/>
        <w:t>seen</w:t>
      </w:r>
      <w:r>
        <w:rPr>
          <w:spacing w:val="-3"/>
        </w:rPr>
        <w:t> </w:t>
      </w:r>
      <w:r>
        <w:rPr/>
        <w:t>by</w:t>
      </w:r>
      <w:r>
        <w:rPr>
          <w:spacing w:val="40"/>
        </w:rPr>
        <w:t> </w:t>
      </w:r>
      <w:r>
        <w:rPr/>
        <w:t>family</w:t>
      </w:r>
      <w:r>
        <w:rPr>
          <w:spacing w:val="-3"/>
        </w:rPr>
        <w:t> </w:t>
      </w:r>
      <w:r>
        <w:rPr/>
        <w:t>or</w:t>
      </w:r>
      <w:r>
        <w:rPr>
          <w:spacing w:val="-3"/>
        </w:rPr>
        <w:t> </w:t>
      </w:r>
      <w:r>
        <w:rPr/>
        <w:t>community</w:t>
      </w:r>
      <w:r>
        <w:rPr>
          <w:spacing w:val="-3"/>
        </w:rPr>
        <w:t> </w:t>
      </w:r>
      <w:r>
        <w:rPr/>
        <w:t>members</w:t>
      </w:r>
      <w:r>
        <w:rPr>
          <w:spacing w:val="-3"/>
        </w:rPr>
        <w:t> </w:t>
      </w:r>
      <w:r>
        <w:rPr/>
        <w:t>as</w:t>
      </w:r>
      <w:r>
        <w:rPr>
          <w:spacing w:val="-3"/>
        </w:rPr>
        <w:t> </w:t>
      </w:r>
      <w:r>
        <w:rPr/>
        <w:t>having</w:t>
      </w:r>
      <w:r>
        <w:rPr>
          <w:spacing w:val="-3"/>
        </w:rPr>
        <w:t> </w:t>
      </w:r>
      <w:r>
        <w:rPr/>
        <w:t>brought</w:t>
      </w:r>
      <w:r>
        <w:rPr>
          <w:spacing w:val="-3"/>
        </w:rPr>
        <w:t> </w:t>
      </w:r>
      <w:r>
        <w:rPr/>
        <w:t>shame</w:t>
      </w:r>
      <w:r>
        <w:rPr>
          <w:spacing w:val="-4"/>
        </w:rPr>
        <w:t> </w:t>
      </w:r>
      <w:r>
        <w:rPr/>
        <w:t>or dishonor on a family, often for transgressing gender norms or for sexual behavior, including actual or assumed same- sex sexual activity.</w:t>
      </w:r>
    </w:p>
    <w:p>
      <w:pPr>
        <w:pStyle w:val="BodyText"/>
        <w:spacing w:line="259" w:lineRule="auto"/>
        <w:ind w:left="400" w:right="704"/>
      </w:pPr>
      <w:r>
        <w:rPr/>
        <w:t>Documented crimes committed in the name of honor are most often perpetrated against women because of relations with a male partner who is viewed as an unacceptable match, or because of actual or assumed sex before marriage; one estimate suggests that at least 5000 women around the world are murdered by family members each year in these so-called honor killings. However, such crimes may also be committed against men and transgender people. Very often, these crimes remain unpunished and at times are even sanctioned by the law. International human rights bodies have stated that these crimes violate the rights to life, to equality before the law, and to equal protection in the law, and have strongly recommend that states pass legislation “to remove the defense of honor in regard to the assault or murder of a female family member”.</w:t>
      </w:r>
      <w:r>
        <w:rPr>
          <w:spacing w:val="-16"/>
        </w:rPr>
        <w:t> </w:t>
      </w:r>
      <w:r>
        <w:rPr/>
        <w:t>At the national level, some countries</w:t>
      </w:r>
      <w:r>
        <w:rPr>
          <w:spacing w:val="-4"/>
        </w:rPr>
        <w:t> </w:t>
      </w:r>
      <w:r>
        <w:rPr/>
        <w:t>have</w:t>
      </w:r>
      <w:r>
        <w:rPr>
          <w:spacing w:val="-5"/>
        </w:rPr>
        <w:t> </w:t>
      </w:r>
      <w:r>
        <w:rPr/>
        <w:t>changed</w:t>
      </w:r>
      <w:r>
        <w:rPr>
          <w:spacing w:val="-4"/>
        </w:rPr>
        <w:t> </w:t>
      </w:r>
      <w:r>
        <w:rPr/>
        <w:t>their</w:t>
      </w:r>
      <w:r>
        <w:rPr>
          <w:spacing w:val="-4"/>
        </w:rPr>
        <w:t> </w:t>
      </w:r>
      <w:r>
        <w:rPr/>
        <w:t>laws</w:t>
      </w:r>
      <w:r>
        <w:rPr>
          <w:spacing w:val="-4"/>
        </w:rPr>
        <w:t> </w:t>
      </w:r>
      <w:r>
        <w:rPr/>
        <w:t>to</w:t>
      </w:r>
      <w:r>
        <w:rPr>
          <w:spacing w:val="-4"/>
        </w:rPr>
        <w:t> </w:t>
      </w:r>
      <w:r>
        <w:rPr/>
        <w:t>reflect</w:t>
      </w:r>
      <w:r>
        <w:rPr>
          <w:spacing w:val="-4"/>
        </w:rPr>
        <w:t> </w:t>
      </w:r>
      <w:r>
        <w:rPr/>
        <w:t>these</w:t>
      </w:r>
      <w:r>
        <w:rPr>
          <w:spacing w:val="-5"/>
        </w:rPr>
        <w:t> </w:t>
      </w:r>
      <w:r>
        <w:rPr/>
        <w:t>human</w:t>
      </w:r>
      <w:r>
        <w:rPr>
          <w:spacing w:val="-4"/>
        </w:rPr>
        <w:t> </w:t>
      </w:r>
      <w:r>
        <w:rPr/>
        <w:t>rights</w:t>
      </w:r>
      <w:r>
        <w:rPr>
          <w:spacing w:val="-4"/>
        </w:rPr>
        <w:t> </w:t>
      </w:r>
      <w:r>
        <w:rPr/>
        <w:t>standards.</w:t>
      </w:r>
      <w:r>
        <w:rPr>
          <w:spacing w:val="-4"/>
        </w:rPr>
        <w:t> </w:t>
      </w:r>
      <w:r>
        <w:rPr/>
        <w:t>In Turkey, for instance, where so-called honor killings were previously tolerated or even condoned by the state, a change in the Penal Code now takes the “honor” element of a killing as an aggravating instead of a mitigating factor in a criminal trial, signaling that such notions are a violation of human rights.</w:t>
      </w:r>
    </w:p>
    <w:p>
      <w:pPr>
        <w:pStyle w:val="BodyText"/>
        <w:spacing w:before="2"/>
        <w:rPr>
          <w:sz w:val="40"/>
        </w:rPr>
      </w:pPr>
    </w:p>
    <w:p>
      <w:pPr>
        <w:pStyle w:val="Heading3"/>
        <w:spacing w:before="1"/>
        <w:ind w:left="400" w:right="925"/>
      </w:pPr>
      <w:r>
        <w:rPr>
          <w:i/>
        </w:rPr>
        <w:t>Assessment</w:t>
      </w:r>
      <w:r>
        <w:rPr>
          <w:i/>
          <w:spacing w:val="-14"/>
        </w:rPr>
        <w:t> </w:t>
      </w:r>
      <w:r>
        <w:rPr>
          <w:i/>
        </w:rPr>
        <w:t>and</w:t>
      </w:r>
      <w:r>
        <w:rPr>
          <w:i/>
          <w:spacing w:val="-9"/>
        </w:rPr>
        <w:t> </w:t>
      </w:r>
      <w:r>
        <w:rPr>
          <w:i/>
        </w:rPr>
        <w:t>Treatment</w:t>
      </w:r>
      <w:r>
        <w:rPr>
          <w:i/>
          <w:spacing w:val="-9"/>
        </w:rPr>
        <w:t> </w:t>
      </w:r>
      <w:r>
        <w:rPr>
          <w:i/>
        </w:rPr>
        <w:t>of</w:t>
      </w:r>
      <w:r>
        <w:rPr>
          <w:i/>
          <w:spacing w:val="-9"/>
        </w:rPr>
        <w:t> </w:t>
      </w:r>
      <w:r>
        <w:rPr>
          <w:i/>
        </w:rPr>
        <w:t>Sexual</w:t>
      </w:r>
      <w:r>
        <w:rPr>
          <w:i/>
          <w:spacing w:val="-9"/>
        </w:rPr>
        <w:t> </w:t>
      </w:r>
      <w:r>
        <w:rPr>
          <w:i/>
        </w:rPr>
        <w:t>Violence:</w:t>
      </w:r>
      <w:r>
        <w:rPr>
          <w:i/>
          <w:spacing w:val="-18"/>
        </w:rPr>
        <w:t> </w:t>
      </w:r>
      <w:r>
        <w:rPr>
          <w:i/>
        </w:rPr>
        <w:t>A</w:t>
      </w:r>
      <w:r>
        <w:rPr>
          <w:i/>
          <w:spacing w:val="-17"/>
        </w:rPr>
        <w:t> </w:t>
      </w:r>
      <w:r>
        <w:rPr>
          <w:i/>
        </w:rPr>
        <w:t>Comprehensive</w:t>
      </w:r>
      <w:r>
        <w:rPr>
          <w:i/>
          <w:spacing w:val="-9"/>
        </w:rPr>
        <w:t> </w:t>
      </w:r>
      <w:r>
        <w:rPr>
          <w:i/>
        </w:rPr>
        <w:t>Guide</w:t>
      </w:r>
      <w:r>
        <w:rPr/>
        <w:t> for Clinicians</w:t>
      </w:r>
    </w:p>
    <w:p>
      <w:pPr>
        <w:pStyle w:val="BodyText"/>
        <w:spacing w:before="10"/>
        <w:rPr>
          <w:b/>
          <w:i/>
          <w:sz w:val="30"/>
        </w:rPr>
      </w:pPr>
    </w:p>
    <w:p>
      <w:pPr>
        <w:pStyle w:val="BodyText"/>
        <w:spacing w:before="1"/>
        <w:ind w:left="280" w:right="544"/>
      </w:pPr>
      <w:r>
        <w:rPr>
          <w:color w:val="374151"/>
        </w:rPr>
        <w:t>Because s</w:t>
      </w:r>
      <w:r>
        <w:rPr>
          <w:color w:val="374151"/>
          <w:shd w:fill="F7F7F8" w:color="auto" w:val="clear"/>
        </w:rPr>
        <w:t>exual violence is a significant public health concern that affects </w:t>
      </w:r>
      <w:r>
        <w:rPr>
          <w:color w:val="374151"/>
        </w:rPr>
        <w:t> </w:t>
      </w:r>
      <w:r>
        <w:rPr>
          <w:color w:val="374151"/>
          <w:shd w:fill="F7F7F8" w:color="auto" w:val="clear"/>
        </w:rPr>
        <w:t>individuals</w:t>
      </w:r>
      <w:r>
        <w:rPr>
          <w:color w:val="374151"/>
          <w:spacing w:val="-4"/>
          <w:shd w:fill="F7F7F8" w:color="auto" w:val="clear"/>
        </w:rPr>
        <w:t> </w:t>
      </w:r>
      <w:r>
        <w:rPr>
          <w:color w:val="374151"/>
          <w:shd w:fill="F7F7F8" w:color="auto" w:val="clear"/>
        </w:rPr>
        <w:t>across</w:t>
      </w:r>
      <w:r>
        <w:rPr>
          <w:color w:val="374151"/>
          <w:spacing w:val="-4"/>
          <w:shd w:fill="F7F7F8" w:color="auto" w:val="clear"/>
        </w:rPr>
        <w:t> </w:t>
      </w:r>
      <w:r>
        <w:rPr>
          <w:color w:val="374151"/>
          <w:shd w:fill="F7F7F8" w:color="auto" w:val="clear"/>
        </w:rPr>
        <w:t>all</w:t>
      </w:r>
      <w:r>
        <w:rPr>
          <w:color w:val="374151"/>
          <w:spacing w:val="-4"/>
          <w:shd w:fill="F7F7F8" w:color="auto" w:val="clear"/>
        </w:rPr>
        <w:t> </w:t>
      </w:r>
      <w:r>
        <w:rPr>
          <w:color w:val="374151"/>
          <w:shd w:fill="F7F7F8" w:color="auto" w:val="clear"/>
        </w:rPr>
        <w:t>demographics,</w:t>
      </w:r>
      <w:r>
        <w:rPr>
          <w:color w:val="374151"/>
          <w:spacing w:val="-4"/>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play</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hd w:fill="F7F7F8" w:color="auto" w:val="clear"/>
        </w:rPr>
        <w:t>crucial</w:t>
      </w:r>
      <w:r>
        <w:rPr>
          <w:color w:val="374151"/>
          <w:spacing w:val="-5"/>
          <w:shd w:fill="F7F7F8" w:color="auto" w:val="clear"/>
        </w:rPr>
        <w:t> </w:t>
      </w:r>
      <w:r>
        <w:rPr>
          <w:color w:val="374151"/>
          <w:spacing w:val="-5"/>
        </w:rPr>
        <w:t> </w:t>
      </w:r>
      <w:r>
        <w:rPr>
          <w:color w:val="374151"/>
          <w:shd w:fill="F7F7F8" w:color="auto" w:val="clear"/>
        </w:rPr>
        <w:t>role in the assessment and treatment of survivors of sexual violence.</w:t>
      </w:r>
      <w:r>
        <w:rPr>
          <w:color w:val="374151"/>
          <w:spacing w:val="-1"/>
          <w:shd w:fill="F7F7F8" w:color="auto" w:val="clear"/>
        </w:rPr>
        <w:t> </w:t>
      </w:r>
      <w:r>
        <w:rPr>
          <w:color w:val="374151"/>
          <w:shd w:fill="F7F7F8" w:color="auto" w:val="clear"/>
        </w:rPr>
        <w:t>This </w:t>
      </w:r>
      <w:r>
        <w:rPr>
          <w:color w:val="374151"/>
        </w:rPr>
        <w:t> </w:t>
      </w:r>
      <w:r>
        <w:rPr>
          <w:color w:val="374151"/>
          <w:shd w:fill="F7F7F8" w:color="auto" w:val="clear"/>
        </w:rPr>
        <w:t>section aims to provide clinicians with a comprehensive guide to </w:t>
      </w:r>
      <w:r>
        <w:rPr>
          <w:color w:val="374151"/>
        </w:rPr>
        <w:t> </w:t>
      </w:r>
      <w:r>
        <w:rPr>
          <w:color w:val="374151"/>
          <w:shd w:fill="F7F7F8" w:color="auto" w:val="clear"/>
        </w:rPr>
        <w:t>understanding the assessment and treatment approaches for sexual violence.</w:t>
      </w:r>
    </w:p>
    <w:p>
      <w:pPr>
        <w:pStyle w:val="BodyText"/>
        <w:spacing w:before="10"/>
        <w:rPr>
          <w:sz w:val="33"/>
        </w:rPr>
      </w:pPr>
    </w:p>
    <w:p>
      <w:pPr>
        <w:pStyle w:val="BodyText"/>
        <w:ind w:left="280" w:right="668"/>
      </w:pPr>
      <w:r>
        <w:rPr>
          <w:color w:val="374151"/>
          <w:shd w:fill="F7F7F8" w:color="auto" w:val="clear"/>
        </w:rPr>
        <w:t>Throughout this section, it is important to emphasize the trauma-informed </w:t>
      </w:r>
      <w:r>
        <w:rPr>
          <w:color w:val="374151"/>
        </w:rPr>
        <w:t> </w:t>
      </w:r>
      <w:r>
        <w:rPr>
          <w:color w:val="374151"/>
          <w:shd w:fill="F7F7F8" w:color="auto" w:val="clear"/>
        </w:rPr>
        <w:t>approach when working with survivors of sexual violence. This approach </w:t>
      </w:r>
      <w:r>
        <w:rPr>
          <w:color w:val="374151"/>
        </w:rPr>
        <w:t> </w:t>
      </w:r>
      <w:r>
        <w:rPr>
          <w:color w:val="374151"/>
          <w:shd w:fill="F7F7F8" w:color="auto" w:val="clear"/>
        </w:rPr>
        <w:t>recognizes the impact of trauma and promotes safety, choice, collaboration, </w:t>
      </w:r>
      <w:r>
        <w:rPr>
          <w:color w:val="374151"/>
        </w:rPr>
        <w:t> </w:t>
      </w:r>
      <w:r>
        <w:rPr>
          <w:color w:val="374151"/>
          <w:shd w:fill="F7F7F8" w:color="auto" w:val="clear"/>
        </w:rPr>
        <w:t>and empowerment in the therapeutic relationship. It is also crucial to address</w:t>
      </w:r>
      <w:r>
        <w:rPr>
          <w:color w:val="374151"/>
          <w:spacing w:val="40"/>
          <w:shd w:fill="F7F7F8" w:color="auto" w:val="clear"/>
        </w:rPr>
        <w:t> </w:t>
      </w:r>
    </w:p>
    <w:p>
      <w:pPr>
        <w:spacing w:after="0"/>
        <w:sectPr>
          <w:pgSz w:w="12240" w:h="15840"/>
          <w:pgMar w:header="0" w:footer="765" w:top="126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35456">
                <wp:simplePos x="0" y="0"/>
                <wp:positionH relativeFrom="page">
                  <wp:posOffset>1066800</wp:posOffset>
                </wp:positionH>
                <wp:positionV relativeFrom="paragraph">
                  <wp:posOffset>251357</wp:posOffset>
                </wp:positionV>
                <wp:extent cx="4358005" cy="393700"/>
                <wp:effectExtent l="0" t="0" r="0" b="0"/>
                <wp:wrapTopAndBottom/>
                <wp:docPr id="208" name="Textbox 208"/>
                <wp:cNvGraphicFramePr>
                  <a:graphicFrameLocks/>
                </wp:cNvGraphicFramePr>
                <a:graphic>
                  <a:graphicData uri="http://schemas.microsoft.com/office/word/2010/wordprocessingShape">
                    <wps:wsp>
                      <wps:cNvPr id="208" name="Textbox 208"/>
                      <wps:cNvSpPr txBox="1"/>
                      <wps:spPr>
                        <a:xfrm>
                          <a:off x="0" y="0"/>
                          <a:ext cx="4358005" cy="393700"/>
                        </a:xfrm>
                        <a:prstGeom prst="rect">
                          <a:avLst/>
                        </a:prstGeom>
                        <a:solidFill>
                          <a:srgbClr val="F7F7F8"/>
                        </a:solidFill>
                      </wps:spPr>
                      <wps:txbx>
                        <w:txbxContent>
                          <w:p>
                            <w:pPr>
                              <w:pStyle w:val="BodyText"/>
                              <w:spacing w:line="308" w:lineRule="exact"/>
                              <w:ind w:right="-15"/>
                              <w:rPr>
                                <w:color w:val="000000"/>
                              </w:rPr>
                            </w:pPr>
                            <w:r>
                              <w:rPr>
                                <w:color w:val="374151"/>
                              </w:rPr>
                              <w:t>treating</w:t>
                            </w:r>
                            <w:r>
                              <w:rPr>
                                <w:color w:val="374151"/>
                                <w:spacing w:val="-5"/>
                              </w:rPr>
                              <w:t> </w:t>
                            </w:r>
                            <w:r>
                              <w:rPr>
                                <w:color w:val="374151"/>
                              </w:rPr>
                              <w:t>survivors,</w:t>
                            </w:r>
                            <w:r>
                              <w:rPr>
                                <w:color w:val="374151"/>
                                <w:spacing w:val="-2"/>
                              </w:rPr>
                              <w:t> </w:t>
                            </w:r>
                            <w:r>
                              <w:rPr>
                                <w:color w:val="374151"/>
                              </w:rPr>
                              <w:t>as</w:t>
                            </w:r>
                            <w:r>
                              <w:rPr>
                                <w:color w:val="374151"/>
                                <w:spacing w:val="-2"/>
                              </w:rPr>
                              <w:t> </w:t>
                            </w:r>
                            <w:r>
                              <w:rPr>
                                <w:color w:val="374151"/>
                              </w:rPr>
                              <w:t>individual</w:t>
                            </w:r>
                            <w:r>
                              <w:rPr>
                                <w:color w:val="374151"/>
                                <w:spacing w:val="-2"/>
                              </w:rPr>
                              <w:t> </w:t>
                            </w:r>
                            <w:r>
                              <w:rPr>
                                <w:color w:val="374151"/>
                              </w:rPr>
                              <w:t>experiences</w:t>
                            </w:r>
                            <w:r>
                              <w:rPr>
                                <w:color w:val="374151"/>
                                <w:spacing w:val="-2"/>
                              </w:rPr>
                              <w:t> </w:t>
                            </w:r>
                            <w:r>
                              <w:rPr>
                                <w:color w:val="374151"/>
                              </w:rPr>
                              <w:t>can</w:t>
                            </w:r>
                            <w:r>
                              <w:rPr>
                                <w:color w:val="374151"/>
                                <w:spacing w:val="-2"/>
                              </w:rPr>
                              <w:t> </w:t>
                            </w:r>
                            <w:r>
                              <w:rPr>
                                <w:color w:val="374151"/>
                              </w:rPr>
                              <w:t>vary</w:t>
                            </w:r>
                            <w:r>
                              <w:rPr>
                                <w:color w:val="374151"/>
                                <w:spacing w:val="-2"/>
                              </w:rPr>
                              <w:t> greatly.</w:t>
                            </w:r>
                          </w:p>
                        </w:txbxContent>
                      </wps:txbx>
                      <wps:bodyPr wrap="square" lIns="0" tIns="0" rIns="0" bIns="0" rtlCol="0">
                        <a:noAutofit/>
                      </wps:bodyPr>
                    </wps:wsp>
                  </a:graphicData>
                </a:graphic>
              </wp:anchor>
            </w:drawing>
          </mc:Choice>
          <mc:Fallback>
            <w:pict>
              <v:shape style="position:absolute;margin-left:84pt;margin-top:19.791931pt;width:343.15pt;height:31pt;mso-position-horizontal-relative:page;mso-position-vertical-relative:paragraph;z-index:-15681024;mso-wrap-distance-left:0;mso-wrap-distance-right:0" type="#_x0000_t202" id="docshape207" filled="true" fillcolor="#f7f7f8" stroked="false">
                <v:textbox inset="0,0,0,0">
                  <w:txbxContent>
                    <w:p>
                      <w:pPr>
                        <w:pStyle w:val="BodyText"/>
                        <w:spacing w:line="308" w:lineRule="exact"/>
                        <w:ind w:right="-15"/>
                        <w:rPr>
                          <w:color w:val="000000"/>
                        </w:rPr>
                      </w:pPr>
                      <w:r>
                        <w:rPr>
                          <w:color w:val="374151"/>
                        </w:rPr>
                        <w:t>treating</w:t>
                      </w:r>
                      <w:r>
                        <w:rPr>
                          <w:color w:val="374151"/>
                          <w:spacing w:val="-5"/>
                        </w:rPr>
                        <w:t> </w:t>
                      </w:r>
                      <w:r>
                        <w:rPr>
                          <w:color w:val="374151"/>
                        </w:rPr>
                        <w:t>survivors,</w:t>
                      </w:r>
                      <w:r>
                        <w:rPr>
                          <w:color w:val="374151"/>
                          <w:spacing w:val="-2"/>
                        </w:rPr>
                        <w:t> </w:t>
                      </w:r>
                      <w:r>
                        <w:rPr>
                          <w:color w:val="374151"/>
                        </w:rPr>
                        <w:t>as</w:t>
                      </w:r>
                      <w:r>
                        <w:rPr>
                          <w:color w:val="374151"/>
                          <w:spacing w:val="-2"/>
                        </w:rPr>
                        <w:t> </w:t>
                      </w:r>
                      <w:r>
                        <w:rPr>
                          <w:color w:val="374151"/>
                        </w:rPr>
                        <w:t>individual</w:t>
                      </w:r>
                      <w:r>
                        <w:rPr>
                          <w:color w:val="374151"/>
                          <w:spacing w:val="-2"/>
                        </w:rPr>
                        <w:t> </w:t>
                      </w:r>
                      <w:r>
                        <w:rPr>
                          <w:color w:val="374151"/>
                        </w:rPr>
                        <w:t>experiences</w:t>
                      </w:r>
                      <w:r>
                        <w:rPr>
                          <w:color w:val="374151"/>
                          <w:spacing w:val="-2"/>
                        </w:rPr>
                        <w:t> </w:t>
                      </w:r>
                      <w:r>
                        <w:rPr>
                          <w:color w:val="374151"/>
                        </w:rPr>
                        <w:t>can</w:t>
                      </w:r>
                      <w:r>
                        <w:rPr>
                          <w:color w:val="374151"/>
                          <w:spacing w:val="-2"/>
                        </w:rPr>
                        <w:t> </w:t>
                      </w:r>
                      <w:r>
                        <w:rPr>
                          <w:color w:val="374151"/>
                        </w:rPr>
                        <w:t>vary</w:t>
                      </w:r>
                      <w:r>
                        <w:rPr>
                          <w:color w:val="374151"/>
                          <w:spacing w:val="-2"/>
                        </w:rPr>
                        <w:t> greatly.</w:t>
                      </w:r>
                    </w:p>
                  </w:txbxContent>
                </v:textbox>
                <v:fill type="solid"/>
                <w10:wrap type="topAndBottom"/>
              </v:shape>
            </w:pict>
          </mc:Fallback>
        </mc:AlternateContent>
      </w:r>
      <w:r>
        <w:rPr>
          <w:color w:val="374151"/>
          <w:shd w:fill="F7F7F8" w:color="auto" w:val="clear"/>
        </w:rPr>
        <w:t>cultural</w:t>
      </w:r>
      <w:r>
        <w:rPr>
          <w:color w:val="374151"/>
          <w:spacing w:val="-3"/>
          <w:shd w:fill="F7F7F8" w:color="auto" w:val="clear"/>
        </w:rPr>
        <w:t> </w:t>
      </w:r>
      <w:r>
        <w:rPr>
          <w:color w:val="374151"/>
          <w:shd w:fill="F7F7F8" w:color="auto" w:val="clear"/>
        </w:rPr>
        <w:t>considerations</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intersectionality</w:t>
      </w:r>
      <w:r>
        <w:rPr>
          <w:color w:val="374151"/>
          <w:spacing w:val="-2"/>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identity</w:t>
      </w:r>
      <w:r>
        <w:rPr>
          <w:color w:val="374151"/>
          <w:spacing w:val="-6"/>
          <w:shd w:fill="F7F7F8" w:color="auto" w:val="clear"/>
        </w:rPr>
        <w:t> </w:t>
      </w:r>
      <w:r>
        <w:rPr>
          <w:color w:val="374151"/>
          <w:shd w:fill="F7F7F8" w:color="auto" w:val="clear"/>
        </w:rPr>
        <w:t>when</w:t>
      </w:r>
      <w:r>
        <w:rPr>
          <w:color w:val="374151"/>
          <w:spacing w:val="-2"/>
          <w:shd w:fill="F7F7F8" w:color="auto" w:val="clear"/>
        </w:rPr>
        <w:t> </w:t>
      </w:r>
      <w:r>
        <w:rPr>
          <w:color w:val="374151"/>
          <w:shd w:fill="F7F7F8" w:color="auto" w:val="clear"/>
        </w:rPr>
        <w:t>assessing</w:t>
      </w:r>
      <w:r>
        <w:rPr>
          <w:color w:val="374151"/>
          <w:spacing w:val="-2"/>
          <w:shd w:fill="F7F7F8" w:color="auto" w:val="clear"/>
        </w:rPr>
        <w:t> </w:t>
      </w:r>
      <w:r>
        <w:rPr>
          <w:color w:val="374151"/>
          <w:spacing w:val="-5"/>
          <w:shd w:fill="F7F7F8" w:color="auto" w:val="clear"/>
        </w:rPr>
        <w:t>and</w:t>
      </w:r>
      <w:r>
        <w:rPr>
          <w:color w:val="374151"/>
          <w:spacing w:val="40"/>
          <w:shd w:fill="F7F7F8" w:color="auto" w:val="clear"/>
        </w:rPr>
        <w:t> </w:t>
      </w:r>
    </w:p>
    <w:p>
      <w:pPr>
        <w:pStyle w:val="BodyText"/>
        <w:spacing w:line="237" w:lineRule="auto" w:after="10"/>
        <w:ind w:left="280" w:right="554"/>
      </w:pPr>
      <w:r>
        <w:rPr>
          <w:color w:val="374151"/>
          <w:shd w:fill="F7F7F8" w:color="auto" w:val="clear"/>
        </w:rPr>
        <w:t>Additionally, emerging trends such as technology-assisted interventions, </w:t>
      </w:r>
      <w:r>
        <w:rPr>
          <w:color w:val="374151"/>
        </w:rPr>
        <w:t> </w:t>
      </w:r>
      <w:r>
        <w:rPr>
          <w:color w:val="374151"/>
          <w:shd w:fill="F7F7F8" w:color="auto" w:val="clear"/>
        </w:rPr>
        <w:t>online</w:t>
      </w:r>
      <w:r>
        <w:rPr>
          <w:color w:val="374151"/>
          <w:spacing w:val="-5"/>
          <w:shd w:fill="F7F7F8" w:color="auto" w:val="clear"/>
        </w:rPr>
        <w:t> </w:t>
      </w:r>
      <w:r>
        <w:rPr>
          <w:color w:val="374151"/>
          <w:shd w:fill="F7F7F8" w:color="auto" w:val="clear"/>
        </w:rPr>
        <w:t>support,</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teletherapy</w:t>
      </w:r>
      <w:r>
        <w:rPr>
          <w:color w:val="374151"/>
          <w:spacing w:val="-4"/>
          <w:shd w:fill="F7F7F8" w:color="auto" w:val="clear"/>
        </w:rPr>
        <w:t> </w:t>
      </w:r>
      <w:r>
        <w:rPr>
          <w:color w:val="374151"/>
          <w:shd w:fill="F7F7F8" w:color="auto" w:val="clear"/>
        </w:rPr>
        <w:t>should</w:t>
      </w:r>
      <w:r>
        <w:rPr>
          <w:color w:val="374151"/>
          <w:spacing w:val="-4"/>
          <w:shd w:fill="F7F7F8" w:color="auto" w:val="clear"/>
        </w:rPr>
        <w:t> </w:t>
      </w:r>
      <w:r>
        <w:rPr>
          <w:color w:val="374151"/>
          <w:shd w:fill="F7F7F8" w:color="auto" w:val="clear"/>
        </w:rPr>
        <w:t>be</w:t>
      </w:r>
      <w:r>
        <w:rPr>
          <w:color w:val="374151"/>
          <w:spacing w:val="-5"/>
          <w:shd w:fill="F7F7F8" w:color="auto" w:val="clear"/>
        </w:rPr>
        <w:t> </w:t>
      </w:r>
      <w:r>
        <w:rPr>
          <w:color w:val="374151"/>
          <w:shd w:fill="F7F7F8" w:color="auto" w:val="clear"/>
        </w:rPr>
        <w:t>discussed.</w:t>
      </w:r>
      <w:r>
        <w:rPr>
          <w:color w:val="374151"/>
          <w:spacing w:val="-10"/>
          <w:shd w:fill="F7F7F8" w:color="auto" w:val="clear"/>
        </w:rPr>
        <w:t> </w:t>
      </w:r>
      <w:r>
        <w:rPr>
          <w:color w:val="374151"/>
          <w:shd w:fill="F7F7F8" w:color="auto" w:val="clear"/>
        </w:rPr>
        <w:t>These</w:t>
      </w:r>
      <w:r>
        <w:rPr>
          <w:color w:val="374151"/>
          <w:spacing w:val="-5"/>
          <w:shd w:fill="F7F7F8" w:color="auto" w:val="clear"/>
        </w:rPr>
        <w:t> </w:t>
      </w:r>
      <w:r>
        <w:rPr>
          <w:color w:val="374151"/>
          <w:shd w:fill="F7F7F8" w:color="auto" w:val="clear"/>
        </w:rPr>
        <w:t>advancements</w:t>
      </w:r>
      <w:r>
        <w:rPr>
          <w:color w:val="374151"/>
          <w:spacing w:val="-4"/>
          <w:shd w:fill="F7F7F8" w:color="auto" w:val="clear"/>
        </w:rPr>
        <w:t> </w:t>
      </w:r>
      <w:r>
        <w:rPr>
          <w:color w:val="374151"/>
          <w:shd w:fill="F7F7F8" w:color="auto" w:val="clear"/>
        </w:rPr>
        <w:t>have</w:t>
      </w:r>
      <w:r>
        <w:rPr>
          <w:color w:val="374151"/>
          <w:spacing w:val="-14"/>
          <w:shd w:fill="F7F7F8" w:color="auto" w:val="clear"/>
        </w:rPr>
        <w:t> </w:t>
      </w:r>
      <w:r>
        <w:rPr>
          <w:color w:val="374151"/>
          <w:spacing w:val="-14"/>
        </w:rPr>
        <w:t> </w:t>
      </w:r>
      <w:r>
        <w:rPr>
          <w:color w:val="374151"/>
          <w:shd w:fill="F7F7F8" w:color="auto" w:val="clear"/>
        </w:rPr>
        <w:t>expanded access to care and provided new avenues for survivors to seek </w:t>
      </w:r>
      <w:r>
        <w:rPr>
          <w:color w:val="374151"/>
        </w:rPr>
        <w:t> </w:t>
      </w:r>
      <w:r>
        <w:rPr>
          <w:color w:val="374151"/>
          <w:shd w:fill="F7F7F8" w:color="auto" w:val="clear"/>
        </w:rPr>
        <w:t>support and treatment. However, it is important to highlight the ethical </w:t>
      </w:r>
      <w:r>
        <w:rPr>
          <w:color w:val="374151"/>
        </w:rPr>
        <w:t> </w:t>
      </w:r>
      <w:r>
        <w:rPr>
          <w:color w:val="374151"/>
          <w:shd w:fill="F7F7F8" w:color="auto" w:val="clear"/>
        </w:rPr>
        <w:t>considerations related to privacy, confidentiality, and informed consent in the</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1244600" cy="393700"/>
                <wp:effectExtent l="0" t="0" r="0" b="0"/>
                <wp:docPr id="209" name="Textbox 209"/>
                <wp:cNvGraphicFramePr>
                  <a:graphicFrameLocks/>
                </wp:cNvGraphicFramePr>
                <a:graphic>
                  <a:graphicData uri="http://schemas.microsoft.com/office/word/2010/wordprocessingShape">
                    <wps:wsp>
                      <wps:cNvPr id="209" name="Textbox 209"/>
                      <wps:cNvSpPr txBox="1"/>
                      <wps:spPr>
                        <a:xfrm>
                          <a:off x="0" y="0"/>
                          <a:ext cx="1244600" cy="393700"/>
                        </a:xfrm>
                        <a:prstGeom prst="rect">
                          <a:avLst/>
                        </a:prstGeom>
                        <a:solidFill>
                          <a:srgbClr val="F7F7F8"/>
                        </a:solidFill>
                      </wps:spPr>
                      <wps:txbx>
                        <w:txbxContent>
                          <w:p>
                            <w:pPr>
                              <w:pStyle w:val="BodyText"/>
                              <w:spacing w:line="308" w:lineRule="exact"/>
                              <w:rPr>
                                <w:color w:val="000000"/>
                              </w:rPr>
                            </w:pPr>
                            <w:r>
                              <w:rPr>
                                <w:color w:val="374151"/>
                              </w:rPr>
                              <w:t>digital</w:t>
                            </w:r>
                            <w:r>
                              <w:rPr>
                                <w:color w:val="374151"/>
                                <w:spacing w:val="-1"/>
                              </w:rPr>
                              <w:t> </w:t>
                            </w:r>
                            <w:r>
                              <w:rPr>
                                <w:color w:val="374151"/>
                                <w:spacing w:val="-2"/>
                              </w:rPr>
                              <w:t>landscape.</w:t>
                            </w:r>
                          </w:p>
                        </w:txbxContent>
                      </wps:txbx>
                      <wps:bodyPr wrap="square" lIns="0" tIns="0" rIns="0" bIns="0" rtlCol="0">
                        <a:noAutofit/>
                      </wps:bodyPr>
                    </wps:wsp>
                  </a:graphicData>
                </a:graphic>
              </wp:inline>
            </w:drawing>
          </mc:Choice>
          <mc:Fallback>
            <w:pict>
              <v:shape style="width:98pt;height:31pt;mso-position-horizontal-relative:char;mso-position-vertical-relative:line" type="#_x0000_t202" id="docshape208" filled="true" fillcolor="#f7f7f8" stroked="false">
                <w10:anchorlock/>
                <v:textbox inset="0,0,0,0">
                  <w:txbxContent>
                    <w:p>
                      <w:pPr>
                        <w:pStyle w:val="BodyText"/>
                        <w:spacing w:line="308" w:lineRule="exact"/>
                        <w:rPr>
                          <w:color w:val="000000"/>
                        </w:rPr>
                      </w:pPr>
                      <w:r>
                        <w:rPr>
                          <w:color w:val="374151"/>
                        </w:rPr>
                        <w:t>digital</w:t>
                      </w:r>
                      <w:r>
                        <w:rPr>
                          <w:color w:val="374151"/>
                          <w:spacing w:val="-1"/>
                        </w:rPr>
                        <w:t> </w:t>
                      </w:r>
                      <w:r>
                        <w:rPr>
                          <w:color w:val="374151"/>
                          <w:spacing w:val="-2"/>
                        </w:rPr>
                        <w:t>landscape.</w:t>
                      </w:r>
                    </w:p>
                  </w:txbxContent>
                </v:textbox>
                <v:fill type="solid"/>
              </v:shape>
            </w:pict>
          </mc:Fallback>
        </mc:AlternateContent>
      </w:r>
      <w:r>
        <w:rPr>
          <w:sz w:val="20"/>
        </w:rPr>
      </w:r>
    </w:p>
    <w:p>
      <w:pPr>
        <w:pStyle w:val="BodyText"/>
        <w:spacing w:line="282" w:lineRule="exact"/>
        <w:ind w:left="280"/>
      </w:pPr>
      <w:r>
        <w:rPr>
          <w:color w:val="374151"/>
        </w:rPr>
        <w:t>T</w:t>
      </w:r>
      <w:r>
        <w:rPr>
          <w:color w:val="374151"/>
          <w:shd w:fill="F7F7F8" w:color="auto" w:val="clear"/>
        </w:rPr>
        <w:t>herapists'</w:t>
      </w:r>
      <w:r>
        <w:rPr>
          <w:color w:val="374151"/>
          <w:spacing w:val="-2"/>
          <w:shd w:fill="F7F7F8" w:color="auto" w:val="clear"/>
        </w:rPr>
        <w:t> </w:t>
      </w:r>
      <w:r>
        <w:rPr>
          <w:color w:val="374151"/>
          <w:shd w:fill="F7F7F8" w:color="auto" w:val="clear"/>
        </w:rPr>
        <w:t>self-awareness</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self-care</w:t>
      </w:r>
      <w:r>
        <w:rPr>
          <w:color w:val="374151"/>
          <w:spacing w:val="-2"/>
          <w:shd w:fill="F7F7F8" w:color="auto" w:val="clear"/>
        </w:rPr>
        <w:t> </w:t>
      </w:r>
      <w:r>
        <w:rPr>
          <w:color w:val="374151"/>
          <w:shd w:fill="F7F7F8" w:color="auto" w:val="clear"/>
        </w:rPr>
        <w:t>should</w:t>
      </w:r>
      <w:r>
        <w:rPr>
          <w:color w:val="374151"/>
          <w:spacing w:val="-2"/>
          <w:shd w:fill="F7F7F8" w:color="auto" w:val="clear"/>
        </w:rPr>
        <w:t> </w:t>
      </w:r>
      <w:r>
        <w:rPr>
          <w:color w:val="374151"/>
          <w:shd w:fill="F7F7F8" w:color="auto" w:val="clear"/>
        </w:rPr>
        <w:t>be</w:t>
      </w:r>
      <w:r>
        <w:rPr>
          <w:color w:val="374151"/>
          <w:spacing w:val="-2"/>
          <w:shd w:fill="F7F7F8" w:color="auto" w:val="clear"/>
        </w:rPr>
        <w:t> </w:t>
      </w:r>
      <w:r>
        <w:rPr>
          <w:color w:val="374151"/>
          <w:shd w:fill="F7F7F8" w:color="auto" w:val="clear"/>
        </w:rPr>
        <w:t>addressed,</w:t>
      </w:r>
      <w:r>
        <w:rPr>
          <w:color w:val="374151"/>
          <w:spacing w:val="-2"/>
          <w:shd w:fill="F7F7F8" w:color="auto" w:val="clear"/>
        </w:rPr>
        <w:t> </w:t>
      </w:r>
      <w:r>
        <w:rPr>
          <w:color w:val="374151"/>
          <w:shd w:fill="F7F7F8" w:color="auto" w:val="clear"/>
        </w:rPr>
        <w:t>as</w:t>
      </w:r>
      <w:r>
        <w:rPr>
          <w:color w:val="374151"/>
          <w:spacing w:val="-2"/>
          <w:shd w:fill="F7F7F8" w:color="auto" w:val="clear"/>
        </w:rPr>
        <w:t> </w:t>
      </w:r>
      <w:r>
        <w:rPr>
          <w:color w:val="374151"/>
          <w:shd w:fill="F7F7F8" w:color="auto" w:val="clear"/>
        </w:rPr>
        <w:t>working</w:t>
      </w:r>
      <w:r>
        <w:rPr>
          <w:color w:val="374151"/>
          <w:spacing w:val="-1"/>
          <w:shd w:fill="F7F7F8" w:color="auto" w:val="clear"/>
        </w:rPr>
        <w:t> </w:t>
      </w:r>
      <w:r>
        <w:rPr>
          <w:color w:val="374151"/>
          <w:spacing w:val="-4"/>
          <w:shd w:fill="F7F7F8" w:color="auto" w:val="clear"/>
        </w:rPr>
        <w:t>with</w:t>
      </w:r>
      <w:r>
        <w:rPr>
          <w:color w:val="374151"/>
          <w:spacing w:val="40"/>
          <w:shd w:fill="F7F7F8" w:color="auto" w:val="clear"/>
        </w:rPr>
        <w:t> </w:t>
      </w:r>
    </w:p>
    <w:p>
      <w:pPr>
        <w:pStyle w:val="BodyText"/>
        <w:spacing w:after="7"/>
        <w:ind w:left="280" w:right="645"/>
      </w:pPr>
      <w:r>
        <w:rPr>
          <w:color w:val="374151"/>
          <w:shd w:fill="F7F7F8" w:color="auto" w:val="clear"/>
        </w:rPr>
        <w:t>survivors of sexual violence can be emotionally demanding and may lead to </w:t>
      </w:r>
      <w:r>
        <w:rPr>
          <w:color w:val="374151"/>
        </w:rPr>
        <w:t> </w:t>
      </w:r>
      <w:r>
        <w:rPr>
          <w:color w:val="374151"/>
          <w:shd w:fill="F7F7F8" w:color="auto" w:val="clear"/>
        </w:rPr>
        <w:t>secondary trauma or burnout. Encouraging therapists to prioritize their own </w:t>
      </w:r>
      <w:r>
        <w:rPr>
          <w:color w:val="374151"/>
        </w:rPr>
        <w:t> </w:t>
      </w:r>
      <w:r>
        <w:rPr>
          <w:color w:val="374151"/>
          <w:shd w:fill="F7F7F8" w:color="auto" w:val="clear"/>
        </w:rPr>
        <w:t>well-being and seek supervision and support is essential for maintaining their</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816225" cy="393700"/>
                <wp:effectExtent l="0" t="0" r="0" b="0"/>
                <wp:docPr id="210" name="Textbox 210"/>
                <wp:cNvGraphicFramePr>
                  <a:graphicFrameLocks/>
                </wp:cNvGraphicFramePr>
                <a:graphic>
                  <a:graphicData uri="http://schemas.microsoft.com/office/word/2010/wordprocessingShape">
                    <wps:wsp>
                      <wps:cNvPr id="210" name="Textbox 210"/>
                      <wps:cNvSpPr txBox="1"/>
                      <wps:spPr>
                        <a:xfrm>
                          <a:off x="0" y="0"/>
                          <a:ext cx="2816225" cy="393700"/>
                        </a:xfrm>
                        <a:prstGeom prst="rect">
                          <a:avLst/>
                        </a:prstGeom>
                        <a:solidFill>
                          <a:srgbClr val="F7F7F8"/>
                        </a:solidFill>
                      </wps:spPr>
                      <wps:txbx>
                        <w:txbxContent>
                          <w:p>
                            <w:pPr>
                              <w:pStyle w:val="BodyText"/>
                              <w:spacing w:line="308" w:lineRule="exact"/>
                              <w:ind w:right="-15"/>
                              <w:rPr>
                                <w:color w:val="000000"/>
                              </w:rPr>
                            </w:pPr>
                            <w:r>
                              <w:rPr>
                                <w:color w:val="374151"/>
                              </w:rPr>
                              <w:t>effectiveness</w:t>
                            </w:r>
                            <w:r>
                              <w:rPr>
                                <w:color w:val="374151"/>
                                <w:spacing w:val="-4"/>
                              </w:rPr>
                              <w:t> </w:t>
                            </w:r>
                            <w:r>
                              <w:rPr>
                                <w:color w:val="374151"/>
                              </w:rPr>
                              <w:t>and</w:t>
                            </w:r>
                            <w:r>
                              <w:rPr>
                                <w:color w:val="374151"/>
                                <w:spacing w:val="-4"/>
                              </w:rPr>
                              <w:t> </w:t>
                            </w:r>
                            <w:r>
                              <w:rPr>
                                <w:color w:val="374151"/>
                              </w:rPr>
                              <w:t>overall</w:t>
                            </w:r>
                            <w:r>
                              <w:rPr>
                                <w:color w:val="374151"/>
                                <w:spacing w:val="-4"/>
                              </w:rPr>
                              <w:t> </w:t>
                            </w:r>
                            <w:r>
                              <w:rPr>
                                <w:color w:val="374151"/>
                              </w:rPr>
                              <w:t>mental</w:t>
                            </w:r>
                            <w:r>
                              <w:rPr>
                                <w:color w:val="374151"/>
                                <w:spacing w:val="-4"/>
                              </w:rPr>
                              <w:t> </w:t>
                            </w:r>
                            <w:r>
                              <w:rPr>
                                <w:color w:val="374151"/>
                                <w:spacing w:val="-2"/>
                              </w:rPr>
                              <w:t>health.</w:t>
                            </w:r>
                          </w:p>
                        </w:txbxContent>
                      </wps:txbx>
                      <wps:bodyPr wrap="square" lIns="0" tIns="0" rIns="0" bIns="0" rtlCol="0">
                        <a:noAutofit/>
                      </wps:bodyPr>
                    </wps:wsp>
                  </a:graphicData>
                </a:graphic>
              </wp:inline>
            </w:drawing>
          </mc:Choice>
          <mc:Fallback>
            <w:pict>
              <v:shape style="width:221.75pt;height:31pt;mso-position-horizontal-relative:char;mso-position-vertical-relative:line" type="#_x0000_t202" id="docshape209" filled="true" fillcolor="#f7f7f8" stroked="false">
                <w10:anchorlock/>
                <v:textbox inset="0,0,0,0">
                  <w:txbxContent>
                    <w:p>
                      <w:pPr>
                        <w:pStyle w:val="BodyText"/>
                        <w:spacing w:line="308" w:lineRule="exact"/>
                        <w:ind w:right="-15"/>
                        <w:rPr>
                          <w:color w:val="000000"/>
                        </w:rPr>
                      </w:pPr>
                      <w:r>
                        <w:rPr>
                          <w:color w:val="374151"/>
                        </w:rPr>
                        <w:t>effectiveness</w:t>
                      </w:r>
                      <w:r>
                        <w:rPr>
                          <w:color w:val="374151"/>
                          <w:spacing w:val="-4"/>
                        </w:rPr>
                        <w:t> </w:t>
                      </w:r>
                      <w:r>
                        <w:rPr>
                          <w:color w:val="374151"/>
                        </w:rPr>
                        <w:t>and</w:t>
                      </w:r>
                      <w:r>
                        <w:rPr>
                          <w:color w:val="374151"/>
                          <w:spacing w:val="-4"/>
                        </w:rPr>
                        <w:t> </w:t>
                      </w:r>
                      <w:r>
                        <w:rPr>
                          <w:color w:val="374151"/>
                        </w:rPr>
                        <w:t>overall</w:t>
                      </w:r>
                      <w:r>
                        <w:rPr>
                          <w:color w:val="374151"/>
                          <w:spacing w:val="-4"/>
                        </w:rPr>
                        <w:t> </w:t>
                      </w:r>
                      <w:r>
                        <w:rPr>
                          <w:color w:val="374151"/>
                        </w:rPr>
                        <w:t>mental</w:t>
                      </w:r>
                      <w:r>
                        <w:rPr>
                          <w:color w:val="374151"/>
                          <w:spacing w:val="-4"/>
                        </w:rPr>
                        <w:t> </w:t>
                      </w:r>
                      <w:r>
                        <w:rPr>
                          <w:color w:val="374151"/>
                          <w:spacing w:val="-2"/>
                        </w:rPr>
                        <w:t>health.</w:t>
                      </w:r>
                    </w:p>
                  </w:txbxContent>
                </v:textbox>
                <v:fill type="solid"/>
              </v:shape>
            </w:pict>
          </mc:Fallback>
        </mc:AlternateContent>
      </w:r>
      <w:r>
        <w:rPr>
          <w:sz w:val="20"/>
        </w:rPr>
      </w:r>
    </w:p>
    <w:p>
      <w:pPr>
        <w:pStyle w:val="BodyText"/>
        <w:spacing w:line="282" w:lineRule="exact"/>
        <w:ind w:left="280"/>
      </w:pPr>
      <w:r>
        <w:rPr>
          <w:color w:val="374151"/>
          <w:shd w:fill="F7F7F8" w:color="auto" w:val="clear"/>
        </w:rPr>
        <w:t>By</w:t>
      </w:r>
      <w:r>
        <w:rPr>
          <w:color w:val="374151"/>
          <w:spacing w:val="-2"/>
          <w:shd w:fill="F7F7F8" w:color="auto" w:val="clear"/>
        </w:rPr>
        <w:t> </w:t>
      </w:r>
      <w:r>
        <w:rPr>
          <w:color w:val="374151"/>
          <w:shd w:fill="F7F7F8" w:color="auto" w:val="clear"/>
        </w:rPr>
        <w:t>providing</w:t>
      </w:r>
      <w:r>
        <w:rPr>
          <w:color w:val="374151"/>
          <w:spacing w:val="-1"/>
          <w:shd w:fill="F7F7F8" w:color="auto" w:val="clear"/>
        </w:rPr>
        <w:t> </w:t>
      </w:r>
      <w:r>
        <w:rPr>
          <w:color w:val="374151"/>
          <w:shd w:fill="F7F7F8" w:color="auto" w:val="clear"/>
        </w:rPr>
        <w:t>clinicians</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comprehensive</w:t>
      </w:r>
      <w:r>
        <w:rPr>
          <w:color w:val="374151"/>
          <w:spacing w:val="-2"/>
          <w:shd w:fill="F7F7F8" w:color="auto" w:val="clear"/>
        </w:rPr>
        <w:t> </w:t>
      </w:r>
      <w:r>
        <w:rPr>
          <w:color w:val="374151"/>
          <w:shd w:fill="F7F7F8" w:color="auto" w:val="clear"/>
        </w:rPr>
        <w:t>guide</w:t>
      </w:r>
      <w:r>
        <w:rPr>
          <w:color w:val="374151"/>
          <w:spacing w:val="-2"/>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assessment</w:t>
      </w:r>
      <w:r>
        <w:rPr>
          <w:color w:val="374151"/>
          <w:spacing w:val="-1"/>
          <w:shd w:fill="F7F7F8" w:color="auto" w:val="clear"/>
        </w:rPr>
        <w:t> </w:t>
      </w:r>
      <w:r>
        <w:rPr>
          <w:color w:val="374151"/>
          <w:spacing w:val="-5"/>
          <w:shd w:fill="F7F7F8" w:color="auto" w:val="clear"/>
        </w:rPr>
        <w:t>and</w:t>
      </w:r>
      <w:r>
        <w:rPr>
          <w:color w:val="374151"/>
          <w:spacing w:val="40"/>
          <w:shd w:fill="F7F7F8" w:color="auto" w:val="clear"/>
        </w:rPr>
        <w:t> </w:t>
      </w:r>
    </w:p>
    <w:p>
      <w:pPr>
        <w:pStyle w:val="BodyText"/>
        <w:ind w:left="280" w:right="515"/>
      </w:pPr>
      <w:r>
        <w:rPr>
          <w:color w:val="374151"/>
          <w:shd w:fill="F7F7F8" w:color="auto" w:val="clear"/>
        </w:rPr>
        <w:t>treatment</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sexual</w:t>
      </w:r>
      <w:r>
        <w:rPr>
          <w:color w:val="374151"/>
          <w:spacing w:val="-3"/>
          <w:shd w:fill="F7F7F8" w:color="auto" w:val="clear"/>
        </w:rPr>
        <w:t> </w:t>
      </w:r>
      <w:r>
        <w:rPr>
          <w:color w:val="374151"/>
          <w:shd w:fill="F7F7F8" w:color="auto" w:val="clear"/>
        </w:rPr>
        <w:t>violence,</w:t>
      </w:r>
      <w:r>
        <w:rPr>
          <w:color w:val="374151"/>
          <w:spacing w:val="-3"/>
          <w:shd w:fill="F7F7F8" w:color="auto" w:val="clear"/>
        </w:rPr>
        <w:t> </w:t>
      </w:r>
      <w:r>
        <w:rPr>
          <w:color w:val="374151"/>
          <w:shd w:fill="F7F7F8" w:color="auto" w:val="clear"/>
        </w:rPr>
        <w:t>this</w:t>
      </w:r>
      <w:r>
        <w:rPr>
          <w:color w:val="374151"/>
          <w:spacing w:val="-3"/>
          <w:shd w:fill="F7F7F8" w:color="auto" w:val="clear"/>
        </w:rPr>
        <w:t> </w:t>
      </w:r>
      <w:r>
        <w:rPr>
          <w:color w:val="374151"/>
          <w:shd w:fill="F7F7F8" w:color="auto" w:val="clear"/>
        </w:rPr>
        <w:t>section</w:t>
      </w:r>
      <w:r>
        <w:rPr>
          <w:color w:val="374151"/>
          <w:spacing w:val="-3"/>
          <w:shd w:fill="F7F7F8" w:color="auto" w:val="clear"/>
        </w:rPr>
        <w:t> </w:t>
      </w:r>
      <w:r>
        <w:rPr>
          <w:color w:val="374151"/>
          <w:shd w:fill="F7F7F8" w:color="auto" w:val="clear"/>
        </w:rPr>
        <w:t>aims</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enhance</w:t>
      </w:r>
      <w:r>
        <w:rPr>
          <w:color w:val="374151"/>
          <w:spacing w:val="-4"/>
          <w:shd w:fill="F7F7F8" w:color="auto" w:val="clear"/>
        </w:rPr>
        <w:t> </w:t>
      </w:r>
      <w:r>
        <w:rPr>
          <w:color w:val="374151"/>
          <w:shd w:fill="F7F7F8" w:color="auto" w:val="clear"/>
        </w:rPr>
        <w:t>their</w:t>
      </w:r>
      <w:r>
        <w:rPr>
          <w:color w:val="374151"/>
          <w:spacing w:val="-3"/>
          <w:shd w:fill="F7F7F8" w:color="auto" w:val="clear"/>
        </w:rPr>
        <w:t> </w:t>
      </w:r>
      <w:r>
        <w:rPr>
          <w:color w:val="374151"/>
          <w:shd w:fill="F7F7F8" w:color="auto" w:val="clear"/>
        </w:rPr>
        <w:t>knowledge</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pacing w:val="-4"/>
        </w:rPr>
        <w:t> </w:t>
      </w:r>
      <w:r>
        <w:rPr>
          <w:color w:val="374151"/>
          <w:shd w:fill="F7F7F8" w:color="auto" w:val="clear"/>
        </w:rPr>
        <w:t>skills in supporting survivors on their healing journey. It is crucial for </w:t>
      </w:r>
      <w:r>
        <w:rPr>
          <w:color w:val="374151"/>
        </w:rPr>
        <w:t> </w:t>
      </w:r>
      <w:r>
        <w:rPr>
          <w:color w:val="374151"/>
          <w:shd w:fill="F7F7F8" w:color="auto" w:val="clear"/>
        </w:rPr>
        <w:t>therapists to stay informed about the</w:t>
      </w:r>
      <w:r>
        <w:rPr>
          <w:color w:val="374151"/>
          <w:spacing w:val="-1"/>
          <w:shd w:fill="F7F7F8" w:color="auto" w:val="clear"/>
        </w:rPr>
        <w:t> </w:t>
      </w:r>
      <w:r>
        <w:rPr>
          <w:color w:val="374151"/>
          <w:shd w:fill="F7F7F8" w:color="auto" w:val="clear"/>
        </w:rPr>
        <w:t>latest research and best practices in order</w:t>
      </w:r>
      <w:r>
        <w:rPr>
          <w:color w:val="374151"/>
          <w:spacing w:val="-1"/>
          <w:shd w:fill="F7F7F8" w:color="auto" w:val="clear"/>
        </w:rPr>
        <w:t> </w:t>
      </w:r>
      <w:r>
        <w:rPr>
          <w:color w:val="374151"/>
          <w:spacing w:val="-1"/>
        </w:rPr>
        <w:t> </w:t>
      </w:r>
      <w:r>
        <w:rPr>
          <w:color w:val="374151"/>
          <w:shd w:fill="F7F7F8" w:color="auto" w:val="clear"/>
        </w:rPr>
        <w:t>to provide the most effective and compassionate care to those affected by </w:t>
      </w:r>
      <w:r>
        <w:rPr>
          <w:color w:val="374151"/>
        </w:rPr>
        <w:t> </w:t>
      </w:r>
      <w:r>
        <w:rPr>
          <w:color w:val="374151"/>
          <w:shd w:fill="F7F7F8" w:color="auto" w:val="clear"/>
        </w:rPr>
        <w:t>sexual violence.</w:t>
      </w:r>
    </w:p>
    <w:p>
      <w:pPr>
        <w:pStyle w:val="BodyText"/>
        <w:rPr>
          <w:sz w:val="26"/>
        </w:rPr>
      </w:pPr>
      <w:r>
        <w:rPr/>
        <mc:AlternateContent>
          <mc:Choice Requires="wps">
            <w:drawing>
              <wp:anchor distT="0" distB="0" distL="0" distR="0" allowOverlap="1" layoutInCell="1" locked="0" behindDoc="1" simplePos="0" relativeHeight="487636992">
                <wp:simplePos x="0" y="0"/>
                <wp:positionH relativeFrom="page">
                  <wp:posOffset>1066800</wp:posOffset>
                </wp:positionH>
                <wp:positionV relativeFrom="paragraph">
                  <wp:posOffset>205115</wp:posOffset>
                </wp:positionV>
                <wp:extent cx="2137410" cy="393700"/>
                <wp:effectExtent l="0" t="0" r="0" b="0"/>
                <wp:wrapTopAndBottom/>
                <wp:docPr id="211" name="Textbox 211"/>
                <wp:cNvGraphicFramePr>
                  <a:graphicFrameLocks/>
                </wp:cNvGraphicFramePr>
                <a:graphic>
                  <a:graphicData uri="http://schemas.microsoft.com/office/word/2010/wordprocessingShape">
                    <wps:wsp>
                      <wps:cNvPr id="211" name="Textbox 211"/>
                      <wps:cNvSpPr txBox="1"/>
                      <wps:spPr>
                        <a:xfrm>
                          <a:off x="0" y="0"/>
                          <a:ext cx="213741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Background</w:t>
                            </w:r>
                            <w:r>
                              <w:rPr>
                                <w:b/>
                                <w:color w:val="374151"/>
                                <w:spacing w:val="-5"/>
                                <w:sz w:val="28"/>
                              </w:rPr>
                              <w:t> </w:t>
                            </w:r>
                            <w:r>
                              <w:rPr>
                                <w:b/>
                                <w:color w:val="374151"/>
                                <w:sz w:val="28"/>
                              </w:rPr>
                              <w:t>and</w:t>
                            </w:r>
                            <w:r>
                              <w:rPr>
                                <w:b/>
                                <w:color w:val="374151"/>
                                <w:spacing w:val="-4"/>
                                <w:sz w:val="28"/>
                              </w:rPr>
                              <w:t> </w:t>
                            </w:r>
                            <w:r>
                              <w:rPr>
                                <w:b/>
                                <w:color w:val="374151"/>
                                <w:spacing w:val="-2"/>
                                <w:sz w:val="28"/>
                              </w:rPr>
                              <w:t>Prevalence</w:t>
                            </w:r>
                          </w:p>
                        </w:txbxContent>
                      </wps:txbx>
                      <wps:bodyPr wrap="square" lIns="0" tIns="0" rIns="0" bIns="0" rtlCol="0">
                        <a:noAutofit/>
                      </wps:bodyPr>
                    </wps:wsp>
                  </a:graphicData>
                </a:graphic>
              </wp:anchor>
            </w:drawing>
          </mc:Choice>
          <mc:Fallback>
            <w:pict>
              <v:shape style="position:absolute;margin-left:84pt;margin-top:16.150818pt;width:168.3pt;height:31pt;mso-position-horizontal-relative:page;mso-position-vertical-relative:paragraph;z-index:-15679488;mso-wrap-distance-left:0;mso-wrap-distance-right:0" type="#_x0000_t202" id="docshape210" filled="true" fillcolor="#f7f7f8" stroked="false">
                <v:textbox inset="0,0,0,0">
                  <w:txbxContent>
                    <w:p>
                      <w:pPr>
                        <w:spacing w:line="308" w:lineRule="exact" w:before="0"/>
                        <w:ind w:left="0" w:right="-15" w:firstLine="0"/>
                        <w:jc w:val="left"/>
                        <w:rPr>
                          <w:b/>
                          <w:color w:val="000000"/>
                          <w:sz w:val="28"/>
                        </w:rPr>
                      </w:pPr>
                      <w:r>
                        <w:rPr>
                          <w:b/>
                          <w:color w:val="374151"/>
                          <w:sz w:val="28"/>
                        </w:rPr>
                        <w:t>Background</w:t>
                      </w:r>
                      <w:r>
                        <w:rPr>
                          <w:b/>
                          <w:color w:val="374151"/>
                          <w:spacing w:val="-5"/>
                          <w:sz w:val="28"/>
                        </w:rPr>
                        <w:t> </w:t>
                      </w:r>
                      <w:r>
                        <w:rPr>
                          <w:b/>
                          <w:color w:val="374151"/>
                          <w:sz w:val="28"/>
                        </w:rPr>
                        <w:t>and</w:t>
                      </w:r>
                      <w:r>
                        <w:rPr>
                          <w:b/>
                          <w:color w:val="374151"/>
                          <w:spacing w:val="-4"/>
                          <w:sz w:val="28"/>
                        </w:rPr>
                        <w:t> </w:t>
                      </w:r>
                      <w:r>
                        <w:rPr>
                          <w:b/>
                          <w:color w:val="374151"/>
                          <w:spacing w:val="-2"/>
                          <w:sz w:val="28"/>
                        </w:rPr>
                        <w:t>Prevalence</w:t>
                      </w:r>
                    </w:p>
                  </w:txbxContent>
                </v:textbox>
                <v:fill type="solid"/>
                <w10:wrap type="topAndBottom"/>
              </v:shape>
            </w:pict>
          </mc:Fallback>
        </mc:AlternateContent>
      </w:r>
    </w:p>
    <w:p>
      <w:pPr>
        <w:pStyle w:val="BodyText"/>
        <w:spacing w:line="237" w:lineRule="auto" w:after="7"/>
        <w:ind w:left="280" w:right="502"/>
      </w:pPr>
      <w:r>
        <w:rPr>
          <w:color w:val="374151"/>
          <w:shd w:fill="F7F7F8" w:color="auto" w:val="clear"/>
        </w:rPr>
        <w:t>Sexual violence encompasses a range of acts, including rape, sexual assault, </w:t>
      </w:r>
      <w:r>
        <w:rPr>
          <w:color w:val="374151"/>
        </w:rPr>
        <w:t> </w:t>
      </w:r>
      <w:r>
        <w:rPr>
          <w:color w:val="374151"/>
          <w:shd w:fill="F7F7F8" w:color="auto" w:val="clear"/>
        </w:rPr>
        <w:t>harassment, and abuse. It is a pervasive issue with significant physical, </w:t>
      </w:r>
      <w:r>
        <w:rPr>
          <w:color w:val="374151"/>
        </w:rPr>
        <w:t> </w:t>
      </w:r>
      <w:r>
        <w:rPr>
          <w:color w:val="374151"/>
          <w:shd w:fill="F7F7F8" w:color="auto" w:val="clear"/>
        </w:rPr>
        <w:t>emotional, and psychological consequences for survivors.</w:t>
      </w:r>
      <w:r>
        <w:rPr>
          <w:color w:val="374151"/>
          <w:spacing w:val="-10"/>
          <w:shd w:fill="F7F7F8" w:color="auto" w:val="clear"/>
        </w:rPr>
        <w:t> </w:t>
      </w:r>
      <w:r>
        <w:rPr>
          <w:color w:val="374151"/>
          <w:shd w:fill="F7F7F8" w:color="auto" w:val="clear"/>
        </w:rPr>
        <w:t>According to the </w:t>
      </w:r>
      <w:r>
        <w:rPr>
          <w:color w:val="374151"/>
        </w:rPr>
        <w:t> </w:t>
      </w:r>
      <w:r>
        <w:rPr>
          <w:color w:val="374151"/>
          <w:shd w:fill="F7F7F8" w:color="auto" w:val="clear"/>
        </w:rPr>
        <w:t>World</w:t>
      </w:r>
      <w:r>
        <w:rPr>
          <w:color w:val="374151"/>
          <w:spacing w:val="-5"/>
          <w:shd w:fill="F7F7F8" w:color="auto" w:val="clear"/>
        </w:rPr>
        <w:t> </w:t>
      </w:r>
      <w:r>
        <w:rPr>
          <w:color w:val="374151"/>
          <w:shd w:fill="F7F7F8" w:color="auto" w:val="clear"/>
        </w:rPr>
        <w:t>Health</w:t>
      </w:r>
      <w:r>
        <w:rPr>
          <w:color w:val="374151"/>
          <w:spacing w:val="-5"/>
          <w:shd w:fill="F7F7F8" w:color="auto" w:val="clear"/>
        </w:rPr>
        <w:t> </w:t>
      </w:r>
      <w:r>
        <w:rPr>
          <w:color w:val="374151"/>
          <w:shd w:fill="F7F7F8" w:color="auto" w:val="clear"/>
        </w:rPr>
        <w:t>Organization,</w:t>
      </w:r>
      <w:r>
        <w:rPr>
          <w:color w:val="374151"/>
          <w:spacing w:val="-5"/>
          <w:shd w:fill="F7F7F8" w:color="auto" w:val="clear"/>
        </w:rPr>
        <w:t> </w:t>
      </w:r>
      <w:r>
        <w:rPr>
          <w:color w:val="374151"/>
          <w:shd w:fill="F7F7F8" w:color="auto" w:val="clear"/>
        </w:rPr>
        <w:t>approximately</w:t>
      </w:r>
      <w:r>
        <w:rPr>
          <w:color w:val="374151"/>
          <w:spacing w:val="-5"/>
          <w:shd w:fill="F7F7F8" w:color="auto" w:val="clear"/>
        </w:rPr>
        <w:t> </w:t>
      </w:r>
      <w:r>
        <w:rPr>
          <w:color w:val="374151"/>
          <w:shd w:fill="F7F7F8" w:color="auto" w:val="clear"/>
        </w:rPr>
        <w:t>1</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3</w:t>
      </w:r>
      <w:r>
        <w:rPr>
          <w:color w:val="374151"/>
          <w:spacing w:val="-5"/>
          <w:shd w:fill="F7F7F8" w:color="auto" w:val="clear"/>
        </w:rPr>
        <w:t> </w:t>
      </w:r>
      <w:r>
        <w:rPr>
          <w:color w:val="374151"/>
          <w:shd w:fill="F7F7F8" w:color="auto" w:val="clear"/>
        </w:rPr>
        <w:t>women</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1</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6</w:t>
      </w:r>
      <w:r>
        <w:rPr>
          <w:color w:val="374151"/>
          <w:spacing w:val="-5"/>
          <w:shd w:fill="F7F7F8" w:color="auto" w:val="clear"/>
        </w:rPr>
        <w:t> </w:t>
      </w:r>
      <w:r>
        <w:rPr>
          <w:color w:val="374151"/>
          <w:shd w:fill="F7F7F8" w:color="auto" w:val="clear"/>
        </w:rPr>
        <w:t>men</w:t>
      </w:r>
      <w:r>
        <w:rPr>
          <w:color w:val="374151"/>
          <w:spacing w:val="-5"/>
          <w:shd w:fill="F7F7F8" w:color="auto" w:val="clear"/>
        </w:rPr>
        <w:t> </w:t>
      </w:r>
      <w:r>
        <w:rPr>
          <w:color w:val="374151"/>
          <w:shd w:fill="F7F7F8" w:color="auto" w:val="clear"/>
        </w:rPr>
        <w:t>have</w:t>
      </w:r>
      <w:r>
        <w:rPr>
          <w:color w:val="374151"/>
          <w:spacing w:val="-6"/>
          <w:shd w:fill="F7F7F8" w:color="auto" w:val="clear"/>
        </w:rPr>
        <w:t> </w:t>
      </w:r>
      <w:r>
        <w:rPr>
          <w:color w:val="374151"/>
          <w:spacing w:val="-6"/>
        </w:rPr>
        <w:t> </w:t>
      </w:r>
      <w:r>
        <w:rPr>
          <w:color w:val="374151"/>
          <w:shd w:fill="F7F7F8" w:color="auto" w:val="clear"/>
        </w:rPr>
        <w:t>experienced some form of sexual violence in their lifetime. These statistics </w:t>
      </w:r>
      <w:r>
        <w:rPr>
          <w:color w:val="374151"/>
        </w:rPr>
        <w:t> </w:t>
      </w:r>
      <w:r>
        <w:rPr>
          <w:color w:val="374151"/>
          <w:shd w:fill="F7F7F8" w:color="auto" w:val="clear"/>
        </w:rPr>
        <w:t>underscore the importance of mental health therapists' role in providing</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006725" cy="1181100"/>
                <wp:effectExtent l="0" t="0" r="0" b="0"/>
                <wp:docPr id="212" name="Group 212"/>
                <wp:cNvGraphicFramePr>
                  <a:graphicFrameLocks/>
                </wp:cNvGraphicFramePr>
                <a:graphic>
                  <a:graphicData uri="http://schemas.microsoft.com/office/word/2010/wordprocessingGroup">
                    <wpg:wgp>
                      <wpg:cNvPr id="212" name="Group 212"/>
                      <wpg:cNvGrpSpPr/>
                      <wpg:grpSpPr>
                        <a:xfrm>
                          <a:off x="0" y="0"/>
                          <a:ext cx="3006725" cy="1181100"/>
                          <a:chExt cx="3006725" cy="1181100"/>
                        </a:xfrm>
                      </wpg:grpSpPr>
                      <wps:wsp>
                        <wps:cNvPr id="213" name="Textbox 213"/>
                        <wps:cNvSpPr txBox="1"/>
                        <wps:spPr>
                          <a:xfrm>
                            <a:off x="0" y="787400"/>
                            <a:ext cx="3006725"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z w:val="28"/>
                                </w:rPr>
                                <w:t>Initial</w:t>
                              </w:r>
                              <w:r>
                                <w:rPr>
                                  <w:b/>
                                  <w:i/>
                                  <w:color w:val="374151"/>
                                  <w:spacing w:val="-2"/>
                                  <w:sz w:val="28"/>
                                </w:rPr>
                                <w:t> </w:t>
                              </w:r>
                              <w:r>
                                <w:rPr>
                                  <w:b/>
                                  <w:i/>
                                  <w:color w:val="374151"/>
                                  <w:sz w:val="28"/>
                                </w:rPr>
                                <w:t>Evaluation</w:t>
                              </w:r>
                              <w:r>
                                <w:rPr>
                                  <w:b/>
                                  <w:i/>
                                  <w:color w:val="374151"/>
                                  <w:spacing w:val="-1"/>
                                  <w:sz w:val="28"/>
                                </w:rPr>
                                <w:t> </w:t>
                              </w:r>
                              <w:r>
                                <w:rPr>
                                  <w:b/>
                                  <w:i/>
                                  <w:color w:val="374151"/>
                                  <w:sz w:val="28"/>
                                </w:rPr>
                                <w:t>and</w:t>
                              </w:r>
                              <w:r>
                                <w:rPr>
                                  <w:b/>
                                  <w:i/>
                                  <w:color w:val="374151"/>
                                  <w:spacing w:val="-1"/>
                                  <w:sz w:val="28"/>
                                </w:rPr>
                                <w:t> </w:t>
                              </w:r>
                              <w:r>
                                <w:rPr>
                                  <w:b/>
                                  <w:i/>
                                  <w:color w:val="374151"/>
                                  <w:sz w:val="28"/>
                                </w:rPr>
                                <w:t>Safety</w:t>
                              </w:r>
                              <w:r>
                                <w:rPr>
                                  <w:b/>
                                  <w:i/>
                                  <w:color w:val="374151"/>
                                  <w:spacing w:val="-11"/>
                                  <w:sz w:val="28"/>
                                </w:rPr>
                                <w:t> </w:t>
                              </w:r>
                              <w:r>
                                <w:rPr>
                                  <w:b/>
                                  <w:i/>
                                  <w:color w:val="374151"/>
                                  <w:spacing w:val="-2"/>
                                  <w:sz w:val="28"/>
                                </w:rPr>
                                <w:t>Assessment</w:t>
                              </w:r>
                            </w:p>
                          </w:txbxContent>
                        </wps:txbx>
                        <wps:bodyPr wrap="square" lIns="0" tIns="0" rIns="0" bIns="0" rtlCol="0">
                          <a:noAutofit/>
                        </wps:bodyPr>
                      </wps:wsp>
                      <wps:wsp>
                        <wps:cNvPr id="214" name="Textbox 214"/>
                        <wps:cNvSpPr txBox="1"/>
                        <wps:spPr>
                          <a:xfrm>
                            <a:off x="0" y="393700"/>
                            <a:ext cx="229679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Assessment</w:t>
                              </w:r>
                              <w:r>
                                <w:rPr>
                                  <w:b/>
                                  <w:color w:val="374151"/>
                                  <w:spacing w:val="-2"/>
                                  <w:sz w:val="28"/>
                                </w:rPr>
                                <w:t> </w:t>
                              </w:r>
                              <w:r>
                                <w:rPr>
                                  <w:b/>
                                  <w:color w:val="374151"/>
                                  <w:sz w:val="28"/>
                                </w:rPr>
                                <w:t>of</w:t>
                              </w:r>
                              <w:r>
                                <w:rPr>
                                  <w:b/>
                                  <w:color w:val="374151"/>
                                  <w:spacing w:val="-1"/>
                                  <w:sz w:val="28"/>
                                </w:rPr>
                                <w:t> </w:t>
                              </w:r>
                              <w:r>
                                <w:rPr>
                                  <w:b/>
                                  <w:color w:val="374151"/>
                                  <w:sz w:val="28"/>
                                </w:rPr>
                                <w:t>Sexual</w:t>
                              </w:r>
                              <w:r>
                                <w:rPr>
                                  <w:b/>
                                  <w:color w:val="374151"/>
                                  <w:spacing w:val="-7"/>
                                  <w:sz w:val="28"/>
                                </w:rPr>
                                <w:t> </w:t>
                              </w:r>
                              <w:r>
                                <w:rPr>
                                  <w:b/>
                                  <w:color w:val="374151"/>
                                  <w:spacing w:val="-2"/>
                                  <w:sz w:val="28"/>
                                </w:rPr>
                                <w:t>Violence</w:t>
                              </w:r>
                            </w:p>
                          </w:txbxContent>
                        </wps:txbx>
                        <wps:bodyPr wrap="square" lIns="0" tIns="0" rIns="0" bIns="0" rtlCol="0">
                          <a:noAutofit/>
                        </wps:bodyPr>
                      </wps:wsp>
                      <wps:wsp>
                        <wps:cNvPr id="215" name="Textbox 215"/>
                        <wps:cNvSpPr txBox="1"/>
                        <wps:spPr>
                          <a:xfrm>
                            <a:off x="0" y="0"/>
                            <a:ext cx="280987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assessment</w:t>
                              </w:r>
                              <w:r>
                                <w:rPr>
                                  <w:color w:val="374151"/>
                                  <w:spacing w:val="-2"/>
                                  <w:sz w:val="28"/>
                                </w:rPr>
                                <w:t> </w:t>
                              </w:r>
                              <w:r>
                                <w:rPr>
                                  <w:color w:val="374151"/>
                                  <w:sz w:val="28"/>
                                </w:rPr>
                                <w:t>and</w:t>
                              </w:r>
                              <w:r>
                                <w:rPr>
                                  <w:color w:val="374151"/>
                                  <w:spacing w:val="-2"/>
                                  <w:sz w:val="28"/>
                                </w:rPr>
                                <w:t> </w:t>
                              </w:r>
                              <w:r>
                                <w:rPr>
                                  <w:color w:val="374151"/>
                                  <w:sz w:val="28"/>
                                </w:rPr>
                                <w:t>treatment</w:t>
                              </w:r>
                              <w:r>
                                <w:rPr>
                                  <w:color w:val="374151"/>
                                  <w:spacing w:val="-2"/>
                                  <w:sz w:val="28"/>
                                </w:rPr>
                                <w:t> </w:t>
                              </w:r>
                              <w:r>
                                <w:rPr>
                                  <w:color w:val="374151"/>
                                  <w:sz w:val="28"/>
                                </w:rPr>
                                <w:t>for</w:t>
                              </w:r>
                              <w:r>
                                <w:rPr>
                                  <w:color w:val="374151"/>
                                  <w:spacing w:val="-1"/>
                                  <w:sz w:val="28"/>
                                </w:rPr>
                                <w:t> </w:t>
                              </w:r>
                              <w:r>
                                <w:rPr>
                                  <w:color w:val="374151"/>
                                  <w:spacing w:val="-2"/>
                                  <w:sz w:val="28"/>
                                </w:rPr>
                                <w:t>survivors.</w:t>
                              </w:r>
                            </w:p>
                          </w:txbxContent>
                        </wps:txbx>
                        <wps:bodyPr wrap="square" lIns="0" tIns="0" rIns="0" bIns="0" rtlCol="0">
                          <a:noAutofit/>
                        </wps:bodyPr>
                      </wps:wsp>
                    </wpg:wgp>
                  </a:graphicData>
                </a:graphic>
              </wp:inline>
            </w:drawing>
          </mc:Choice>
          <mc:Fallback>
            <w:pict>
              <v:group style="width:236.75pt;height:93pt;mso-position-horizontal-relative:char;mso-position-vertical-relative:line" id="docshapegroup211" coordorigin="0,0" coordsize="4735,1860">
                <v:shape style="position:absolute;left:0;top:1240;width:4735;height:620" type="#_x0000_t202" id="docshape212" filled="true" fillcolor="#f7f7f8" stroked="false">
                  <v:textbox inset="0,0,0,0">
                    <w:txbxContent>
                      <w:p>
                        <w:pPr>
                          <w:spacing w:line="308" w:lineRule="exact" w:before="0"/>
                          <w:ind w:left="0" w:right="-15" w:firstLine="0"/>
                          <w:jc w:val="left"/>
                          <w:rPr>
                            <w:b/>
                            <w:i/>
                            <w:color w:val="000000"/>
                            <w:sz w:val="28"/>
                          </w:rPr>
                        </w:pPr>
                        <w:r>
                          <w:rPr>
                            <w:b/>
                            <w:i/>
                            <w:color w:val="374151"/>
                            <w:sz w:val="28"/>
                          </w:rPr>
                          <w:t>Initial</w:t>
                        </w:r>
                        <w:r>
                          <w:rPr>
                            <w:b/>
                            <w:i/>
                            <w:color w:val="374151"/>
                            <w:spacing w:val="-2"/>
                            <w:sz w:val="28"/>
                          </w:rPr>
                          <w:t> </w:t>
                        </w:r>
                        <w:r>
                          <w:rPr>
                            <w:b/>
                            <w:i/>
                            <w:color w:val="374151"/>
                            <w:sz w:val="28"/>
                          </w:rPr>
                          <w:t>Evaluation</w:t>
                        </w:r>
                        <w:r>
                          <w:rPr>
                            <w:b/>
                            <w:i/>
                            <w:color w:val="374151"/>
                            <w:spacing w:val="-1"/>
                            <w:sz w:val="28"/>
                          </w:rPr>
                          <w:t> </w:t>
                        </w:r>
                        <w:r>
                          <w:rPr>
                            <w:b/>
                            <w:i/>
                            <w:color w:val="374151"/>
                            <w:sz w:val="28"/>
                          </w:rPr>
                          <w:t>and</w:t>
                        </w:r>
                        <w:r>
                          <w:rPr>
                            <w:b/>
                            <w:i/>
                            <w:color w:val="374151"/>
                            <w:spacing w:val="-1"/>
                            <w:sz w:val="28"/>
                          </w:rPr>
                          <w:t> </w:t>
                        </w:r>
                        <w:r>
                          <w:rPr>
                            <w:b/>
                            <w:i/>
                            <w:color w:val="374151"/>
                            <w:sz w:val="28"/>
                          </w:rPr>
                          <w:t>Safety</w:t>
                        </w:r>
                        <w:r>
                          <w:rPr>
                            <w:b/>
                            <w:i/>
                            <w:color w:val="374151"/>
                            <w:spacing w:val="-11"/>
                            <w:sz w:val="28"/>
                          </w:rPr>
                          <w:t> </w:t>
                        </w:r>
                        <w:r>
                          <w:rPr>
                            <w:b/>
                            <w:i/>
                            <w:color w:val="374151"/>
                            <w:spacing w:val="-2"/>
                            <w:sz w:val="28"/>
                          </w:rPr>
                          <w:t>Assessment</w:t>
                        </w:r>
                      </w:p>
                    </w:txbxContent>
                  </v:textbox>
                  <v:fill type="solid"/>
                  <w10:wrap type="none"/>
                </v:shape>
                <v:shape style="position:absolute;left:0;top:620;width:3617;height:620" type="#_x0000_t202" id="docshape213" filled="true" fillcolor="#f7f7f8" stroked="false">
                  <v:textbox inset="0,0,0,0">
                    <w:txbxContent>
                      <w:p>
                        <w:pPr>
                          <w:spacing w:line="308" w:lineRule="exact" w:before="0"/>
                          <w:ind w:left="0" w:right="-15" w:firstLine="0"/>
                          <w:jc w:val="left"/>
                          <w:rPr>
                            <w:b/>
                            <w:color w:val="000000"/>
                            <w:sz w:val="28"/>
                          </w:rPr>
                        </w:pPr>
                        <w:r>
                          <w:rPr>
                            <w:b/>
                            <w:color w:val="374151"/>
                            <w:sz w:val="28"/>
                          </w:rPr>
                          <w:t>Assessment</w:t>
                        </w:r>
                        <w:r>
                          <w:rPr>
                            <w:b/>
                            <w:color w:val="374151"/>
                            <w:spacing w:val="-2"/>
                            <w:sz w:val="28"/>
                          </w:rPr>
                          <w:t> </w:t>
                        </w:r>
                        <w:r>
                          <w:rPr>
                            <w:b/>
                            <w:color w:val="374151"/>
                            <w:sz w:val="28"/>
                          </w:rPr>
                          <w:t>of</w:t>
                        </w:r>
                        <w:r>
                          <w:rPr>
                            <w:b/>
                            <w:color w:val="374151"/>
                            <w:spacing w:val="-1"/>
                            <w:sz w:val="28"/>
                          </w:rPr>
                          <w:t> </w:t>
                        </w:r>
                        <w:r>
                          <w:rPr>
                            <w:b/>
                            <w:color w:val="374151"/>
                            <w:sz w:val="28"/>
                          </w:rPr>
                          <w:t>Sexual</w:t>
                        </w:r>
                        <w:r>
                          <w:rPr>
                            <w:b/>
                            <w:color w:val="374151"/>
                            <w:spacing w:val="-7"/>
                            <w:sz w:val="28"/>
                          </w:rPr>
                          <w:t> </w:t>
                        </w:r>
                        <w:r>
                          <w:rPr>
                            <w:b/>
                            <w:color w:val="374151"/>
                            <w:spacing w:val="-2"/>
                            <w:sz w:val="28"/>
                          </w:rPr>
                          <w:t>Violence</w:t>
                        </w:r>
                      </w:p>
                    </w:txbxContent>
                  </v:textbox>
                  <v:fill type="solid"/>
                  <w10:wrap type="none"/>
                </v:shape>
                <v:shape style="position:absolute;left:0;top:0;width:4425;height:620" type="#_x0000_t202" id="docshape214" filled="true" fillcolor="#f7f7f8" stroked="false">
                  <v:textbox inset="0,0,0,0">
                    <w:txbxContent>
                      <w:p>
                        <w:pPr>
                          <w:spacing w:line="308" w:lineRule="exact" w:before="0"/>
                          <w:ind w:left="0" w:right="-15" w:firstLine="0"/>
                          <w:jc w:val="left"/>
                          <w:rPr>
                            <w:color w:val="000000"/>
                            <w:sz w:val="28"/>
                          </w:rPr>
                        </w:pPr>
                        <w:r>
                          <w:rPr>
                            <w:color w:val="374151"/>
                            <w:sz w:val="28"/>
                          </w:rPr>
                          <w:t>assessment</w:t>
                        </w:r>
                        <w:r>
                          <w:rPr>
                            <w:color w:val="374151"/>
                            <w:spacing w:val="-2"/>
                            <w:sz w:val="28"/>
                          </w:rPr>
                          <w:t> </w:t>
                        </w:r>
                        <w:r>
                          <w:rPr>
                            <w:color w:val="374151"/>
                            <w:sz w:val="28"/>
                          </w:rPr>
                          <w:t>and</w:t>
                        </w:r>
                        <w:r>
                          <w:rPr>
                            <w:color w:val="374151"/>
                            <w:spacing w:val="-2"/>
                            <w:sz w:val="28"/>
                          </w:rPr>
                          <w:t> </w:t>
                        </w:r>
                        <w:r>
                          <w:rPr>
                            <w:color w:val="374151"/>
                            <w:sz w:val="28"/>
                          </w:rPr>
                          <w:t>treatment</w:t>
                        </w:r>
                        <w:r>
                          <w:rPr>
                            <w:color w:val="374151"/>
                            <w:spacing w:val="-2"/>
                            <w:sz w:val="28"/>
                          </w:rPr>
                          <w:t> </w:t>
                        </w:r>
                        <w:r>
                          <w:rPr>
                            <w:color w:val="374151"/>
                            <w:sz w:val="28"/>
                          </w:rPr>
                          <w:t>for</w:t>
                        </w:r>
                        <w:r>
                          <w:rPr>
                            <w:color w:val="374151"/>
                            <w:spacing w:val="-1"/>
                            <w:sz w:val="28"/>
                          </w:rPr>
                          <w:t> </w:t>
                        </w:r>
                        <w:r>
                          <w:rPr>
                            <w:color w:val="374151"/>
                            <w:spacing w:val="-2"/>
                            <w:sz w:val="28"/>
                          </w:rPr>
                          <w:t>survivors.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When</w:t>
      </w:r>
      <w:r>
        <w:rPr>
          <w:color w:val="374151"/>
          <w:spacing w:val="-4"/>
          <w:shd w:fill="F7F7F8" w:color="auto" w:val="clear"/>
        </w:rPr>
        <w:t> </w:t>
      </w:r>
      <w:r>
        <w:rPr>
          <w:color w:val="374151"/>
          <w:shd w:fill="F7F7F8" w:color="auto" w:val="clear"/>
        </w:rPr>
        <w:t>working</w:t>
      </w:r>
      <w:r>
        <w:rPr>
          <w:color w:val="374151"/>
          <w:spacing w:val="-1"/>
          <w:shd w:fill="F7F7F8" w:color="auto" w:val="clear"/>
        </w:rPr>
        <w:t> </w:t>
      </w:r>
      <w:r>
        <w:rPr>
          <w:color w:val="374151"/>
          <w:shd w:fill="F7F7F8" w:color="auto" w:val="clear"/>
        </w:rPr>
        <w:t>with</w:t>
      </w:r>
      <w:r>
        <w:rPr>
          <w:color w:val="374151"/>
          <w:spacing w:val="-2"/>
          <w:shd w:fill="F7F7F8" w:color="auto" w:val="clear"/>
        </w:rPr>
        <w:t> </w:t>
      </w:r>
      <w:r>
        <w:rPr>
          <w:color w:val="374151"/>
          <w:shd w:fill="F7F7F8" w:color="auto" w:val="clear"/>
        </w:rPr>
        <w:t>survivors</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sexual</w:t>
      </w:r>
      <w:r>
        <w:rPr>
          <w:color w:val="374151"/>
          <w:spacing w:val="-1"/>
          <w:shd w:fill="F7F7F8" w:color="auto" w:val="clear"/>
        </w:rPr>
        <w:t> </w:t>
      </w:r>
      <w:r>
        <w:rPr>
          <w:color w:val="374151"/>
          <w:shd w:fill="F7F7F8" w:color="auto" w:val="clear"/>
        </w:rPr>
        <w:t>violence,</w:t>
      </w:r>
      <w:r>
        <w:rPr>
          <w:color w:val="374151"/>
          <w:spacing w:val="-2"/>
          <w:shd w:fill="F7F7F8" w:color="auto" w:val="clear"/>
        </w:rPr>
        <w:t> </w:t>
      </w:r>
      <w:r>
        <w:rPr>
          <w:color w:val="374151"/>
          <w:shd w:fill="F7F7F8" w:color="auto" w:val="clear"/>
        </w:rPr>
        <w:t>conducting</w:t>
      </w:r>
      <w:r>
        <w:rPr>
          <w:color w:val="374151"/>
          <w:spacing w:val="-1"/>
          <w:shd w:fill="F7F7F8" w:color="auto" w:val="clear"/>
        </w:rPr>
        <w:t> </w:t>
      </w:r>
      <w:r>
        <w:rPr>
          <w:color w:val="374151"/>
          <w:shd w:fill="F7F7F8" w:color="auto" w:val="clear"/>
        </w:rPr>
        <w:t>an</w:t>
      </w:r>
      <w:r>
        <w:rPr>
          <w:color w:val="374151"/>
          <w:spacing w:val="-1"/>
          <w:shd w:fill="F7F7F8" w:color="auto" w:val="clear"/>
        </w:rPr>
        <w:t> </w:t>
      </w:r>
      <w:r>
        <w:rPr>
          <w:color w:val="374151"/>
          <w:spacing w:val="-2"/>
          <w:shd w:fill="F7F7F8" w:color="auto" w:val="clear"/>
        </w:rPr>
        <w:t>initial</w:t>
      </w:r>
      <w:r>
        <w:rPr>
          <w:color w:val="374151"/>
          <w:spacing w:val="40"/>
          <w:shd w:fill="F7F7F8" w:color="auto" w:val="clear"/>
        </w:rPr>
        <w:t> </w:t>
      </w:r>
    </w:p>
    <w:p>
      <w:pPr>
        <w:pStyle w:val="BodyText"/>
        <w:ind w:left="280" w:right="502"/>
      </w:pPr>
      <w:r>
        <w:rPr>
          <w:color w:val="374151"/>
          <w:shd w:fill="F7F7F8" w:color="auto" w:val="clear"/>
        </w:rPr>
        <w:t>evaluation</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safety</w:t>
      </w:r>
      <w:r>
        <w:rPr>
          <w:color w:val="374151"/>
          <w:spacing w:val="-4"/>
          <w:shd w:fill="F7F7F8" w:color="auto" w:val="clear"/>
        </w:rPr>
        <w:t> </w:t>
      </w:r>
      <w:r>
        <w:rPr>
          <w:color w:val="374151"/>
          <w:shd w:fill="F7F7F8" w:color="auto" w:val="clear"/>
        </w:rPr>
        <w:t>assessment</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utmost</w:t>
      </w:r>
      <w:r>
        <w:rPr>
          <w:color w:val="374151"/>
          <w:spacing w:val="-4"/>
          <w:shd w:fill="F7F7F8" w:color="auto" w:val="clear"/>
        </w:rPr>
        <w:t> </w:t>
      </w:r>
      <w:r>
        <w:rPr>
          <w:color w:val="374151"/>
          <w:shd w:fill="F7F7F8" w:color="auto" w:val="clear"/>
        </w:rPr>
        <w:t>importance.</w:t>
      </w:r>
      <w:r>
        <w:rPr>
          <w:color w:val="374151"/>
          <w:spacing w:val="-4"/>
          <w:shd w:fill="F7F7F8" w:color="auto" w:val="clear"/>
        </w:rPr>
        <w:t> </w:t>
      </w:r>
      <w:r>
        <w:rPr>
          <w:color w:val="374151"/>
          <w:shd w:fill="F7F7F8" w:color="auto" w:val="clear"/>
        </w:rPr>
        <w:t>It</w:t>
      </w:r>
      <w:r>
        <w:rPr>
          <w:color w:val="374151"/>
          <w:spacing w:val="-4"/>
          <w:shd w:fill="F7F7F8" w:color="auto" w:val="clear"/>
        </w:rPr>
        <w:t> </w:t>
      </w:r>
      <w:r>
        <w:rPr>
          <w:color w:val="374151"/>
          <w:shd w:fill="F7F7F8" w:color="auto" w:val="clear"/>
        </w:rPr>
        <w:t>involves</w:t>
      </w:r>
      <w:r>
        <w:rPr>
          <w:color w:val="374151"/>
          <w:spacing w:val="-4"/>
          <w:shd w:fill="F7F7F8" w:color="auto" w:val="clear"/>
        </w:rPr>
        <w:t> </w:t>
      </w:r>
      <w:r>
        <w:rPr>
          <w:color w:val="374151"/>
          <w:shd w:fill="F7F7F8" w:color="auto" w:val="clear"/>
        </w:rPr>
        <w:t>ensuring</w:t>
      </w:r>
      <w:r>
        <w:rPr>
          <w:color w:val="374151"/>
          <w:spacing w:val="-5"/>
          <w:shd w:fill="F7F7F8" w:color="auto" w:val="clear"/>
        </w:rPr>
        <w:t> </w:t>
      </w:r>
      <w:r>
        <w:rPr>
          <w:color w:val="374151"/>
          <w:spacing w:val="-5"/>
        </w:rPr>
        <w:t> </w:t>
      </w:r>
      <w:r>
        <w:rPr>
          <w:color w:val="374151"/>
          <w:shd w:fill="F7F7F8" w:color="auto" w:val="clear"/>
        </w:rPr>
        <w:t>the survivor's immediate physical safety and identifying any urgent medical </w:t>
      </w:r>
      <w:r>
        <w:rPr>
          <w:color w:val="374151"/>
        </w:rPr>
        <w:t> </w:t>
      </w:r>
      <w:r>
        <w:rPr>
          <w:color w:val="374151"/>
          <w:shd w:fill="F7F7F8" w:color="auto" w:val="clear"/>
        </w:rPr>
        <w:t>needs.</w:t>
      </w:r>
      <w:r>
        <w:rPr>
          <w:color w:val="374151"/>
          <w:spacing w:val="-4"/>
          <w:shd w:fill="F7F7F8" w:color="auto" w:val="clear"/>
        </w:rPr>
        <w:t> </w:t>
      </w:r>
      <w:r>
        <w:rPr>
          <w:color w:val="374151"/>
          <w:shd w:fill="F7F7F8" w:color="auto" w:val="clear"/>
        </w:rPr>
        <w:t>Additionally, assessing the survivor's mental health, social support</w:t>
      </w:r>
      <w:r>
        <w:rPr>
          <w:color w:val="374151"/>
          <w:spacing w:val="40"/>
          <w:shd w:fill="F7F7F8" w:color="auto" w:val="clear"/>
        </w:rPr>
        <w:t> </w:t>
      </w:r>
    </w:p>
    <w:p>
      <w:pPr>
        <w:spacing w:after="0"/>
        <w:sectPr>
          <w:pgSz w:w="12240" w:h="15840"/>
          <w:pgMar w:header="0" w:footer="765" w:top="126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38016">
                <wp:simplePos x="0" y="0"/>
                <wp:positionH relativeFrom="page">
                  <wp:posOffset>1066800</wp:posOffset>
                </wp:positionH>
                <wp:positionV relativeFrom="paragraph">
                  <wp:posOffset>251357</wp:posOffset>
                </wp:positionV>
                <wp:extent cx="4749800" cy="787400"/>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4749800" cy="787400"/>
                          <a:chExt cx="4749800" cy="787400"/>
                        </a:xfrm>
                      </wpg:grpSpPr>
                      <wps:wsp>
                        <wps:cNvPr id="217" name="Textbox 217"/>
                        <wps:cNvSpPr txBox="1"/>
                        <wps:spPr>
                          <a:xfrm>
                            <a:off x="0" y="393700"/>
                            <a:ext cx="2214880"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pacing w:val="-2"/>
                                  <w:sz w:val="28"/>
                                </w:rPr>
                                <w:t>Trauma-Informed</w:t>
                              </w:r>
                              <w:r>
                                <w:rPr>
                                  <w:b/>
                                  <w:i/>
                                  <w:color w:val="374151"/>
                                  <w:spacing w:val="2"/>
                                  <w:sz w:val="28"/>
                                </w:rPr>
                                <w:t> </w:t>
                              </w:r>
                              <w:r>
                                <w:rPr>
                                  <w:b/>
                                  <w:i/>
                                  <w:color w:val="374151"/>
                                  <w:spacing w:val="-2"/>
                                  <w:sz w:val="28"/>
                                </w:rPr>
                                <w:t>Assessment</w:t>
                              </w:r>
                            </w:p>
                          </w:txbxContent>
                        </wps:txbx>
                        <wps:bodyPr wrap="square" lIns="0" tIns="0" rIns="0" bIns="0" rtlCol="0">
                          <a:noAutofit/>
                        </wps:bodyPr>
                      </wps:wsp>
                      <wps:wsp>
                        <wps:cNvPr id="218" name="Textbox 218"/>
                        <wps:cNvSpPr txBox="1"/>
                        <wps:spPr>
                          <a:xfrm>
                            <a:off x="0" y="0"/>
                            <a:ext cx="474980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understanding</w:t>
                              </w:r>
                              <w:r>
                                <w:rPr>
                                  <w:color w:val="374151"/>
                                  <w:spacing w:val="-4"/>
                                  <w:sz w:val="28"/>
                                </w:rPr>
                                <w:t> </w:t>
                              </w:r>
                              <w:r>
                                <w:rPr>
                                  <w:color w:val="374151"/>
                                  <w:sz w:val="28"/>
                                </w:rPr>
                                <w:t>of</w:t>
                              </w:r>
                              <w:r>
                                <w:rPr>
                                  <w:color w:val="374151"/>
                                  <w:spacing w:val="-2"/>
                                  <w:sz w:val="28"/>
                                </w:rPr>
                                <w:t> </w:t>
                              </w:r>
                              <w:r>
                                <w:rPr>
                                  <w:color w:val="374151"/>
                                  <w:sz w:val="28"/>
                                </w:rPr>
                                <w:t>their</w:t>
                              </w:r>
                              <w:r>
                                <w:rPr>
                                  <w:color w:val="374151"/>
                                  <w:spacing w:val="-1"/>
                                  <w:sz w:val="28"/>
                                </w:rPr>
                                <w:t> </w:t>
                              </w:r>
                              <w:r>
                                <w:rPr>
                                  <w:color w:val="374151"/>
                                  <w:sz w:val="28"/>
                                </w:rPr>
                                <w:t>needs</w:t>
                              </w:r>
                              <w:r>
                                <w:rPr>
                                  <w:color w:val="374151"/>
                                  <w:spacing w:val="-2"/>
                                  <w:sz w:val="28"/>
                                </w:rPr>
                                <w:t> </w:t>
                              </w:r>
                              <w:r>
                                <w:rPr>
                                  <w:color w:val="374151"/>
                                  <w:sz w:val="28"/>
                                </w:rPr>
                                <w:t>and</w:t>
                              </w:r>
                              <w:r>
                                <w:rPr>
                                  <w:color w:val="374151"/>
                                  <w:spacing w:val="-2"/>
                                  <w:sz w:val="28"/>
                                </w:rPr>
                                <w:t> </w:t>
                              </w:r>
                              <w:r>
                                <w:rPr>
                                  <w:color w:val="374151"/>
                                  <w:sz w:val="28"/>
                                </w:rPr>
                                <w:t>develop</w:t>
                              </w:r>
                              <w:r>
                                <w:rPr>
                                  <w:color w:val="374151"/>
                                  <w:spacing w:val="-2"/>
                                  <w:sz w:val="28"/>
                                </w:rPr>
                                <w:t> </w:t>
                              </w:r>
                              <w:r>
                                <w:rPr>
                                  <w:color w:val="374151"/>
                                  <w:sz w:val="28"/>
                                </w:rPr>
                                <w:t>a</w:t>
                              </w:r>
                              <w:r>
                                <w:rPr>
                                  <w:color w:val="374151"/>
                                  <w:spacing w:val="-2"/>
                                  <w:sz w:val="28"/>
                                </w:rPr>
                                <w:t> </w:t>
                              </w:r>
                              <w:r>
                                <w:rPr>
                                  <w:color w:val="374151"/>
                                  <w:sz w:val="28"/>
                                </w:rPr>
                                <w:t>tailored</w:t>
                              </w:r>
                              <w:r>
                                <w:rPr>
                                  <w:color w:val="374151"/>
                                  <w:spacing w:val="-2"/>
                                  <w:sz w:val="28"/>
                                </w:rPr>
                                <w:t> </w:t>
                              </w:r>
                              <w:r>
                                <w:rPr>
                                  <w:color w:val="374151"/>
                                  <w:sz w:val="28"/>
                                </w:rPr>
                                <w:t>treatment</w:t>
                              </w:r>
                              <w:r>
                                <w:rPr>
                                  <w:color w:val="374151"/>
                                  <w:spacing w:val="-1"/>
                                  <w:sz w:val="28"/>
                                </w:rPr>
                                <w:t> </w:t>
                              </w:r>
                              <w:r>
                                <w:rPr>
                                  <w:color w:val="374151"/>
                                  <w:spacing w:val="-2"/>
                                  <w:sz w:val="28"/>
                                </w:rPr>
                                <w:t>plan.</w:t>
                              </w:r>
                            </w:p>
                          </w:txbxContent>
                        </wps:txbx>
                        <wps:bodyPr wrap="square" lIns="0" tIns="0" rIns="0" bIns="0" rtlCol="0">
                          <a:noAutofit/>
                        </wps:bodyPr>
                      </wps:wsp>
                    </wpg:wgp>
                  </a:graphicData>
                </a:graphic>
              </wp:anchor>
            </w:drawing>
          </mc:Choice>
          <mc:Fallback>
            <w:pict>
              <v:group style="position:absolute;margin-left:84pt;margin-top:19.791931pt;width:374pt;height:62pt;mso-position-horizontal-relative:page;mso-position-vertical-relative:paragraph;z-index:-15678464;mso-wrap-distance-left:0;mso-wrap-distance-right:0" id="docshapegroup215" coordorigin="1680,396" coordsize="7480,1240">
                <v:shape style="position:absolute;left:1680;top:1015;width:3488;height:620" type="#_x0000_t202" id="docshape216" filled="true" fillcolor="#f7f7f8" stroked="false">
                  <v:textbox inset="0,0,0,0">
                    <w:txbxContent>
                      <w:p>
                        <w:pPr>
                          <w:spacing w:line="308" w:lineRule="exact" w:before="0"/>
                          <w:ind w:left="0" w:right="0" w:firstLine="0"/>
                          <w:jc w:val="left"/>
                          <w:rPr>
                            <w:b/>
                            <w:i/>
                            <w:color w:val="000000"/>
                            <w:sz w:val="28"/>
                          </w:rPr>
                        </w:pPr>
                        <w:r>
                          <w:rPr>
                            <w:b/>
                            <w:i/>
                            <w:color w:val="374151"/>
                            <w:spacing w:val="-2"/>
                            <w:sz w:val="28"/>
                          </w:rPr>
                          <w:t>Trauma-Informed</w:t>
                        </w:r>
                        <w:r>
                          <w:rPr>
                            <w:b/>
                            <w:i/>
                            <w:color w:val="374151"/>
                            <w:spacing w:val="2"/>
                            <w:sz w:val="28"/>
                          </w:rPr>
                          <w:t> </w:t>
                        </w:r>
                        <w:r>
                          <w:rPr>
                            <w:b/>
                            <w:i/>
                            <w:color w:val="374151"/>
                            <w:spacing w:val="-2"/>
                            <w:sz w:val="28"/>
                          </w:rPr>
                          <w:t>Assessment</w:t>
                        </w:r>
                      </w:p>
                    </w:txbxContent>
                  </v:textbox>
                  <v:fill type="solid"/>
                  <w10:wrap type="none"/>
                </v:shape>
                <v:shape style="position:absolute;left:1680;top:395;width:7480;height:620" type="#_x0000_t202" id="docshape217" filled="true" fillcolor="#f7f7f8" stroked="false">
                  <v:textbox inset="0,0,0,0">
                    <w:txbxContent>
                      <w:p>
                        <w:pPr>
                          <w:spacing w:line="308" w:lineRule="exact" w:before="0"/>
                          <w:ind w:left="0" w:right="-15" w:firstLine="0"/>
                          <w:jc w:val="left"/>
                          <w:rPr>
                            <w:color w:val="000000"/>
                            <w:sz w:val="28"/>
                          </w:rPr>
                        </w:pPr>
                        <w:r>
                          <w:rPr>
                            <w:color w:val="374151"/>
                            <w:sz w:val="28"/>
                          </w:rPr>
                          <w:t>understanding</w:t>
                        </w:r>
                        <w:r>
                          <w:rPr>
                            <w:color w:val="374151"/>
                            <w:spacing w:val="-4"/>
                            <w:sz w:val="28"/>
                          </w:rPr>
                          <w:t> </w:t>
                        </w:r>
                        <w:r>
                          <w:rPr>
                            <w:color w:val="374151"/>
                            <w:sz w:val="28"/>
                          </w:rPr>
                          <w:t>of</w:t>
                        </w:r>
                        <w:r>
                          <w:rPr>
                            <w:color w:val="374151"/>
                            <w:spacing w:val="-2"/>
                            <w:sz w:val="28"/>
                          </w:rPr>
                          <w:t> </w:t>
                        </w:r>
                        <w:r>
                          <w:rPr>
                            <w:color w:val="374151"/>
                            <w:sz w:val="28"/>
                          </w:rPr>
                          <w:t>their</w:t>
                        </w:r>
                        <w:r>
                          <w:rPr>
                            <w:color w:val="374151"/>
                            <w:spacing w:val="-1"/>
                            <w:sz w:val="28"/>
                          </w:rPr>
                          <w:t> </w:t>
                        </w:r>
                        <w:r>
                          <w:rPr>
                            <w:color w:val="374151"/>
                            <w:sz w:val="28"/>
                          </w:rPr>
                          <w:t>needs</w:t>
                        </w:r>
                        <w:r>
                          <w:rPr>
                            <w:color w:val="374151"/>
                            <w:spacing w:val="-2"/>
                            <w:sz w:val="28"/>
                          </w:rPr>
                          <w:t> </w:t>
                        </w:r>
                        <w:r>
                          <w:rPr>
                            <w:color w:val="374151"/>
                            <w:sz w:val="28"/>
                          </w:rPr>
                          <w:t>and</w:t>
                        </w:r>
                        <w:r>
                          <w:rPr>
                            <w:color w:val="374151"/>
                            <w:spacing w:val="-2"/>
                            <w:sz w:val="28"/>
                          </w:rPr>
                          <w:t> </w:t>
                        </w:r>
                        <w:r>
                          <w:rPr>
                            <w:color w:val="374151"/>
                            <w:sz w:val="28"/>
                          </w:rPr>
                          <w:t>develop</w:t>
                        </w:r>
                        <w:r>
                          <w:rPr>
                            <w:color w:val="374151"/>
                            <w:spacing w:val="-2"/>
                            <w:sz w:val="28"/>
                          </w:rPr>
                          <w:t> </w:t>
                        </w:r>
                        <w:r>
                          <w:rPr>
                            <w:color w:val="374151"/>
                            <w:sz w:val="28"/>
                          </w:rPr>
                          <w:t>a</w:t>
                        </w:r>
                        <w:r>
                          <w:rPr>
                            <w:color w:val="374151"/>
                            <w:spacing w:val="-2"/>
                            <w:sz w:val="28"/>
                          </w:rPr>
                          <w:t> </w:t>
                        </w:r>
                        <w:r>
                          <w:rPr>
                            <w:color w:val="374151"/>
                            <w:sz w:val="28"/>
                          </w:rPr>
                          <w:t>tailored</w:t>
                        </w:r>
                        <w:r>
                          <w:rPr>
                            <w:color w:val="374151"/>
                            <w:spacing w:val="-2"/>
                            <w:sz w:val="28"/>
                          </w:rPr>
                          <w:t> </w:t>
                        </w:r>
                        <w:r>
                          <w:rPr>
                            <w:color w:val="374151"/>
                            <w:sz w:val="28"/>
                          </w:rPr>
                          <w:t>treatment</w:t>
                        </w:r>
                        <w:r>
                          <w:rPr>
                            <w:color w:val="374151"/>
                            <w:spacing w:val="-1"/>
                            <w:sz w:val="28"/>
                          </w:rPr>
                          <w:t> </w:t>
                        </w:r>
                        <w:r>
                          <w:rPr>
                            <w:color w:val="374151"/>
                            <w:spacing w:val="-2"/>
                            <w:sz w:val="28"/>
                          </w:rPr>
                          <w:t>plan.</w:t>
                        </w:r>
                      </w:p>
                    </w:txbxContent>
                  </v:textbox>
                  <v:fill type="solid"/>
                  <w10:wrap type="none"/>
                </v:shape>
                <w10:wrap type="topAndBottom"/>
              </v:group>
            </w:pict>
          </mc:Fallback>
        </mc:AlternateContent>
      </w:r>
      <w:r>
        <w:rPr>
          <w:color w:val="374151"/>
          <w:shd w:fill="F7F7F8" w:color="auto" w:val="clear"/>
        </w:rPr>
        <w:t>system,</w:t>
      </w:r>
      <w:r>
        <w:rPr>
          <w:color w:val="374151"/>
          <w:spacing w:val="-4"/>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current</w:t>
      </w:r>
      <w:r>
        <w:rPr>
          <w:color w:val="374151"/>
          <w:spacing w:val="-1"/>
          <w:shd w:fill="F7F7F8" w:color="auto" w:val="clear"/>
        </w:rPr>
        <w:t> </w:t>
      </w:r>
      <w:r>
        <w:rPr>
          <w:color w:val="374151"/>
          <w:shd w:fill="F7F7F8" w:color="auto" w:val="clear"/>
        </w:rPr>
        <w:t>living</w:t>
      </w:r>
      <w:r>
        <w:rPr>
          <w:color w:val="374151"/>
          <w:spacing w:val="-1"/>
          <w:shd w:fill="F7F7F8" w:color="auto" w:val="clear"/>
        </w:rPr>
        <w:t> </w:t>
      </w:r>
      <w:r>
        <w:rPr>
          <w:color w:val="374151"/>
          <w:shd w:fill="F7F7F8" w:color="auto" w:val="clear"/>
        </w:rPr>
        <w:t>situation</w:t>
      </w:r>
      <w:r>
        <w:rPr>
          <w:color w:val="374151"/>
          <w:spacing w:val="-2"/>
          <w:shd w:fill="F7F7F8" w:color="auto" w:val="clear"/>
        </w:rPr>
        <w:t> </w:t>
      </w:r>
      <w:r>
        <w:rPr>
          <w:color w:val="374151"/>
          <w:shd w:fill="F7F7F8" w:color="auto" w:val="clear"/>
        </w:rPr>
        <w:t>helps</w:t>
      </w:r>
      <w:r>
        <w:rPr>
          <w:color w:val="374151"/>
          <w:spacing w:val="-1"/>
          <w:shd w:fill="F7F7F8" w:color="auto" w:val="clear"/>
        </w:rPr>
        <w:t> </w:t>
      </w:r>
      <w:r>
        <w:rPr>
          <w:color w:val="374151"/>
          <w:shd w:fill="F7F7F8" w:color="auto" w:val="clear"/>
        </w:rPr>
        <w:t>therapists</w:t>
      </w:r>
      <w:r>
        <w:rPr>
          <w:color w:val="374151"/>
          <w:spacing w:val="-1"/>
          <w:shd w:fill="F7F7F8" w:color="auto" w:val="clear"/>
        </w:rPr>
        <w:t> </w:t>
      </w:r>
      <w:r>
        <w:rPr>
          <w:color w:val="374151"/>
          <w:shd w:fill="F7F7F8" w:color="auto" w:val="clear"/>
        </w:rPr>
        <w:t>gain</w:t>
      </w:r>
      <w:r>
        <w:rPr>
          <w:color w:val="374151"/>
          <w:spacing w:val="-1"/>
          <w:shd w:fill="F7F7F8" w:color="auto" w:val="clear"/>
        </w:rPr>
        <w:t> </w:t>
      </w:r>
      <w:r>
        <w:rPr>
          <w:color w:val="374151"/>
          <w:shd w:fill="F7F7F8" w:color="auto" w:val="clear"/>
        </w:rPr>
        <w:t>a</w:t>
      </w:r>
      <w:r>
        <w:rPr>
          <w:color w:val="374151"/>
          <w:spacing w:val="-2"/>
          <w:shd w:fill="F7F7F8" w:color="auto" w:val="clear"/>
        </w:rPr>
        <w:t> comprehensive</w:t>
      </w:r>
      <w:r>
        <w:rPr>
          <w:color w:val="374151"/>
          <w:spacing w:val="40"/>
          <w:shd w:fill="F7F7F8" w:color="auto" w:val="clear"/>
        </w:rPr>
        <w:t> </w:t>
      </w:r>
    </w:p>
    <w:p>
      <w:pPr>
        <w:pStyle w:val="BodyText"/>
        <w:spacing w:line="237" w:lineRule="auto" w:after="10"/>
        <w:ind w:left="280" w:right="499"/>
      </w:pPr>
      <w:r>
        <w:rPr>
          <w:color w:val="374151"/>
          <w:shd w:fill="F7F7F8" w:color="auto" w:val="clear"/>
        </w:rPr>
        <w:t>A</w:t>
      </w:r>
      <w:r>
        <w:rPr>
          <w:color w:val="374151"/>
          <w:spacing w:val="-10"/>
          <w:shd w:fill="F7F7F8" w:color="auto" w:val="clear"/>
        </w:rPr>
        <w:t> </w:t>
      </w:r>
      <w:r>
        <w:rPr>
          <w:color w:val="374151"/>
          <w:shd w:fill="F7F7F8" w:color="auto" w:val="clear"/>
        </w:rPr>
        <w:t>trauma-informed assessment involves recognizing the potential trauma and </w:t>
      </w:r>
      <w:r>
        <w:rPr>
          <w:color w:val="374151"/>
        </w:rPr>
        <w:t> </w:t>
      </w:r>
      <w:r>
        <w:rPr>
          <w:color w:val="374151"/>
          <w:shd w:fill="F7F7F8" w:color="auto" w:val="clear"/>
        </w:rPr>
        <w:t>its</w:t>
      </w:r>
      <w:r>
        <w:rPr>
          <w:color w:val="374151"/>
          <w:spacing w:val="-2"/>
          <w:shd w:fill="F7F7F8" w:color="auto" w:val="clear"/>
        </w:rPr>
        <w:t> </w:t>
      </w:r>
      <w:r>
        <w:rPr>
          <w:color w:val="374151"/>
          <w:shd w:fill="F7F7F8" w:color="auto" w:val="clear"/>
        </w:rPr>
        <w:t>impact</w:t>
      </w:r>
      <w:r>
        <w:rPr>
          <w:color w:val="374151"/>
          <w:spacing w:val="-2"/>
          <w:shd w:fill="F7F7F8" w:color="auto" w:val="clear"/>
        </w:rPr>
        <w:t> </w:t>
      </w:r>
      <w:r>
        <w:rPr>
          <w:color w:val="374151"/>
          <w:shd w:fill="F7F7F8" w:color="auto" w:val="clear"/>
        </w:rPr>
        <w:t>on</w:t>
      </w:r>
      <w:r>
        <w:rPr>
          <w:color w:val="374151"/>
          <w:spacing w:val="-2"/>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survivor's</w:t>
      </w:r>
      <w:r>
        <w:rPr>
          <w:color w:val="374151"/>
          <w:spacing w:val="-2"/>
          <w:shd w:fill="F7F7F8" w:color="auto" w:val="clear"/>
        </w:rPr>
        <w:t> </w:t>
      </w:r>
      <w:r>
        <w:rPr>
          <w:color w:val="374151"/>
          <w:shd w:fill="F7F7F8" w:color="auto" w:val="clear"/>
        </w:rPr>
        <w:t>functioning.</w:t>
      </w:r>
      <w:r>
        <w:rPr>
          <w:color w:val="374151"/>
          <w:spacing w:val="-8"/>
          <w:shd w:fill="F7F7F8" w:color="auto" w:val="clear"/>
        </w:rPr>
        <w:t> </w:t>
      </w:r>
      <w:r>
        <w:rPr>
          <w:color w:val="374151"/>
          <w:shd w:fill="F7F7F8" w:color="auto" w:val="clear"/>
        </w:rPr>
        <w:t>This</w:t>
      </w:r>
      <w:r>
        <w:rPr>
          <w:color w:val="374151"/>
          <w:spacing w:val="-2"/>
          <w:shd w:fill="F7F7F8" w:color="auto" w:val="clear"/>
        </w:rPr>
        <w:t> </w:t>
      </w:r>
      <w:r>
        <w:rPr>
          <w:color w:val="374151"/>
          <w:shd w:fill="F7F7F8" w:color="auto" w:val="clear"/>
        </w:rPr>
        <w:t>approach</w:t>
      </w:r>
      <w:r>
        <w:rPr>
          <w:color w:val="374151"/>
          <w:spacing w:val="-2"/>
          <w:shd w:fill="F7F7F8" w:color="auto" w:val="clear"/>
        </w:rPr>
        <w:t> </w:t>
      </w:r>
      <w:r>
        <w:rPr>
          <w:color w:val="374151"/>
          <w:shd w:fill="F7F7F8" w:color="auto" w:val="clear"/>
        </w:rPr>
        <w:t>emphasizes</w:t>
      </w:r>
      <w:r>
        <w:rPr>
          <w:color w:val="374151"/>
          <w:spacing w:val="-2"/>
          <w:shd w:fill="F7F7F8" w:color="auto" w:val="clear"/>
        </w:rPr>
        <w:t> </w:t>
      </w:r>
      <w:r>
        <w:rPr>
          <w:color w:val="374151"/>
          <w:shd w:fill="F7F7F8" w:color="auto" w:val="clear"/>
        </w:rPr>
        <w:t>sensitivity,</w:t>
      </w:r>
      <w:r>
        <w:rPr>
          <w:color w:val="374151"/>
          <w:spacing w:val="-3"/>
          <w:shd w:fill="F7F7F8" w:color="auto" w:val="clear"/>
        </w:rPr>
        <w:t> </w:t>
      </w:r>
      <w:r>
        <w:rPr>
          <w:color w:val="374151"/>
          <w:spacing w:val="-3"/>
        </w:rPr>
        <w:t> </w:t>
      </w:r>
      <w:r>
        <w:rPr>
          <w:color w:val="374151"/>
          <w:shd w:fill="F7F7F8" w:color="auto" w:val="clear"/>
        </w:rPr>
        <w:t>empathy, and validation while collecting information about the survivor's </w:t>
      </w:r>
      <w:r>
        <w:rPr>
          <w:color w:val="374151"/>
        </w:rPr>
        <w:t> </w:t>
      </w:r>
      <w:r>
        <w:rPr>
          <w:color w:val="374151"/>
          <w:shd w:fill="F7F7F8" w:color="auto" w:val="clear"/>
        </w:rPr>
        <w:t>trauma history, symptoms, and coping strategies. It is crucial to create a safe </w:t>
      </w:r>
      <w:r>
        <w:rPr>
          <w:color w:val="374151"/>
        </w:rPr>
        <w:t> </w:t>
      </w:r>
      <w:r>
        <w:rPr>
          <w:color w:val="374151"/>
          <w:shd w:fill="F7F7F8" w:color="auto" w:val="clear"/>
        </w:rPr>
        <w:t>and non-judgmental space for survivors to share their experiences at their own</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282950" cy="787400"/>
                <wp:effectExtent l="0" t="0" r="0" b="3175"/>
                <wp:docPr id="219" name="Group 219"/>
                <wp:cNvGraphicFramePr>
                  <a:graphicFrameLocks/>
                </wp:cNvGraphicFramePr>
                <a:graphic>
                  <a:graphicData uri="http://schemas.microsoft.com/office/word/2010/wordprocessingGroup">
                    <wpg:wgp>
                      <wpg:cNvPr id="219" name="Group 219"/>
                      <wpg:cNvGrpSpPr/>
                      <wpg:grpSpPr>
                        <a:xfrm>
                          <a:off x="0" y="0"/>
                          <a:ext cx="3282950" cy="787400"/>
                          <a:chExt cx="3282950" cy="787400"/>
                        </a:xfrm>
                      </wpg:grpSpPr>
                      <wps:wsp>
                        <wps:cNvPr id="220" name="Textbox 220"/>
                        <wps:cNvSpPr txBox="1"/>
                        <wps:spPr>
                          <a:xfrm>
                            <a:off x="0" y="393700"/>
                            <a:ext cx="3282950"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z w:val="28"/>
                                </w:rPr>
                                <w:t>Screening</w:t>
                              </w:r>
                              <w:r>
                                <w:rPr>
                                  <w:b/>
                                  <w:i/>
                                  <w:color w:val="374151"/>
                                  <w:spacing w:val="-9"/>
                                  <w:sz w:val="28"/>
                                </w:rPr>
                                <w:t> </w:t>
                              </w:r>
                              <w:r>
                                <w:rPr>
                                  <w:b/>
                                  <w:i/>
                                  <w:color w:val="374151"/>
                                  <w:sz w:val="28"/>
                                </w:rPr>
                                <w:t>Tools</w:t>
                              </w:r>
                              <w:r>
                                <w:rPr>
                                  <w:b/>
                                  <w:i/>
                                  <w:color w:val="374151"/>
                                  <w:spacing w:val="-9"/>
                                  <w:sz w:val="28"/>
                                </w:rPr>
                                <w:t> </w:t>
                              </w:r>
                              <w:r>
                                <w:rPr>
                                  <w:b/>
                                  <w:i/>
                                  <w:color w:val="374151"/>
                                  <w:sz w:val="28"/>
                                </w:rPr>
                                <w:t>and</w:t>
                              </w:r>
                              <w:r>
                                <w:rPr>
                                  <w:b/>
                                  <w:i/>
                                  <w:color w:val="374151"/>
                                  <w:spacing w:val="-8"/>
                                  <w:sz w:val="28"/>
                                </w:rPr>
                                <w:t> </w:t>
                              </w:r>
                              <w:r>
                                <w:rPr>
                                  <w:b/>
                                  <w:i/>
                                  <w:color w:val="374151"/>
                                  <w:sz w:val="28"/>
                                </w:rPr>
                                <w:t>Psychometric</w:t>
                              </w:r>
                              <w:r>
                                <w:rPr>
                                  <w:b/>
                                  <w:i/>
                                  <w:color w:val="374151"/>
                                  <w:spacing w:val="-9"/>
                                  <w:sz w:val="28"/>
                                </w:rPr>
                                <w:t> </w:t>
                              </w:r>
                              <w:r>
                                <w:rPr>
                                  <w:b/>
                                  <w:i/>
                                  <w:color w:val="374151"/>
                                  <w:spacing w:val="-2"/>
                                  <w:sz w:val="28"/>
                                </w:rPr>
                                <w:t>Measures</w:t>
                              </w:r>
                            </w:p>
                          </w:txbxContent>
                        </wps:txbx>
                        <wps:bodyPr wrap="square" lIns="0" tIns="0" rIns="0" bIns="0" rtlCol="0">
                          <a:noAutofit/>
                        </wps:bodyPr>
                      </wps:wsp>
                      <wps:wsp>
                        <wps:cNvPr id="221" name="Textbox 221"/>
                        <wps:cNvSpPr txBox="1"/>
                        <wps:spPr>
                          <a:xfrm>
                            <a:off x="0" y="0"/>
                            <a:ext cx="37020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pacing w:val="-2"/>
                                  <w:sz w:val="28"/>
                                </w:rPr>
                                <w:t>pace.</w:t>
                              </w:r>
                            </w:p>
                          </w:txbxContent>
                        </wps:txbx>
                        <wps:bodyPr wrap="square" lIns="0" tIns="0" rIns="0" bIns="0" rtlCol="0">
                          <a:noAutofit/>
                        </wps:bodyPr>
                      </wps:wsp>
                    </wpg:wgp>
                  </a:graphicData>
                </a:graphic>
              </wp:inline>
            </w:drawing>
          </mc:Choice>
          <mc:Fallback>
            <w:pict>
              <v:group style="width:258.5pt;height:62pt;mso-position-horizontal-relative:char;mso-position-vertical-relative:line" id="docshapegroup218" coordorigin="0,0" coordsize="5170,1240">
                <v:shape style="position:absolute;left:0;top:620;width:5170;height:620" type="#_x0000_t202" id="docshape219" filled="true" fillcolor="#f7f7f8" stroked="false">
                  <v:textbox inset="0,0,0,0">
                    <w:txbxContent>
                      <w:p>
                        <w:pPr>
                          <w:spacing w:line="308" w:lineRule="exact" w:before="0"/>
                          <w:ind w:left="0" w:right="-15" w:firstLine="0"/>
                          <w:jc w:val="left"/>
                          <w:rPr>
                            <w:b/>
                            <w:i/>
                            <w:color w:val="000000"/>
                            <w:sz w:val="28"/>
                          </w:rPr>
                        </w:pPr>
                        <w:r>
                          <w:rPr>
                            <w:b/>
                            <w:i/>
                            <w:color w:val="374151"/>
                            <w:sz w:val="28"/>
                          </w:rPr>
                          <w:t>Screening</w:t>
                        </w:r>
                        <w:r>
                          <w:rPr>
                            <w:b/>
                            <w:i/>
                            <w:color w:val="374151"/>
                            <w:spacing w:val="-9"/>
                            <w:sz w:val="28"/>
                          </w:rPr>
                          <w:t> </w:t>
                        </w:r>
                        <w:r>
                          <w:rPr>
                            <w:b/>
                            <w:i/>
                            <w:color w:val="374151"/>
                            <w:sz w:val="28"/>
                          </w:rPr>
                          <w:t>Tools</w:t>
                        </w:r>
                        <w:r>
                          <w:rPr>
                            <w:b/>
                            <w:i/>
                            <w:color w:val="374151"/>
                            <w:spacing w:val="-9"/>
                            <w:sz w:val="28"/>
                          </w:rPr>
                          <w:t> </w:t>
                        </w:r>
                        <w:r>
                          <w:rPr>
                            <w:b/>
                            <w:i/>
                            <w:color w:val="374151"/>
                            <w:sz w:val="28"/>
                          </w:rPr>
                          <w:t>and</w:t>
                        </w:r>
                        <w:r>
                          <w:rPr>
                            <w:b/>
                            <w:i/>
                            <w:color w:val="374151"/>
                            <w:spacing w:val="-8"/>
                            <w:sz w:val="28"/>
                          </w:rPr>
                          <w:t> </w:t>
                        </w:r>
                        <w:r>
                          <w:rPr>
                            <w:b/>
                            <w:i/>
                            <w:color w:val="374151"/>
                            <w:sz w:val="28"/>
                          </w:rPr>
                          <w:t>Psychometric</w:t>
                        </w:r>
                        <w:r>
                          <w:rPr>
                            <w:b/>
                            <w:i/>
                            <w:color w:val="374151"/>
                            <w:spacing w:val="-9"/>
                            <w:sz w:val="28"/>
                          </w:rPr>
                          <w:t> </w:t>
                        </w:r>
                        <w:r>
                          <w:rPr>
                            <w:b/>
                            <w:i/>
                            <w:color w:val="374151"/>
                            <w:spacing w:val="-2"/>
                            <w:sz w:val="28"/>
                          </w:rPr>
                          <w:t>Measures</w:t>
                        </w:r>
                      </w:p>
                    </w:txbxContent>
                  </v:textbox>
                  <v:fill type="solid"/>
                  <w10:wrap type="none"/>
                </v:shape>
                <v:shape style="position:absolute;left:0;top:0;width:583;height:620" type="#_x0000_t202" id="docshape220" filled="true" fillcolor="#f7f7f8" stroked="false">
                  <v:textbox inset="0,0,0,0">
                    <w:txbxContent>
                      <w:p>
                        <w:pPr>
                          <w:spacing w:line="308" w:lineRule="exact" w:before="0"/>
                          <w:ind w:left="0" w:right="-15" w:firstLine="0"/>
                          <w:jc w:val="left"/>
                          <w:rPr>
                            <w:color w:val="000000"/>
                            <w:sz w:val="28"/>
                          </w:rPr>
                        </w:pPr>
                        <w:r>
                          <w:rPr>
                            <w:color w:val="374151"/>
                            <w:spacing w:val="-2"/>
                            <w:sz w:val="28"/>
                          </w:rPr>
                          <w:t>pace.</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Various</w:t>
      </w:r>
      <w:r>
        <w:rPr>
          <w:color w:val="374151"/>
          <w:spacing w:val="-7"/>
          <w:shd w:fill="F7F7F8" w:color="auto" w:val="clear"/>
        </w:rPr>
        <w:t> </w:t>
      </w:r>
      <w:r>
        <w:rPr>
          <w:color w:val="374151"/>
          <w:shd w:fill="F7F7F8" w:color="auto" w:val="clear"/>
        </w:rPr>
        <w:t>screening</w:t>
      </w:r>
      <w:r>
        <w:rPr>
          <w:color w:val="374151"/>
          <w:spacing w:val="-5"/>
          <w:shd w:fill="F7F7F8" w:color="auto" w:val="clear"/>
        </w:rPr>
        <w:t> </w:t>
      </w:r>
      <w:r>
        <w:rPr>
          <w:color w:val="374151"/>
          <w:shd w:fill="F7F7F8" w:color="auto" w:val="clear"/>
        </w:rPr>
        <w:t>tools</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psychometric</w:t>
      </w:r>
      <w:r>
        <w:rPr>
          <w:color w:val="374151"/>
          <w:spacing w:val="-5"/>
          <w:shd w:fill="F7F7F8" w:color="auto" w:val="clear"/>
        </w:rPr>
        <w:t> </w:t>
      </w:r>
      <w:r>
        <w:rPr>
          <w:color w:val="374151"/>
          <w:shd w:fill="F7F7F8" w:color="auto" w:val="clear"/>
        </w:rPr>
        <w:t>measures</w:t>
      </w:r>
      <w:r>
        <w:rPr>
          <w:color w:val="374151"/>
          <w:spacing w:val="-5"/>
          <w:shd w:fill="F7F7F8" w:color="auto" w:val="clear"/>
        </w:rPr>
        <w:t> </w:t>
      </w:r>
      <w:r>
        <w:rPr>
          <w:color w:val="374151"/>
          <w:shd w:fill="F7F7F8" w:color="auto" w:val="clear"/>
        </w:rPr>
        <w:t>can</w:t>
      </w:r>
      <w:r>
        <w:rPr>
          <w:color w:val="374151"/>
          <w:spacing w:val="-5"/>
          <w:shd w:fill="F7F7F8" w:color="auto" w:val="clear"/>
        </w:rPr>
        <w:t> </w:t>
      </w:r>
      <w:r>
        <w:rPr>
          <w:color w:val="374151"/>
          <w:shd w:fill="F7F7F8" w:color="auto" w:val="clear"/>
        </w:rPr>
        <w:t>aid</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the</w:t>
      </w:r>
      <w:r>
        <w:rPr>
          <w:color w:val="374151"/>
          <w:spacing w:val="-5"/>
          <w:shd w:fill="F7F7F8" w:color="auto" w:val="clear"/>
        </w:rPr>
        <w:t> </w:t>
      </w:r>
      <w:r>
        <w:rPr>
          <w:color w:val="374151"/>
          <w:spacing w:val="-2"/>
          <w:shd w:fill="F7F7F8" w:color="auto" w:val="clear"/>
        </w:rPr>
        <w:t>assessment</w:t>
      </w:r>
      <w:r>
        <w:rPr>
          <w:color w:val="374151"/>
          <w:spacing w:val="40"/>
          <w:shd w:fill="F7F7F8" w:color="auto" w:val="clear"/>
        </w:rPr>
        <w:t> </w:t>
      </w:r>
    </w:p>
    <w:p>
      <w:pPr>
        <w:pStyle w:val="BodyText"/>
        <w:spacing w:after="7"/>
        <w:ind w:left="280" w:right="502"/>
      </w:pPr>
      <w:r>
        <w:rPr>
          <w:color w:val="374151"/>
          <w:shd w:fill="F7F7F8" w:color="auto" w:val="clear"/>
        </w:rPr>
        <w:t>process.</w:t>
      </w:r>
      <w:r>
        <w:rPr>
          <w:color w:val="374151"/>
          <w:spacing w:val="-4"/>
          <w:shd w:fill="F7F7F8" w:color="auto" w:val="clear"/>
        </w:rPr>
        <w:t> </w:t>
      </w:r>
      <w:r>
        <w:rPr>
          <w:color w:val="374151"/>
          <w:shd w:fill="F7F7F8" w:color="auto" w:val="clear"/>
        </w:rPr>
        <w:t>Examples</w:t>
      </w:r>
      <w:r>
        <w:rPr>
          <w:color w:val="374151"/>
          <w:spacing w:val="-4"/>
          <w:shd w:fill="F7F7F8" w:color="auto" w:val="clear"/>
        </w:rPr>
        <w:t> </w:t>
      </w:r>
      <w:r>
        <w:rPr>
          <w:color w:val="374151"/>
          <w:shd w:fill="F7F7F8" w:color="auto" w:val="clear"/>
        </w:rPr>
        <w:t>include</w:t>
      </w:r>
      <w:r>
        <w:rPr>
          <w:color w:val="374151"/>
          <w:spacing w:val="-5"/>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PTSD</w:t>
      </w:r>
      <w:r>
        <w:rPr>
          <w:color w:val="374151"/>
          <w:spacing w:val="-4"/>
          <w:shd w:fill="F7F7F8" w:color="auto" w:val="clear"/>
        </w:rPr>
        <w:t> </w:t>
      </w:r>
      <w:r>
        <w:rPr>
          <w:color w:val="374151"/>
          <w:shd w:fill="F7F7F8" w:color="auto" w:val="clear"/>
        </w:rPr>
        <w:t>Checklist</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DSM-5</w:t>
      </w:r>
      <w:r>
        <w:rPr>
          <w:color w:val="374151"/>
          <w:spacing w:val="-4"/>
          <w:shd w:fill="F7F7F8" w:color="auto" w:val="clear"/>
        </w:rPr>
        <w:t> </w:t>
      </w:r>
      <w:r>
        <w:rPr>
          <w:color w:val="374151"/>
          <w:shd w:fill="F7F7F8" w:color="auto" w:val="clear"/>
        </w:rPr>
        <w:t>(PCL-5)</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pacing w:val="-5"/>
        </w:rPr>
        <w:t> </w:t>
      </w:r>
      <w:r>
        <w:rPr>
          <w:color w:val="374151"/>
          <w:shd w:fill="F7F7F8" w:color="auto" w:val="clear"/>
        </w:rPr>
        <w:t>Depression,</w:t>
      </w:r>
      <w:r>
        <w:rPr>
          <w:color w:val="374151"/>
          <w:spacing w:val="-11"/>
          <w:shd w:fill="F7F7F8" w:color="auto" w:val="clear"/>
        </w:rPr>
        <w:t> </w:t>
      </w:r>
      <w:r>
        <w:rPr>
          <w:color w:val="374151"/>
          <w:shd w:fill="F7F7F8" w:color="auto" w:val="clear"/>
        </w:rPr>
        <w:t>Anxiety, and Stress Scales (DASS-21). These instruments can </w:t>
      </w:r>
      <w:r>
        <w:rPr>
          <w:color w:val="374151"/>
        </w:rPr>
        <w:t> </w:t>
      </w:r>
      <w:r>
        <w:rPr>
          <w:color w:val="374151"/>
          <w:shd w:fill="F7F7F8" w:color="auto" w:val="clear"/>
        </w:rPr>
        <w:t>provide valuable insights into the survivor's symptom severity and guide</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844165" cy="787400"/>
                <wp:effectExtent l="0" t="0" r="0" b="3175"/>
                <wp:docPr id="222" name="Group 222"/>
                <wp:cNvGraphicFramePr>
                  <a:graphicFrameLocks/>
                </wp:cNvGraphicFramePr>
                <a:graphic>
                  <a:graphicData uri="http://schemas.microsoft.com/office/word/2010/wordprocessingGroup">
                    <wpg:wgp>
                      <wpg:cNvPr id="222" name="Group 222"/>
                      <wpg:cNvGrpSpPr/>
                      <wpg:grpSpPr>
                        <a:xfrm>
                          <a:off x="0" y="0"/>
                          <a:ext cx="2844165" cy="787400"/>
                          <a:chExt cx="2844165" cy="787400"/>
                        </a:xfrm>
                      </wpg:grpSpPr>
                      <wps:wsp>
                        <wps:cNvPr id="223" name="Textbox 223"/>
                        <wps:cNvSpPr txBox="1"/>
                        <wps:spPr>
                          <a:xfrm>
                            <a:off x="0" y="393700"/>
                            <a:ext cx="284416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Cultural</w:t>
                              </w:r>
                              <w:r>
                                <w:rPr>
                                  <w:b/>
                                  <w:i/>
                                  <w:color w:val="374151"/>
                                  <w:spacing w:val="-2"/>
                                  <w:sz w:val="28"/>
                                </w:rPr>
                                <w:t> </w:t>
                              </w:r>
                              <w:r>
                                <w:rPr>
                                  <w:b/>
                                  <w:i/>
                                  <w:color w:val="374151"/>
                                  <w:sz w:val="28"/>
                                </w:rPr>
                                <w:t>Considerations</w:t>
                              </w:r>
                              <w:r>
                                <w:rPr>
                                  <w:b/>
                                  <w:i/>
                                  <w:color w:val="374151"/>
                                  <w:spacing w:val="-2"/>
                                  <w:sz w:val="28"/>
                                </w:rPr>
                                <w:t> </w:t>
                              </w:r>
                              <w:r>
                                <w:rPr>
                                  <w:b/>
                                  <w:i/>
                                  <w:color w:val="374151"/>
                                  <w:sz w:val="28"/>
                                </w:rPr>
                                <w:t>in</w:t>
                              </w:r>
                              <w:r>
                                <w:rPr>
                                  <w:b/>
                                  <w:i/>
                                  <w:color w:val="374151"/>
                                  <w:spacing w:val="-12"/>
                                  <w:sz w:val="28"/>
                                </w:rPr>
                                <w:t> </w:t>
                              </w:r>
                              <w:r>
                                <w:rPr>
                                  <w:b/>
                                  <w:i/>
                                  <w:color w:val="374151"/>
                                  <w:spacing w:val="-2"/>
                                  <w:sz w:val="28"/>
                                </w:rPr>
                                <w:t>Assessment</w:t>
                              </w:r>
                            </w:p>
                          </w:txbxContent>
                        </wps:txbx>
                        <wps:bodyPr wrap="square" lIns="0" tIns="0" rIns="0" bIns="0" rtlCol="0">
                          <a:noAutofit/>
                        </wps:bodyPr>
                      </wps:wsp>
                      <wps:wsp>
                        <wps:cNvPr id="224" name="Textbox 224"/>
                        <wps:cNvSpPr txBox="1"/>
                        <wps:spPr>
                          <a:xfrm>
                            <a:off x="0" y="0"/>
                            <a:ext cx="138303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treatment</w:t>
                              </w:r>
                              <w:r>
                                <w:rPr>
                                  <w:color w:val="374151"/>
                                  <w:spacing w:val="-5"/>
                                  <w:sz w:val="28"/>
                                </w:rPr>
                                <w:t> </w:t>
                              </w:r>
                              <w:r>
                                <w:rPr>
                                  <w:color w:val="374151"/>
                                  <w:spacing w:val="-2"/>
                                  <w:sz w:val="28"/>
                                </w:rPr>
                                <w:t>planning.</w:t>
                              </w:r>
                            </w:p>
                          </w:txbxContent>
                        </wps:txbx>
                        <wps:bodyPr wrap="square" lIns="0" tIns="0" rIns="0" bIns="0" rtlCol="0">
                          <a:noAutofit/>
                        </wps:bodyPr>
                      </wps:wsp>
                    </wpg:wgp>
                  </a:graphicData>
                </a:graphic>
              </wp:inline>
            </w:drawing>
          </mc:Choice>
          <mc:Fallback>
            <w:pict>
              <v:group style="width:223.95pt;height:62pt;mso-position-horizontal-relative:char;mso-position-vertical-relative:line" id="docshapegroup221" coordorigin="0,0" coordsize="4479,1240">
                <v:shape style="position:absolute;left:0;top:620;width:4479;height:620" type="#_x0000_t202" id="docshape222" filled="true" fillcolor="#f7f7f8" stroked="false">
                  <v:textbox inset="0,0,0,0">
                    <w:txbxContent>
                      <w:p>
                        <w:pPr>
                          <w:spacing w:line="308" w:lineRule="exact" w:before="0"/>
                          <w:ind w:left="0" w:right="0" w:firstLine="0"/>
                          <w:jc w:val="left"/>
                          <w:rPr>
                            <w:b/>
                            <w:i/>
                            <w:color w:val="000000"/>
                            <w:sz w:val="28"/>
                          </w:rPr>
                        </w:pPr>
                        <w:r>
                          <w:rPr>
                            <w:b/>
                            <w:i/>
                            <w:color w:val="374151"/>
                            <w:sz w:val="28"/>
                          </w:rPr>
                          <w:t>Cultural</w:t>
                        </w:r>
                        <w:r>
                          <w:rPr>
                            <w:b/>
                            <w:i/>
                            <w:color w:val="374151"/>
                            <w:spacing w:val="-2"/>
                            <w:sz w:val="28"/>
                          </w:rPr>
                          <w:t> </w:t>
                        </w:r>
                        <w:r>
                          <w:rPr>
                            <w:b/>
                            <w:i/>
                            <w:color w:val="374151"/>
                            <w:sz w:val="28"/>
                          </w:rPr>
                          <w:t>Considerations</w:t>
                        </w:r>
                        <w:r>
                          <w:rPr>
                            <w:b/>
                            <w:i/>
                            <w:color w:val="374151"/>
                            <w:spacing w:val="-2"/>
                            <w:sz w:val="28"/>
                          </w:rPr>
                          <w:t> </w:t>
                        </w:r>
                        <w:r>
                          <w:rPr>
                            <w:b/>
                            <w:i/>
                            <w:color w:val="374151"/>
                            <w:sz w:val="28"/>
                          </w:rPr>
                          <w:t>in</w:t>
                        </w:r>
                        <w:r>
                          <w:rPr>
                            <w:b/>
                            <w:i/>
                            <w:color w:val="374151"/>
                            <w:spacing w:val="-12"/>
                            <w:sz w:val="28"/>
                          </w:rPr>
                          <w:t> </w:t>
                        </w:r>
                        <w:r>
                          <w:rPr>
                            <w:b/>
                            <w:i/>
                            <w:color w:val="374151"/>
                            <w:spacing w:val="-2"/>
                            <w:sz w:val="28"/>
                          </w:rPr>
                          <w:t>Assessment</w:t>
                        </w:r>
                      </w:p>
                    </w:txbxContent>
                  </v:textbox>
                  <v:fill type="solid"/>
                  <w10:wrap type="none"/>
                </v:shape>
                <v:shape style="position:absolute;left:0;top:0;width:2178;height:620" type="#_x0000_t202" id="docshape223" filled="true" fillcolor="#f7f7f8" stroked="false">
                  <v:textbox inset="0,0,0,0">
                    <w:txbxContent>
                      <w:p>
                        <w:pPr>
                          <w:spacing w:line="308" w:lineRule="exact" w:before="0"/>
                          <w:ind w:left="0" w:right="-15" w:firstLine="0"/>
                          <w:jc w:val="left"/>
                          <w:rPr>
                            <w:color w:val="000000"/>
                            <w:sz w:val="28"/>
                          </w:rPr>
                        </w:pPr>
                        <w:r>
                          <w:rPr>
                            <w:color w:val="374151"/>
                            <w:sz w:val="28"/>
                          </w:rPr>
                          <w:t>treatment</w:t>
                        </w:r>
                        <w:r>
                          <w:rPr>
                            <w:color w:val="374151"/>
                            <w:spacing w:val="-5"/>
                            <w:sz w:val="28"/>
                          </w:rPr>
                          <w:t> </w:t>
                        </w:r>
                        <w:r>
                          <w:rPr>
                            <w:color w:val="374151"/>
                            <w:spacing w:val="-2"/>
                            <w:sz w:val="28"/>
                          </w:rPr>
                          <w:t>planning.</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Culture</w:t>
      </w:r>
      <w:r>
        <w:rPr>
          <w:color w:val="374151"/>
          <w:spacing w:val="-3"/>
          <w:shd w:fill="F7F7F8" w:color="auto" w:val="clear"/>
        </w:rPr>
        <w:t> </w:t>
      </w:r>
      <w:r>
        <w:rPr>
          <w:color w:val="374151"/>
          <w:shd w:fill="F7F7F8" w:color="auto" w:val="clear"/>
        </w:rPr>
        <w:t>plays</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significant</w:t>
      </w:r>
      <w:r>
        <w:rPr>
          <w:color w:val="374151"/>
          <w:spacing w:val="-1"/>
          <w:shd w:fill="F7F7F8" w:color="auto" w:val="clear"/>
        </w:rPr>
        <w:t> </w:t>
      </w:r>
      <w:r>
        <w:rPr>
          <w:color w:val="374151"/>
          <w:shd w:fill="F7F7F8" w:color="auto" w:val="clear"/>
        </w:rPr>
        <w:t>role</w:t>
      </w:r>
      <w:r>
        <w:rPr>
          <w:color w:val="374151"/>
          <w:spacing w:val="-3"/>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shaping</w:t>
      </w:r>
      <w:r>
        <w:rPr>
          <w:color w:val="374151"/>
          <w:spacing w:val="-1"/>
          <w:shd w:fill="F7F7F8" w:color="auto" w:val="clear"/>
        </w:rPr>
        <w:t> </w:t>
      </w:r>
      <w:r>
        <w:rPr>
          <w:color w:val="374151"/>
          <w:shd w:fill="F7F7F8" w:color="auto" w:val="clear"/>
        </w:rPr>
        <w:t>individuals'</w:t>
      </w:r>
      <w:r>
        <w:rPr>
          <w:color w:val="374151"/>
          <w:spacing w:val="-1"/>
          <w:shd w:fill="F7F7F8" w:color="auto" w:val="clear"/>
        </w:rPr>
        <w:t> </w:t>
      </w:r>
      <w:r>
        <w:rPr>
          <w:color w:val="374151"/>
          <w:shd w:fill="F7F7F8" w:color="auto" w:val="clear"/>
        </w:rPr>
        <w:t>experiences</w:t>
      </w:r>
      <w:r>
        <w:rPr>
          <w:color w:val="374151"/>
          <w:spacing w:val="-1"/>
          <w:shd w:fill="F7F7F8" w:color="auto" w:val="clear"/>
        </w:rPr>
        <w:t> </w:t>
      </w:r>
      <w:r>
        <w:rPr>
          <w:color w:val="374151"/>
          <w:spacing w:val="-5"/>
          <w:shd w:fill="F7F7F8" w:color="auto" w:val="clear"/>
        </w:rPr>
        <w:t>and</w:t>
      </w:r>
      <w:r>
        <w:rPr>
          <w:color w:val="374151"/>
          <w:spacing w:val="40"/>
          <w:shd w:fill="F7F7F8" w:color="auto" w:val="clear"/>
        </w:rPr>
        <w:t> </w:t>
      </w:r>
    </w:p>
    <w:p>
      <w:pPr>
        <w:pStyle w:val="BodyText"/>
        <w:spacing w:after="7"/>
        <w:ind w:left="280" w:right="502"/>
      </w:pPr>
      <w:r>
        <w:rPr>
          <w:color w:val="374151"/>
          <w:shd w:fill="F7F7F8" w:color="auto" w:val="clear"/>
        </w:rPr>
        <w:t>responses to sexual violence. It is essential for therapists to approach </w:t>
      </w:r>
      <w:r>
        <w:rPr>
          <w:color w:val="374151"/>
        </w:rPr>
        <w:t> </w:t>
      </w:r>
      <w:r>
        <w:rPr>
          <w:color w:val="374151"/>
          <w:shd w:fill="F7F7F8" w:color="auto" w:val="clear"/>
        </w:rPr>
        <w:t>assessment</w:t>
      </w:r>
      <w:r>
        <w:rPr>
          <w:color w:val="374151"/>
          <w:spacing w:val="-6"/>
          <w:shd w:fill="F7F7F8" w:color="auto" w:val="clear"/>
        </w:rPr>
        <w:t> </w:t>
      </w:r>
      <w:r>
        <w:rPr>
          <w:color w:val="374151"/>
          <w:shd w:fill="F7F7F8" w:color="auto" w:val="clear"/>
        </w:rPr>
        <w:t>with</w:t>
      </w:r>
      <w:r>
        <w:rPr>
          <w:color w:val="374151"/>
          <w:spacing w:val="-6"/>
          <w:shd w:fill="F7F7F8" w:color="auto" w:val="clear"/>
        </w:rPr>
        <w:t> </w:t>
      </w:r>
      <w:r>
        <w:rPr>
          <w:color w:val="374151"/>
          <w:shd w:fill="F7F7F8" w:color="auto" w:val="clear"/>
        </w:rPr>
        <w:t>cultural</w:t>
      </w:r>
      <w:r>
        <w:rPr>
          <w:color w:val="374151"/>
          <w:spacing w:val="-6"/>
          <w:shd w:fill="F7F7F8" w:color="auto" w:val="clear"/>
        </w:rPr>
        <w:t> </w:t>
      </w:r>
      <w:r>
        <w:rPr>
          <w:color w:val="374151"/>
          <w:shd w:fill="F7F7F8" w:color="auto" w:val="clear"/>
        </w:rPr>
        <w:t>sensitivity</w:t>
      </w:r>
      <w:r>
        <w:rPr>
          <w:color w:val="374151"/>
          <w:spacing w:val="-6"/>
          <w:shd w:fill="F7F7F8" w:color="auto" w:val="clear"/>
        </w:rPr>
        <w:t> </w:t>
      </w:r>
      <w:r>
        <w:rPr>
          <w:color w:val="374151"/>
          <w:shd w:fill="F7F7F8" w:color="auto" w:val="clear"/>
        </w:rPr>
        <w:t>and</w:t>
      </w:r>
      <w:r>
        <w:rPr>
          <w:color w:val="374151"/>
          <w:spacing w:val="-6"/>
          <w:shd w:fill="F7F7F8" w:color="auto" w:val="clear"/>
        </w:rPr>
        <w:t> </w:t>
      </w:r>
      <w:r>
        <w:rPr>
          <w:color w:val="374151"/>
          <w:shd w:fill="F7F7F8" w:color="auto" w:val="clear"/>
        </w:rPr>
        <w:t>humility.</w:t>
      </w:r>
      <w:r>
        <w:rPr>
          <w:color w:val="374151"/>
          <w:spacing w:val="-6"/>
          <w:shd w:fill="F7F7F8" w:color="auto" w:val="clear"/>
        </w:rPr>
        <w:t> </w:t>
      </w:r>
      <w:r>
        <w:rPr>
          <w:color w:val="374151"/>
          <w:shd w:fill="F7F7F8" w:color="auto" w:val="clear"/>
        </w:rPr>
        <w:t>Engaging</w:t>
      </w:r>
      <w:r>
        <w:rPr>
          <w:color w:val="374151"/>
          <w:spacing w:val="-6"/>
          <w:shd w:fill="F7F7F8" w:color="auto" w:val="clear"/>
        </w:rPr>
        <w:t> </w:t>
      </w:r>
      <w:r>
        <w:rPr>
          <w:color w:val="374151"/>
          <w:shd w:fill="F7F7F8" w:color="auto" w:val="clear"/>
        </w:rPr>
        <w:t>in</w:t>
      </w:r>
      <w:r>
        <w:rPr>
          <w:color w:val="374151"/>
          <w:spacing w:val="-6"/>
          <w:shd w:fill="F7F7F8" w:color="auto" w:val="clear"/>
        </w:rPr>
        <w:t> </w:t>
      </w:r>
      <w:r>
        <w:rPr>
          <w:color w:val="374151"/>
          <w:shd w:fill="F7F7F8" w:color="auto" w:val="clear"/>
        </w:rPr>
        <w:t>open</w:t>
      </w:r>
      <w:r>
        <w:rPr>
          <w:color w:val="374151"/>
          <w:spacing w:val="-6"/>
          <w:shd w:fill="F7F7F8" w:color="auto" w:val="clear"/>
        </w:rPr>
        <w:t> </w:t>
      </w:r>
      <w:r>
        <w:rPr>
          <w:color w:val="374151"/>
          <w:shd w:fill="F7F7F8" w:color="auto" w:val="clear"/>
        </w:rPr>
        <w:t>dialogue,</w:t>
      </w:r>
      <w:r>
        <w:rPr>
          <w:color w:val="374151"/>
          <w:spacing w:val="-7"/>
          <w:shd w:fill="F7F7F8" w:color="auto" w:val="clear"/>
        </w:rPr>
        <w:t> </w:t>
      </w:r>
      <w:r>
        <w:rPr>
          <w:color w:val="374151"/>
          <w:spacing w:val="-7"/>
        </w:rPr>
        <w:t> </w:t>
      </w:r>
      <w:r>
        <w:rPr>
          <w:color w:val="374151"/>
          <w:shd w:fill="F7F7F8" w:color="auto" w:val="clear"/>
        </w:rPr>
        <w:t>actively listening, and being aware of cultural nuances can enhance the</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794125" cy="787400"/>
                <wp:effectExtent l="0" t="0" r="0" b="3175"/>
                <wp:docPr id="225" name="Group 225"/>
                <wp:cNvGraphicFramePr>
                  <a:graphicFrameLocks/>
                </wp:cNvGraphicFramePr>
                <a:graphic>
                  <a:graphicData uri="http://schemas.microsoft.com/office/word/2010/wordprocessingGroup">
                    <wpg:wgp>
                      <wpg:cNvPr id="225" name="Group 225"/>
                      <wpg:cNvGrpSpPr/>
                      <wpg:grpSpPr>
                        <a:xfrm>
                          <a:off x="0" y="0"/>
                          <a:ext cx="3794125" cy="787400"/>
                          <a:chExt cx="3794125" cy="787400"/>
                        </a:xfrm>
                      </wpg:grpSpPr>
                      <wps:wsp>
                        <wps:cNvPr id="226" name="Textbox 226"/>
                        <wps:cNvSpPr txBox="1"/>
                        <wps:spPr>
                          <a:xfrm>
                            <a:off x="0" y="393700"/>
                            <a:ext cx="3794125"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z w:val="28"/>
                                </w:rPr>
                                <w:t>Medical</w:t>
                              </w:r>
                              <w:r>
                                <w:rPr>
                                  <w:b/>
                                  <w:i/>
                                  <w:color w:val="374151"/>
                                  <w:spacing w:val="-2"/>
                                  <w:sz w:val="28"/>
                                </w:rPr>
                                <w:t> </w:t>
                              </w:r>
                              <w:r>
                                <w:rPr>
                                  <w:b/>
                                  <w:i/>
                                  <w:color w:val="374151"/>
                                  <w:sz w:val="28"/>
                                </w:rPr>
                                <w:t>Examination</w:t>
                              </w:r>
                              <w:r>
                                <w:rPr>
                                  <w:b/>
                                  <w:i/>
                                  <w:color w:val="374151"/>
                                  <w:spacing w:val="-2"/>
                                  <w:sz w:val="28"/>
                                </w:rPr>
                                <w:t> </w:t>
                              </w:r>
                              <w:r>
                                <w:rPr>
                                  <w:b/>
                                  <w:i/>
                                  <w:color w:val="374151"/>
                                  <w:sz w:val="28"/>
                                </w:rPr>
                                <w:t>and</w:t>
                              </w:r>
                              <w:r>
                                <w:rPr>
                                  <w:b/>
                                  <w:i/>
                                  <w:color w:val="374151"/>
                                  <w:spacing w:val="-2"/>
                                  <w:sz w:val="28"/>
                                </w:rPr>
                                <w:t> </w:t>
                              </w:r>
                              <w:r>
                                <w:rPr>
                                  <w:b/>
                                  <w:i/>
                                  <w:color w:val="374151"/>
                                  <w:sz w:val="28"/>
                                </w:rPr>
                                <w:t>Forensic</w:t>
                              </w:r>
                              <w:r>
                                <w:rPr>
                                  <w:b/>
                                  <w:i/>
                                  <w:color w:val="374151"/>
                                  <w:spacing w:val="-2"/>
                                  <w:sz w:val="28"/>
                                </w:rPr>
                                <w:t> Documentation</w:t>
                              </w:r>
                            </w:p>
                          </w:txbxContent>
                        </wps:txbx>
                        <wps:bodyPr wrap="square" lIns="0" tIns="0" rIns="0" bIns="0" rtlCol="0">
                          <a:noAutofit/>
                        </wps:bodyPr>
                      </wps:wsp>
                      <wps:wsp>
                        <wps:cNvPr id="227" name="Textbox 227"/>
                        <wps:cNvSpPr txBox="1"/>
                        <wps:spPr>
                          <a:xfrm>
                            <a:off x="0" y="0"/>
                            <a:ext cx="356933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accuracy</w:t>
                              </w:r>
                              <w:r>
                                <w:rPr>
                                  <w:color w:val="374151"/>
                                  <w:spacing w:val="-5"/>
                                  <w:sz w:val="28"/>
                                </w:rPr>
                                <w:t> </w:t>
                              </w:r>
                              <w:r>
                                <w:rPr>
                                  <w:color w:val="374151"/>
                                  <w:sz w:val="28"/>
                                </w:rPr>
                                <w:t>and</w:t>
                              </w:r>
                              <w:r>
                                <w:rPr>
                                  <w:color w:val="374151"/>
                                  <w:spacing w:val="-2"/>
                                  <w:sz w:val="28"/>
                                </w:rPr>
                                <w:t> </w:t>
                              </w:r>
                              <w:r>
                                <w:rPr>
                                  <w:color w:val="374151"/>
                                  <w:sz w:val="28"/>
                                </w:rPr>
                                <w:t>relevance</w:t>
                              </w:r>
                              <w:r>
                                <w:rPr>
                                  <w:color w:val="374151"/>
                                  <w:spacing w:val="-3"/>
                                  <w:sz w:val="28"/>
                                </w:rPr>
                                <w:t> </w:t>
                              </w:r>
                              <w:r>
                                <w:rPr>
                                  <w:color w:val="374151"/>
                                  <w:sz w:val="28"/>
                                </w:rPr>
                                <w:t>of</w:t>
                              </w:r>
                              <w:r>
                                <w:rPr>
                                  <w:color w:val="374151"/>
                                  <w:spacing w:val="-2"/>
                                  <w:sz w:val="28"/>
                                </w:rPr>
                                <w:t> </w:t>
                              </w:r>
                              <w:r>
                                <w:rPr>
                                  <w:color w:val="374151"/>
                                  <w:sz w:val="28"/>
                                </w:rPr>
                                <w:t>the</w:t>
                              </w:r>
                              <w:r>
                                <w:rPr>
                                  <w:color w:val="374151"/>
                                  <w:spacing w:val="-3"/>
                                  <w:sz w:val="28"/>
                                </w:rPr>
                                <w:t> </w:t>
                              </w:r>
                              <w:r>
                                <w:rPr>
                                  <w:color w:val="374151"/>
                                  <w:sz w:val="28"/>
                                </w:rPr>
                                <w:t>assessment</w:t>
                              </w:r>
                              <w:r>
                                <w:rPr>
                                  <w:color w:val="374151"/>
                                  <w:spacing w:val="-2"/>
                                  <w:sz w:val="28"/>
                                </w:rPr>
                                <w:t> process.</w:t>
                              </w:r>
                            </w:p>
                          </w:txbxContent>
                        </wps:txbx>
                        <wps:bodyPr wrap="square" lIns="0" tIns="0" rIns="0" bIns="0" rtlCol="0">
                          <a:noAutofit/>
                        </wps:bodyPr>
                      </wps:wsp>
                    </wpg:wgp>
                  </a:graphicData>
                </a:graphic>
              </wp:inline>
            </w:drawing>
          </mc:Choice>
          <mc:Fallback>
            <w:pict>
              <v:group style="width:298.75pt;height:62pt;mso-position-horizontal-relative:char;mso-position-vertical-relative:line" id="docshapegroup224" coordorigin="0,0" coordsize="5975,1240">
                <v:shape style="position:absolute;left:0;top:620;width:5975;height:620" type="#_x0000_t202" id="docshape225" filled="true" fillcolor="#f7f7f8" stroked="false">
                  <v:textbox inset="0,0,0,0">
                    <w:txbxContent>
                      <w:p>
                        <w:pPr>
                          <w:spacing w:line="308" w:lineRule="exact" w:before="0"/>
                          <w:ind w:left="0" w:right="-15" w:firstLine="0"/>
                          <w:jc w:val="left"/>
                          <w:rPr>
                            <w:b/>
                            <w:i/>
                            <w:color w:val="000000"/>
                            <w:sz w:val="28"/>
                          </w:rPr>
                        </w:pPr>
                        <w:r>
                          <w:rPr>
                            <w:b/>
                            <w:i/>
                            <w:color w:val="374151"/>
                            <w:sz w:val="28"/>
                          </w:rPr>
                          <w:t>Medical</w:t>
                        </w:r>
                        <w:r>
                          <w:rPr>
                            <w:b/>
                            <w:i/>
                            <w:color w:val="374151"/>
                            <w:spacing w:val="-2"/>
                            <w:sz w:val="28"/>
                          </w:rPr>
                          <w:t> </w:t>
                        </w:r>
                        <w:r>
                          <w:rPr>
                            <w:b/>
                            <w:i/>
                            <w:color w:val="374151"/>
                            <w:sz w:val="28"/>
                          </w:rPr>
                          <w:t>Examination</w:t>
                        </w:r>
                        <w:r>
                          <w:rPr>
                            <w:b/>
                            <w:i/>
                            <w:color w:val="374151"/>
                            <w:spacing w:val="-2"/>
                            <w:sz w:val="28"/>
                          </w:rPr>
                          <w:t> </w:t>
                        </w:r>
                        <w:r>
                          <w:rPr>
                            <w:b/>
                            <w:i/>
                            <w:color w:val="374151"/>
                            <w:sz w:val="28"/>
                          </w:rPr>
                          <w:t>and</w:t>
                        </w:r>
                        <w:r>
                          <w:rPr>
                            <w:b/>
                            <w:i/>
                            <w:color w:val="374151"/>
                            <w:spacing w:val="-2"/>
                            <w:sz w:val="28"/>
                          </w:rPr>
                          <w:t> </w:t>
                        </w:r>
                        <w:r>
                          <w:rPr>
                            <w:b/>
                            <w:i/>
                            <w:color w:val="374151"/>
                            <w:sz w:val="28"/>
                          </w:rPr>
                          <w:t>Forensic</w:t>
                        </w:r>
                        <w:r>
                          <w:rPr>
                            <w:b/>
                            <w:i/>
                            <w:color w:val="374151"/>
                            <w:spacing w:val="-2"/>
                            <w:sz w:val="28"/>
                          </w:rPr>
                          <w:t> Documentation</w:t>
                        </w:r>
                      </w:p>
                    </w:txbxContent>
                  </v:textbox>
                  <v:fill type="solid"/>
                  <w10:wrap type="none"/>
                </v:shape>
                <v:shape style="position:absolute;left:0;top:0;width:5621;height:620" type="#_x0000_t202" id="docshape226" filled="true" fillcolor="#f7f7f8" stroked="false">
                  <v:textbox inset="0,0,0,0">
                    <w:txbxContent>
                      <w:p>
                        <w:pPr>
                          <w:spacing w:line="308" w:lineRule="exact" w:before="0"/>
                          <w:ind w:left="0" w:right="-15" w:firstLine="0"/>
                          <w:jc w:val="left"/>
                          <w:rPr>
                            <w:color w:val="000000"/>
                            <w:sz w:val="28"/>
                          </w:rPr>
                        </w:pPr>
                        <w:r>
                          <w:rPr>
                            <w:color w:val="374151"/>
                            <w:sz w:val="28"/>
                          </w:rPr>
                          <w:t>accuracy</w:t>
                        </w:r>
                        <w:r>
                          <w:rPr>
                            <w:color w:val="374151"/>
                            <w:spacing w:val="-5"/>
                            <w:sz w:val="28"/>
                          </w:rPr>
                          <w:t> </w:t>
                        </w:r>
                        <w:r>
                          <w:rPr>
                            <w:color w:val="374151"/>
                            <w:sz w:val="28"/>
                          </w:rPr>
                          <w:t>and</w:t>
                        </w:r>
                        <w:r>
                          <w:rPr>
                            <w:color w:val="374151"/>
                            <w:spacing w:val="-2"/>
                            <w:sz w:val="28"/>
                          </w:rPr>
                          <w:t> </w:t>
                        </w:r>
                        <w:r>
                          <w:rPr>
                            <w:color w:val="374151"/>
                            <w:sz w:val="28"/>
                          </w:rPr>
                          <w:t>relevance</w:t>
                        </w:r>
                        <w:r>
                          <w:rPr>
                            <w:color w:val="374151"/>
                            <w:spacing w:val="-3"/>
                            <w:sz w:val="28"/>
                          </w:rPr>
                          <w:t> </w:t>
                        </w:r>
                        <w:r>
                          <w:rPr>
                            <w:color w:val="374151"/>
                            <w:sz w:val="28"/>
                          </w:rPr>
                          <w:t>of</w:t>
                        </w:r>
                        <w:r>
                          <w:rPr>
                            <w:color w:val="374151"/>
                            <w:spacing w:val="-2"/>
                            <w:sz w:val="28"/>
                          </w:rPr>
                          <w:t> </w:t>
                        </w:r>
                        <w:r>
                          <w:rPr>
                            <w:color w:val="374151"/>
                            <w:sz w:val="28"/>
                          </w:rPr>
                          <w:t>the</w:t>
                        </w:r>
                        <w:r>
                          <w:rPr>
                            <w:color w:val="374151"/>
                            <w:spacing w:val="-3"/>
                            <w:sz w:val="28"/>
                          </w:rPr>
                          <w:t> </w:t>
                        </w:r>
                        <w:r>
                          <w:rPr>
                            <w:color w:val="374151"/>
                            <w:sz w:val="28"/>
                          </w:rPr>
                          <w:t>assessment</w:t>
                        </w:r>
                        <w:r>
                          <w:rPr>
                            <w:color w:val="374151"/>
                            <w:spacing w:val="-2"/>
                            <w:sz w:val="28"/>
                          </w:rPr>
                          <w:t> process.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In</w:t>
      </w:r>
      <w:r>
        <w:rPr>
          <w:color w:val="374151"/>
          <w:spacing w:val="-4"/>
          <w:shd w:fill="F7F7F8" w:color="auto" w:val="clear"/>
        </w:rPr>
        <w:t> </w:t>
      </w:r>
      <w:r>
        <w:rPr>
          <w:color w:val="374151"/>
          <w:shd w:fill="F7F7F8" w:color="auto" w:val="clear"/>
        </w:rPr>
        <w:t>cases</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recent</w:t>
      </w:r>
      <w:r>
        <w:rPr>
          <w:color w:val="374151"/>
          <w:spacing w:val="-1"/>
          <w:shd w:fill="F7F7F8" w:color="auto" w:val="clear"/>
        </w:rPr>
        <w:t> </w:t>
      </w:r>
      <w:r>
        <w:rPr>
          <w:color w:val="374151"/>
          <w:shd w:fill="F7F7F8" w:color="auto" w:val="clear"/>
        </w:rPr>
        <w:t>sexual</w:t>
      </w:r>
      <w:r>
        <w:rPr>
          <w:color w:val="374151"/>
          <w:spacing w:val="-2"/>
          <w:shd w:fill="F7F7F8" w:color="auto" w:val="clear"/>
        </w:rPr>
        <w:t> </w:t>
      </w:r>
      <w:r>
        <w:rPr>
          <w:color w:val="374151"/>
          <w:shd w:fill="F7F7F8" w:color="auto" w:val="clear"/>
        </w:rPr>
        <w:t>assault,</w:t>
      </w:r>
      <w:r>
        <w:rPr>
          <w:color w:val="374151"/>
          <w:spacing w:val="-1"/>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medical</w:t>
      </w:r>
      <w:r>
        <w:rPr>
          <w:color w:val="374151"/>
          <w:spacing w:val="-1"/>
          <w:shd w:fill="F7F7F8" w:color="auto" w:val="clear"/>
        </w:rPr>
        <w:t> </w:t>
      </w:r>
      <w:r>
        <w:rPr>
          <w:color w:val="374151"/>
          <w:shd w:fill="F7F7F8" w:color="auto" w:val="clear"/>
        </w:rPr>
        <w:t>examination</w:t>
      </w:r>
      <w:r>
        <w:rPr>
          <w:color w:val="374151"/>
          <w:spacing w:val="-2"/>
          <w:shd w:fill="F7F7F8" w:color="auto" w:val="clear"/>
        </w:rPr>
        <w:t> </w:t>
      </w:r>
      <w:r>
        <w:rPr>
          <w:color w:val="374151"/>
          <w:shd w:fill="F7F7F8" w:color="auto" w:val="clear"/>
        </w:rPr>
        <w:t>should</w:t>
      </w:r>
      <w:r>
        <w:rPr>
          <w:color w:val="374151"/>
          <w:spacing w:val="-1"/>
          <w:shd w:fill="F7F7F8" w:color="auto" w:val="clear"/>
        </w:rPr>
        <w:t> </w:t>
      </w:r>
      <w:r>
        <w:rPr>
          <w:color w:val="374151"/>
          <w:shd w:fill="F7F7F8" w:color="auto" w:val="clear"/>
        </w:rPr>
        <w:t>be</w:t>
      </w:r>
      <w:r>
        <w:rPr>
          <w:color w:val="374151"/>
          <w:spacing w:val="-2"/>
          <w:shd w:fill="F7F7F8" w:color="auto" w:val="clear"/>
        </w:rPr>
        <w:t> conducted</w:t>
      </w:r>
      <w:r>
        <w:rPr>
          <w:color w:val="374151"/>
          <w:spacing w:val="40"/>
          <w:shd w:fill="F7F7F8" w:color="auto" w:val="clear"/>
        </w:rPr>
        <w:t> </w:t>
      </w:r>
    </w:p>
    <w:p>
      <w:pPr>
        <w:pStyle w:val="BodyText"/>
        <w:spacing w:after="4"/>
        <w:ind w:left="280" w:right="499"/>
      </w:pPr>
      <w:r>
        <w:rPr>
          <w:color w:val="374151"/>
          <w:shd w:fill="F7F7F8" w:color="auto" w:val="clear"/>
        </w:rPr>
        <w:t>to</w:t>
      </w:r>
      <w:r>
        <w:rPr>
          <w:color w:val="374151"/>
          <w:spacing w:val="-4"/>
          <w:shd w:fill="F7F7F8" w:color="auto" w:val="clear"/>
        </w:rPr>
        <w:t> </w:t>
      </w:r>
      <w:r>
        <w:rPr>
          <w:color w:val="374151"/>
          <w:shd w:fill="F7F7F8" w:color="auto" w:val="clear"/>
        </w:rPr>
        <w:t>address</w:t>
      </w:r>
      <w:r>
        <w:rPr>
          <w:color w:val="374151"/>
          <w:spacing w:val="-4"/>
          <w:shd w:fill="F7F7F8" w:color="auto" w:val="clear"/>
        </w:rPr>
        <w:t> </w:t>
      </w:r>
      <w:r>
        <w:rPr>
          <w:color w:val="374151"/>
          <w:shd w:fill="F7F7F8" w:color="auto" w:val="clear"/>
        </w:rPr>
        <w:t>immediate</w:t>
      </w:r>
      <w:r>
        <w:rPr>
          <w:color w:val="374151"/>
          <w:spacing w:val="-5"/>
          <w:shd w:fill="F7F7F8" w:color="auto" w:val="clear"/>
        </w:rPr>
        <w:t> </w:t>
      </w:r>
      <w:r>
        <w:rPr>
          <w:color w:val="374151"/>
          <w:shd w:fill="F7F7F8" w:color="auto" w:val="clear"/>
        </w:rPr>
        <w:t>physical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concerns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collect</w:t>
      </w:r>
      <w:r>
        <w:rPr>
          <w:color w:val="374151"/>
          <w:spacing w:val="-4"/>
          <w:shd w:fill="F7F7F8" w:color="auto" w:val="clear"/>
        </w:rPr>
        <w:t> </w:t>
      </w:r>
      <w:r>
        <w:rPr>
          <w:color w:val="374151"/>
          <w:shd w:fill="F7F7F8" w:color="auto" w:val="clear"/>
        </w:rPr>
        <w:t>forensic</w:t>
      </w:r>
      <w:r>
        <w:rPr>
          <w:color w:val="374151"/>
          <w:spacing w:val="-5"/>
          <w:shd w:fill="F7F7F8" w:color="auto" w:val="clear"/>
        </w:rPr>
        <w:t> </w:t>
      </w:r>
      <w:r>
        <w:rPr>
          <w:color w:val="374151"/>
          <w:shd w:fill="F7F7F8" w:color="auto" w:val="clear"/>
        </w:rPr>
        <w:t>evidence.</w:t>
      </w:r>
      <w:r>
        <w:rPr>
          <w:color w:val="374151"/>
          <w:spacing w:val="-4"/>
          <w:shd w:fill="F7F7F8" w:color="auto" w:val="clear"/>
        </w:rPr>
        <w:t> </w:t>
      </w:r>
      <w:r>
        <w:rPr>
          <w:color w:val="374151"/>
          <w:spacing w:val="-4"/>
        </w:rPr>
        <w:t> </w:t>
      </w:r>
      <w:r>
        <w:rPr>
          <w:color w:val="374151"/>
          <w:shd w:fill="F7F7F8" w:color="auto" w:val="clear"/>
        </w:rPr>
        <w:t>Collaboration with medical professionals is crucial to ensure the survivor's </w:t>
      </w:r>
      <w:r>
        <w:rPr>
          <w:color w:val="374151"/>
        </w:rPr>
        <w:t> </w:t>
      </w:r>
      <w:r>
        <w:rPr>
          <w:color w:val="374151"/>
          <w:shd w:fill="F7F7F8" w:color="auto" w:val="clear"/>
        </w:rPr>
        <w:t>safety and obtain necessary documentation for legal proceedings, if desired. </w:t>
      </w:r>
      <w:r>
        <w:rPr>
          <w:color w:val="374151"/>
        </w:rPr>
        <w:t> </w:t>
      </w:r>
      <w:r>
        <w:rPr>
          <w:color w:val="374151"/>
          <w:shd w:fill="F7F7F8" w:color="auto" w:val="clear"/>
        </w:rPr>
        <w:t>Mental health therapists should be aware of the protocols and resources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552700" cy="393700"/>
                <wp:effectExtent l="0" t="0" r="0" b="0"/>
                <wp:docPr id="228" name="Textbox 228"/>
                <wp:cNvGraphicFramePr>
                  <a:graphicFrameLocks/>
                </wp:cNvGraphicFramePr>
                <a:graphic>
                  <a:graphicData uri="http://schemas.microsoft.com/office/word/2010/wordprocessingShape">
                    <wps:wsp>
                      <wps:cNvPr id="228" name="Textbox 228"/>
                      <wps:cNvSpPr txBox="1"/>
                      <wps:spPr>
                        <a:xfrm>
                          <a:off x="0" y="0"/>
                          <a:ext cx="2552700" cy="393700"/>
                        </a:xfrm>
                        <a:prstGeom prst="rect">
                          <a:avLst/>
                        </a:prstGeom>
                        <a:solidFill>
                          <a:srgbClr val="F7F7F8"/>
                        </a:solidFill>
                      </wps:spPr>
                      <wps:txbx>
                        <w:txbxContent>
                          <w:p>
                            <w:pPr>
                              <w:pStyle w:val="BodyText"/>
                              <w:spacing w:line="308" w:lineRule="exact"/>
                              <w:ind w:right="-15"/>
                              <w:rPr>
                                <w:color w:val="000000"/>
                              </w:rPr>
                            </w:pPr>
                            <w:r>
                              <w:rPr>
                                <w:color w:val="374151"/>
                              </w:rPr>
                              <w:t>available</w:t>
                            </w:r>
                            <w:r>
                              <w:rPr>
                                <w:color w:val="374151"/>
                                <w:spacing w:val="-3"/>
                              </w:rPr>
                              <w:t> </w:t>
                            </w:r>
                            <w:r>
                              <w:rPr>
                                <w:color w:val="374151"/>
                              </w:rPr>
                              <w:t>in</w:t>
                            </w:r>
                            <w:r>
                              <w:rPr>
                                <w:color w:val="374151"/>
                                <w:spacing w:val="-1"/>
                              </w:rPr>
                              <w:t> </w:t>
                            </w:r>
                            <w:r>
                              <w:rPr>
                                <w:color w:val="374151"/>
                              </w:rPr>
                              <w:t>their</w:t>
                            </w:r>
                            <w:r>
                              <w:rPr>
                                <w:color w:val="374151"/>
                                <w:spacing w:val="-2"/>
                              </w:rPr>
                              <w:t> </w:t>
                            </w:r>
                            <w:r>
                              <w:rPr>
                                <w:color w:val="374151"/>
                              </w:rPr>
                              <w:t>local</w:t>
                            </w:r>
                            <w:r>
                              <w:rPr>
                                <w:color w:val="374151"/>
                                <w:spacing w:val="-1"/>
                              </w:rPr>
                              <w:t> </w:t>
                            </w:r>
                            <w:r>
                              <w:rPr>
                                <w:color w:val="374151"/>
                                <w:spacing w:val="-2"/>
                              </w:rPr>
                              <w:t>jurisdictions.</w:t>
                            </w:r>
                          </w:p>
                        </w:txbxContent>
                      </wps:txbx>
                      <wps:bodyPr wrap="square" lIns="0" tIns="0" rIns="0" bIns="0" rtlCol="0">
                        <a:noAutofit/>
                      </wps:bodyPr>
                    </wps:wsp>
                  </a:graphicData>
                </a:graphic>
              </wp:inline>
            </w:drawing>
          </mc:Choice>
          <mc:Fallback>
            <w:pict>
              <v:shape style="width:201pt;height:31pt;mso-position-horizontal-relative:char;mso-position-vertical-relative:line" type="#_x0000_t202" id="docshape227" filled="true" fillcolor="#f7f7f8" stroked="false">
                <w10:anchorlock/>
                <v:textbox inset="0,0,0,0">
                  <w:txbxContent>
                    <w:p>
                      <w:pPr>
                        <w:pStyle w:val="BodyText"/>
                        <w:spacing w:line="308" w:lineRule="exact"/>
                        <w:ind w:right="-15"/>
                        <w:rPr>
                          <w:color w:val="000000"/>
                        </w:rPr>
                      </w:pPr>
                      <w:r>
                        <w:rPr>
                          <w:color w:val="374151"/>
                        </w:rPr>
                        <w:t>available</w:t>
                      </w:r>
                      <w:r>
                        <w:rPr>
                          <w:color w:val="374151"/>
                          <w:spacing w:val="-3"/>
                        </w:rPr>
                        <w:t> </w:t>
                      </w:r>
                      <w:r>
                        <w:rPr>
                          <w:color w:val="374151"/>
                        </w:rPr>
                        <w:t>in</w:t>
                      </w:r>
                      <w:r>
                        <w:rPr>
                          <w:color w:val="374151"/>
                          <w:spacing w:val="-1"/>
                        </w:rPr>
                        <w:t> </w:t>
                      </w:r>
                      <w:r>
                        <w:rPr>
                          <w:color w:val="374151"/>
                        </w:rPr>
                        <w:t>their</w:t>
                      </w:r>
                      <w:r>
                        <w:rPr>
                          <w:color w:val="374151"/>
                          <w:spacing w:val="-2"/>
                        </w:rPr>
                        <w:t> </w:t>
                      </w:r>
                      <w:r>
                        <w:rPr>
                          <w:color w:val="374151"/>
                        </w:rPr>
                        <w:t>local</w:t>
                      </w:r>
                      <w:r>
                        <w:rPr>
                          <w:color w:val="374151"/>
                          <w:spacing w:val="-1"/>
                        </w:rPr>
                        <w:t> </w:t>
                      </w:r>
                      <w:r>
                        <w:rPr>
                          <w:color w:val="374151"/>
                          <w:spacing w:val="-2"/>
                        </w:rPr>
                        <w:t>jurisdictions.</w:t>
                      </w:r>
                    </w:p>
                  </w:txbxContent>
                </v:textbox>
                <v:fill type="solid"/>
              </v:shape>
            </w:pict>
          </mc:Fallback>
        </mc:AlternateContent>
      </w:r>
      <w:r>
        <w:rPr>
          <w:sz w:val="20"/>
        </w:rPr>
      </w:r>
    </w:p>
    <w:p>
      <w:pPr>
        <w:spacing w:after="0"/>
        <w:rPr>
          <w:sz w:val="20"/>
        </w:rPr>
        <w:sectPr>
          <w:pgSz w:w="12240" w:h="15840"/>
          <w:pgMar w:header="0" w:footer="765" w:top="1260" w:bottom="980" w:left="1400" w:right="1180"/>
        </w:sectPr>
      </w:pPr>
    </w:p>
    <w:p>
      <w:pPr>
        <w:pStyle w:val="BodyText"/>
        <w:ind w:left="280"/>
        <w:rPr>
          <w:sz w:val="20"/>
        </w:rPr>
      </w:pPr>
      <w:r>
        <w:rPr>
          <w:sz w:val="20"/>
        </w:rPr>
        <mc:AlternateContent>
          <mc:Choice Requires="wps">
            <w:drawing>
              <wp:inline distT="0" distB="0" distL="0" distR="0">
                <wp:extent cx="3236595" cy="787400"/>
                <wp:effectExtent l="0" t="0" r="0" b="3175"/>
                <wp:docPr id="229" name="Group 229"/>
                <wp:cNvGraphicFramePr>
                  <a:graphicFrameLocks/>
                </wp:cNvGraphicFramePr>
                <a:graphic>
                  <a:graphicData uri="http://schemas.microsoft.com/office/word/2010/wordprocessingGroup">
                    <wpg:wgp>
                      <wpg:cNvPr id="229" name="Group 229"/>
                      <wpg:cNvGrpSpPr/>
                      <wpg:grpSpPr>
                        <a:xfrm>
                          <a:off x="0" y="0"/>
                          <a:ext cx="3236595" cy="787400"/>
                          <a:chExt cx="3236595" cy="787400"/>
                        </a:xfrm>
                      </wpg:grpSpPr>
                      <wps:wsp>
                        <wps:cNvPr id="230" name="Textbox 230"/>
                        <wps:cNvSpPr txBox="1"/>
                        <wps:spPr>
                          <a:xfrm>
                            <a:off x="0" y="393700"/>
                            <a:ext cx="1737360"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Trauma-Informed</w:t>
                              </w:r>
                              <w:r>
                                <w:rPr>
                                  <w:b/>
                                  <w:i/>
                                  <w:color w:val="374151"/>
                                  <w:spacing w:val="-19"/>
                                  <w:sz w:val="28"/>
                                </w:rPr>
                                <w:t> </w:t>
                              </w:r>
                              <w:r>
                                <w:rPr>
                                  <w:b/>
                                  <w:i/>
                                  <w:color w:val="374151"/>
                                  <w:spacing w:val="-4"/>
                                  <w:sz w:val="28"/>
                                </w:rPr>
                                <w:t>Care</w:t>
                              </w:r>
                            </w:p>
                          </w:txbxContent>
                        </wps:txbx>
                        <wps:bodyPr wrap="square" lIns="0" tIns="0" rIns="0" bIns="0" rtlCol="0">
                          <a:noAutofit/>
                        </wps:bodyPr>
                      </wps:wsp>
                      <wps:wsp>
                        <wps:cNvPr id="231" name="Textbox 231"/>
                        <wps:cNvSpPr txBox="1"/>
                        <wps:spPr>
                          <a:xfrm>
                            <a:off x="0" y="0"/>
                            <a:ext cx="323659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Treatment</w:t>
                              </w:r>
                              <w:r>
                                <w:rPr>
                                  <w:b/>
                                  <w:color w:val="374151"/>
                                  <w:spacing w:val="-18"/>
                                  <w:sz w:val="28"/>
                                </w:rPr>
                                <w:t> </w:t>
                              </w:r>
                              <w:r>
                                <w:rPr>
                                  <w:b/>
                                  <w:color w:val="374151"/>
                                  <w:sz w:val="28"/>
                                </w:rPr>
                                <w:t>Approaches</w:t>
                              </w:r>
                              <w:r>
                                <w:rPr>
                                  <w:b/>
                                  <w:color w:val="374151"/>
                                  <w:spacing w:val="-17"/>
                                  <w:sz w:val="28"/>
                                </w:rPr>
                                <w:t> </w:t>
                              </w:r>
                              <w:r>
                                <w:rPr>
                                  <w:b/>
                                  <w:color w:val="374151"/>
                                  <w:sz w:val="28"/>
                                </w:rPr>
                                <w:t>for</w:t>
                              </w:r>
                              <w:r>
                                <w:rPr>
                                  <w:b/>
                                  <w:color w:val="374151"/>
                                  <w:spacing w:val="-17"/>
                                  <w:sz w:val="28"/>
                                </w:rPr>
                                <w:t> </w:t>
                              </w:r>
                              <w:r>
                                <w:rPr>
                                  <w:b/>
                                  <w:color w:val="374151"/>
                                  <w:sz w:val="28"/>
                                </w:rPr>
                                <w:t>Sexual</w:t>
                              </w:r>
                              <w:r>
                                <w:rPr>
                                  <w:b/>
                                  <w:color w:val="374151"/>
                                  <w:spacing w:val="-15"/>
                                  <w:sz w:val="28"/>
                                </w:rPr>
                                <w:t> </w:t>
                              </w:r>
                              <w:r>
                                <w:rPr>
                                  <w:b/>
                                  <w:color w:val="374151"/>
                                  <w:spacing w:val="-2"/>
                                  <w:sz w:val="28"/>
                                </w:rPr>
                                <w:t>Violence</w:t>
                              </w:r>
                            </w:p>
                          </w:txbxContent>
                        </wps:txbx>
                        <wps:bodyPr wrap="square" lIns="0" tIns="0" rIns="0" bIns="0" rtlCol="0">
                          <a:noAutofit/>
                        </wps:bodyPr>
                      </wps:wsp>
                    </wpg:wgp>
                  </a:graphicData>
                </a:graphic>
              </wp:inline>
            </w:drawing>
          </mc:Choice>
          <mc:Fallback>
            <w:pict>
              <v:group style="width:254.85pt;height:62pt;mso-position-horizontal-relative:char;mso-position-vertical-relative:line" id="docshapegroup228" coordorigin="0,0" coordsize="5097,1240">
                <v:shape style="position:absolute;left:0;top:620;width:2736;height:620" type="#_x0000_t202" id="docshape229" filled="true" fillcolor="#f7f7f8" stroked="false">
                  <v:textbox inset="0,0,0,0">
                    <w:txbxContent>
                      <w:p>
                        <w:pPr>
                          <w:spacing w:line="308" w:lineRule="exact" w:before="0"/>
                          <w:ind w:left="0" w:right="0" w:firstLine="0"/>
                          <w:jc w:val="left"/>
                          <w:rPr>
                            <w:b/>
                            <w:i/>
                            <w:color w:val="000000"/>
                            <w:sz w:val="28"/>
                          </w:rPr>
                        </w:pPr>
                        <w:r>
                          <w:rPr>
                            <w:b/>
                            <w:i/>
                            <w:color w:val="374151"/>
                            <w:sz w:val="28"/>
                          </w:rPr>
                          <w:t>Trauma-Informed</w:t>
                        </w:r>
                        <w:r>
                          <w:rPr>
                            <w:b/>
                            <w:i/>
                            <w:color w:val="374151"/>
                            <w:spacing w:val="-19"/>
                            <w:sz w:val="28"/>
                          </w:rPr>
                          <w:t> </w:t>
                        </w:r>
                        <w:r>
                          <w:rPr>
                            <w:b/>
                            <w:i/>
                            <w:color w:val="374151"/>
                            <w:spacing w:val="-4"/>
                            <w:sz w:val="28"/>
                          </w:rPr>
                          <w:t>Care</w:t>
                        </w:r>
                      </w:p>
                    </w:txbxContent>
                  </v:textbox>
                  <v:fill type="solid"/>
                  <w10:wrap type="none"/>
                </v:shape>
                <v:shape style="position:absolute;left:0;top:0;width:5097;height:620" type="#_x0000_t202" id="docshape230" filled="true" fillcolor="#f7f7f8" stroked="false">
                  <v:textbox inset="0,0,0,0">
                    <w:txbxContent>
                      <w:p>
                        <w:pPr>
                          <w:spacing w:line="308" w:lineRule="exact" w:before="0"/>
                          <w:ind w:left="0" w:right="-15" w:firstLine="0"/>
                          <w:jc w:val="left"/>
                          <w:rPr>
                            <w:b/>
                            <w:color w:val="000000"/>
                            <w:sz w:val="28"/>
                          </w:rPr>
                        </w:pPr>
                        <w:r>
                          <w:rPr>
                            <w:b/>
                            <w:color w:val="374151"/>
                            <w:sz w:val="28"/>
                          </w:rPr>
                          <w:t>Treatment</w:t>
                        </w:r>
                        <w:r>
                          <w:rPr>
                            <w:b/>
                            <w:color w:val="374151"/>
                            <w:spacing w:val="-18"/>
                            <w:sz w:val="28"/>
                          </w:rPr>
                          <w:t> </w:t>
                        </w:r>
                        <w:r>
                          <w:rPr>
                            <w:b/>
                            <w:color w:val="374151"/>
                            <w:sz w:val="28"/>
                          </w:rPr>
                          <w:t>Approaches</w:t>
                        </w:r>
                        <w:r>
                          <w:rPr>
                            <w:b/>
                            <w:color w:val="374151"/>
                            <w:spacing w:val="-17"/>
                            <w:sz w:val="28"/>
                          </w:rPr>
                          <w:t> </w:t>
                        </w:r>
                        <w:r>
                          <w:rPr>
                            <w:b/>
                            <w:color w:val="374151"/>
                            <w:sz w:val="28"/>
                          </w:rPr>
                          <w:t>for</w:t>
                        </w:r>
                        <w:r>
                          <w:rPr>
                            <w:b/>
                            <w:color w:val="374151"/>
                            <w:spacing w:val="-17"/>
                            <w:sz w:val="28"/>
                          </w:rPr>
                          <w:t> </w:t>
                        </w:r>
                        <w:r>
                          <w:rPr>
                            <w:b/>
                            <w:color w:val="374151"/>
                            <w:sz w:val="28"/>
                          </w:rPr>
                          <w:t>Sexual</w:t>
                        </w:r>
                        <w:r>
                          <w:rPr>
                            <w:b/>
                            <w:color w:val="374151"/>
                            <w:spacing w:val="-15"/>
                            <w:sz w:val="28"/>
                          </w:rPr>
                          <w:t> </w:t>
                        </w:r>
                        <w:r>
                          <w:rPr>
                            <w:b/>
                            <w:color w:val="374151"/>
                            <w:spacing w:val="-2"/>
                            <w:sz w:val="28"/>
                          </w:rPr>
                          <w:t>Violence</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Trauma-informed</w:t>
      </w:r>
      <w:r>
        <w:rPr>
          <w:color w:val="374151"/>
          <w:spacing w:val="-5"/>
          <w:shd w:fill="F7F7F8" w:color="auto" w:val="clear"/>
        </w:rPr>
        <w:t> </w:t>
      </w:r>
      <w:r>
        <w:rPr>
          <w:color w:val="374151"/>
          <w:shd w:fill="F7F7F8" w:color="auto" w:val="clear"/>
        </w:rPr>
        <w:t>care</w:t>
      </w:r>
      <w:r>
        <w:rPr>
          <w:color w:val="374151"/>
          <w:spacing w:val="-4"/>
          <w:shd w:fill="F7F7F8" w:color="auto" w:val="clear"/>
        </w:rPr>
        <w:t> </w:t>
      </w:r>
      <w:r>
        <w:rPr>
          <w:color w:val="374151"/>
          <w:shd w:fill="F7F7F8" w:color="auto" w:val="clear"/>
        </w:rPr>
        <w:t>is</w:t>
      </w:r>
      <w:r>
        <w:rPr>
          <w:color w:val="374151"/>
          <w:spacing w:val="-3"/>
          <w:shd w:fill="F7F7F8" w:color="auto" w:val="clear"/>
        </w:rPr>
        <w:t> </w:t>
      </w:r>
      <w:r>
        <w:rPr>
          <w:color w:val="374151"/>
          <w:shd w:fill="F7F7F8" w:color="auto" w:val="clear"/>
        </w:rPr>
        <w:t>an</w:t>
      </w:r>
      <w:r>
        <w:rPr>
          <w:color w:val="374151"/>
          <w:spacing w:val="-3"/>
          <w:shd w:fill="F7F7F8" w:color="auto" w:val="clear"/>
        </w:rPr>
        <w:t> </w:t>
      </w:r>
      <w:r>
        <w:rPr>
          <w:color w:val="374151"/>
          <w:shd w:fill="F7F7F8" w:color="auto" w:val="clear"/>
        </w:rPr>
        <w:t>essential</w:t>
      </w:r>
      <w:r>
        <w:rPr>
          <w:color w:val="374151"/>
          <w:spacing w:val="-3"/>
          <w:shd w:fill="F7F7F8" w:color="auto" w:val="clear"/>
        </w:rPr>
        <w:t> </w:t>
      </w:r>
      <w:r>
        <w:rPr>
          <w:color w:val="374151"/>
          <w:shd w:fill="F7F7F8" w:color="auto" w:val="clear"/>
        </w:rPr>
        <w:t>framework</w:t>
      </w:r>
      <w:r>
        <w:rPr>
          <w:color w:val="374151"/>
          <w:spacing w:val="-3"/>
          <w:shd w:fill="F7F7F8" w:color="auto" w:val="clear"/>
        </w:rPr>
        <w:t> </w:t>
      </w:r>
      <w:r>
        <w:rPr>
          <w:color w:val="374151"/>
          <w:shd w:fill="F7F7F8" w:color="auto" w:val="clear"/>
        </w:rPr>
        <w:t>for</w:t>
      </w:r>
      <w:r>
        <w:rPr>
          <w:color w:val="374151"/>
          <w:spacing w:val="-3"/>
          <w:shd w:fill="F7F7F8" w:color="auto" w:val="clear"/>
        </w:rPr>
        <w:t> </w:t>
      </w:r>
      <w:r>
        <w:rPr>
          <w:color w:val="374151"/>
          <w:shd w:fill="F7F7F8" w:color="auto" w:val="clear"/>
        </w:rPr>
        <w:t>treating</w:t>
      </w:r>
      <w:r>
        <w:rPr>
          <w:color w:val="374151"/>
          <w:spacing w:val="-3"/>
          <w:shd w:fill="F7F7F8" w:color="auto" w:val="clear"/>
        </w:rPr>
        <w:t> </w:t>
      </w:r>
      <w:r>
        <w:rPr>
          <w:color w:val="374151"/>
          <w:shd w:fill="F7F7F8" w:color="auto" w:val="clear"/>
        </w:rPr>
        <w:t>survivors</w:t>
      </w:r>
      <w:r>
        <w:rPr>
          <w:color w:val="374151"/>
          <w:spacing w:val="-2"/>
          <w:shd w:fill="F7F7F8" w:color="auto" w:val="clear"/>
        </w:rPr>
        <w:t> </w:t>
      </w:r>
      <w:r>
        <w:rPr>
          <w:color w:val="374151"/>
          <w:spacing w:val="-5"/>
          <w:shd w:fill="F7F7F8" w:color="auto" w:val="clear"/>
        </w:rPr>
        <w:t>of</w:t>
      </w:r>
      <w:r>
        <w:rPr>
          <w:color w:val="374151"/>
          <w:spacing w:val="40"/>
          <w:shd w:fill="F7F7F8" w:color="auto" w:val="clear"/>
        </w:rPr>
        <w:t> </w:t>
      </w:r>
    </w:p>
    <w:p>
      <w:pPr>
        <w:pStyle w:val="BodyText"/>
        <w:spacing w:after="4"/>
        <w:ind w:left="280" w:right="581"/>
      </w:pPr>
      <w:r>
        <w:rPr>
          <w:color w:val="374151"/>
          <w:shd w:fill="F7F7F8" w:color="auto" w:val="clear"/>
        </w:rPr>
        <w:t>sexual violence. It involves creating a safe and empowering therapeutic </w:t>
      </w:r>
      <w:r>
        <w:rPr>
          <w:color w:val="374151"/>
        </w:rPr>
        <w:t> </w:t>
      </w:r>
      <w:r>
        <w:rPr>
          <w:color w:val="374151"/>
          <w:shd w:fill="F7F7F8" w:color="auto" w:val="clear"/>
        </w:rPr>
        <w:t>environment,</w:t>
      </w:r>
      <w:r>
        <w:rPr>
          <w:color w:val="374151"/>
          <w:spacing w:val="-4"/>
          <w:shd w:fill="F7F7F8" w:color="auto" w:val="clear"/>
        </w:rPr>
        <w:t> </w:t>
      </w:r>
      <w:r>
        <w:rPr>
          <w:color w:val="374151"/>
          <w:shd w:fill="F7F7F8" w:color="auto" w:val="clear"/>
        </w:rPr>
        <w:t>prioritizing</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survivor's</w:t>
      </w:r>
      <w:r>
        <w:rPr>
          <w:color w:val="374151"/>
          <w:spacing w:val="-4"/>
          <w:shd w:fill="F7F7F8" w:color="auto" w:val="clear"/>
        </w:rPr>
        <w:t> </w:t>
      </w:r>
      <w:r>
        <w:rPr>
          <w:color w:val="374151"/>
          <w:shd w:fill="F7F7F8" w:color="auto" w:val="clear"/>
        </w:rPr>
        <w:t>autonomy</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choice,</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focusing</w:t>
      </w:r>
      <w:r>
        <w:rPr>
          <w:color w:val="374151"/>
          <w:spacing w:val="-4"/>
          <w:shd w:fill="F7F7F8" w:color="auto" w:val="clear"/>
        </w:rPr>
        <w:t> </w:t>
      </w:r>
      <w:r>
        <w:rPr>
          <w:color w:val="374151"/>
          <w:shd w:fill="F7F7F8" w:color="auto" w:val="clear"/>
        </w:rPr>
        <w:t>on</w:t>
      </w:r>
      <w:r>
        <w:rPr>
          <w:color w:val="374151"/>
          <w:spacing w:val="-5"/>
          <w:shd w:fill="F7F7F8" w:color="auto" w:val="clear"/>
        </w:rPr>
        <w:t> </w:t>
      </w:r>
      <w:r>
        <w:rPr>
          <w:color w:val="374151"/>
          <w:spacing w:val="-5"/>
        </w:rPr>
        <w:t> </w:t>
      </w:r>
      <w:r>
        <w:rPr>
          <w:color w:val="374151"/>
          <w:shd w:fill="F7F7F8" w:color="auto" w:val="clear"/>
        </w:rPr>
        <w:t>strengths and resilience. This approach acknowledges the impact of trauma </w:t>
      </w:r>
      <w:r>
        <w:rPr>
          <w:color w:val="374151"/>
        </w:rPr>
        <w:t> </w:t>
      </w:r>
      <w:r>
        <w:rPr>
          <w:color w:val="374151"/>
          <w:shd w:fill="F7F7F8" w:color="auto" w:val="clear"/>
        </w:rPr>
        <w:t>and emphasizes collaboration, trust, and validation throughout the therapeutic</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736215" cy="787400"/>
                <wp:effectExtent l="0" t="0" r="0" b="3175"/>
                <wp:docPr id="232" name="Group 232"/>
                <wp:cNvGraphicFramePr>
                  <a:graphicFrameLocks/>
                </wp:cNvGraphicFramePr>
                <a:graphic>
                  <a:graphicData uri="http://schemas.microsoft.com/office/word/2010/wordprocessingGroup">
                    <wpg:wgp>
                      <wpg:cNvPr id="232" name="Group 232"/>
                      <wpg:cNvGrpSpPr/>
                      <wpg:grpSpPr>
                        <a:xfrm>
                          <a:off x="0" y="0"/>
                          <a:ext cx="2736215" cy="787400"/>
                          <a:chExt cx="2736215" cy="787400"/>
                        </a:xfrm>
                      </wpg:grpSpPr>
                      <wps:wsp>
                        <wps:cNvPr id="233" name="Textbox 233"/>
                        <wps:cNvSpPr txBox="1"/>
                        <wps:spPr>
                          <a:xfrm>
                            <a:off x="0" y="393700"/>
                            <a:ext cx="2736215"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z w:val="28"/>
                                </w:rPr>
                                <w:t>Cognitive-Behavioral</w:t>
                              </w:r>
                              <w:r>
                                <w:rPr>
                                  <w:b/>
                                  <w:i/>
                                  <w:color w:val="374151"/>
                                  <w:spacing w:val="-6"/>
                                  <w:sz w:val="28"/>
                                </w:rPr>
                                <w:t> </w:t>
                              </w:r>
                              <w:r>
                                <w:rPr>
                                  <w:b/>
                                  <w:i/>
                                  <w:color w:val="374151"/>
                                  <w:sz w:val="28"/>
                                </w:rPr>
                                <w:t>Therapy</w:t>
                              </w:r>
                              <w:r>
                                <w:rPr>
                                  <w:b/>
                                  <w:i/>
                                  <w:color w:val="374151"/>
                                  <w:spacing w:val="-5"/>
                                  <w:sz w:val="28"/>
                                </w:rPr>
                                <w:t> </w:t>
                              </w:r>
                              <w:r>
                                <w:rPr>
                                  <w:b/>
                                  <w:i/>
                                  <w:color w:val="374151"/>
                                  <w:spacing w:val="-2"/>
                                  <w:sz w:val="28"/>
                                </w:rPr>
                                <w:t>(CBT)</w:t>
                              </w:r>
                            </w:p>
                          </w:txbxContent>
                        </wps:txbx>
                        <wps:bodyPr wrap="square" lIns="0" tIns="0" rIns="0" bIns="0" rtlCol="0">
                          <a:noAutofit/>
                        </wps:bodyPr>
                      </wps:wsp>
                      <wps:wsp>
                        <wps:cNvPr id="234" name="Textbox 234"/>
                        <wps:cNvSpPr txBox="1"/>
                        <wps:spPr>
                          <a:xfrm>
                            <a:off x="0" y="0"/>
                            <a:ext cx="57785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pacing w:val="-2"/>
                                  <w:sz w:val="28"/>
                                </w:rPr>
                                <w:t>process.</w:t>
                              </w:r>
                            </w:p>
                          </w:txbxContent>
                        </wps:txbx>
                        <wps:bodyPr wrap="square" lIns="0" tIns="0" rIns="0" bIns="0" rtlCol="0">
                          <a:noAutofit/>
                        </wps:bodyPr>
                      </wps:wsp>
                    </wpg:wgp>
                  </a:graphicData>
                </a:graphic>
              </wp:inline>
            </w:drawing>
          </mc:Choice>
          <mc:Fallback>
            <w:pict>
              <v:group style="width:215.45pt;height:62pt;mso-position-horizontal-relative:char;mso-position-vertical-relative:line" id="docshapegroup231" coordorigin="0,0" coordsize="4309,1240">
                <v:shape style="position:absolute;left:0;top:620;width:4309;height:620" type="#_x0000_t202" id="docshape232" filled="true" fillcolor="#f7f7f8" stroked="false">
                  <v:textbox inset="0,0,0,0">
                    <w:txbxContent>
                      <w:p>
                        <w:pPr>
                          <w:spacing w:line="308" w:lineRule="exact" w:before="0"/>
                          <w:ind w:left="0" w:right="-15" w:firstLine="0"/>
                          <w:jc w:val="left"/>
                          <w:rPr>
                            <w:b/>
                            <w:i/>
                            <w:color w:val="000000"/>
                            <w:sz w:val="28"/>
                          </w:rPr>
                        </w:pPr>
                        <w:r>
                          <w:rPr>
                            <w:b/>
                            <w:i/>
                            <w:color w:val="374151"/>
                            <w:sz w:val="28"/>
                          </w:rPr>
                          <w:t>Cognitive-Behavioral</w:t>
                        </w:r>
                        <w:r>
                          <w:rPr>
                            <w:b/>
                            <w:i/>
                            <w:color w:val="374151"/>
                            <w:spacing w:val="-6"/>
                            <w:sz w:val="28"/>
                          </w:rPr>
                          <w:t> </w:t>
                        </w:r>
                        <w:r>
                          <w:rPr>
                            <w:b/>
                            <w:i/>
                            <w:color w:val="374151"/>
                            <w:sz w:val="28"/>
                          </w:rPr>
                          <w:t>Therapy</w:t>
                        </w:r>
                        <w:r>
                          <w:rPr>
                            <w:b/>
                            <w:i/>
                            <w:color w:val="374151"/>
                            <w:spacing w:val="-5"/>
                            <w:sz w:val="28"/>
                          </w:rPr>
                          <w:t> </w:t>
                        </w:r>
                        <w:r>
                          <w:rPr>
                            <w:b/>
                            <w:i/>
                            <w:color w:val="374151"/>
                            <w:spacing w:val="-2"/>
                            <w:sz w:val="28"/>
                          </w:rPr>
                          <w:t>(CBT)</w:t>
                        </w:r>
                      </w:p>
                    </w:txbxContent>
                  </v:textbox>
                  <v:fill type="solid"/>
                  <w10:wrap type="none"/>
                </v:shape>
                <v:shape style="position:absolute;left:0;top:0;width:910;height:620" type="#_x0000_t202" id="docshape233" filled="true" fillcolor="#f7f7f8" stroked="false">
                  <v:textbox inset="0,0,0,0">
                    <w:txbxContent>
                      <w:p>
                        <w:pPr>
                          <w:spacing w:line="308" w:lineRule="exact" w:before="0"/>
                          <w:ind w:left="0" w:right="-15" w:firstLine="0"/>
                          <w:jc w:val="left"/>
                          <w:rPr>
                            <w:color w:val="000000"/>
                            <w:sz w:val="28"/>
                          </w:rPr>
                        </w:pPr>
                        <w:r>
                          <w:rPr>
                            <w:color w:val="374151"/>
                            <w:spacing w:val="-2"/>
                            <w:sz w:val="28"/>
                          </w:rPr>
                          <w:t>process.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CBT</w:t>
      </w:r>
      <w:r>
        <w:rPr>
          <w:color w:val="374151"/>
          <w:spacing w:val="-10"/>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an</w:t>
      </w:r>
      <w:r>
        <w:rPr>
          <w:color w:val="374151"/>
          <w:spacing w:val="-2"/>
          <w:shd w:fill="F7F7F8" w:color="auto" w:val="clear"/>
        </w:rPr>
        <w:t> </w:t>
      </w:r>
      <w:r>
        <w:rPr>
          <w:color w:val="374151"/>
          <w:shd w:fill="F7F7F8" w:color="auto" w:val="clear"/>
        </w:rPr>
        <w:t>evidence-based</w:t>
      </w:r>
      <w:r>
        <w:rPr>
          <w:color w:val="374151"/>
          <w:spacing w:val="-1"/>
          <w:shd w:fill="F7F7F8" w:color="auto" w:val="clear"/>
        </w:rPr>
        <w:t> </w:t>
      </w:r>
      <w:r>
        <w:rPr>
          <w:color w:val="374151"/>
          <w:shd w:fill="F7F7F8" w:color="auto" w:val="clear"/>
        </w:rPr>
        <w:t>approach</w:t>
      </w:r>
      <w:r>
        <w:rPr>
          <w:color w:val="374151"/>
          <w:spacing w:val="-2"/>
          <w:shd w:fill="F7F7F8" w:color="auto" w:val="clear"/>
        </w:rPr>
        <w:t> </w:t>
      </w:r>
      <w:r>
        <w:rPr>
          <w:color w:val="374151"/>
          <w:shd w:fill="F7F7F8" w:color="auto" w:val="clear"/>
        </w:rPr>
        <w:t>widely</w:t>
      </w:r>
      <w:r>
        <w:rPr>
          <w:color w:val="374151"/>
          <w:spacing w:val="-1"/>
          <w:shd w:fill="F7F7F8" w:color="auto" w:val="clear"/>
        </w:rPr>
        <w:t> </w:t>
      </w:r>
      <w:r>
        <w:rPr>
          <w:color w:val="374151"/>
          <w:shd w:fill="F7F7F8" w:color="auto" w:val="clear"/>
        </w:rPr>
        <w:t>used</w:t>
      </w:r>
      <w:r>
        <w:rPr>
          <w:color w:val="374151"/>
          <w:spacing w:val="-2"/>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treatment</w:t>
      </w:r>
      <w:r>
        <w:rPr>
          <w:color w:val="374151"/>
          <w:spacing w:val="-1"/>
          <w:shd w:fill="F7F7F8" w:color="auto" w:val="clear"/>
        </w:rPr>
        <w:t> </w:t>
      </w:r>
      <w:r>
        <w:rPr>
          <w:color w:val="374151"/>
          <w:shd w:fill="F7F7F8" w:color="auto" w:val="clear"/>
        </w:rPr>
        <w:t>of</w:t>
      </w:r>
      <w:r>
        <w:rPr>
          <w:color w:val="374151"/>
          <w:spacing w:val="-1"/>
          <w:shd w:fill="F7F7F8" w:color="auto" w:val="clear"/>
        </w:rPr>
        <w:t> </w:t>
      </w:r>
      <w:r>
        <w:rPr>
          <w:color w:val="374151"/>
          <w:spacing w:val="-2"/>
          <w:shd w:fill="F7F7F8" w:color="auto" w:val="clear"/>
        </w:rPr>
        <w:t>trauma-</w:t>
      </w:r>
    </w:p>
    <w:p>
      <w:pPr>
        <w:pStyle w:val="BodyText"/>
        <w:spacing w:after="7"/>
        <w:ind w:left="280" w:right="499"/>
      </w:pPr>
      <w:r>
        <w:rPr>
          <w:color w:val="374151"/>
          <w:shd w:fill="F7F7F8" w:color="auto" w:val="clear"/>
        </w:rPr>
        <w:t>related symptoms. It focuses on identifying and modifying maladaptive </w:t>
      </w:r>
      <w:r>
        <w:rPr>
          <w:color w:val="374151"/>
        </w:rPr>
        <w:t> </w:t>
      </w:r>
      <w:r>
        <w:rPr>
          <w:color w:val="374151"/>
          <w:shd w:fill="F7F7F8" w:color="auto" w:val="clear"/>
        </w:rPr>
        <w:t>thoughts,</w:t>
      </w:r>
      <w:r>
        <w:rPr>
          <w:color w:val="374151"/>
          <w:spacing w:val="-4"/>
          <w:shd w:fill="F7F7F8" w:color="auto" w:val="clear"/>
        </w:rPr>
        <w:t> </w:t>
      </w:r>
      <w:r>
        <w:rPr>
          <w:color w:val="374151"/>
          <w:shd w:fill="F7F7F8" w:color="auto" w:val="clear"/>
        </w:rPr>
        <w:t>beliefs,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behaviors</w:t>
      </w:r>
      <w:r>
        <w:rPr>
          <w:color w:val="374151"/>
          <w:spacing w:val="-4"/>
          <w:shd w:fill="F7F7F8" w:color="auto" w:val="clear"/>
        </w:rPr>
        <w:t> </w:t>
      </w:r>
      <w:r>
        <w:rPr>
          <w:color w:val="374151"/>
          <w:shd w:fill="F7F7F8" w:color="auto" w:val="clear"/>
        </w:rPr>
        <w:t>that</w:t>
      </w:r>
      <w:r>
        <w:rPr>
          <w:color w:val="374151"/>
          <w:spacing w:val="-4"/>
          <w:shd w:fill="F7F7F8" w:color="auto" w:val="clear"/>
        </w:rPr>
        <w:t> </w:t>
      </w:r>
      <w:r>
        <w:rPr>
          <w:color w:val="374151"/>
          <w:shd w:fill="F7F7F8" w:color="auto" w:val="clear"/>
        </w:rPr>
        <w:t>contribute</w:t>
      </w:r>
      <w:r>
        <w:rPr>
          <w:color w:val="374151"/>
          <w:spacing w:val="-5"/>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distress.</w:t>
      </w:r>
      <w:r>
        <w:rPr>
          <w:color w:val="374151"/>
          <w:spacing w:val="-9"/>
          <w:shd w:fill="F7F7F8" w:color="auto" w:val="clear"/>
        </w:rPr>
        <w:t> </w:t>
      </w:r>
      <w:r>
        <w:rPr>
          <w:color w:val="374151"/>
          <w:shd w:fill="F7F7F8" w:color="auto" w:val="clear"/>
        </w:rPr>
        <w:t>Therapists</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help</w:t>
      </w:r>
      <w:r>
        <w:rPr>
          <w:color w:val="374151"/>
          <w:spacing w:val="-5"/>
          <w:shd w:fill="F7F7F8" w:color="auto" w:val="clear"/>
        </w:rPr>
        <w:t> </w:t>
      </w:r>
      <w:r>
        <w:rPr>
          <w:color w:val="374151"/>
          <w:spacing w:val="-5"/>
        </w:rPr>
        <w:t> </w:t>
      </w:r>
      <w:r>
        <w:rPr>
          <w:color w:val="374151"/>
          <w:shd w:fill="F7F7F8" w:color="auto" w:val="clear"/>
        </w:rPr>
        <w:t>survivors challenge negative self-perceptions, develop coping skills,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310380" cy="393700"/>
                <wp:effectExtent l="0" t="0" r="0" b="0"/>
                <wp:docPr id="235" name="Textbox 235"/>
                <wp:cNvGraphicFramePr>
                  <a:graphicFrameLocks/>
                </wp:cNvGraphicFramePr>
                <a:graphic>
                  <a:graphicData uri="http://schemas.microsoft.com/office/word/2010/wordprocessingShape">
                    <wps:wsp>
                      <wps:cNvPr id="235" name="Textbox 235"/>
                      <wps:cNvSpPr txBox="1"/>
                      <wps:spPr>
                        <a:xfrm>
                          <a:off x="0" y="0"/>
                          <a:ext cx="4310380" cy="393700"/>
                        </a:xfrm>
                        <a:prstGeom prst="rect">
                          <a:avLst/>
                        </a:prstGeom>
                        <a:solidFill>
                          <a:srgbClr val="F7F7F8"/>
                        </a:solidFill>
                      </wps:spPr>
                      <wps:txbx>
                        <w:txbxContent>
                          <w:p>
                            <w:pPr>
                              <w:pStyle w:val="BodyText"/>
                              <w:spacing w:line="308" w:lineRule="exact"/>
                              <w:ind w:right="-15"/>
                              <w:rPr>
                                <w:color w:val="000000"/>
                              </w:rPr>
                            </w:pPr>
                            <w:r>
                              <w:rPr>
                                <w:color w:val="374151"/>
                              </w:rPr>
                              <w:t>process</w:t>
                            </w:r>
                            <w:r>
                              <w:rPr>
                                <w:color w:val="374151"/>
                                <w:spacing w:val="-4"/>
                              </w:rPr>
                              <w:t> </w:t>
                            </w:r>
                            <w:r>
                              <w:rPr>
                                <w:color w:val="374151"/>
                              </w:rPr>
                              <w:t>traumatic</w:t>
                            </w:r>
                            <w:r>
                              <w:rPr>
                                <w:color w:val="374151"/>
                                <w:spacing w:val="-2"/>
                              </w:rPr>
                              <w:t> </w:t>
                            </w:r>
                            <w:r>
                              <w:rPr>
                                <w:color w:val="374151"/>
                              </w:rPr>
                              <w:t>memories</w:t>
                            </w:r>
                            <w:r>
                              <w:rPr>
                                <w:color w:val="374151"/>
                                <w:spacing w:val="-1"/>
                              </w:rPr>
                              <w:t> </w:t>
                            </w:r>
                            <w:r>
                              <w:rPr>
                                <w:color w:val="374151"/>
                              </w:rPr>
                              <w:t>in</w:t>
                            </w:r>
                            <w:r>
                              <w:rPr>
                                <w:color w:val="374151"/>
                                <w:spacing w:val="-1"/>
                              </w:rPr>
                              <w:t> </w:t>
                            </w:r>
                            <w:r>
                              <w:rPr>
                                <w:color w:val="374151"/>
                              </w:rPr>
                              <w:t>a</w:t>
                            </w:r>
                            <w:r>
                              <w:rPr>
                                <w:color w:val="374151"/>
                                <w:spacing w:val="-3"/>
                              </w:rPr>
                              <w:t> </w:t>
                            </w:r>
                            <w:r>
                              <w:rPr>
                                <w:color w:val="374151"/>
                              </w:rPr>
                              <w:t>safe</w:t>
                            </w:r>
                            <w:r>
                              <w:rPr>
                                <w:color w:val="374151"/>
                                <w:spacing w:val="-2"/>
                              </w:rPr>
                              <w:t> </w:t>
                            </w:r>
                            <w:r>
                              <w:rPr>
                                <w:color w:val="374151"/>
                              </w:rPr>
                              <w:t>and</w:t>
                            </w:r>
                            <w:r>
                              <w:rPr>
                                <w:color w:val="374151"/>
                                <w:spacing w:val="-1"/>
                              </w:rPr>
                              <w:t> </w:t>
                            </w:r>
                            <w:r>
                              <w:rPr>
                                <w:color w:val="374151"/>
                              </w:rPr>
                              <w:t>controlled</w:t>
                            </w:r>
                            <w:r>
                              <w:rPr>
                                <w:color w:val="374151"/>
                                <w:spacing w:val="-1"/>
                              </w:rPr>
                              <w:t> </w:t>
                            </w:r>
                            <w:r>
                              <w:rPr>
                                <w:color w:val="374151"/>
                                <w:spacing w:val="-2"/>
                              </w:rPr>
                              <w:t>manner.</w:t>
                            </w:r>
                          </w:p>
                        </w:txbxContent>
                      </wps:txbx>
                      <wps:bodyPr wrap="square" lIns="0" tIns="0" rIns="0" bIns="0" rtlCol="0">
                        <a:noAutofit/>
                      </wps:bodyPr>
                    </wps:wsp>
                  </a:graphicData>
                </a:graphic>
              </wp:inline>
            </w:drawing>
          </mc:Choice>
          <mc:Fallback>
            <w:pict>
              <v:shape style="width:339.4pt;height:31pt;mso-position-horizontal-relative:char;mso-position-vertical-relative:line" type="#_x0000_t202" id="docshape234" filled="true" fillcolor="#f7f7f8" stroked="false">
                <w10:anchorlock/>
                <v:textbox inset="0,0,0,0">
                  <w:txbxContent>
                    <w:p>
                      <w:pPr>
                        <w:pStyle w:val="BodyText"/>
                        <w:spacing w:line="308" w:lineRule="exact"/>
                        <w:ind w:right="-15"/>
                        <w:rPr>
                          <w:color w:val="000000"/>
                        </w:rPr>
                      </w:pPr>
                      <w:r>
                        <w:rPr>
                          <w:color w:val="374151"/>
                        </w:rPr>
                        <w:t>process</w:t>
                      </w:r>
                      <w:r>
                        <w:rPr>
                          <w:color w:val="374151"/>
                          <w:spacing w:val="-4"/>
                        </w:rPr>
                        <w:t> </w:t>
                      </w:r>
                      <w:r>
                        <w:rPr>
                          <w:color w:val="374151"/>
                        </w:rPr>
                        <w:t>traumatic</w:t>
                      </w:r>
                      <w:r>
                        <w:rPr>
                          <w:color w:val="374151"/>
                          <w:spacing w:val="-2"/>
                        </w:rPr>
                        <w:t> </w:t>
                      </w:r>
                      <w:r>
                        <w:rPr>
                          <w:color w:val="374151"/>
                        </w:rPr>
                        <w:t>memories</w:t>
                      </w:r>
                      <w:r>
                        <w:rPr>
                          <w:color w:val="374151"/>
                          <w:spacing w:val="-1"/>
                        </w:rPr>
                        <w:t> </w:t>
                      </w:r>
                      <w:r>
                        <w:rPr>
                          <w:color w:val="374151"/>
                        </w:rPr>
                        <w:t>in</w:t>
                      </w:r>
                      <w:r>
                        <w:rPr>
                          <w:color w:val="374151"/>
                          <w:spacing w:val="-1"/>
                        </w:rPr>
                        <w:t> </w:t>
                      </w:r>
                      <w:r>
                        <w:rPr>
                          <w:color w:val="374151"/>
                        </w:rPr>
                        <w:t>a</w:t>
                      </w:r>
                      <w:r>
                        <w:rPr>
                          <w:color w:val="374151"/>
                          <w:spacing w:val="-3"/>
                        </w:rPr>
                        <w:t> </w:t>
                      </w:r>
                      <w:r>
                        <w:rPr>
                          <w:color w:val="374151"/>
                        </w:rPr>
                        <w:t>safe</w:t>
                      </w:r>
                      <w:r>
                        <w:rPr>
                          <w:color w:val="374151"/>
                          <w:spacing w:val="-2"/>
                        </w:rPr>
                        <w:t> </w:t>
                      </w:r>
                      <w:r>
                        <w:rPr>
                          <w:color w:val="374151"/>
                        </w:rPr>
                        <w:t>and</w:t>
                      </w:r>
                      <w:r>
                        <w:rPr>
                          <w:color w:val="374151"/>
                          <w:spacing w:val="-1"/>
                        </w:rPr>
                        <w:t> </w:t>
                      </w:r>
                      <w:r>
                        <w:rPr>
                          <w:color w:val="374151"/>
                        </w:rPr>
                        <w:t>controlled</w:t>
                      </w:r>
                      <w:r>
                        <w:rPr>
                          <w:color w:val="374151"/>
                          <w:spacing w:val="-1"/>
                        </w:rPr>
                        <w:t> </w:t>
                      </w:r>
                      <w:r>
                        <w:rPr>
                          <w:color w:val="374151"/>
                          <w:spacing w:val="-2"/>
                        </w:rPr>
                        <w:t>manner.</w:t>
                      </w:r>
                    </w:p>
                  </w:txbxContent>
                </v:textbox>
                <v:fill type="solid"/>
              </v:shape>
            </w:pict>
          </mc:Fallback>
        </mc:AlternateContent>
      </w:r>
      <w:r>
        <w:rPr>
          <w:sz w:val="20"/>
        </w:rPr>
      </w:r>
    </w:p>
    <w:p>
      <w:pPr>
        <w:pStyle w:val="Heading3"/>
        <w:spacing w:line="283" w:lineRule="exact"/>
        <w:rPr>
          <w:i/>
        </w:rPr>
      </w:pPr>
      <w:r>
        <w:rPr>
          <w:i/>
          <w:color w:val="374151"/>
          <w:shd w:fill="F7F7F8" w:color="auto" w:val="clear"/>
        </w:rPr>
        <w:t>Eye</w:t>
      </w:r>
      <w:r>
        <w:rPr>
          <w:i/>
          <w:color w:val="374151"/>
          <w:spacing w:val="-4"/>
          <w:shd w:fill="F7F7F8" w:color="auto" w:val="clear"/>
        </w:rPr>
        <w:t> </w:t>
      </w:r>
      <w:r>
        <w:rPr>
          <w:i/>
          <w:color w:val="374151"/>
          <w:shd w:fill="F7F7F8" w:color="auto" w:val="clear"/>
        </w:rPr>
        <w:t>Movement</w:t>
      </w:r>
      <w:r>
        <w:rPr>
          <w:i/>
          <w:color w:val="374151"/>
          <w:spacing w:val="-2"/>
          <w:shd w:fill="F7F7F8" w:color="auto" w:val="clear"/>
        </w:rPr>
        <w:t> </w:t>
      </w:r>
      <w:r>
        <w:rPr>
          <w:i/>
          <w:color w:val="374151"/>
          <w:shd w:fill="F7F7F8" w:color="auto" w:val="clear"/>
        </w:rPr>
        <w:t>Desensitization</w:t>
      </w:r>
      <w:r>
        <w:rPr>
          <w:i/>
          <w:color w:val="374151"/>
          <w:spacing w:val="-3"/>
          <w:shd w:fill="F7F7F8" w:color="auto" w:val="clear"/>
        </w:rPr>
        <w:t> </w:t>
      </w:r>
      <w:r>
        <w:rPr>
          <w:i/>
          <w:color w:val="374151"/>
          <w:shd w:fill="F7F7F8" w:color="auto" w:val="clear"/>
        </w:rPr>
        <w:t>and</w:t>
      </w:r>
      <w:r>
        <w:rPr>
          <w:i/>
          <w:color w:val="374151"/>
          <w:spacing w:val="-2"/>
          <w:shd w:fill="F7F7F8" w:color="auto" w:val="clear"/>
        </w:rPr>
        <w:t> </w:t>
      </w:r>
      <w:r>
        <w:rPr>
          <w:i/>
          <w:color w:val="374151"/>
          <w:shd w:fill="F7F7F8" w:color="auto" w:val="clear"/>
        </w:rPr>
        <w:t>Reprocessing</w:t>
      </w:r>
      <w:r>
        <w:rPr>
          <w:i/>
          <w:color w:val="374151"/>
          <w:spacing w:val="-2"/>
          <w:shd w:fill="F7F7F8" w:color="auto" w:val="clear"/>
        </w:rPr>
        <w:t> (EMDR)</w:t>
      </w:r>
    </w:p>
    <w:p>
      <w:pPr>
        <w:pStyle w:val="BodyText"/>
        <w:spacing w:before="7"/>
        <w:rPr>
          <w:b/>
          <w:i/>
          <w:sz w:val="27"/>
        </w:rPr>
      </w:pPr>
    </w:p>
    <w:p>
      <w:pPr>
        <w:pStyle w:val="BodyText"/>
        <w:ind w:left="280" w:right="498"/>
      </w:pPr>
      <w:r>
        <w:rPr>
          <w:color w:val="374151"/>
          <w:shd w:fill="F7F7F8" w:color="auto" w:val="clear"/>
        </w:rPr>
        <w:t>EMDR is a therapeutic technique specifically designed to address trauma. It </w:t>
      </w:r>
      <w:r>
        <w:rPr>
          <w:color w:val="374151"/>
        </w:rPr>
        <w:t> </w:t>
      </w:r>
      <w:r>
        <w:rPr>
          <w:color w:val="374151"/>
          <w:shd w:fill="F7F7F8" w:color="auto" w:val="clear"/>
        </w:rPr>
        <w:t>involves bilateral stimulation (such as eye movements or tapping) while the </w:t>
      </w:r>
      <w:r>
        <w:rPr>
          <w:color w:val="374151"/>
        </w:rPr>
        <w:t> </w:t>
      </w:r>
      <w:r>
        <w:rPr>
          <w:color w:val="374151"/>
          <w:shd w:fill="F7F7F8" w:color="auto" w:val="clear"/>
        </w:rPr>
        <w:t>survivor</w:t>
      </w:r>
      <w:r>
        <w:rPr>
          <w:color w:val="374151"/>
          <w:spacing w:val="-4"/>
          <w:shd w:fill="F7F7F8" w:color="auto" w:val="clear"/>
        </w:rPr>
        <w:t> </w:t>
      </w:r>
      <w:r>
        <w:rPr>
          <w:color w:val="374151"/>
          <w:shd w:fill="F7F7F8" w:color="auto" w:val="clear"/>
        </w:rPr>
        <w:t>mentally</w:t>
      </w:r>
      <w:r>
        <w:rPr>
          <w:color w:val="374151"/>
          <w:spacing w:val="-5"/>
        </w:rPr>
        <w:t> </w:t>
      </w:r>
      <w:r>
        <w:rPr>
          <w:color w:val="374151"/>
          <w:shd w:fill="F7F7F8" w:color="auto" w:val="clear"/>
        </w:rPr>
        <w:t>focuses</w:t>
      </w:r>
      <w:r>
        <w:rPr>
          <w:color w:val="374151"/>
          <w:spacing w:val="-4"/>
          <w:shd w:fill="F7F7F8" w:color="auto" w:val="clear"/>
        </w:rPr>
        <w:t> </w:t>
      </w:r>
      <w:r>
        <w:rPr>
          <w:color w:val="374151"/>
          <w:shd w:fill="F7F7F8" w:color="auto" w:val="clear"/>
        </w:rPr>
        <w:t>on</w:t>
      </w:r>
      <w:r>
        <w:rPr>
          <w:color w:val="374151"/>
          <w:spacing w:val="-4"/>
          <w:shd w:fill="F7F7F8" w:color="auto" w:val="clear"/>
        </w:rPr>
        <w:t> </w:t>
      </w:r>
      <w:r>
        <w:rPr>
          <w:color w:val="374151"/>
          <w:shd w:fill="F7F7F8" w:color="auto" w:val="clear"/>
        </w:rPr>
        <w:t>distressing</w:t>
      </w:r>
      <w:r>
        <w:rPr>
          <w:color w:val="374151"/>
          <w:spacing w:val="-4"/>
          <w:shd w:fill="F7F7F8" w:color="auto" w:val="clear"/>
        </w:rPr>
        <w:t> </w:t>
      </w:r>
      <w:r>
        <w:rPr>
          <w:color w:val="374151"/>
          <w:shd w:fill="F7F7F8" w:color="auto" w:val="clear"/>
        </w:rPr>
        <w:t>memories</w:t>
      </w:r>
      <w:r>
        <w:rPr>
          <w:color w:val="374151"/>
          <w:spacing w:val="-4"/>
          <w:shd w:fill="F7F7F8" w:color="auto" w:val="clear"/>
        </w:rPr>
        <w:t> </w:t>
      </w:r>
      <w:r>
        <w:rPr>
          <w:color w:val="374151"/>
          <w:shd w:fill="F7F7F8" w:color="auto" w:val="clear"/>
        </w:rPr>
        <w:t>or</w:t>
      </w:r>
      <w:r>
        <w:rPr>
          <w:color w:val="374151"/>
          <w:spacing w:val="-4"/>
          <w:shd w:fill="F7F7F8" w:color="auto" w:val="clear"/>
        </w:rPr>
        <w:t> </w:t>
      </w:r>
      <w:r>
        <w:rPr>
          <w:color w:val="374151"/>
          <w:shd w:fill="F7F7F8" w:color="auto" w:val="clear"/>
        </w:rPr>
        <w:t>triggers.</w:t>
      </w:r>
      <w:r>
        <w:rPr>
          <w:color w:val="374151"/>
          <w:spacing w:val="-4"/>
          <w:shd w:fill="F7F7F8" w:color="auto" w:val="clear"/>
        </w:rPr>
        <w:t> </w:t>
      </w:r>
      <w:r>
        <w:rPr>
          <w:color w:val="374151"/>
          <w:shd w:fill="F7F7F8" w:color="auto" w:val="clear"/>
        </w:rPr>
        <w:t>EMDR</w:t>
      </w:r>
      <w:r>
        <w:rPr>
          <w:color w:val="374151"/>
          <w:spacing w:val="-4"/>
          <w:shd w:fill="F7F7F8" w:color="auto" w:val="clear"/>
        </w:rPr>
        <w:t> </w:t>
      </w:r>
      <w:r>
        <w:rPr>
          <w:color w:val="374151"/>
          <w:shd w:fill="F7F7F8" w:color="auto" w:val="clear"/>
        </w:rPr>
        <w:t>helps</w:t>
      </w:r>
      <w:r>
        <w:rPr>
          <w:color w:val="374151"/>
          <w:spacing w:val="-4"/>
          <w:shd w:fill="F7F7F8" w:color="auto" w:val="clear"/>
        </w:rPr>
        <w:t> </w:t>
      </w:r>
      <w:r>
        <w:rPr>
          <w:color w:val="374151"/>
          <w:shd w:fill="F7F7F8" w:color="auto" w:val="clear"/>
        </w:rPr>
        <w:t>to</w:t>
      </w:r>
      <w:r>
        <w:rPr>
          <w:color w:val="374151"/>
          <w:spacing w:val="-6"/>
          <w:shd w:fill="F7F7F8" w:color="auto" w:val="clear"/>
        </w:rPr>
        <w:t> </w:t>
      </w:r>
      <w:r>
        <w:rPr>
          <w:color w:val="374151"/>
          <w:spacing w:val="-6"/>
        </w:rPr>
        <w:t> </w:t>
      </w:r>
      <w:r>
        <w:rPr>
          <w:color w:val="374151"/>
          <w:shd w:fill="F7F7F8" w:color="auto" w:val="clear"/>
        </w:rPr>
        <w:t>reprocess traumatic experiences and reduce their emotional intensity. It has </w:t>
      </w:r>
      <w:r>
        <w:rPr>
          <w:color w:val="374151"/>
        </w:rPr>
        <w:t> </w:t>
      </w:r>
      <w:r>
        <w:rPr>
          <w:color w:val="374151"/>
          <w:shd w:fill="F7F7F8" w:color="auto" w:val="clear"/>
        </w:rPr>
        <w:t>shown promising results in treating post-traumatic stress disorder (PTSD) and </w:t>
      </w:r>
      <w:r>
        <w:rPr>
          <w:color w:val="374151"/>
        </w:rPr>
        <w:t> </w:t>
      </w:r>
      <w:r>
        <w:rPr>
          <w:color w:val="374151"/>
          <w:shd w:fill="F7F7F8" w:color="auto" w:val="clear"/>
        </w:rPr>
        <w:t>trauma-related symptoms in survivors of sexual violence.</w:t>
      </w:r>
    </w:p>
    <w:p>
      <w:pPr>
        <w:pStyle w:val="BodyText"/>
        <w:spacing w:before="11"/>
        <w:rPr>
          <w:sz w:val="25"/>
        </w:rPr>
      </w:pPr>
      <w:r>
        <w:rPr/>
        <mc:AlternateContent>
          <mc:Choice Requires="wps">
            <w:drawing>
              <wp:anchor distT="0" distB="0" distL="0" distR="0" allowOverlap="1" layoutInCell="1" locked="0" behindDoc="1" simplePos="0" relativeHeight="487642112">
                <wp:simplePos x="0" y="0"/>
                <wp:positionH relativeFrom="page">
                  <wp:posOffset>1066800</wp:posOffset>
                </wp:positionH>
                <wp:positionV relativeFrom="paragraph">
                  <wp:posOffset>204840</wp:posOffset>
                </wp:positionV>
                <wp:extent cx="1358265" cy="393700"/>
                <wp:effectExtent l="0" t="0" r="0" b="0"/>
                <wp:wrapTopAndBottom/>
                <wp:docPr id="236" name="Textbox 236"/>
                <wp:cNvGraphicFramePr>
                  <a:graphicFrameLocks/>
                </wp:cNvGraphicFramePr>
                <a:graphic>
                  <a:graphicData uri="http://schemas.microsoft.com/office/word/2010/wordprocessingShape">
                    <wps:wsp>
                      <wps:cNvPr id="236" name="Textbox 236"/>
                      <wps:cNvSpPr txBox="1"/>
                      <wps:spPr>
                        <a:xfrm>
                          <a:off x="0" y="0"/>
                          <a:ext cx="1358265"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z w:val="28"/>
                              </w:rPr>
                              <w:t>Narrative</w:t>
                            </w:r>
                            <w:r>
                              <w:rPr>
                                <w:b/>
                                <w:i/>
                                <w:color w:val="374151"/>
                                <w:spacing w:val="-3"/>
                                <w:sz w:val="28"/>
                              </w:rPr>
                              <w:t> </w:t>
                            </w:r>
                            <w:r>
                              <w:rPr>
                                <w:b/>
                                <w:i/>
                                <w:color w:val="374151"/>
                                <w:spacing w:val="-2"/>
                                <w:sz w:val="28"/>
                              </w:rPr>
                              <w:t>Therapy</w:t>
                            </w:r>
                          </w:p>
                        </w:txbxContent>
                      </wps:txbx>
                      <wps:bodyPr wrap="square" lIns="0" tIns="0" rIns="0" bIns="0" rtlCol="0">
                        <a:noAutofit/>
                      </wps:bodyPr>
                    </wps:wsp>
                  </a:graphicData>
                </a:graphic>
              </wp:anchor>
            </w:drawing>
          </mc:Choice>
          <mc:Fallback>
            <w:pict>
              <v:shape style="position:absolute;margin-left:84pt;margin-top:16.129187pt;width:106.95pt;height:31pt;mso-position-horizontal-relative:page;mso-position-vertical-relative:paragraph;z-index:-15674368;mso-wrap-distance-left:0;mso-wrap-distance-right:0" type="#_x0000_t202" id="docshape235" filled="true" fillcolor="#f7f7f8" stroked="false">
                <v:textbox inset="0,0,0,0">
                  <w:txbxContent>
                    <w:p>
                      <w:pPr>
                        <w:spacing w:line="308" w:lineRule="exact" w:before="0"/>
                        <w:ind w:left="0" w:right="-15" w:firstLine="0"/>
                        <w:jc w:val="left"/>
                        <w:rPr>
                          <w:b/>
                          <w:i/>
                          <w:color w:val="000000"/>
                          <w:sz w:val="28"/>
                        </w:rPr>
                      </w:pPr>
                      <w:r>
                        <w:rPr>
                          <w:b/>
                          <w:i/>
                          <w:color w:val="374151"/>
                          <w:sz w:val="28"/>
                        </w:rPr>
                        <w:t>Narrative</w:t>
                      </w:r>
                      <w:r>
                        <w:rPr>
                          <w:b/>
                          <w:i/>
                          <w:color w:val="374151"/>
                          <w:spacing w:val="-3"/>
                          <w:sz w:val="28"/>
                        </w:rPr>
                        <w:t> </w:t>
                      </w:r>
                      <w:r>
                        <w:rPr>
                          <w:b/>
                          <w:i/>
                          <w:color w:val="374151"/>
                          <w:spacing w:val="-2"/>
                          <w:sz w:val="28"/>
                        </w:rPr>
                        <w:t>Therapy</w:t>
                      </w:r>
                    </w:p>
                  </w:txbxContent>
                </v:textbox>
                <v:fill type="solid"/>
                <w10:wrap type="topAndBottom"/>
              </v:shape>
            </w:pict>
          </mc:Fallback>
        </mc:AlternateContent>
      </w:r>
    </w:p>
    <w:p>
      <w:pPr>
        <w:pStyle w:val="BodyText"/>
        <w:spacing w:line="237" w:lineRule="auto" w:after="6"/>
        <w:ind w:left="280" w:right="502"/>
      </w:pPr>
      <w:r>
        <w:rPr>
          <w:color w:val="374151"/>
          <w:shd w:fill="F7F7F8" w:color="auto" w:val="clear"/>
        </w:rPr>
        <w:t>Narrative</w:t>
      </w:r>
      <w:r>
        <w:rPr>
          <w:color w:val="374151"/>
          <w:spacing w:val="-5"/>
          <w:shd w:fill="F7F7F8" w:color="auto" w:val="clear"/>
        </w:rPr>
        <w:t> </w:t>
      </w:r>
      <w:r>
        <w:rPr>
          <w:color w:val="374151"/>
          <w:shd w:fill="F7F7F8" w:color="auto" w:val="clear"/>
        </w:rPr>
        <w:t>therapy</w:t>
      </w:r>
      <w:r>
        <w:rPr>
          <w:color w:val="374151"/>
          <w:spacing w:val="-4"/>
          <w:shd w:fill="F7F7F8" w:color="auto" w:val="clear"/>
        </w:rPr>
        <w:t> </w:t>
      </w:r>
      <w:r>
        <w:rPr>
          <w:color w:val="374151"/>
          <w:shd w:fill="F7F7F8" w:color="auto" w:val="clear"/>
        </w:rPr>
        <w:t>focuses</w:t>
      </w:r>
      <w:r>
        <w:rPr>
          <w:color w:val="374151"/>
          <w:spacing w:val="-4"/>
          <w:shd w:fill="F7F7F8" w:color="auto" w:val="clear"/>
        </w:rPr>
        <w:t> </w:t>
      </w:r>
      <w:r>
        <w:rPr>
          <w:color w:val="374151"/>
          <w:shd w:fill="F7F7F8" w:color="auto" w:val="clear"/>
        </w:rPr>
        <w:t>on</w:t>
      </w:r>
      <w:r>
        <w:rPr>
          <w:color w:val="374151"/>
          <w:spacing w:val="-4"/>
          <w:shd w:fill="F7F7F8" w:color="auto" w:val="clear"/>
        </w:rPr>
        <w:t> </w:t>
      </w:r>
      <w:r>
        <w:rPr>
          <w:color w:val="374151"/>
          <w:shd w:fill="F7F7F8" w:color="auto" w:val="clear"/>
        </w:rPr>
        <w:t>helping</w:t>
      </w:r>
      <w:r>
        <w:rPr>
          <w:color w:val="374151"/>
          <w:spacing w:val="-4"/>
          <w:shd w:fill="F7F7F8" w:color="auto" w:val="clear"/>
        </w:rPr>
        <w:t> </w:t>
      </w:r>
      <w:r>
        <w:rPr>
          <w:color w:val="374151"/>
          <w:shd w:fill="F7F7F8" w:color="auto" w:val="clear"/>
        </w:rPr>
        <w:t>survivors</w:t>
      </w:r>
      <w:r>
        <w:rPr>
          <w:color w:val="374151"/>
          <w:spacing w:val="-4"/>
          <w:shd w:fill="F7F7F8" w:color="auto" w:val="clear"/>
        </w:rPr>
        <w:t> </w:t>
      </w:r>
      <w:r>
        <w:rPr>
          <w:color w:val="374151"/>
          <w:shd w:fill="F7F7F8" w:color="auto" w:val="clear"/>
        </w:rPr>
        <w:t>reconstruct</w:t>
      </w:r>
      <w:r>
        <w:rPr>
          <w:color w:val="374151"/>
          <w:spacing w:val="-4"/>
          <w:shd w:fill="F7F7F8" w:color="auto" w:val="clear"/>
        </w:rPr>
        <w:t> </w:t>
      </w:r>
      <w:r>
        <w:rPr>
          <w:color w:val="374151"/>
          <w:shd w:fill="F7F7F8" w:color="auto" w:val="clear"/>
        </w:rPr>
        <w:t>their</w:t>
      </w:r>
      <w:r>
        <w:rPr>
          <w:color w:val="374151"/>
          <w:spacing w:val="-4"/>
          <w:shd w:fill="F7F7F8" w:color="auto" w:val="clear"/>
        </w:rPr>
        <w:t> </w:t>
      </w:r>
      <w:r>
        <w:rPr>
          <w:color w:val="374151"/>
          <w:shd w:fill="F7F7F8" w:color="auto" w:val="clear"/>
        </w:rPr>
        <w:t>personal</w:t>
      </w:r>
      <w:r>
        <w:rPr>
          <w:color w:val="374151"/>
          <w:spacing w:val="-5"/>
          <w:shd w:fill="F7F7F8" w:color="auto" w:val="clear"/>
        </w:rPr>
        <w:t> </w:t>
      </w:r>
      <w:r>
        <w:rPr>
          <w:color w:val="374151"/>
          <w:spacing w:val="-5"/>
        </w:rPr>
        <w:t> </w:t>
      </w:r>
      <w:r>
        <w:rPr>
          <w:color w:val="374151"/>
          <w:shd w:fill="F7F7F8" w:color="auto" w:val="clear"/>
        </w:rPr>
        <w:t>narratives and reclaim their sense of agency and resilience. Therapists </w:t>
      </w:r>
      <w:r>
        <w:rPr>
          <w:color w:val="374151"/>
        </w:rPr>
        <w:t> </w:t>
      </w:r>
      <w:r>
        <w:rPr>
          <w:color w:val="374151"/>
          <w:shd w:fill="F7F7F8" w:color="auto" w:val="clear"/>
        </w:rPr>
        <w:t>collaborate with survivors to explore alternative interpretations of their </w:t>
      </w:r>
      <w:r>
        <w:rPr>
          <w:color w:val="374151"/>
        </w:rPr>
        <w:t> </w:t>
      </w:r>
      <w:r>
        <w:rPr>
          <w:color w:val="374151"/>
          <w:shd w:fill="F7F7F8" w:color="auto" w:val="clear"/>
        </w:rPr>
        <w:t>experiences, identify strengths, and develop a coherent and empowering </w:t>
      </w:r>
      <w:r>
        <w:rPr>
          <w:color w:val="374151"/>
        </w:rPr>
        <w:t> </w:t>
      </w:r>
      <w:r>
        <w:rPr>
          <w:color w:val="374151"/>
          <w:shd w:fill="F7F7F8" w:color="auto" w:val="clear"/>
        </w:rPr>
        <w:t>narrative. This approach can facilitate healing and promote a sense of</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569970" cy="787400"/>
                <wp:effectExtent l="0" t="0" r="0" b="3175"/>
                <wp:docPr id="237" name="Group 237"/>
                <wp:cNvGraphicFramePr>
                  <a:graphicFrameLocks/>
                </wp:cNvGraphicFramePr>
                <a:graphic>
                  <a:graphicData uri="http://schemas.microsoft.com/office/word/2010/wordprocessingGroup">
                    <wpg:wgp>
                      <wpg:cNvPr id="237" name="Group 237"/>
                      <wpg:cNvGrpSpPr/>
                      <wpg:grpSpPr>
                        <a:xfrm>
                          <a:off x="0" y="0"/>
                          <a:ext cx="3569970" cy="787400"/>
                          <a:chExt cx="3569970" cy="787400"/>
                        </a:xfrm>
                      </wpg:grpSpPr>
                      <wps:wsp>
                        <wps:cNvPr id="238" name="Textbox 238"/>
                        <wps:cNvSpPr txBox="1"/>
                        <wps:spPr>
                          <a:xfrm>
                            <a:off x="0" y="393700"/>
                            <a:ext cx="266763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Group</w:t>
                              </w:r>
                              <w:r>
                                <w:rPr>
                                  <w:b/>
                                  <w:i/>
                                  <w:color w:val="374151"/>
                                  <w:spacing w:val="-2"/>
                                  <w:sz w:val="28"/>
                                </w:rPr>
                                <w:t> </w:t>
                              </w:r>
                              <w:r>
                                <w:rPr>
                                  <w:b/>
                                  <w:i/>
                                  <w:color w:val="374151"/>
                                  <w:sz w:val="28"/>
                                </w:rPr>
                                <w:t>Therapy</w:t>
                              </w:r>
                              <w:r>
                                <w:rPr>
                                  <w:b/>
                                  <w:i/>
                                  <w:color w:val="374151"/>
                                  <w:spacing w:val="-3"/>
                                  <w:sz w:val="28"/>
                                </w:rPr>
                                <w:t> </w:t>
                              </w:r>
                              <w:r>
                                <w:rPr>
                                  <w:b/>
                                  <w:i/>
                                  <w:color w:val="374151"/>
                                  <w:sz w:val="28"/>
                                </w:rPr>
                                <w:t>and</w:t>
                              </w:r>
                              <w:r>
                                <w:rPr>
                                  <w:b/>
                                  <w:i/>
                                  <w:color w:val="374151"/>
                                  <w:spacing w:val="-2"/>
                                  <w:sz w:val="28"/>
                                </w:rPr>
                                <w:t> </w:t>
                              </w:r>
                              <w:r>
                                <w:rPr>
                                  <w:b/>
                                  <w:i/>
                                  <w:color w:val="374151"/>
                                  <w:sz w:val="28"/>
                                </w:rPr>
                                <w:t>Support</w:t>
                              </w:r>
                              <w:r>
                                <w:rPr>
                                  <w:b/>
                                  <w:i/>
                                  <w:color w:val="374151"/>
                                  <w:spacing w:val="-1"/>
                                  <w:sz w:val="28"/>
                                </w:rPr>
                                <w:t> </w:t>
                              </w:r>
                              <w:r>
                                <w:rPr>
                                  <w:b/>
                                  <w:i/>
                                  <w:color w:val="374151"/>
                                  <w:spacing w:val="-2"/>
                                  <w:sz w:val="28"/>
                                </w:rPr>
                                <w:t>Groups</w:t>
                              </w:r>
                            </w:p>
                          </w:txbxContent>
                        </wps:txbx>
                        <wps:bodyPr wrap="square" lIns="0" tIns="0" rIns="0" bIns="0" rtlCol="0">
                          <a:noAutofit/>
                        </wps:bodyPr>
                      </wps:wsp>
                      <wps:wsp>
                        <wps:cNvPr id="239" name="Textbox 239"/>
                        <wps:cNvSpPr txBox="1"/>
                        <wps:spPr>
                          <a:xfrm>
                            <a:off x="0" y="0"/>
                            <a:ext cx="356997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empowerment</w:t>
                              </w:r>
                              <w:r>
                                <w:rPr>
                                  <w:color w:val="374151"/>
                                  <w:spacing w:val="-5"/>
                                  <w:sz w:val="28"/>
                                </w:rPr>
                                <w:t> </w:t>
                              </w:r>
                              <w:r>
                                <w:rPr>
                                  <w:color w:val="374151"/>
                                  <w:sz w:val="28"/>
                                </w:rPr>
                                <w:t>and</w:t>
                              </w:r>
                              <w:r>
                                <w:rPr>
                                  <w:color w:val="374151"/>
                                  <w:spacing w:val="-2"/>
                                  <w:sz w:val="28"/>
                                </w:rPr>
                                <w:t> </w:t>
                              </w:r>
                              <w:r>
                                <w:rPr>
                                  <w:color w:val="374151"/>
                                  <w:sz w:val="28"/>
                                </w:rPr>
                                <w:t>meaning-making</w:t>
                              </w:r>
                              <w:r>
                                <w:rPr>
                                  <w:color w:val="374151"/>
                                  <w:spacing w:val="-2"/>
                                  <w:sz w:val="28"/>
                                </w:rPr>
                                <w:t> </w:t>
                              </w:r>
                              <w:r>
                                <w:rPr>
                                  <w:color w:val="374151"/>
                                  <w:sz w:val="28"/>
                                </w:rPr>
                                <w:t>for</w:t>
                              </w:r>
                              <w:r>
                                <w:rPr>
                                  <w:color w:val="374151"/>
                                  <w:spacing w:val="-2"/>
                                  <w:sz w:val="28"/>
                                </w:rPr>
                                <w:t> survivors.</w:t>
                              </w:r>
                            </w:p>
                          </w:txbxContent>
                        </wps:txbx>
                        <wps:bodyPr wrap="square" lIns="0" tIns="0" rIns="0" bIns="0" rtlCol="0">
                          <a:noAutofit/>
                        </wps:bodyPr>
                      </wps:wsp>
                    </wpg:wgp>
                  </a:graphicData>
                </a:graphic>
              </wp:inline>
            </w:drawing>
          </mc:Choice>
          <mc:Fallback>
            <w:pict>
              <v:group style="width:281.1pt;height:62pt;mso-position-horizontal-relative:char;mso-position-vertical-relative:line" id="docshapegroup236" coordorigin="0,0" coordsize="5622,1240">
                <v:shape style="position:absolute;left:0;top:620;width:4201;height:620" type="#_x0000_t202" id="docshape237" filled="true" fillcolor="#f7f7f8" stroked="false">
                  <v:textbox inset="0,0,0,0">
                    <w:txbxContent>
                      <w:p>
                        <w:pPr>
                          <w:spacing w:line="308" w:lineRule="exact" w:before="0"/>
                          <w:ind w:left="0" w:right="0" w:firstLine="0"/>
                          <w:jc w:val="left"/>
                          <w:rPr>
                            <w:b/>
                            <w:i/>
                            <w:color w:val="000000"/>
                            <w:sz w:val="28"/>
                          </w:rPr>
                        </w:pPr>
                        <w:r>
                          <w:rPr>
                            <w:b/>
                            <w:i/>
                            <w:color w:val="374151"/>
                            <w:sz w:val="28"/>
                          </w:rPr>
                          <w:t>Group</w:t>
                        </w:r>
                        <w:r>
                          <w:rPr>
                            <w:b/>
                            <w:i/>
                            <w:color w:val="374151"/>
                            <w:spacing w:val="-2"/>
                            <w:sz w:val="28"/>
                          </w:rPr>
                          <w:t> </w:t>
                        </w:r>
                        <w:r>
                          <w:rPr>
                            <w:b/>
                            <w:i/>
                            <w:color w:val="374151"/>
                            <w:sz w:val="28"/>
                          </w:rPr>
                          <w:t>Therapy</w:t>
                        </w:r>
                        <w:r>
                          <w:rPr>
                            <w:b/>
                            <w:i/>
                            <w:color w:val="374151"/>
                            <w:spacing w:val="-3"/>
                            <w:sz w:val="28"/>
                          </w:rPr>
                          <w:t> </w:t>
                        </w:r>
                        <w:r>
                          <w:rPr>
                            <w:b/>
                            <w:i/>
                            <w:color w:val="374151"/>
                            <w:sz w:val="28"/>
                          </w:rPr>
                          <w:t>and</w:t>
                        </w:r>
                        <w:r>
                          <w:rPr>
                            <w:b/>
                            <w:i/>
                            <w:color w:val="374151"/>
                            <w:spacing w:val="-2"/>
                            <w:sz w:val="28"/>
                          </w:rPr>
                          <w:t> </w:t>
                        </w:r>
                        <w:r>
                          <w:rPr>
                            <w:b/>
                            <w:i/>
                            <w:color w:val="374151"/>
                            <w:sz w:val="28"/>
                          </w:rPr>
                          <w:t>Support</w:t>
                        </w:r>
                        <w:r>
                          <w:rPr>
                            <w:b/>
                            <w:i/>
                            <w:color w:val="374151"/>
                            <w:spacing w:val="-1"/>
                            <w:sz w:val="28"/>
                          </w:rPr>
                          <w:t> </w:t>
                        </w:r>
                        <w:r>
                          <w:rPr>
                            <w:b/>
                            <w:i/>
                            <w:color w:val="374151"/>
                            <w:spacing w:val="-2"/>
                            <w:sz w:val="28"/>
                          </w:rPr>
                          <w:t>Groups</w:t>
                        </w:r>
                      </w:p>
                    </w:txbxContent>
                  </v:textbox>
                  <v:fill type="solid"/>
                  <w10:wrap type="none"/>
                </v:shape>
                <v:shape style="position:absolute;left:0;top:0;width:5622;height:620" type="#_x0000_t202" id="docshape238" filled="true" fillcolor="#f7f7f8" stroked="false">
                  <v:textbox inset="0,0,0,0">
                    <w:txbxContent>
                      <w:p>
                        <w:pPr>
                          <w:spacing w:line="308" w:lineRule="exact" w:before="0"/>
                          <w:ind w:left="0" w:right="-15" w:firstLine="0"/>
                          <w:jc w:val="left"/>
                          <w:rPr>
                            <w:color w:val="000000"/>
                            <w:sz w:val="28"/>
                          </w:rPr>
                        </w:pPr>
                        <w:r>
                          <w:rPr>
                            <w:color w:val="374151"/>
                            <w:sz w:val="28"/>
                          </w:rPr>
                          <w:t>empowerment</w:t>
                        </w:r>
                        <w:r>
                          <w:rPr>
                            <w:color w:val="374151"/>
                            <w:spacing w:val="-5"/>
                            <w:sz w:val="28"/>
                          </w:rPr>
                          <w:t> </w:t>
                        </w:r>
                        <w:r>
                          <w:rPr>
                            <w:color w:val="374151"/>
                            <w:sz w:val="28"/>
                          </w:rPr>
                          <w:t>and</w:t>
                        </w:r>
                        <w:r>
                          <w:rPr>
                            <w:color w:val="374151"/>
                            <w:spacing w:val="-2"/>
                            <w:sz w:val="28"/>
                          </w:rPr>
                          <w:t> </w:t>
                        </w:r>
                        <w:r>
                          <w:rPr>
                            <w:color w:val="374151"/>
                            <w:sz w:val="28"/>
                          </w:rPr>
                          <w:t>meaning-making</w:t>
                        </w:r>
                        <w:r>
                          <w:rPr>
                            <w:color w:val="374151"/>
                            <w:spacing w:val="-2"/>
                            <w:sz w:val="28"/>
                          </w:rPr>
                          <w:t> </w:t>
                        </w:r>
                        <w:r>
                          <w:rPr>
                            <w:color w:val="374151"/>
                            <w:sz w:val="28"/>
                          </w:rPr>
                          <w:t>for</w:t>
                        </w:r>
                        <w:r>
                          <w:rPr>
                            <w:color w:val="374151"/>
                            <w:spacing w:val="-2"/>
                            <w:sz w:val="28"/>
                          </w:rPr>
                          <w:t> survivors.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Group</w:t>
      </w:r>
      <w:r>
        <w:rPr>
          <w:color w:val="374151"/>
          <w:spacing w:val="-2"/>
          <w:shd w:fill="F7F7F8" w:color="auto" w:val="clear"/>
        </w:rPr>
        <w:t> </w:t>
      </w:r>
      <w:r>
        <w:rPr>
          <w:color w:val="374151"/>
          <w:shd w:fill="F7F7F8" w:color="auto" w:val="clear"/>
        </w:rPr>
        <w:t>therapy</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support</w:t>
      </w:r>
      <w:r>
        <w:rPr>
          <w:color w:val="374151"/>
          <w:spacing w:val="-1"/>
          <w:shd w:fill="F7F7F8" w:color="auto" w:val="clear"/>
        </w:rPr>
        <w:t> </w:t>
      </w:r>
      <w:r>
        <w:rPr>
          <w:color w:val="374151"/>
          <w:shd w:fill="F7F7F8" w:color="auto" w:val="clear"/>
        </w:rPr>
        <w:t>groups</w:t>
      </w:r>
      <w:r>
        <w:rPr>
          <w:color w:val="374151"/>
          <w:spacing w:val="-2"/>
          <w:shd w:fill="F7F7F8" w:color="auto" w:val="clear"/>
        </w:rPr>
        <w:t> </w:t>
      </w:r>
      <w:r>
        <w:rPr>
          <w:color w:val="374151"/>
          <w:shd w:fill="F7F7F8" w:color="auto" w:val="clear"/>
        </w:rPr>
        <w:t>provide</w:t>
      </w:r>
      <w:r>
        <w:rPr>
          <w:color w:val="374151"/>
          <w:spacing w:val="-2"/>
          <w:shd w:fill="F7F7F8" w:color="auto" w:val="clear"/>
        </w:rPr>
        <w:t> </w:t>
      </w:r>
      <w:r>
        <w:rPr>
          <w:color w:val="374151"/>
          <w:shd w:fill="F7F7F8" w:color="auto" w:val="clear"/>
        </w:rPr>
        <w:t>survivors</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safe</w:t>
      </w:r>
      <w:r>
        <w:rPr>
          <w:color w:val="374151"/>
          <w:spacing w:val="-2"/>
          <w:shd w:fill="F7F7F8" w:color="auto" w:val="clear"/>
        </w:rPr>
        <w:t> </w:t>
      </w:r>
      <w:r>
        <w:rPr>
          <w:color w:val="374151"/>
          <w:spacing w:val="-5"/>
          <w:shd w:fill="F7F7F8" w:color="auto" w:val="clear"/>
        </w:rPr>
        <w:t>and</w:t>
      </w:r>
      <w:r>
        <w:rPr>
          <w:color w:val="374151"/>
          <w:spacing w:val="40"/>
          <w:shd w:fill="F7F7F8" w:color="auto" w:val="clear"/>
        </w:rPr>
        <w:t> </w:t>
      </w:r>
    </w:p>
    <w:p>
      <w:pPr>
        <w:pStyle w:val="BodyText"/>
        <w:ind w:left="280" w:right="502"/>
      </w:pPr>
      <w:r>
        <w:rPr>
          <w:color w:val="374151"/>
          <w:shd w:fill="F7F7F8" w:color="auto" w:val="clear"/>
        </w:rPr>
        <w:t>supportive</w:t>
      </w:r>
      <w:r>
        <w:rPr>
          <w:color w:val="374151"/>
          <w:spacing w:val="-5"/>
          <w:shd w:fill="F7F7F8" w:color="auto" w:val="clear"/>
        </w:rPr>
        <w:t> </w:t>
      </w:r>
      <w:r>
        <w:rPr>
          <w:color w:val="374151"/>
          <w:shd w:fill="F7F7F8" w:color="auto" w:val="clear"/>
        </w:rPr>
        <w:t>community</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individuals</w:t>
      </w:r>
      <w:r>
        <w:rPr>
          <w:color w:val="374151"/>
          <w:spacing w:val="-4"/>
          <w:shd w:fill="F7F7F8" w:color="auto" w:val="clear"/>
        </w:rPr>
        <w:t> </w:t>
      </w:r>
      <w:r>
        <w:rPr>
          <w:color w:val="374151"/>
          <w:shd w:fill="F7F7F8" w:color="auto" w:val="clear"/>
        </w:rPr>
        <w:t>who</w:t>
      </w:r>
      <w:r>
        <w:rPr>
          <w:color w:val="374151"/>
          <w:spacing w:val="-4"/>
          <w:shd w:fill="F7F7F8" w:color="auto" w:val="clear"/>
        </w:rPr>
        <w:t> </w:t>
      </w:r>
      <w:r>
        <w:rPr>
          <w:color w:val="374151"/>
          <w:shd w:fill="F7F7F8" w:color="auto" w:val="clear"/>
        </w:rPr>
        <w:t>have</w:t>
      </w:r>
      <w:r>
        <w:rPr>
          <w:color w:val="374151"/>
          <w:spacing w:val="-5"/>
          <w:shd w:fill="F7F7F8" w:color="auto" w:val="clear"/>
        </w:rPr>
        <w:t> </w:t>
      </w:r>
      <w:r>
        <w:rPr>
          <w:color w:val="374151"/>
          <w:shd w:fill="F7F7F8" w:color="auto" w:val="clear"/>
        </w:rPr>
        <w:t>shared</w:t>
      </w:r>
      <w:r>
        <w:rPr>
          <w:color w:val="374151"/>
          <w:spacing w:val="-4"/>
          <w:shd w:fill="F7F7F8" w:color="auto" w:val="clear"/>
        </w:rPr>
        <w:t> </w:t>
      </w:r>
      <w:r>
        <w:rPr>
          <w:color w:val="374151"/>
          <w:shd w:fill="F7F7F8" w:color="auto" w:val="clear"/>
        </w:rPr>
        <w:t>similar</w:t>
      </w:r>
      <w:r>
        <w:rPr>
          <w:color w:val="374151"/>
          <w:spacing w:val="-4"/>
          <w:shd w:fill="F7F7F8" w:color="auto" w:val="clear"/>
        </w:rPr>
        <w:t> </w:t>
      </w:r>
      <w:r>
        <w:rPr>
          <w:color w:val="374151"/>
          <w:shd w:fill="F7F7F8" w:color="auto" w:val="clear"/>
        </w:rPr>
        <w:t>experiences.</w:t>
      </w:r>
      <w:r>
        <w:rPr>
          <w:color w:val="374151"/>
          <w:spacing w:val="-10"/>
          <w:shd w:fill="F7F7F8" w:color="auto" w:val="clear"/>
        </w:rPr>
        <w:t> </w:t>
      </w:r>
      <w:r>
        <w:rPr>
          <w:color w:val="374151"/>
          <w:spacing w:val="-10"/>
        </w:rPr>
        <w:t> </w:t>
      </w:r>
      <w:r>
        <w:rPr>
          <w:color w:val="374151"/>
          <w:shd w:fill="F7F7F8" w:color="auto" w:val="clear"/>
        </w:rPr>
        <w:t>These settings offer validation, connection, and a platform for sharing</w:t>
      </w:r>
      <w:r>
        <w:rPr>
          <w:color w:val="374151"/>
          <w:spacing w:val="40"/>
          <w:shd w:fill="F7F7F8" w:color="auto" w:val="clear"/>
        </w:rPr>
        <w:t> </w:t>
      </w:r>
    </w:p>
    <w:p>
      <w:pPr>
        <w:spacing w:after="0"/>
        <w:sectPr>
          <w:pgSz w:w="12240" w:h="15840"/>
          <w:pgMar w:header="0" w:footer="765" w:top="134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43136">
                <wp:simplePos x="0" y="0"/>
                <wp:positionH relativeFrom="page">
                  <wp:posOffset>1066800</wp:posOffset>
                </wp:positionH>
                <wp:positionV relativeFrom="paragraph">
                  <wp:posOffset>455810</wp:posOffset>
                </wp:positionV>
                <wp:extent cx="1313815" cy="787400"/>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1313815" cy="787400"/>
                          <a:chExt cx="1313815" cy="787400"/>
                        </a:xfrm>
                      </wpg:grpSpPr>
                      <wps:wsp>
                        <wps:cNvPr id="241" name="Textbox 241"/>
                        <wps:cNvSpPr txBox="1"/>
                        <wps:spPr>
                          <a:xfrm>
                            <a:off x="0" y="393700"/>
                            <a:ext cx="1313815"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pacing w:val="-2"/>
                                  <w:sz w:val="28"/>
                                </w:rPr>
                                <w:t>Pharmacotherapy</w:t>
                              </w:r>
                            </w:p>
                          </w:txbxContent>
                        </wps:txbx>
                        <wps:bodyPr wrap="square" lIns="0" tIns="0" rIns="0" bIns="0" rtlCol="0">
                          <a:noAutofit/>
                        </wps:bodyPr>
                      </wps:wsp>
                      <wps:wsp>
                        <wps:cNvPr id="242" name="Textbox 242"/>
                        <wps:cNvSpPr txBox="1"/>
                        <wps:spPr>
                          <a:xfrm>
                            <a:off x="0" y="0"/>
                            <a:ext cx="105219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pacing w:val="-2"/>
                                  <w:sz w:val="28"/>
                                </w:rPr>
                                <w:t>understanding.</w:t>
                              </w:r>
                            </w:p>
                          </w:txbxContent>
                        </wps:txbx>
                        <wps:bodyPr wrap="square" lIns="0" tIns="0" rIns="0" bIns="0" rtlCol="0">
                          <a:noAutofit/>
                        </wps:bodyPr>
                      </wps:wsp>
                    </wpg:wgp>
                  </a:graphicData>
                </a:graphic>
              </wp:anchor>
            </w:drawing>
          </mc:Choice>
          <mc:Fallback>
            <w:pict>
              <v:group style="position:absolute;margin-left:84pt;margin-top:35.890564pt;width:103.45pt;height:62pt;mso-position-horizontal-relative:page;mso-position-vertical-relative:paragraph;z-index:-15673344;mso-wrap-distance-left:0;mso-wrap-distance-right:0" id="docshapegroup239" coordorigin="1680,718" coordsize="2069,1240">
                <v:shape style="position:absolute;left:1680;top:1337;width:2069;height:620" type="#_x0000_t202" id="docshape240" filled="true" fillcolor="#f7f7f8" stroked="false">
                  <v:textbox inset="0,0,0,0">
                    <w:txbxContent>
                      <w:p>
                        <w:pPr>
                          <w:spacing w:line="308" w:lineRule="exact" w:before="0"/>
                          <w:ind w:left="0" w:right="-15" w:firstLine="0"/>
                          <w:jc w:val="left"/>
                          <w:rPr>
                            <w:b/>
                            <w:i/>
                            <w:color w:val="000000"/>
                            <w:sz w:val="28"/>
                          </w:rPr>
                        </w:pPr>
                        <w:r>
                          <w:rPr>
                            <w:b/>
                            <w:i/>
                            <w:color w:val="374151"/>
                            <w:spacing w:val="-2"/>
                            <w:sz w:val="28"/>
                          </w:rPr>
                          <w:t>Pharmacotherapy</w:t>
                        </w:r>
                      </w:p>
                    </w:txbxContent>
                  </v:textbox>
                  <v:fill type="solid"/>
                  <w10:wrap type="none"/>
                </v:shape>
                <v:shape style="position:absolute;left:1680;top:717;width:1657;height:620" type="#_x0000_t202" id="docshape241" filled="true" fillcolor="#f7f7f8" stroked="false">
                  <v:textbox inset="0,0,0,0">
                    <w:txbxContent>
                      <w:p>
                        <w:pPr>
                          <w:spacing w:line="308" w:lineRule="exact" w:before="0"/>
                          <w:ind w:left="0" w:right="-15" w:firstLine="0"/>
                          <w:jc w:val="left"/>
                          <w:rPr>
                            <w:color w:val="000000"/>
                            <w:sz w:val="28"/>
                          </w:rPr>
                        </w:pPr>
                        <w:r>
                          <w:rPr>
                            <w:color w:val="374151"/>
                            <w:spacing w:val="-2"/>
                            <w:sz w:val="28"/>
                          </w:rPr>
                          <w:t>understanding.</w:t>
                        </w:r>
                      </w:p>
                    </w:txbxContent>
                  </v:textbox>
                  <v:fill type="solid"/>
                  <w10:wrap type="none"/>
                </v:shape>
                <w10:wrap type="topAndBottom"/>
              </v:group>
            </w:pict>
          </mc:Fallback>
        </mc:AlternateContent>
      </w:r>
      <w:r>
        <w:rPr>
          <w:color w:val="374151"/>
          <w:shd w:fill="F7F7F8" w:color="auto" w:val="clear"/>
        </w:rPr>
        <w:t>experiences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coping</w:t>
      </w:r>
      <w:r>
        <w:rPr>
          <w:color w:val="374151"/>
          <w:spacing w:val="-4"/>
          <w:shd w:fill="F7F7F8" w:color="auto" w:val="clear"/>
        </w:rPr>
        <w:t> </w:t>
      </w:r>
      <w:r>
        <w:rPr>
          <w:color w:val="374151"/>
          <w:shd w:fill="F7F7F8" w:color="auto" w:val="clear"/>
        </w:rPr>
        <w:t>strategies.</w:t>
      </w:r>
      <w:r>
        <w:rPr>
          <w:color w:val="374151"/>
          <w:spacing w:val="-4"/>
          <w:shd w:fill="F7F7F8" w:color="auto" w:val="clear"/>
        </w:rPr>
        <w:t> </w:t>
      </w:r>
      <w:r>
        <w:rPr>
          <w:color w:val="374151"/>
          <w:shd w:fill="F7F7F8" w:color="auto" w:val="clear"/>
        </w:rPr>
        <w:t>Group</w:t>
      </w:r>
      <w:r>
        <w:rPr>
          <w:color w:val="374151"/>
          <w:spacing w:val="-4"/>
          <w:shd w:fill="F7F7F8" w:color="auto" w:val="clear"/>
        </w:rPr>
        <w:t> </w:t>
      </w:r>
      <w:r>
        <w:rPr>
          <w:color w:val="374151"/>
          <w:shd w:fill="F7F7F8" w:color="auto" w:val="clear"/>
        </w:rPr>
        <w:t>interventions</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reduce</w:t>
      </w:r>
      <w:r>
        <w:rPr>
          <w:color w:val="374151"/>
          <w:spacing w:val="-5"/>
          <w:shd w:fill="F7F7F8" w:color="auto" w:val="clear"/>
        </w:rPr>
        <w:t> </w:t>
      </w:r>
      <w:r>
        <w:rPr>
          <w:color w:val="374151"/>
          <w:shd w:fill="F7F7F8" w:color="auto" w:val="clear"/>
        </w:rPr>
        <w:t>feelings</w:t>
      </w:r>
      <w:r>
        <w:rPr>
          <w:color w:val="374151"/>
          <w:spacing w:val="-4"/>
          <w:shd w:fill="F7F7F8" w:color="auto" w:val="clear"/>
        </w:rPr>
        <w:t> </w:t>
      </w:r>
      <w:r>
        <w:rPr>
          <w:color w:val="374151"/>
          <w:shd w:fill="F7F7F8" w:color="auto" w:val="clear"/>
        </w:rPr>
        <w:t>of</w:t>
      </w:r>
      <w:r>
        <w:rPr>
          <w:color w:val="374151"/>
          <w:spacing w:val="-5"/>
          <w:shd w:fill="F7F7F8" w:color="auto" w:val="clear"/>
        </w:rPr>
        <w:t> </w:t>
      </w:r>
      <w:r>
        <w:rPr>
          <w:color w:val="374151"/>
          <w:spacing w:val="-5"/>
        </w:rPr>
        <w:t> </w:t>
      </w:r>
      <w:r>
        <w:rPr>
          <w:color w:val="374151"/>
          <w:shd w:fill="F7F7F8" w:color="auto" w:val="clear"/>
        </w:rPr>
        <w:t>isolation, increase social support, and provide a sense of belonging and</w:t>
      </w:r>
      <w:r>
        <w:rPr>
          <w:color w:val="374151"/>
          <w:spacing w:val="40"/>
          <w:shd w:fill="F7F7F8" w:color="auto" w:val="clear"/>
        </w:rPr>
        <w:t> </w:t>
      </w:r>
    </w:p>
    <w:p>
      <w:pPr>
        <w:pStyle w:val="BodyText"/>
        <w:spacing w:line="237" w:lineRule="auto" w:after="8"/>
        <w:ind w:left="280" w:right="668"/>
      </w:pPr>
      <w:r>
        <w:rPr>
          <w:color w:val="374151"/>
          <w:shd w:fill="F7F7F8" w:color="auto" w:val="clear"/>
        </w:rPr>
        <w:t>Pharmacotherapy may be considered in cases where survivors experience </w:t>
      </w:r>
      <w:r>
        <w:rPr>
          <w:color w:val="374151"/>
        </w:rPr>
        <w:t> </w:t>
      </w:r>
      <w:r>
        <w:rPr>
          <w:color w:val="374151"/>
          <w:shd w:fill="F7F7F8" w:color="auto" w:val="clear"/>
        </w:rPr>
        <w:t>severe symptoms of depression, anxiety, or PTSD. Selective serotonin </w:t>
      </w:r>
      <w:r>
        <w:rPr>
          <w:color w:val="374151"/>
        </w:rPr>
        <w:t> </w:t>
      </w:r>
      <w:r>
        <w:rPr>
          <w:color w:val="374151"/>
          <w:shd w:fill="F7F7F8" w:color="auto" w:val="clear"/>
        </w:rPr>
        <w:t>reuptake inhibitors (SSRIs) and other psychiatric medications can help </w:t>
      </w:r>
      <w:r>
        <w:rPr>
          <w:color w:val="374151"/>
        </w:rPr>
        <w:t> </w:t>
      </w:r>
      <w:r>
        <w:rPr>
          <w:color w:val="374151"/>
          <w:shd w:fill="F7F7F8" w:color="auto" w:val="clear"/>
        </w:rPr>
        <w:t>alleviate symptoms and improve overall functioning. Collaboration with a </w:t>
      </w:r>
      <w:r>
        <w:rPr>
          <w:color w:val="374151"/>
        </w:rPr>
        <w:t> </w:t>
      </w:r>
      <w:r>
        <w:rPr>
          <w:color w:val="374151"/>
          <w:shd w:fill="F7F7F8" w:color="auto" w:val="clear"/>
        </w:rPr>
        <w:t>psychiatrist or primary care physician is essential in order for them to assess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5561330" cy="787400"/>
                <wp:effectExtent l="0" t="0" r="0" b="3175"/>
                <wp:docPr id="243" name="Group 243"/>
                <wp:cNvGraphicFramePr>
                  <a:graphicFrameLocks/>
                </wp:cNvGraphicFramePr>
                <a:graphic>
                  <a:graphicData uri="http://schemas.microsoft.com/office/word/2010/wordprocessingGroup">
                    <wpg:wgp>
                      <wpg:cNvPr id="243" name="Group 243"/>
                      <wpg:cNvGrpSpPr/>
                      <wpg:grpSpPr>
                        <a:xfrm>
                          <a:off x="0" y="0"/>
                          <a:ext cx="5561330" cy="787400"/>
                          <a:chExt cx="5561330" cy="787400"/>
                        </a:xfrm>
                      </wpg:grpSpPr>
                      <wps:wsp>
                        <wps:cNvPr id="244" name="Textbox 244"/>
                        <wps:cNvSpPr txBox="1"/>
                        <wps:spPr>
                          <a:xfrm>
                            <a:off x="0" y="393700"/>
                            <a:ext cx="244538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Mindfulness-Based</w:t>
                              </w:r>
                              <w:r>
                                <w:rPr>
                                  <w:b/>
                                  <w:i/>
                                  <w:color w:val="374151"/>
                                  <w:spacing w:val="-9"/>
                                  <w:sz w:val="28"/>
                                </w:rPr>
                                <w:t> </w:t>
                              </w:r>
                              <w:r>
                                <w:rPr>
                                  <w:b/>
                                  <w:i/>
                                  <w:color w:val="374151"/>
                                  <w:spacing w:val="-2"/>
                                  <w:sz w:val="28"/>
                                </w:rPr>
                                <w:t>Interventions</w:t>
                              </w:r>
                            </w:p>
                          </w:txbxContent>
                        </wps:txbx>
                        <wps:bodyPr wrap="square" lIns="0" tIns="0" rIns="0" bIns="0" rtlCol="0">
                          <a:noAutofit/>
                        </wps:bodyPr>
                      </wps:wsp>
                      <wps:wsp>
                        <wps:cNvPr id="245" name="Textbox 245"/>
                        <wps:cNvSpPr txBox="1"/>
                        <wps:spPr>
                          <a:xfrm>
                            <a:off x="0" y="0"/>
                            <a:ext cx="556133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the</w:t>
                              </w:r>
                              <w:r>
                                <w:rPr>
                                  <w:color w:val="374151"/>
                                  <w:spacing w:val="-6"/>
                                  <w:sz w:val="28"/>
                                </w:rPr>
                                <w:t> </w:t>
                              </w:r>
                              <w:r>
                                <w:rPr>
                                  <w:color w:val="374151"/>
                                  <w:sz w:val="28"/>
                                </w:rPr>
                                <w:t>appropriateness</w:t>
                              </w:r>
                              <w:r>
                                <w:rPr>
                                  <w:color w:val="374151"/>
                                  <w:spacing w:val="-2"/>
                                  <w:sz w:val="28"/>
                                </w:rPr>
                                <w:t> </w:t>
                              </w:r>
                              <w:r>
                                <w:rPr>
                                  <w:color w:val="374151"/>
                                  <w:sz w:val="28"/>
                                </w:rPr>
                                <w:t>and</w:t>
                              </w:r>
                              <w:r>
                                <w:rPr>
                                  <w:color w:val="374151"/>
                                  <w:spacing w:val="-3"/>
                                  <w:sz w:val="28"/>
                                </w:rPr>
                                <w:t> </w:t>
                              </w:r>
                              <w:r>
                                <w:rPr>
                                  <w:color w:val="374151"/>
                                  <w:sz w:val="28"/>
                                </w:rPr>
                                <w:t>monitor</w:t>
                              </w:r>
                              <w:r>
                                <w:rPr>
                                  <w:color w:val="374151"/>
                                  <w:spacing w:val="-2"/>
                                  <w:sz w:val="28"/>
                                </w:rPr>
                                <w:t> </w:t>
                              </w:r>
                              <w:r>
                                <w:rPr>
                                  <w:color w:val="374151"/>
                                  <w:sz w:val="28"/>
                                </w:rPr>
                                <w:t>the</w:t>
                              </w:r>
                              <w:r>
                                <w:rPr>
                                  <w:color w:val="374151"/>
                                  <w:spacing w:val="-3"/>
                                  <w:sz w:val="28"/>
                                </w:rPr>
                                <w:t> </w:t>
                              </w:r>
                              <w:r>
                                <w:rPr>
                                  <w:color w:val="374151"/>
                                  <w:sz w:val="28"/>
                                </w:rPr>
                                <w:t>effectiveness</w:t>
                              </w:r>
                              <w:r>
                                <w:rPr>
                                  <w:color w:val="374151"/>
                                  <w:spacing w:val="-3"/>
                                  <w:sz w:val="28"/>
                                </w:rPr>
                                <w:t> </w:t>
                              </w:r>
                              <w:r>
                                <w:rPr>
                                  <w:color w:val="374151"/>
                                  <w:sz w:val="28"/>
                                </w:rPr>
                                <w:t>of</w:t>
                              </w:r>
                              <w:r>
                                <w:rPr>
                                  <w:color w:val="374151"/>
                                  <w:spacing w:val="-2"/>
                                  <w:sz w:val="28"/>
                                </w:rPr>
                                <w:t> </w:t>
                              </w:r>
                              <w:r>
                                <w:rPr>
                                  <w:color w:val="374151"/>
                                  <w:sz w:val="28"/>
                                </w:rPr>
                                <w:t>medication</w:t>
                              </w:r>
                              <w:r>
                                <w:rPr>
                                  <w:color w:val="374151"/>
                                  <w:spacing w:val="-2"/>
                                  <w:sz w:val="28"/>
                                </w:rPr>
                                <w:t> interventions.</w:t>
                              </w:r>
                            </w:p>
                          </w:txbxContent>
                        </wps:txbx>
                        <wps:bodyPr wrap="square" lIns="0" tIns="0" rIns="0" bIns="0" rtlCol="0">
                          <a:noAutofit/>
                        </wps:bodyPr>
                      </wps:wsp>
                    </wpg:wgp>
                  </a:graphicData>
                </a:graphic>
              </wp:inline>
            </w:drawing>
          </mc:Choice>
          <mc:Fallback>
            <w:pict>
              <v:group style="width:437.9pt;height:62pt;mso-position-horizontal-relative:char;mso-position-vertical-relative:line" id="docshapegroup242" coordorigin="0,0" coordsize="8758,1240">
                <v:shape style="position:absolute;left:0;top:620;width:3851;height:620" type="#_x0000_t202" id="docshape243" filled="true" fillcolor="#f7f7f8" stroked="false">
                  <v:textbox inset="0,0,0,0">
                    <w:txbxContent>
                      <w:p>
                        <w:pPr>
                          <w:spacing w:line="308" w:lineRule="exact" w:before="0"/>
                          <w:ind w:left="0" w:right="0" w:firstLine="0"/>
                          <w:jc w:val="left"/>
                          <w:rPr>
                            <w:b/>
                            <w:i/>
                            <w:color w:val="000000"/>
                            <w:sz w:val="28"/>
                          </w:rPr>
                        </w:pPr>
                        <w:r>
                          <w:rPr>
                            <w:b/>
                            <w:i/>
                            <w:color w:val="374151"/>
                            <w:sz w:val="28"/>
                          </w:rPr>
                          <w:t>Mindfulness-Based</w:t>
                        </w:r>
                        <w:r>
                          <w:rPr>
                            <w:b/>
                            <w:i/>
                            <w:color w:val="374151"/>
                            <w:spacing w:val="-9"/>
                            <w:sz w:val="28"/>
                          </w:rPr>
                          <w:t> </w:t>
                        </w:r>
                        <w:r>
                          <w:rPr>
                            <w:b/>
                            <w:i/>
                            <w:color w:val="374151"/>
                            <w:spacing w:val="-2"/>
                            <w:sz w:val="28"/>
                          </w:rPr>
                          <w:t>Interventions</w:t>
                        </w:r>
                      </w:p>
                    </w:txbxContent>
                  </v:textbox>
                  <v:fill type="solid"/>
                  <w10:wrap type="none"/>
                </v:shape>
                <v:shape style="position:absolute;left:0;top:0;width:8758;height:620" type="#_x0000_t202" id="docshape244" filled="true" fillcolor="#f7f7f8" stroked="false">
                  <v:textbox inset="0,0,0,0">
                    <w:txbxContent>
                      <w:p>
                        <w:pPr>
                          <w:spacing w:line="308" w:lineRule="exact" w:before="0"/>
                          <w:ind w:left="0" w:right="-15" w:firstLine="0"/>
                          <w:jc w:val="left"/>
                          <w:rPr>
                            <w:color w:val="000000"/>
                            <w:sz w:val="28"/>
                          </w:rPr>
                        </w:pPr>
                        <w:r>
                          <w:rPr>
                            <w:color w:val="374151"/>
                            <w:sz w:val="28"/>
                          </w:rPr>
                          <w:t>the</w:t>
                        </w:r>
                        <w:r>
                          <w:rPr>
                            <w:color w:val="374151"/>
                            <w:spacing w:val="-6"/>
                            <w:sz w:val="28"/>
                          </w:rPr>
                          <w:t> </w:t>
                        </w:r>
                        <w:r>
                          <w:rPr>
                            <w:color w:val="374151"/>
                            <w:sz w:val="28"/>
                          </w:rPr>
                          <w:t>appropriateness</w:t>
                        </w:r>
                        <w:r>
                          <w:rPr>
                            <w:color w:val="374151"/>
                            <w:spacing w:val="-2"/>
                            <w:sz w:val="28"/>
                          </w:rPr>
                          <w:t> </w:t>
                        </w:r>
                        <w:r>
                          <w:rPr>
                            <w:color w:val="374151"/>
                            <w:sz w:val="28"/>
                          </w:rPr>
                          <w:t>and</w:t>
                        </w:r>
                        <w:r>
                          <w:rPr>
                            <w:color w:val="374151"/>
                            <w:spacing w:val="-3"/>
                            <w:sz w:val="28"/>
                          </w:rPr>
                          <w:t> </w:t>
                        </w:r>
                        <w:r>
                          <w:rPr>
                            <w:color w:val="374151"/>
                            <w:sz w:val="28"/>
                          </w:rPr>
                          <w:t>monitor</w:t>
                        </w:r>
                        <w:r>
                          <w:rPr>
                            <w:color w:val="374151"/>
                            <w:spacing w:val="-2"/>
                            <w:sz w:val="28"/>
                          </w:rPr>
                          <w:t> </w:t>
                        </w:r>
                        <w:r>
                          <w:rPr>
                            <w:color w:val="374151"/>
                            <w:sz w:val="28"/>
                          </w:rPr>
                          <w:t>the</w:t>
                        </w:r>
                        <w:r>
                          <w:rPr>
                            <w:color w:val="374151"/>
                            <w:spacing w:val="-3"/>
                            <w:sz w:val="28"/>
                          </w:rPr>
                          <w:t> </w:t>
                        </w:r>
                        <w:r>
                          <w:rPr>
                            <w:color w:val="374151"/>
                            <w:sz w:val="28"/>
                          </w:rPr>
                          <w:t>effectiveness</w:t>
                        </w:r>
                        <w:r>
                          <w:rPr>
                            <w:color w:val="374151"/>
                            <w:spacing w:val="-3"/>
                            <w:sz w:val="28"/>
                          </w:rPr>
                          <w:t> </w:t>
                        </w:r>
                        <w:r>
                          <w:rPr>
                            <w:color w:val="374151"/>
                            <w:sz w:val="28"/>
                          </w:rPr>
                          <w:t>of</w:t>
                        </w:r>
                        <w:r>
                          <w:rPr>
                            <w:color w:val="374151"/>
                            <w:spacing w:val="-2"/>
                            <w:sz w:val="28"/>
                          </w:rPr>
                          <w:t> </w:t>
                        </w:r>
                        <w:r>
                          <w:rPr>
                            <w:color w:val="374151"/>
                            <w:sz w:val="28"/>
                          </w:rPr>
                          <w:t>medication</w:t>
                        </w:r>
                        <w:r>
                          <w:rPr>
                            <w:color w:val="374151"/>
                            <w:spacing w:val="-2"/>
                            <w:sz w:val="28"/>
                          </w:rPr>
                          <w:t> interventions.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Mindfulness-based</w:t>
      </w:r>
      <w:r>
        <w:rPr>
          <w:color w:val="374151"/>
          <w:spacing w:val="-5"/>
          <w:shd w:fill="F7F7F8" w:color="auto" w:val="clear"/>
        </w:rPr>
        <w:t> </w:t>
      </w:r>
      <w:r>
        <w:rPr>
          <w:color w:val="374151"/>
          <w:shd w:fill="F7F7F8" w:color="auto" w:val="clear"/>
        </w:rPr>
        <w:t>interventions,</w:t>
      </w:r>
      <w:r>
        <w:rPr>
          <w:color w:val="374151"/>
          <w:spacing w:val="-2"/>
          <w:shd w:fill="F7F7F8" w:color="auto" w:val="clear"/>
        </w:rPr>
        <w:t> </w:t>
      </w:r>
      <w:r>
        <w:rPr>
          <w:color w:val="374151"/>
          <w:shd w:fill="F7F7F8" w:color="auto" w:val="clear"/>
        </w:rPr>
        <w:t>such</w:t>
      </w:r>
      <w:r>
        <w:rPr>
          <w:color w:val="374151"/>
          <w:spacing w:val="-2"/>
          <w:shd w:fill="F7F7F8" w:color="auto" w:val="clear"/>
        </w:rPr>
        <w:t> </w:t>
      </w:r>
      <w:r>
        <w:rPr>
          <w:color w:val="374151"/>
          <w:shd w:fill="F7F7F8" w:color="auto" w:val="clear"/>
        </w:rPr>
        <w:t>as</w:t>
      </w:r>
      <w:r>
        <w:rPr>
          <w:color w:val="374151"/>
          <w:spacing w:val="-2"/>
          <w:shd w:fill="F7F7F8" w:color="auto" w:val="clear"/>
        </w:rPr>
        <w:t> </w:t>
      </w:r>
      <w:r>
        <w:rPr>
          <w:color w:val="374151"/>
          <w:shd w:fill="F7F7F8" w:color="auto" w:val="clear"/>
        </w:rPr>
        <w:t>mindfulness-based</w:t>
      </w:r>
      <w:r>
        <w:rPr>
          <w:color w:val="374151"/>
          <w:spacing w:val="-2"/>
          <w:shd w:fill="F7F7F8" w:color="auto" w:val="clear"/>
        </w:rPr>
        <w:t> </w:t>
      </w:r>
      <w:r>
        <w:rPr>
          <w:color w:val="374151"/>
          <w:shd w:fill="F7F7F8" w:color="auto" w:val="clear"/>
        </w:rPr>
        <w:t>stress</w:t>
      </w:r>
      <w:r>
        <w:rPr>
          <w:color w:val="374151"/>
          <w:spacing w:val="-2"/>
          <w:shd w:fill="F7F7F8" w:color="auto" w:val="clear"/>
        </w:rPr>
        <w:t> reduction</w:t>
      </w:r>
      <w:r>
        <w:rPr>
          <w:color w:val="374151"/>
          <w:spacing w:val="40"/>
          <w:shd w:fill="F7F7F8" w:color="auto" w:val="clear"/>
        </w:rPr>
        <w:t> </w:t>
      </w:r>
    </w:p>
    <w:p>
      <w:pPr>
        <w:pStyle w:val="BodyText"/>
        <w:spacing w:after="4"/>
        <w:ind w:left="280" w:right="515"/>
      </w:pPr>
      <w:r>
        <w:rPr>
          <w:color w:val="374151"/>
          <w:shd w:fill="F7F7F8" w:color="auto" w:val="clear"/>
        </w:rPr>
        <w:t>(MBSR) or mindfulness-based cognitive therapy (MBCT), can be beneficial </w:t>
      </w:r>
      <w:r>
        <w:rPr>
          <w:color w:val="374151"/>
        </w:rPr>
        <w:t> </w:t>
      </w:r>
      <w:r>
        <w:rPr>
          <w:color w:val="374151"/>
          <w:shd w:fill="F7F7F8" w:color="auto" w:val="clear"/>
        </w:rPr>
        <w:t>for</w:t>
      </w:r>
      <w:r>
        <w:rPr>
          <w:color w:val="374151"/>
          <w:spacing w:val="-4"/>
          <w:shd w:fill="F7F7F8" w:color="auto" w:val="clear"/>
        </w:rPr>
        <w:t> </w:t>
      </w:r>
      <w:r>
        <w:rPr>
          <w:color w:val="374151"/>
          <w:shd w:fill="F7F7F8" w:color="auto" w:val="clear"/>
        </w:rPr>
        <w:t>survivors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violence.</w:t>
      </w:r>
      <w:r>
        <w:rPr>
          <w:color w:val="374151"/>
          <w:spacing w:val="-10"/>
          <w:shd w:fill="F7F7F8" w:color="auto" w:val="clear"/>
        </w:rPr>
        <w:t> </w:t>
      </w:r>
      <w:r>
        <w:rPr>
          <w:color w:val="374151"/>
          <w:shd w:fill="F7F7F8" w:color="auto" w:val="clear"/>
        </w:rPr>
        <w:t>These</w:t>
      </w:r>
      <w:r>
        <w:rPr>
          <w:color w:val="374151"/>
          <w:spacing w:val="-5"/>
          <w:shd w:fill="F7F7F8" w:color="auto" w:val="clear"/>
        </w:rPr>
        <w:t> </w:t>
      </w:r>
      <w:r>
        <w:rPr>
          <w:color w:val="374151"/>
          <w:shd w:fill="F7F7F8" w:color="auto" w:val="clear"/>
        </w:rPr>
        <w:t>interventions</w:t>
      </w:r>
      <w:r>
        <w:rPr>
          <w:color w:val="374151"/>
          <w:spacing w:val="-4"/>
          <w:shd w:fill="F7F7F8" w:color="auto" w:val="clear"/>
        </w:rPr>
        <w:t> </w:t>
      </w:r>
      <w:r>
        <w:rPr>
          <w:color w:val="374151"/>
          <w:shd w:fill="F7F7F8" w:color="auto" w:val="clear"/>
        </w:rPr>
        <w:t>cultivate</w:t>
      </w:r>
      <w:r>
        <w:rPr>
          <w:color w:val="374151"/>
          <w:spacing w:val="-5"/>
          <w:shd w:fill="F7F7F8" w:color="auto" w:val="clear"/>
        </w:rPr>
        <w:t> </w:t>
      </w:r>
      <w:r>
        <w:rPr>
          <w:color w:val="374151"/>
          <w:shd w:fill="F7F7F8" w:color="auto" w:val="clear"/>
        </w:rPr>
        <w:t>present-moment</w:t>
      </w:r>
      <w:r>
        <w:rPr>
          <w:color w:val="374151"/>
          <w:spacing w:val="-5"/>
          <w:shd w:fill="F7F7F8" w:color="auto" w:val="clear"/>
        </w:rPr>
        <w:t> </w:t>
      </w:r>
      <w:r>
        <w:rPr>
          <w:color w:val="374151"/>
          <w:spacing w:val="-5"/>
        </w:rPr>
        <w:t> </w:t>
      </w:r>
      <w:r>
        <w:rPr>
          <w:color w:val="374151"/>
          <w:shd w:fill="F7F7F8" w:color="auto" w:val="clear"/>
        </w:rPr>
        <w:t>awareness, acceptance, and self-compassion. Mindfulness practices can help </w:t>
      </w:r>
      <w:r>
        <w:rPr>
          <w:color w:val="374151"/>
        </w:rPr>
        <w:t> </w:t>
      </w:r>
      <w:r>
        <w:rPr>
          <w:color w:val="374151"/>
          <w:shd w:fill="F7F7F8" w:color="auto" w:val="clear"/>
        </w:rPr>
        <w:t>survivors develop emotional regulation skills, reduce distress, and enhance</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581400" cy="1181100"/>
                <wp:effectExtent l="0" t="0" r="0" b="0"/>
                <wp:docPr id="246" name="Group 246"/>
                <wp:cNvGraphicFramePr>
                  <a:graphicFrameLocks/>
                </wp:cNvGraphicFramePr>
                <a:graphic>
                  <a:graphicData uri="http://schemas.microsoft.com/office/word/2010/wordprocessingGroup">
                    <wpg:wgp>
                      <wpg:cNvPr id="246" name="Group 246"/>
                      <wpg:cNvGrpSpPr/>
                      <wpg:grpSpPr>
                        <a:xfrm>
                          <a:off x="0" y="0"/>
                          <a:ext cx="3581400" cy="1181100"/>
                          <a:chExt cx="3581400" cy="1181100"/>
                        </a:xfrm>
                      </wpg:grpSpPr>
                      <wps:wsp>
                        <wps:cNvPr id="247" name="Textbox 247"/>
                        <wps:cNvSpPr txBox="1"/>
                        <wps:spPr>
                          <a:xfrm>
                            <a:off x="0" y="787400"/>
                            <a:ext cx="251777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pacing w:val="-2"/>
                                  <w:sz w:val="28"/>
                                </w:rPr>
                                <w:t>Technology-Assisted</w:t>
                              </w:r>
                              <w:r>
                                <w:rPr>
                                  <w:b/>
                                  <w:i/>
                                  <w:color w:val="374151"/>
                                  <w:spacing w:val="4"/>
                                  <w:sz w:val="28"/>
                                </w:rPr>
                                <w:t> </w:t>
                              </w:r>
                              <w:r>
                                <w:rPr>
                                  <w:b/>
                                  <w:i/>
                                  <w:color w:val="374151"/>
                                  <w:spacing w:val="-2"/>
                                  <w:sz w:val="28"/>
                                </w:rPr>
                                <w:t>Interventions</w:t>
                              </w:r>
                            </w:p>
                          </w:txbxContent>
                        </wps:txbx>
                        <wps:bodyPr wrap="square" lIns="0" tIns="0" rIns="0" bIns="0" rtlCol="0">
                          <a:noAutofit/>
                        </wps:bodyPr>
                      </wps:wsp>
                      <wps:wsp>
                        <wps:cNvPr id="248" name="Textbox 248"/>
                        <wps:cNvSpPr txBox="1"/>
                        <wps:spPr>
                          <a:xfrm>
                            <a:off x="0" y="393700"/>
                            <a:ext cx="358140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Emerging</w:t>
                              </w:r>
                              <w:r>
                                <w:rPr>
                                  <w:b/>
                                  <w:color w:val="374151"/>
                                  <w:spacing w:val="-19"/>
                                  <w:sz w:val="28"/>
                                </w:rPr>
                                <w:t> </w:t>
                              </w:r>
                              <w:r>
                                <w:rPr>
                                  <w:b/>
                                  <w:color w:val="374151"/>
                                  <w:sz w:val="28"/>
                                </w:rPr>
                                <w:t>Trends</w:t>
                              </w:r>
                              <w:r>
                                <w:rPr>
                                  <w:b/>
                                  <w:color w:val="374151"/>
                                  <w:spacing w:val="-7"/>
                                  <w:sz w:val="28"/>
                                </w:rPr>
                                <w:t> </w:t>
                              </w:r>
                              <w:r>
                                <w:rPr>
                                  <w:b/>
                                  <w:color w:val="374151"/>
                                  <w:sz w:val="28"/>
                                </w:rPr>
                                <w:t>in</w:t>
                              </w:r>
                              <w:r>
                                <w:rPr>
                                  <w:b/>
                                  <w:color w:val="374151"/>
                                  <w:spacing w:val="-18"/>
                                  <w:sz w:val="28"/>
                                </w:rPr>
                                <w:t> </w:t>
                              </w:r>
                              <w:r>
                                <w:rPr>
                                  <w:b/>
                                  <w:color w:val="374151"/>
                                  <w:sz w:val="28"/>
                                </w:rPr>
                                <w:t>Assessment</w:t>
                              </w:r>
                              <w:r>
                                <w:rPr>
                                  <w:b/>
                                  <w:color w:val="374151"/>
                                  <w:spacing w:val="-7"/>
                                  <w:sz w:val="28"/>
                                </w:rPr>
                                <w:t> </w:t>
                              </w:r>
                              <w:r>
                                <w:rPr>
                                  <w:b/>
                                  <w:color w:val="374151"/>
                                  <w:sz w:val="28"/>
                                </w:rPr>
                                <w:t>and</w:t>
                              </w:r>
                              <w:r>
                                <w:rPr>
                                  <w:b/>
                                  <w:color w:val="374151"/>
                                  <w:spacing w:val="-12"/>
                                  <w:sz w:val="28"/>
                                </w:rPr>
                                <w:t> </w:t>
                              </w:r>
                              <w:r>
                                <w:rPr>
                                  <w:b/>
                                  <w:color w:val="374151"/>
                                  <w:spacing w:val="-2"/>
                                  <w:sz w:val="28"/>
                                </w:rPr>
                                <w:t>Treatment</w:t>
                              </w:r>
                            </w:p>
                          </w:txbxContent>
                        </wps:txbx>
                        <wps:bodyPr wrap="square" lIns="0" tIns="0" rIns="0" bIns="0" rtlCol="0">
                          <a:noAutofit/>
                        </wps:bodyPr>
                      </wps:wsp>
                      <wps:wsp>
                        <wps:cNvPr id="249" name="Textbox 249"/>
                        <wps:cNvSpPr txBox="1"/>
                        <wps:spPr>
                          <a:xfrm>
                            <a:off x="0" y="0"/>
                            <a:ext cx="134302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overall</w:t>
                              </w:r>
                              <w:r>
                                <w:rPr>
                                  <w:color w:val="374151"/>
                                  <w:spacing w:val="-3"/>
                                  <w:sz w:val="28"/>
                                </w:rPr>
                                <w:t> </w:t>
                              </w:r>
                              <w:r>
                                <w:rPr>
                                  <w:color w:val="374151"/>
                                  <w:sz w:val="28"/>
                                </w:rPr>
                                <w:t>well-</w:t>
                              </w:r>
                              <w:r>
                                <w:rPr>
                                  <w:color w:val="374151"/>
                                  <w:spacing w:val="-2"/>
                                  <w:sz w:val="28"/>
                                </w:rPr>
                                <w:t>being.</w:t>
                              </w:r>
                            </w:p>
                          </w:txbxContent>
                        </wps:txbx>
                        <wps:bodyPr wrap="square" lIns="0" tIns="0" rIns="0" bIns="0" rtlCol="0">
                          <a:noAutofit/>
                        </wps:bodyPr>
                      </wps:wsp>
                    </wpg:wgp>
                  </a:graphicData>
                </a:graphic>
              </wp:inline>
            </w:drawing>
          </mc:Choice>
          <mc:Fallback>
            <w:pict>
              <v:group style="width:282pt;height:93pt;mso-position-horizontal-relative:char;mso-position-vertical-relative:line" id="docshapegroup245" coordorigin="0,0" coordsize="5640,1860">
                <v:shape style="position:absolute;left:0;top:1240;width:3965;height:620" type="#_x0000_t202" id="docshape246" filled="true" fillcolor="#f7f7f8" stroked="false">
                  <v:textbox inset="0,0,0,0">
                    <w:txbxContent>
                      <w:p>
                        <w:pPr>
                          <w:spacing w:line="308" w:lineRule="exact" w:before="0"/>
                          <w:ind w:left="0" w:right="0" w:firstLine="0"/>
                          <w:jc w:val="left"/>
                          <w:rPr>
                            <w:b/>
                            <w:i/>
                            <w:color w:val="000000"/>
                            <w:sz w:val="28"/>
                          </w:rPr>
                        </w:pPr>
                        <w:r>
                          <w:rPr>
                            <w:b/>
                            <w:i/>
                            <w:color w:val="374151"/>
                            <w:spacing w:val="-2"/>
                            <w:sz w:val="28"/>
                          </w:rPr>
                          <w:t>Technology-Assisted</w:t>
                        </w:r>
                        <w:r>
                          <w:rPr>
                            <w:b/>
                            <w:i/>
                            <w:color w:val="374151"/>
                            <w:spacing w:val="4"/>
                            <w:sz w:val="28"/>
                          </w:rPr>
                          <w:t> </w:t>
                        </w:r>
                        <w:r>
                          <w:rPr>
                            <w:b/>
                            <w:i/>
                            <w:color w:val="374151"/>
                            <w:spacing w:val="-2"/>
                            <w:sz w:val="28"/>
                          </w:rPr>
                          <w:t>Interventions</w:t>
                        </w:r>
                      </w:p>
                    </w:txbxContent>
                  </v:textbox>
                  <v:fill type="solid"/>
                  <w10:wrap type="none"/>
                </v:shape>
                <v:shape style="position:absolute;left:0;top:620;width:5640;height:620" type="#_x0000_t202" id="docshape247" filled="true" fillcolor="#f7f7f8" stroked="false">
                  <v:textbox inset="0,0,0,0">
                    <w:txbxContent>
                      <w:p>
                        <w:pPr>
                          <w:spacing w:line="308" w:lineRule="exact" w:before="0"/>
                          <w:ind w:left="0" w:right="-15" w:firstLine="0"/>
                          <w:jc w:val="left"/>
                          <w:rPr>
                            <w:b/>
                            <w:color w:val="000000"/>
                            <w:sz w:val="28"/>
                          </w:rPr>
                        </w:pPr>
                        <w:r>
                          <w:rPr>
                            <w:b/>
                            <w:color w:val="374151"/>
                            <w:sz w:val="28"/>
                          </w:rPr>
                          <w:t>Emerging</w:t>
                        </w:r>
                        <w:r>
                          <w:rPr>
                            <w:b/>
                            <w:color w:val="374151"/>
                            <w:spacing w:val="-19"/>
                            <w:sz w:val="28"/>
                          </w:rPr>
                          <w:t> </w:t>
                        </w:r>
                        <w:r>
                          <w:rPr>
                            <w:b/>
                            <w:color w:val="374151"/>
                            <w:sz w:val="28"/>
                          </w:rPr>
                          <w:t>Trends</w:t>
                        </w:r>
                        <w:r>
                          <w:rPr>
                            <w:b/>
                            <w:color w:val="374151"/>
                            <w:spacing w:val="-7"/>
                            <w:sz w:val="28"/>
                          </w:rPr>
                          <w:t> </w:t>
                        </w:r>
                        <w:r>
                          <w:rPr>
                            <w:b/>
                            <w:color w:val="374151"/>
                            <w:sz w:val="28"/>
                          </w:rPr>
                          <w:t>in</w:t>
                        </w:r>
                        <w:r>
                          <w:rPr>
                            <w:b/>
                            <w:color w:val="374151"/>
                            <w:spacing w:val="-18"/>
                            <w:sz w:val="28"/>
                          </w:rPr>
                          <w:t> </w:t>
                        </w:r>
                        <w:r>
                          <w:rPr>
                            <w:b/>
                            <w:color w:val="374151"/>
                            <w:sz w:val="28"/>
                          </w:rPr>
                          <w:t>Assessment</w:t>
                        </w:r>
                        <w:r>
                          <w:rPr>
                            <w:b/>
                            <w:color w:val="374151"/>
                            <w:spacing w:val="-7"/>
                            <w:sz w:val="28"/>
                          </w:rPr>
                          <w:t> </w:t>
                        </w:r>
                        <w:r>
                          <w:rPr>
                            <w:b/>
                            <w:color w:val="374151"/>
                            <w:sz w:val="28"/>
                          </w:rPr>
                          <w:t>and</w:t>
                        </w:r>
                        <w:r>
                          <w:rPr>
                            <w:b/>
                            <w:color w:val="374151"/>
                            <w:spacing w:val="-12"/>
                            <w:sz w:val="28"/>
                          </w:rPr>
                          <w:t> </w:t>
                        </w:r>
                        <w:r>
                          <w:rPr>
                            <w:b/>
                            <w:color w:val="374151"/>
                            <w:spacing w:val="-2"/>
                            <w:sz w:val="28"/>
                          </w:rPr>
                          <w:t>Treatment</w:t>
                        </w:r>
                      </w:p>
                    </w:txbxContent>
                  </v:textbox>
                  <v:fill type="solid"/>
                  <w10:wrap type="none"/>
                </v:shape>
                <v:shape style="position:absolute;left:0;top:0;width:2115;height:620" type="#_x0000_t202" id="docshape248" filled="true" fillcolor="#f7f7f8" stroked="false">
                  <v:textbox inset="0,0,0,0">
                    <w:txbxContent>
                      <w:p>
                        <w:pPr>
                          <w:spacing w:line="308" w:lineRule="exact" w:before="0"/>
                          <w:ind w:left="0" w:right="-15" w:firstLine="0"/>
                          <w:jc w:val="left"/>
                          <w:rPr>
                            <w:color w:val="000000"/>
                            <w:sz w:val="28"/>
                          </w:rPr>
                        </w:pPr>
                        <w:r>
                          <w:rPr>
                            <w:color w:val="374151"/>
                            <w:sz w:val="28"/>
                          </w:rPr>
                          <w:t>overall</w:t>
                        </w:r>
                        <w:r>
                          <w:rPr>
                            <w:color w:val="374151"/>
                            <w:spacing w:val="-3"/>
                            <w:sz w:val="28"/>
                          </w:rPr>
                          <w:t> </w:t>
                        </w:r>
                        <w:r>
                          <w:rPr>
                            <w:color w:val="374151"/>
                            <w:sz w:val="28"/>
                          </w:rPr>
                          <w:t>well-</w:t>
                        </w:r>
                        <w:r>
                          <w:rPr>
                            <w:color w:val="374151"/>
                            <w:spacing w:val="-2"/>
                            <w:sz w:val="28"/>
                          </w:rPr>
                          <w:t>being.</w:t>
                        </w:r>
                      </w:p>
                    </w:txbxContent>
                  </v:textbox>
                  <v:fill type="solid"/>
                  <w10:wrap type="none"/>
                </v:shape>
              </v:group>
            </w:pict>
          </mc:Fallback>
        </mc:AlternateContent>
      </w:r>
      <w:r>
        <w:rPr>
          <w:sz w:val="20"/>
        </w:rPr>
      </w:r>
    </w:p>
    <w:p>
      <w:pPr>
        <w:pStyle w:val="BodyText"/>
        <w:spacing w:line="297" w:lineRule="exact"/>
        <w:ind w:left="280"/>
        <w:jc w:val="both"/>
      </w:pPr>
      <w:r>
        <w:rPr>
          <w:color w:val="374151"/>
          <w:shd w:fill="F7F7F8" w:color="auto" w:val="clear"/>
        </w:rPr>
        <w:t>Advancements</w:t>
      </w:r>
      <w:r>
        <w:rPr>
          <w:color w:val="374151"/>
          <w:spacing w:val="-4"/>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technology</w:t>
      </w:r>
      <w:r>
        <w:rPr>
          <w:color w:val="374151"/>
          <w:spacing w:val="-2"/>
          <w:shd w:fill="F7F7F8" w:color="auto" w:val="clear"/>
        </w:rPr>
        <w:t> </w:t>
      </w:r>
      <w:r>
        <w:rPr>
          <w:color w:val="374151"/>
          <w:shd w:fill="F7F7F8" w:color="auto" w:val="clear"/>
        </w:rPr>
        <w:t>have</w:t>
      </w:r>
      <w:r>
        <w:rPr>
          <w:color w:val="374151"/>
          <w:spacing w:val="-2"/>
          <w:shd w:fill="F7F7F8" w:color="auto" w:val="clear"/>
        </w:rPr>
        <w:t> </w:t>
      </w:r>
      <w:r>
        <w:rPr>
          <w:color w:val="374151"/>
          <w:shd w:fill="F7F7F8" w:color="auto" w:val="clear"/>
        </w:rPr>
        <w:t>opened</w:t>
      </w:r>
      <w:r>
        <w:rPr>
          <w:color w:val="374151"/>
          <w:spacing w:val="-2"/>
          <w:shd w:fill="F7F7F8" w:color="auto" w:val="clear"/>
        </w:rPr>
        <w:t> </w:t>
      </w:r>
      <w:r>
        <w:rPr>
          <w:color w:val="374151"/>
          <w:shd w:fill="F7F7F8" w:color="auto" w:val="clear"/>
        </w:rPr>
        <w:t>up</w:t>
      </w:r>
      <w:r>
        <w:rPr>
          <w:color w:val="374151"/>
          <w:spacing w:val="-1"/>
          <w:shd w:fill="F7F7F8" w:color="auto" w:val="clear"/>
        </w:rPr>
        <w:t> </w:t>
      </w:r>
      <w:r>
        <w:rPr>
          <w:color w:val="374151"/>
          <w:shd w:fill="F7F7F8" w:color="auto" w:val="clear"/>
        </w:rPr>
        <w:t>new</w:t>
      </w:r>
      <w:r>
        <w:rPr>
          <w:color w:val="374151"/>
          <w:spacing w:val="-2"/>
          <w:shd w:fill="F7F7F8" w:color="auto" w:val="clear"/>
        </w:rPr>
        <w:t> </w:t>
      </w:r>
      <w:r>
        <w:rPr>
          <w:color w:val="374151"/>
          <w:shd w:fill="F7F7F8" w:color="auto" w:val="clear"/>
        </w:rPr>
        <w:t>possibilities</w:t>
      </w:r>
      <w:r>
        <w:rPr>
          <w:color w:val="374151"/>
          <w:spacing w:val="-1"/>
          <w:shd w:fill="F7F7F8" w:color="auto" w:val="clear"/>
        </w:rPr>
        <w:t> </w:t>
      </w:r>
      <w:r>
        <w:rPr>
          <w:color w:val="374151"/>
          <w:shd w:fill="F7F7F8" w:color="auto" w:val="clear"/>
        </w:rPr>
        <w:t>for</w:t>
      </w:r>
      <w:r>
        <w:rPr>
          <w:color w:val="374151"/>
          <w:spacing w:val="-1"/>
          <w:shd w:fill="F7F7F8" w:color="auto" w:val="clear"/>
        </w:rPr>
        <w:t> </w:t>
      </w:r>
      <w:r>
        <w:rPr>
          <w:color w:val="374151"/>
          <w:spacing w:val="-2"/>
          <w:shd w:fill="F7F7F8" w:color="auto" w:val="clear"/>
        </w:rPr>
        <w:t>assessment</w:t>
      </w:r>
      <w:r>
        <w:rPr>
          <w:color w:val="374151"/>
          <w:spacing w:val="40"/>
          <w:shd w:fill="F7F7F8" w:color="auto" w:val="clear"/>
        </w:rPr>
        <w:t> </w:t>
      </w:r>
    </w:p>
    <w:p>
      <w:pPr>
        <w:pStyle w:val="BodyText"/>
        <w:spacing w:after="7"/>
        <w:ind w:left="280" w:right="605"/>
        <w:jc w:val="both"/>
      </w:pPr>
      <w:r>
        <w:rPr>
          <w:color w:val="374151"/>
          <w:shd w:fill="F7F7F8" w:color="auto" w:val="clear"/>
        </w:rPr>
        <w:t>and</w:t>
      </w:r>
      <w:r>
        <w:rPr>
          <w:color w:val="374151"/>
          <w:spacing w:val="-2"/>
          <w:shd w:fill="F7F7F8" w:color="auto" w:val="clear"/>
        </w:rPr>
        <w:t> </w:t>
      </w:r>
      <w:r>
        <w:rPr>
          <w:color w:val="374151"/>
          <w:shd w:fill="F7F7F8" w:color="auto" w:val="clear"/>
        </w:rPr>
        <w:t>treatment.</w:t>
      </w:r>
      <w:r>
        <w:rPr>
          <w:color w:val="374151"/>
          <w:spacing w:val="-2"/>
          <w:shd w:fill="F7F7F8" w:color="auto" w:val="clear"/>
        </w:rPr>
        <w:t> </w:t>
      </w:r>
      <w:r>
        <w:rPr>
          <w:color w:val="374151"/>
          <w:shd w:fill="F7F7F8" w:color="auto" w:val="clear"/>
        </w:rPr>
        <w:t>Digital</w:t>
      </w:r>
      <w:r>
        <w:rPr>
          <w:color w:val="374151"/>
          <w:spacing w:val="-2"/>
          <w:shd w:fill="F7F7F8" w:color="auto" w:val="clear"/>
        </w:rPr>
        <w:t> </w:t>
      </w:r>
      <w:r>
        <w:rPr>
          <w:color w:val="374151"/>
          <w:shd w:fill="F7F7F8" w:color="auto" w:val="clear"/>
        </w:rPr>
        <w:t>platforms,</w:t>
      </w:r>
      <w:r>
        <w:rPr>
          <w:color w:val="374151"/>
          <w:spacing w:val="-2"/>
          <w:shd w:fill="F7F7F8" w:color="auto" w:val="clear"/>
        </w:rPr>
        <w:t> </w:t>
      </w:r>
      <w:r>
        <w:rPr>
          <w:color w:val="374151"/>
          <w:shd w:fill="F7F7F8" w:color="auto" w:val="clear"/>
        </w:rPr>
        <w:t>mobile</w:t>
      </w:r>
      <w:r>
        <w:rPr>
          <w:color w:val="374151"/>
          <w:spacing w:val="-3"/>
          <w:shd w:fill="F7F7F8" w:color="auto" w:val="clear"/>
        </w:rPr>
        <w:t> </w:t>
      </w:r>
      <w:r>
        <w:rPr>
          <w:color w:val="374151"/>
          <w:shd w:fill="F7F7F8" w:color="auto" w:val="clear"/>
        </w:rPr>
        <w:t>applications,</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virtual</w:t>
      </w:r>
      <w:r>
        <w:rPr>
          <w:color w:val="374151"/>
          <w:spacing w:val="-2"/>
          <w:shd w:fill="F7F7F8" w:color="auto" w:val="clear"/>
        </w:rPr>
        <w:t> </w:t>
      </w:r>
      <w:r>
        <w:rPr>
          <w:color w:val="374151"/>
          <w:shd w:fill="F7F7F8" w:color="auto" w:val="clear"/>
        </w:rPr>
        <w:t>reality</w:t>
      </w:r>
      <w:r>
        <w:rPr>
          <w:color w:val="374151"/>
          <w:spacing w:val="-2"/>
          <w:shd w:fill="F7F7F8" w:color="auto" w:val="clear"/>
        </w:rPr>
        <w:t> </w:t>
      </w:r>
      <w:r>
        <w:rPr>
          <w:color w:val="374151"/>
          <w:shd w:fill="F7F7F8" w:color="auto" w:val="clear"/>
        </w:rPr>
        <w:t>tools</w:t>
      </w:r>
      <w:r>
        <w:rPr>
          <w:color w:val="374151"/>
          <w:spacing w:val="-3"/>
          <w:shd w:fill="F7F7F8" w:color="auto" w:val="clear"/>
        </w:rPr>
        <w:t> </w:t>
      </w:r>
      <w:r>
        <w:rPr>
          <w:color w:val="374151"/>
          <w:spacing w:val="-3"/>
        </w:rPr>
        <w:t> </w:t>
      </w:r>
      <w:r>
        <w:rPr>
          <w:color w:val="374151"/>
          <w:shd w:fill="F7F7F8" w:color="auto" w:val="clear"/>
        </w:rPr>
        <w:t>can</w:t>
      </w:r>
      <w:r>
        <w:rPr>
          <w:color w:val="374151"/>
          <w:spacing w:val="-4"/>
          <w:shd w:fill="F7F7F8" w:color="auto" w:val="clear"/>
        </w:rPr>
        <w:t> </w:t>
      </w:r>
      <w:r>
        <w:rPr>
          <w:color w:val="374151"/>
          <w:shd w:fill="F7F7F8" w:color="auto" w:val="clear"/>
        </w:rPr>
        <w:t>provide</w:t>
      </w:r>
      <w:r>
        <w:rPr>
          <w:color w:val="374151"/>
          <w:spacing w:val="-5"/>
          <w:shd w:fill="F7F7F8" w:color="auto" w:val="clear"/>
        </w:rPr>
        <w:t> </w:t>
      </w:r>
      <w:r>
        <w:rPr>
          <w:color w:val="374151"/>
          <w:shd w:fill="F7F7F8" w:color="auto" w:val="clear"/>
        </w:rPr>
        <w:t>accessible</w:t>
      </w:r>
      <w:r>
        <w:rPr>
          <w:color w:val="374151"/>
          <w:spacing w:val="-5"/>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engaging</w:t>
      </w:r>
      <w:r>
        <w:rPr>
          <w:color w:val="374151"/>
          <w:spacing w:val="-4"/>
          <w:shd w:fill="F7F7F8" w:color="auto" w:val="clear"/>
        </w:rPr>
        <w:t> </w:t>
      </w:r>
      <w:r>
        <w:rPr>
          <w:color w:val="374151"/>
          <w:shd w:fill="F7F7F8" w:color="auto" w:val="clear"/>
        </w:rPr>
        <w:t>interventions.</w:t>
      </w:r>
      <w:r>
        <w:rPr>
          <w:color w:val="374151"/>
          <w:spacing w:val="-10"/>
          <w:shd w:fill="F7F7F8" w:color="auto" w:val="clear"/>
        </w:rPr>
        <w:t> </w:t>
      </w:r>
      <w:r>
        <w:rPr>
          <w:color w:val="374151"/>
          <w:shd w:fill="F7F7F8" w:color="auto" w:val="clear"/>
        </w:rPr>
        <w:t>These</w:t>
      </w:r>
      <w:r>
        <w:rPr>
          <w:color w:val="374151"/>
          <w:spacing w:val="-5"/>
          <w:shd w:fill="F7F7F8" w:color="auto" w:val="clear"/>
        </w:rPr>
        <w:t> </w:t>
      </w:r>
      <w:r>
        <w:rPr>
          <w:color w:val="374151"/>
          <w:shd w:fill="F7F7F8" w:color="auto" w:val="clear"/>
        </w:rPr>
        <w:t>technologies</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be</w:t>
      </w:r>
      <w:r>
        <w:rPr>
          <w:color w:val="374151"/>
          <w:spacing w:val="-5"/>
          <w:shd w:fill="F7F7F8" w:color="auto" w:val="clear"/>
        </w:rPr>
        <w:t> </w:t>
      </w:r>
      <w:r>
        <w:rPr>
          <w:color w:val="374151"/>
          <w:spacing w:val="-5"/>
        </w:rPr>
        <w:t> </w:t>
      </w:r>
      <w:r>
        <w:rPr>
          <w:color w:val="374151"/>
          <w:shd w:fill="F7F7F8" w:color="auto" w:val="clear"/>
        </w:rPr>
        <w:t>particularly</w:t>
      </w:r>
      <w:r>
        <w:rPr>
          <w:color w:val="374151"/>
          <w:spacing w:val="-4"/>
          <w:shd w:fill="F7F7F8" w:color="auto" w:val="clear"/>
        </w:rPr>
        <w:t> </w:t>
      </w:r>
      <w:r>
        <w:rPr>
          <w:color w:val="374151"/>
          <w:shd w:fill="F7F7F8" w:color="auto" w:val="clear"/>
        </w:rPr>
        <w:t>useful</w:t>
      </w:r>
      <w:r>
        <w:rPr>
          <w:color w:val="374151"/>
          <w:spacing w:val="-1"/>
          <w:shd w:fill="F7F7F8" w:color="auto" w:val="clear"/>
        </w:rPr>
        <w:t> </w:t>
      </w:r>
      <w:r>
        <w:rPr>
          <w:color w:val="374151"/>
          <w:shd w:fill="F7F7F8" w:color="auto" w:val="clear"/>
        </w:rPr>
        <w:t>in</w:t>
      </w:r>
      <w:r>
        <w:rPr>
          <w:color w:val="374151"/>
          <w:spacing w:val="-2"/>
          <w:shd w:fill="F7F7F8" w:color="auto" w:val="clear"/>
        </w:rPr>
        <w:t> </w:t>
      </w:r>
      <w:r>
        <w:rPr>
          <w:color w:val="374151"/>
          <w:shd w:fill="F7F7F8" w:color="auto" w:val="clear"/>
        </w:rPr>
        <w:t>reaching</w:t>
      </w:r>
      <w:r>
        <w:rPr>
          <w:color w:val="374151"/>
          <w:spacing w:val="-1"/>
          <w:shd w:fill="F7F7F8" w:color="auto" w:val="clear"/>
        </w:rPr>
        <w:t> </w:t>
      </w:r>
      <w:r>
        <w:rPr>
          <w:color w:val="374151"/>
          <w:shd w:fill="F7F7F8" w:color="auto" w:val="clear"/>
        </w:rPr>
        <w:t>individuals</w:t>
      </w:r>
      <w:r>
        <w:rPr>
          <w:color w:val="374151"/>
          <w:spacing w:val="-2"/>
          <w:shd w:fill="F7F7F8" w:color="auto" w:val="clear"/>
        </w:rPr>
        <w:t> </w:t>
      </w:r>
      <w:r>
        <w:rPr>
          <w:color w:val="374151"/>
          <w:shd w:fill="F7F7F8" w:color="auto" w:val="clear"/>
        </w:rPr>
        <w:t>who</w:t>
      </w:r>
      <w:r>
        <w:rPr>
          <w:color w:val="374151"/>
          <w:spacing w:val="-2"/>
          <w:shd w:fill="F7F7F8" w:color="auto" w:val="clear"/>
        </w:rPr>
        <w:t> </w:t>
      </w:r>
      <w:r>
        <w:rPr>
          <w:color w:val="374151"/>
          <w:shd w:fill="F7F7F8" w:color="auto" w:val="clear"/>
        </w:rPr>
        <w:t>may</w:t>
      </w:r>
      <w:r>
        <w:rPr>
          <w:color w:val="374151"/>
          <w:spacing w:val="-1"/>
          <w:shd w:fill="F7F7F8" w:color="auto" w:val="clear"/>
        </w:rPr>
        <w:t> </w:t>
      </w:r>
      <w:r>
        <w:rPr>
          <w:color w:val="374151"/>
          <w:shd w:fill="F7F7F8" w:color="auto" w:val="clear"/>
        </w:rPr>
        <w:t>face</w:t>
      </w:r>
      <w:r>
        <w:rPr>
          <w:color w:val="374151"/>
          <w:spacing w:val="-2"/>
          <w:shd w:fill="F7F7F8" w:color="auto" w:val="clear"/>
        </w:rPr>
        <w:t> </w:t>
      </w:r>
      <w:r>
        <w:rPr>
          <w:color w:val="374151"/>
          <w:shd w:fill="F7F7F8" w:color="auto" w:val="clear"/>
        </w:rPr>
        <w:t>barriers</w:t>
      </w:r>
      <w:r>
        <w:rPr>
          <w:color w:val="374151"/>
          <w:spacing w:val="-2"/>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in-</w:t>
      </w:r>
      <w:r>
        <w:rPr>
          <w:color w:val="374151"/>
          <w:spacing w:val="-2"/>
          <w:shd w:fill="F7F7F8" w:color="auto" w:val="clear"/>
        </w:rPr>
        <w:t>person</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458720" cy="787400"/>
                <wp:effectExtent l="0" t="0" r="0" b="3175"/>
                <wp:docPr id="250" name="Group 250"/>
                <wp:cNvGraphicFramePr>
                  <a:graphicFrameLocks/>
                </wp:cNvGraphicFramePr>
                <a:graphic>
                  <a:graphicData uri="http://schemas.microsoft.com/office/word/2010/wordprocessingGroup">
                    <wpg:wgp>
                      <wpg:cNvPr id="250" name="Group 250"/>
                      <wpg:cNvGrpSpPr/>
                      <wpg:grpSpPr>
                        <a:xfrm>
                          <a:off x="0" y="0"/>
                          <a:ext cx="2458720" cy="787400"/>
                          <a:chExt cx="2458720" cy="787400"/>
                        </a:xfrm>
                      </wpg:grpSpPr>
                      <wps:wsp>
                        <wps:cNvPr id="251" name="Textbox 251"/>
                        <wps:cNvSpPr txBox="1"/>
                        <wps:spPr>
                          <a:xfrm>
                            <a:off x="0" y="393700"/>
                            <a:ext cx="235013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Online</w:t>
                              </w:r>
                              <w:r>
                                <w:rPr>
                                  <w:b/>
                                  <w:i/>
                                  <w:color w:val="374151"/>
                                  <w:spacing w:val="-3"/>
                                  <w:sz w:val="28"/>
                                </w:rPr>
                                <w:t> </w:t>
                              </w:r>
                              <w:r>
                                <w:rPr>
                                  <w:b/>
                                  <w:i/>
                                  <w:color w:val="374151"/>
                                  <w:sz w:val="28"/>
                                </w:rPr>
                                <w:t>Support</w:t>
                              </w:r>
                              <w:r>
                                <w:rPr>
                                  <w:b/>
                                  <w:i/>
                                  <w:color w:val="374151"/>
                                  <w:spacing w:val="-1"/>
                                  <w:sz w:val="28"/>
                                </w:rPr>
                                <w:t> </w:t>
                              </w:r>
                              <w:r>
                                <w:rPr>
                                  <w:b/>
                                  <w:i/>
                                  <w:color w:val="374151"/>
                                  <w:sz w:val="28"/>
                                </w:rPr>
                                <w:t>and</w:t>
                              </w:r>
                              <w:r>
                                <w:rPr>
                                  <w:b/>
                                  <w:i/>
                                  <w:color w:val="374151"/>
                                  <w:spacing w:val="-1"/>
                                  <w:sz w:val="28"/>
                                </w:rPr>
                                <w:t> </w:t>
                              </w:r>
                              <w:r>
                                <w:rPr>
                                  <w:b/>
                                  <w:i/>
                                  <w:color w:val="374151"/>
                                  <w:spacing w:val="-4"/>
                                  <w:sz w:val="28"/>
                                </w:rPr>
                                <w:t>Teletherapy</w:t>
                              </w:r>
                            </w:p>
                          </w:txbxContent>
                        </wps:txbx>
                        <wps:bodyPr wrap="square" lIns="0" tIns="0" rIns="0" bIns="0" rtlCol="0">
                          <a:noAutofit/>
                        </wps:bodyPr>
                      </wps:wsp>
                      <wps:wsp>
                        <wps:cNvPr id="252" name="Textbox 252"/>
                        <wps:cNvSpPr txBox="1"/>
                        <wps:spPr>
                          <a:xfrm>
                            <a:off x="0" y="0"/>
                            <a:ext cx="245872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care</w:t>
                              </w:r>
                              <w:r>
                                <w:rPr>
                                  <w:color w:val="374151"/>
                                  <w:spacing w:val="-4"/>
                                  <w:sz w:val="28"/>
                                </w:rPr>
                                <w:t> </w:t>
                              </w:r>
                              <w:r>
                                <w:rPr>
                                  <w:color w:val="374151"/>
                                  <w:sz w:val="28"/>
                                </w:rPr>
                                <w:t>or</w:t>
                              </w:r>
                              <w:r>
                                <w:rPr>
                                  <w:color w:val="374151"/>
                                  <w:spacing w:val="-1"/>
                                  <w:sz w:val="28"/>
                                </w:rPr>
                                <w:t> </w:t>
                              </w:r>
                              <w:r>
                                <w:rPr>
                                  <w:color w:val="374151"/>
                                  <w:sz w:val="28"/>
                                </w:rPr>
                                <w:t>who</w:t>
                              </w:r>
                              <w:r>
                                <w:rPr>
                                  <w:color w:val="374151"/>
                                  <w:spacing w:val="-1"/>
                                  <w:sz w:val="28"/>
                                </w:rPr>
                                <w:t> </w:t>
                              </w:r>
                              <w:r>
                                <w:rPr>
                                  <w:color w:val="374151"/>
                                  <w:sz w:val="28"/>
                                </w:rPr>
                                <w:t>prefer</w:t>
                              </w:r>
                              <w:r>
                                <w:rPr>
                                  <w:color w:val="374151"/>
                                  <w:spacing w:val="-1"/>
                                  <w:sz w:val="28"/>
                                </w:rPr>
                                <w:t> </w:t>
                              </w:r>
                              <w:r>
                                <w:rPr>
                                  <w:color w:val="374151"/>
                                  <w:sz w:val="28"/>
                                </w:rPr>
                                <w:t>remote</w:t>
                              </w:r>
                              <w:r>
                                <w:rPr>
                                  <w:color w:val="374151"/>
                                  <w:spacing w:val="-2"/>
                                  <w:sz w:val="28"/>
                                </w:rPr>
                                <w:t> options.</w:t>
                              </w:r>
                            </w:p>
                          </w:txbxContent>
                        </wps:txbx>
                        <wps:bodyPr wrap="square" lIns="0" tIns="0" rIns="0" bIns="0" rtlCol="0">
                          <a:noAutofit/>
                        </wps:bodyPr>
                      </wps:wsp>
                    </wpg:wgp>
                  </a:graphicData>
                </a:graphic>
              </wp:inline>
            </w:drawing>
          </mc:Choice>
          <mc:Fallback>
            <w:pict>
              <v:group style="width:193.6pt;height:62pt;mso-position-horizontal-relative:char;mso-position-vertical-relative:line" id="docshapegroup249" coordorigin="0,0" coordsize="3872,1240">
                <v:shape style="position:absolute;left:0;top:620;width:3701;height:620" type="#_x0000_t202" id="docshape250" filled="true" fillcolor="#f7f7f8" stroked="false">
                  <v:textbox inset="0,0,0,0">
                    <w:txbxContent>
                      <w:p>
                        <w:pPr>
                          <w:spacing w:line="308" w:lineRule="exact" w:before="0"/>
                          <w:ind w:left="0" w:right="0" w:firstLine="0"/>
                          <w:jc w:val="left"/>
                          <w:rPr>
                            <w:b/>
                            <w:i/>
                            <w:color w:val="000000"/>
                            <w:sz w:val="28"/>
                          </w:rPr>
                        </w:pPr>
                        <w:r>
                          <w:rPr>
                            <w:b/>
                            <w:i/>
                            <w:color w:val="374151"/>
                            <w:sz w:val="28"/>
                          </w:rPr>
                          <w:t>Online</w:t>
                        </w:r>
                        <w:r>
                          <w:rPr>
                            <w:b/>
                            <w:i/>
                            <w:color w:val="374151"/>
                            <w:spacing w:val="-3"/>
                            <w:sz w:val="28"/>
                          </w:rPr>
                          <w:t> </w:t>
                        </w:r>
                        <w:r>
                          <w:rPr>
                            <w:b/>
                            <w:i/>
                            <w:color w:val="374151"/>
                            <w:sz w:val="28"/>
                          </w:rPr>
                          <w:t>Support</w:t>
                        </w:r>
                        <w:r>
                          <w:rPr>
                            <w:b/>
                            <w:i/>
                            <w:color w:val="374151"/>
                            <w:spacing w:val="-1"/>
                            <w:sz w:val="28"/>
                          </w:rPr>
                          <w:t> </w:t>
                        </w:r>
                        <w:r>
                          <w:rPr>
                            <w:b/>
                            <w:i/>
                            <w:color w:val="374151"/>
                            <w:sz w:val="28"/>
                          </w:rPr>
                          <w:t>and</w:t>
                        </w:r>
                        <w:r>
                          <w:rPr>
                            <w:b/>
                            <w:i/>
                            <w:color w:val="374151"/>
                            <w:spacing w:val="-1"/>
                            <w:sz w:val="28"/>
                          </w:rPr>
                          <w:t> </w:t>
                        </w:r>
                        <w:r>
                          <w:rPr>
                            <w:b/>
                            <w:i/>
                            <w:color w:val="374151"/>
                            <w:spacing w:val="-4"/>
                            <w:sz w:val="28"/>
                          </w:rPr>
                          <w:t>Teletherapy</w:t>
                        </w:r>
                      </w:p>
                    </w:txbxContent>
                  </v:textbox>
                  <v:fill type="solid"/>
                  <w10:wrap type="none"/>
                </v:shape>
                <v:shape style="position:absolute;left:0;top:0;width:3872;height:620" type="#_x0000_t202" id="docshape251" filled="true" fillcolor="#f7f7f8" stroked="false">
                  <v:textbox inset="0,0,0,0">
                    <w:txbxContent>
                      <w:p>
                        <w:pPr>
                          <w:spacing w:line="308" w:lineRule="exact" w:before="0"/>
                          <w:ind w:left="0" w:right="-15" w:firstLine="0"/>
                          <w:jc w:val="left"/>
                          <w:rPr>
                            <w:color w:val="000000"/>
                            <w:sz w:val="28"/>
                          </w:rPr>
                        </w:pPr>
                        <w:r>
                          <w:rPr>
                            <w:color w:val="374151"/>
                            <w:sz w:val="28"/>
                          </w:rPr>
                          <w:t>care</w:t>
                        </w:r>
                        <w:r>
                          <w:rPr>
                            <w:color w:val="374151"/>
                            <w:spacing w:val="-4"/>
                            <w:sz w:val="28"/>
                          </w:rPr>
                          <w:t> </w:t>
                        </w:r>
                        <w:r>
                          <w:rPr>
                            <w:color w:val="374151"/>
                            <w:sz w:val="28"/>
                          </w:rPr>
                          <w:t>or</w:t>
                        </w:r>
                        <w:r>
                          <w:rPr>
                            <w:color w:val="374151"/>
                            <w:spacing w:val="-1"/>
                            <w:sz w:val="28"/>
                          </w:rPr>
                          <w:t> </w:t>
                        </w:r>
                        <w:r>
                          <w:rPr>
                            <w:color w:val="374151"/>
                            <w:sz w:val="28"/>
                          </w:rPr>
                          <w:t>who</w:t>
                        </w:r>
                        <w:r>
                          <w:rPr>
                            <w:color w:val="374151"/>
                            <w:spacing w:val="-1"/>
                            <w:sz w:val="28"/>
                          </w:rPr>
                          <w:t> </w:t>
                        </w:r>
                        <w:r>
                          <w:rPr>
                            <w:color w:val="374151"/>
                            <w:sz w:val="28"/>
                          </w:rPr>
                          <w:t>prefer</w:t>
                        </w:r>
                        <w:r>
                          <w:rPr>
                            <w:color w:val="374151"/>
                            <w:spacing w:val="-1"/>
                            <w:sz w:val="28"/>
                          </w:rPr>
                          <w:t> </w:t>
                        </w:r>
                        <w:r>
                          <w:rPr>
                            <w:color w:val="374151"/>
                            <w:sz w:val="28"/>
                          </w:rPr>
                          <w:t>remote</w:t>
                        </w:r>
                        <w:r>
                          <w:rPr>
                            <w:color w:val="374151"/>
                            <w:spacing w:val="-2"/>
                            <w:sz w:val="28"/>
                          </w:rPr>
                          <w:t> options.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Teletherapy</w:t>
      </w:r>
      <w:r>
        <w:rPr>
          <w:color w:val="374151"/>
          <w:spacing w:val="-7"/>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online</w:t>
      </w:r>
      <w:r>
        <w:rPr>
          <w:color w:val="374151"/>
          <w:spacing w:val="-5"/>
          <w:shd w:fill="F7F7F8" w:color="auto" w:val="clear"/>
        </w:rPr>
        <w:t> </w:t>
      </w:r>
      <w:r>
        <w:rPr>
          <w:color w:val="374151"/>
          <w:shd w:fill="F7F7F8" w:color="auto" w:val="clear"/>
        </w:rPr>
        <w:t>support</w:t>
      </w:r>
      <w:r>
        <w:rPr>
          <w:color w:val="374151"/>
          <w:spacing w:val="-5"/>
          <w:shd w:fill="F7F7F8" w:color="auto" w:val="clear"/>
        </w:rPr>
        <w:t> </w:t>
      </w:r>
      <w:r>
        <w:rPr>
          <w:color w:val="374151"/>
          <w:shd w:fill="F7F7F8" w:color="auto" w:val="clear"/>
        </w:rPr>
        <w:t>have</w:t>
      </w:r>
      <w:r>
        <w:rPr>
          <w:color w:val="374151"/>
          <w:spacing w:val="-5"/>
          <w:shd w:fill="F7F7F8" w:color="auto" w:val="clear"/>
        </w:rPr>
        <w:t> </w:t>
      </w:r>
      <w:r>
        <w:rPr>
          <w:color w:val="374151"/>
          <w:shd w:fill="F7F7F8" w:color="auto" w:val="clear"/>
        </w:rPr>
        <w:t>become</w:t>
      </w:r>
      <w:r>
        <w:rPr>
          <w:color w:val="374151"/>
          <w:spacing w:val="-5"/>
          <w:shd w:fill="F7F7F8" w:color="auto" w:val="clear"/>
        </w:rPr>
        <w:t> </w:t>
      </w:r>
      <w:r>
        <w:rPr>
          <w:color w:val="374151"/>
          <w:shd w:fill="F7F7F8" w:color="auto" w:val="clear"/>
        </w:rPr>
        <w:t>increasingly</w:t>
      </w:r>
      <w:r>
        <w:rPr>
          <w:color w:val="374151"/>
          <w:spacing w:val="-4"/>
          <w:shd w:fill="F7F7F8" w:color="auto" w:val="clear"/>
        </w:rPr>
        <w:t> </w:t>
      </w:r>
      <w:r>
        <w:rPr>
          <w:color w:val="374151"/>
          <w:shd w:fill="F7F7F8" w:color="auto" w:val="clear"/>
        </w:rPr>
        <w:t>relevant,</w:t>
      </w:r>
      <w:r>
        <w:rPr>
          <w:color w:val="374151"/>
          <w:spacing w:val="-4"/>
          <w:shd w:fill="F7F7F8" w:color="auto" w:val="clear"/>
        </w:rPr>
        <w:t> </w:t>
      </w:r>
      <w:r>
        <w:rPr>
          <w:color w:val="374151"/>
          <w:spacing w:val="-2"/>
          <w:shd w:fill="F7F7F8" w:color="auto" w:val="clear"/>
        </w:rPr>
        <w:t>especially</w:t>
      </w:r>
      <w:r>
        <w:rPr>
          <w:color w:val="374151"/>
          <w:spacing w:val="40"/>
          <w:shd w:fill="F7F7F8" w:color="auto" w:val="clear"/>
        </w:rPr>
        <w:t> </w:t>
      </w:r>
    </w:p>
    <w:p>
      <w:pPr>
        <w:pStyle w:val="BodyText"/>
        <w:spacing w:after="4"/>
        <w:ind w:left="280" w:right="502"/>
      </w:pPr>
      <w:r>
        <w:rPr>
          <w:color w:val="374151"/>
          <w:shd w:fill="F7F7F8" w:color="auto" w:val="clear"/>
        </w:rPr>
        <w:t>during the COVID-19 pandemic.</w:t>
      </w:r>
      <w:r>
        <w:rPr>
          <w:color w:val="374151"/>
          <w:spacing w:val="-4"/>
          <w:shd w:fill="F7F7F8" w:color="auto" w:val="clear"/>
        </w:rPr>
        <w:t> </w:t>
      </w:r>
      <w:r>
        <w:rPr>
          <w:color w:val="374151"/>
          <w:shd w:fill="F7F7F8" w:color="auto" w:val="clear"/>
        </w:rPr>
        <w:t>These modalities allow therapists to provide </w:t>
      </w:r>
      <w:r>
        <w:rPr>
          <w:color w:val="374151"/>
        </w:rPr>
        <w:t> </w:t>
      </w:r>
      <w:r>
        <w:rPr>
          <w:color w:val="374151"/>
          <w:shd w:fill="F7F7F8" w:color="auto" w:val="clear"/>
        </w:rPr>
        <w:t>remote counseling and support services, ensuring continuity of care and </w:t>
      </w:r>
      <w:r>
        <w:rPr>
          <w:color w:val="374151"/>
        </w:rPr>
        <w:t> </w:t>
      </w:r>
      <w:r>
        <w:rPr>
          <w:color w:val="374151"/>
          <w:shd w:fill="F7F7F8" w:color="auto" w:val="clear"/>
        </w:rPr>
        <w:t>reaching</w:t>
      </w:r>
      <w:r>
        <w:rPr>
          <w:color w:val="374151"/>
          <w:spacing w:val="-5"/>
          <w:shd w:fill="F7F7F8" w:color="auto" w:val="clear"/>
        </w:rPr>
        <w:t> </w:t>
      </w:r>
      <w:r>
        <w:rPr>
          <w:color w:val="374151"/>
          <w:shd w:fill="F7F7F8" w:color="auto" w:val="clear"/>
        </w:rPr>
        <w:t>individuals</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remote</w:t>
      </w:r>
      <w:r>
        <w:rPr>
          <w:color w:val="374151"/>
          <w:spacing w:val="-6"/>
          <w:shd w:fill="F7F7F8" w:color="auto" w:val="clear"/>
        </w:rPr>
        <w:t> </w:t>
      </w:r>
      <w:r>
        <w:rPr>
          <w:color w:val="374151"/>
          <w:shd w:fill="F7F7F8" w:color="auto" w:val="clear"/>
        </w:rPr>
        <w:t>or</w:t>
      </w:r>
      <w:r>
        <w:rPr>
          <w:color w:val="374151"/>
          <w:spacing w:val="-5"/>
          <w:shd w:fill="F7F7F8" w:color="auto" w:val="clear"/>
        </w:rPr>
        <w:t> </w:t>
      </w:r>
      <w:r>
        <w:rPr>
          <w:color w:val="374151"/>
          <w:shd w:fill="F7F7F8" w:color="auto" w:val="clear"/>
        </w:rPr>
        <w:t>underserved</w:t>
      </w:r>
      <w:r>
        <w:rPr>
          <w:color w:val="374151"/>
          <w:spacing w:val="-5"/>
          <w:shd w:fill="F7F7F8" w:color="auto" w:val="clear"/>
        </w:rPr>
        <w:t> </w:t>
      </w:r>
      <w:r>
        <w:rPr>
          <w:color w:val="374151"/>
          <w:shd w:fill="F7F7F8" w:color="auto" w:val="clear"/>
        </w:rPr>
        <w:t>areas.</w:t>
      </w:r>
      <w:r>
        <w:rPr>
          <w:color w:val="374151"/>
          <w:spacing w:val="-5"/>
          <w:shd w:fill="F7F7F8" w:color="auto" w:val="clear"/>
        </w:rPr>
        <w:t> </w:t>
      </w:r>
      <w:r>
        <w:rPr>
          <w:color w:val="374151"/>
          <w:shd w:fill="F7F7F8" w:color="auto" w:val="clear"/>
        </w:rPr>
        <w:t>However,</w:t>
      </w:r>
      <w:r>
        <w:rPr>
          <w:color w:val="374151"/>
          <w:spacing w:val="-5"/>
          <w:shd w:fill="F7F7F8" w:color="auto" w:val="clear"/>
        </w:rPr>
        <w:t> </w:t>
      </w:r>
      <w:r>
        <w:rPr>
          <w:color w:val="374151"/>
          <w:shd w:fill="F7F7F8" w:color="auto" w:val="clear"/>
        </w:rPr>
        <w:t>therapists</w:t>
      </w:r>
      <w:r>
        <w:rPr>
          <w:color w:val="374151"/>
          <w:spacing w:val="-5"/>
          <w:shd w:fill="F7F7F8" w:color="auto" w:val="clear"/>
        </w:rPr>
        <w:t> </w:t>
      </w:r>
      <w:r>
        <w:rPr>
          <w:color w:val="374151"/>
          <w:shd w:fill="F7F7F8" w:color="auto" w:val="clear"/>
        </w:rPr>
        <w:t>must</w:t>
      </w:r>
      <w:r>
        <w:rPr>
          <w:color w:val="374151"/>
          <w:spacing w:val="-6"/>
          <w:shd w:fill="F7F7F8" w:color="auto" w:val="clear"/>
        </w:rPr>
        <w:t> </w:t>
      </w:r>
      <w:r>
        <w:rPr>
          <w:color w:val="374151"/>
          <w:spacing w:val="-6"/>
        </w:rPr>
        <w:t> </w:t>
      </w:r>
      <w:r>
        <w:rPr>
          <w:color w:val="374151"/>
          <w:shd w:fill="F7F7F8" w:color="auto" w:val="clear"/>
        </w:rPr>
        <w:t>be mindful of the ethical considerations surrounding privacy, confidentiality,</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197100" cy="393700"/>
                <wp:effectExtent l="0" t="0" r="0" b="0"/>
                <wp:docPr id="253" name="Textbox 253"/>
                <wp:cNvGraphicFramePr>
                  <a:graphicFrameLocks/>
                </wp:cNvGraphicFramePr>
                <a:graphic>
                  <a:graphicData uri="http://schemas.microsoft.com/office/word/2010/wordprocessingShape">
                    <wps:wsp>
                      <wps:cNvPr id="253" name="Textbox 253"/>
                      <wps:cNvSpPr txBox="1"/>
                      <wps:spPr>
                        <a:xfrm>
                          <a:off x="0" y="0"/>
                          <a:ext cx="2197100" cy="393700"/>
                        </a:xfrm>
                        <a:prstGeom prst="rect">
                          <a:avLst/>
                        </a:prstGeom>
                        <a:solidFill>
                          <a:srgbClr val="F7F7F8"/>
                        </a:solidFill>
                      </wps:spPr>
                      <wps:txbx>
                        <w:txbxContent>
                          <w:p>
                            <w:pPr>
                              <w:pStyle w:val="BodyText"/>
                              <w:spacing w:line="308" w:lineRule="exact"/>
                              <w:ind w:right="-15"/>
                              <w:rPr>
                                <w:color w:val="000000"/>
                              </w:rPr>
                            </w:pPr>
                            <w:r>
                              <w:rPr>
                                <w:color w:val="374151"/>
                              </w:rPr>
                              <w:t>and</w:t>
                            </w:r>
                            <w:r>
                              <w:rPr>
                                <w:color w:val="374151"/>
                                <w:spacing w:val="-3"/>
                              </w:rPr>
                              <w:t> </w:t>
                            </w:r>
                            <w:r>
                              <w:rPr>
                                <w:color w:val="374151"/>
                              </w:rPr>
                              <w:t>technological</w:t>
                            </w:r>
                            <w:r>
                              <w:rPr>
                                <w:color w:val="374151"/>
                                <w:spacing w:val="-2"/>
                              </w:rPr>
                              <w:t> competence.</w:t>
                            </w:r>
                          </w:p>
                        </w:txbxContent>
                      </wps:txbx>
                      <wps:bodyPr wrap="square" lIns="0" tIns="0" rIns="0" bIns="0" rtlCol="0">
                        <a:noAutofit/>
                      </wps:bodyPr>
                    </wps:wsp>
                  </a:graphicData>
                </a:graphic>
              </wp:inline>
            </w:drawing>
          </mc:Choice>
          <mc:Fallback>
            <w:pict>
              <v:shape style="width:173pt;height:31pt;mso-position-horizontal-relative:char;mso-position-vertical-relative:line" type="#_x0000_t202" id="docshape252" filled="true" fillcolor="#f7f7f8" stroked="false">
                <w10:anchorlock/>
                <v:textbox inset="0,0,0,0">
                  <w:txbxContent>
                    <w:p>
                      <w:pPr>
                        <w:pStyle w:val="BodyText"/>
                        <w:spacing w:line="308" w:lineRule="exact"/>
                        <w:ind w:right="-15"/>
                        <w:rPr>
                          <w:color w:val="000000"/>
                        </w:rPr>
                      </w:pPr>
                      <w:r>
                        <w:rPr>
                          <w:color w:val="374151"/>
                        </w:rPr>
                        <w:t>and</w:t>
                      </w:r>
                      <w:r>
                        <w:rPr>
                          <w:color w:val="374151"/>
                          <w:spacing w:val="-3"/>
                        </w:rPr>
                        <w:t> </w:t>
                      </w:r>
                      <w:r>
                        <w:rPr>
                          <w:color w:val="374151"/>
                        </w:rPr>
                        <w:t>technological</w:t>
                      </w:r>
                      <w:r>
                        <w:rPr>
                          <w:color w:val="374151"/>
                          <w:spacing w:val="-2"/>
                        </w:rPr>
                        <w:t> competence.</w:t>
                      </w:r>
                    </w:p>
                  </w:txbxContent>
                </v:textbox>
                <v:fill type="solid"/>
              </v:shape>
            </w:pict>
          </mc:Fallback>
        </mc:AlternateContent>
      </w:r>
      <w:r>
        <w:rPr>
          <w:sz w:val="20"/>
        </w:rPr>
      </w:r>
    </w:p>
    <w:p>
      <w:pPr>
        <w:spacing w:after="0"/>
        <w:rPr>
          <w:sz w:val="20"/>
        </w:rPr>
        <w:sectPr>
          <w:pgSz w:w="12240" w:h="15840"/>
          <w:pgMar w:header="0" w:footer="765" w:top="1260" w:bottom="980" w:left="1400" w:right="1180"/>
        </w:sectPr>
      </w:pPr>
    </w:p>
    <w:p>
      <w:pPr>
        <w:pStyle w:val="BodyText"/>
        <w:rPr>
          <w:sz w:val="20"/>
        </w:rPr>
      </w:pPr>
    </w:p>
    <w:p>
      <w:pPr>
        <w:pStyle w:val="BodyText"/>
        <w:rPr>
          <w:sz w:val="25"/>
        </w:rPr>
      </w:pPr>
    </w:p>
    <w:p>
      <w:pPr>
        <w:pStyle w:val="BodyText"/>
        <w:spacing w:before="88" w:after="7"/>
        <w:ind w:left="280" w:right="498"/>
      </w:pPr>
      <w:r>
        <w:rPr/>
        <mc:AlternateContent>
          <mc:Choice Requires="wps">
            <w:drawing>
              <wp:anchor distT="0" distB="0" distL="0" distR="0" allowOverlap="1" layoutInCell="1" locked="0" behindDoc="0" simplePos="0" relativeHeight="15788544">
                <wp:simplePos x="0" y="0"/>
                <wp:positionH relativeFrom="page">
                  <wp:posOffset>1066800</wp:posOffset>
                </wp:positionH>
                <wp:positionV relativeFrom="paragraph">
                  <wp:posOffset>-329015</wp:posOffset>
                </wp:positionV>
                <wp:extent cx="1738630" cy="39370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738630"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Integrated</w:t>
                            </w:r>
                            <w:r>
                              <w:rPr>
                                <w:b/>
                                <w:i/>
                                <w:color w:val="374151"/>
                                <w:spacing w:val="-3"/>
                                <w:sz w:val="28"/>
                              </w:rPr>
                              <w:t> </w:t>
                            </w:r>
                            <w:r>
                              <w:rPr>
                                <w:b/>
                                <w:i/>
                                <w:color w:val="374151"/>
                                <w:sz w:val="28"/>
                              </w:rPr>
                              <w:t>Care</w:t>
                            </w:r>
                            <w:r>
                              <w:rPr>
                                <w:b/>
                                <w:i/>
                                <w:color w:val="374151"/>
                                <w:spacing w:val="-3"/>
                                <w:sz w:val="28"/>
                              </w:rPr>
                              <w:t> </w:t>
                            </w:r>
                            <w:r>
                              <w:rPr>
                                <w:b/>
                                <w:i/>
                                <w:color w:val="374151"/>
                                <w:spacing w:val="-2"/>
                                <w:sz w:val="28"/>
                              </w:rPr>
                              <w:t>Models</w:t>
                            </w:r>
                          </w:p>
                        </w:txbxContent>
                      </wps:txbx>
                      <wps:bodyPr wrap="square" lIns="0" tIns="0" rIns="0" bIns="0" rtlCol="0">
                        <a:noAutofit/>
                      </wps:bodyPr>
                    </wps:wsp>
                  </a:graphicData>
                </a:graphic>
              </wp:anchor>
            </w:drawing>
          </mc:Choice>
          <mc:Fallback>
            <w:pict>
              <v:shape style="position:absolute;margin-left:84pt;margin-top:-25.906702pt;width:136.9pt;height:31pt;mso-position-horizontal-relative:page;mso-position-vertical-relative:paragraph;z-index:15788544" type="#_x0000_t202" id="docshape253" filled="true" fillcolor="#f7f7f8" stroked="false">
                <v:textbox inset="0,0,0,0">
                  <w:txbxContent>
                    <w:p>
                      <w:pPr>
                        <w:spacing w:line="308" w:lineRule="exact" w:before="0"/>
                        <w:ind w:left="0" w:right="0" w:firstLine="0"/>
                        <w:jc w:val="left"/>
                        <w:rPr>
                          <w:b/>
                          <w:i/>
                          <w:color w:val="000000"/>
                          <w:sz w:val="28"/>
                        </w:rPr>
                      </w:pPr>
                      <w:r>
                        <w:rPr>
                          <w:b/>
                          <w:i/>
                          <w:color w:val="374151"/>
                          <w:sz w:val="28"/>
                        </w:rPr>
                        <w:t>Integrated</w:t>
                      </w:r>
                      <w:r>
                        <w:rPr>
                          <w:b/>
                          <w:i/>
                          <w:color w:val="374151"/>
                          <w:spacing w:val="-3"/>
                          <w:sz w:val="28"/>
                        </w:rPr>
                        <w:t> </w:t>
                      </w:r>
                      <w:r>
                        <w:rPr>
                          <w:b/>
                          <w:i/>
                          <w:color w:val="374151"/>
                          <w:sz w:val="28"/>
                        </w:rPr>
                        <w:t>Care</w:t>
                      </w:r>
                      <w:r>
                        <w:rPr>
                          <w:b/>
                          <w:i/>
                          <w:color w:val="374151"/>
                          <w:spacing w:val="-3"/>
                          <w:sz w:val="28"/>
                        </w:rPr>
                        <w:t> </w:t>
                      </w:r>
                      <w:r>
                        <w:rPr>
                          <w:b/>
                          <w:i/>
                          <w:color w:val="374151"/>
                          <w:spacing w:val="-2"/>
                          <w:sz w:val="28"/>
                        </w:rPr>
                        <w:t>Models</w:t>
                      </w:r>
                    </w:p>
                  </w:txbxContent>
                </v:textbox>
                <v:fill type="solid"/>
                <w10:wrap type="none"/>
              </v:shape>
            </w:pict>
          </mc:Fallback>
        </mc:AlternateContent>
      </w:r>
      <w:r>
        <w:rPr>
          <w:color w:val="374151"/>
          <w:shd w:fill="F7F7F8" w:color="auto" w:val="clear"/>
        </w:rPr>
        <w:t>Integrated care models involve collaboration among mental health </w:t>
      </w:r>
      <w:r>
        <w:rPr>
          <w:color w:val="374151"/>
        </w:rPr>
        <w:t> </w:t>
      </w:r>
      <w:r>
        <w:rPr>
          <w:color w:val="374151"/>
          <w:shd w:fill="F7F7F8" w:color="auto" w:val="clear"/>
        </w:rPr>
        <w:t>professionals, medical providers, and social service agencies to address the </w:t>
      </w:r>
      <w:r>
        <w:rPr>
          <w:color w:val="374151"/>
        </w:rPr>
        <w:t> </w:t>
      </w:r>
      <w:r>
        <w:rPr>
          <w:color w:val="374151"/>
          <w:shd w:fill="F7F7F8" w:color="auto" w:val="clear"/>
        </w:rPr>
        <w:t>holistic needs of survivors. By working together, these professionals can </w:t>
      </w:r>
      <w:r>
        <w:rPr>
          <w:color w:val="374151"/>
        </w:rPr>
        <w:t> </w:t>
      </w:r>
      <w:r>
        <w:rPr>
          <w:color w:val="374151"/>
          <w:shd w:fill="F7F7F8" w:color="auto" w:val="clear"/>
        </w:rPr>
        <w:t>provide</w:t>
      </w:r>
      <w:r>
        <w:rPr>
          <w:color w:val="374151"/>
          <w:spacing w:val="-6"/>
          <w:shd w:fill="F7F7F8" w:color="auto" w:val="clear"/>
        </w:rPr>
        <w:t> </w:t>
      </w:r>
      <w:r>
        <w:rPr>
          <w:color w:val="374151"/>
          <w:shd w:fill="F7F7F8" w:color="auto" w:val="clear"/>
        </w:rPr>
        <w:t>comprehensive</w:t>
      </w:r>
      <w:r>
        <w:rPr>
          <w:color w:val="374151"/>
          <w:spacing w:val="-6"/>
          <w:shd w:fill="F7F7F8" w:color="auto" w:val="clear"/>
        </w:rPr>
        <w:t> </w:t>
      </w:r>
      <w:r>
        <w:rPr>
          <w:color w:val="374151"/>
          <w:shd w:fill="F7F7F8" w:color="auto" w:val="clear"/>
        </w:rPr>
        <w:t>support</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coordinate</w:t>
      </w:r>
      <w:r>
        <w:rPr>
          <w:color w:val="374151"/>
          <w:spacing w:val="-6"/>
          <w:shd w:fill="F7F7F8" w:color="auto" w:val="clear"/>
        </w:rPr>
        <w:t> </w:t>
      </w:r>
      <w:r>
        <w:rPr>
          <w:color w:val="374151"/>
          <w:shd w:fill="F7F7F8" w:color="auto" w:val="clear"/>
        </w:rPr>
        <w:t>treatment</w:t>
      </w:r>
      <w:r>
        <w:rPr>
          <w:color w:val="374151"/>
          <w:spacing w:val="-5"/>
          <w:shd w:fill="F7F7F8" w:color="auto" w:val="clear"/>
        </w:rPr>
        <w:t> </w:t>
      </w:r>
      <w:r>
        <w:rPr>
          <w:color w:val="374151"/>
          <w:shd w:fill="F7F7F8" w:color="auto" w:val="clear"/>
        </w:rPr>
        <w:t>interventions,</w:t>
      </w:r>
      <w:r>
        <w:rPr>
          <w:color w:val="374151"/>
          <w:spacing w:val="-5"/>
          <w:shd w:fill="F7F7F8" w:color="auto" w:val="clear"/>
        </w:rPr>
        <w:t> </w:t>
      </w:r>
      <w:r>
        <w:rPr>
          <w:color w:val="374151"/>
          <w:shd w:fill="F7F7F8" w:color="auto" w:val="clear"/>
        </w:rPr>
        <w:t>leading</w:t>
      </w:r>
    </w:p>
    <w:p>
      <w:pPr>
        <w:pStyle w:val="BodyText"/>
        <w:ind w:left="280"/>
        <w:rPr>
          <w:sz w:val="20"/>
        </w:rPr>
      </w:pPr>
      <w:r>
        <w:rPr>
          <w:sz w:val="20"/>
        </w:rPr>
        <mc:AlternateContent>
          <mc:Choice Requires="wps">
            <w:drawing>
              <wp:inline distT="0" distB="0" distL="0" distR="0">
                <wp:extent cx="2940050" cy="787400"/>
                <wp:effectExtent l="0" t="0" r="0" b="3175"/>
                <wp:docPr id="255" name="Group 255"/>
                <wp:cNvGraphicFramePr>
                  <a:graphicFrameLocks/>
                </wp:cNvGraphicFramePr>
                <a:graphic>
                  <a:graphicData uri="http://schemas.microsoft.com/office/word/2010/wordprocessingGroup">
                    <wpg:wgp>
                      <wpg:cNvPr id="255" name="Group 255"/>
                      <wpg:cNvGrpSpPr/>
                      <wpg:grpSpPr>
                        <a:xfrm>
                          <a:off x="0" y="0"/>
                          <a:ext cx="2940050" cy="787400"/>
                          <a:chExt cx="2940050" cy="787400"/>
                        </a:xfrm>
                      </wpg:grpSpPr>
                      <wps:wsp>
                        <wps:cNvPr id="256" name="Textbox 256"/>
                        <wps:cNvSpPr txBox="1"/>
                        <wps:spPr>
                          <a:xfrm>
                            <a:off x="0" y="393700"/>
                            <a:ext cx="246824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Self-Care</w:t>
                              </w:r>
                              <w:r>
                                <w:rPr>
                                  <w:b/>
                                  <w:i/>
                                  <w:color w:val="374151"/>
                                  <w:spacing w:val="-5"/>
                                  <w:sz w:val="28"/>
                                </w:rPr>
                                <w:t> </w:t>
                              </w:r>
                              <w:r>
                                <w:rPr>
                                  <w:b/>
                                  <w:i/>
                                  <w:color w:val="374151"/>
                                  <w:sz w:val="28"/>
                                </w:rPr>
                                <w:t>and</w:t>
                              </w:r>
                              <w:r>
                                <w:rPr>
                                  <w:b/>
                                  <w:i/>
                                  <w:color w:val="374151"/>
                                  <w:spacing w:val="-4"/>
                                  <w:sz w:val="28"/>
                                </w:rPr>
                                <w:t> </w:t>
                              </w:r>
                              <w:r>
                                <w:rPr>
                                  <w:b/>
                                  <w:i/>
                                  <w:color w:val="374151"/>
                                  <w:sz w:val="28"/>
                                </w:rPr>
                                <w:t>Secondary</w:t>
                              </w:r>
                              <w:r>
                                <w:rPr>
                                  <w:b/>
                                  <w:i/>
                                  <w:color w:val="374151"/>
                                  <w:spacing w:val="-4"/>
                                  <w:sz w:val="28"/>
                                </w:rPr>
                                <w:t> </w:t>
                              </w:r>
                              <w:r>
                                <w:rPr>
                                  <w:b/>
                                  <w:i/>
                                  <w:color w:val="374151"/>
                                  <w:spacing w:val="-2"/>
                                  <w:sz w:val="28"/>
                                </w:rPr>
                                <w:t>Trauma</w:t>
                              </w:r>
                            </w:p>
                          </w:txbxContent>
                        </wps:txbx>
                        <wps:bodyPr wrap="square" lIns="0" tIns="0" rIns="0" bIns="0" rtlCol="0">
                          <a:noAutofit/>
                        </wps:bodyPr>
                      </wps:wsp>
                      <wps:wsp>
                        <wps:cNvPr id="257" name="Textbox 257"/>
                        <wps:cNvSpPr txBox="1"/>
                        <wps:spPr>
                          <a:xfrm>
                            <a:off x="0" y="0"/>
                            <a:ext cx="294005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to</w:t>
                              </w:r>
                              <w:r>
                                <w:rPr>
                                  <w:color w:val="374151"/>
                                  <w:spacing w:val="-3"/>
                                  <w:sz w:val="28"/>
                                </w:rPr>
                                <w:t> </w:t>
                              </w:r>
                              <w:r>
                                <w:rPr>
                                  <w:color w:val="374151"/>
                                  <w:sz w:val="28"/>
                                </w:rPr>
                                <w:t>more</w:t>
                              </w:r>
                              <w:r>
                                <w:rPr>
                                  <w:color w:val="374151"/>
                                  <w:spacing w:val="-3"/>
                                  <w:sz w:val="28"/>
                                </w:rPr>
                                <w:t> </w:t>
                              </w:r>
                              <w:r>
                                <w:rPr>
                                  <w:color w:val="374151"/>
                                  <w:sz w:val="28"/>
                                </w:rPr>
                                <w:t>effective</w:t>
                              </w:r>
                              <w:r>
                                <w:rPr>
                                  <w:color w:val="374151"/>
                                  <w:spacing w:val="-3"/>
                                  <w:sz w:val="28"/>
                                </w:rPr>
                                <w:t> </w:t>
                              </w:r>
                              <w:r>
                                <w:rPr>
                                  <w:color w:val="374151"/>
                                  <w:sz w:val="28"/>
                                </w:rPr>
                                <w:t>outcomes</w:t>
                              </w:r>
                              <w:r>
                                <w:rPr>
                                  <w:color w:val="374151"/>
                                  <w:spacing w:val="-2"/>
                                  <w:sz w:val="28"/>
                                </w:rPr>
                                <w:t> </w:t>
                              </w:r>
                              <w:r>
                                <w:rPr>
                                  <w:color w:val="374151"/>
                                  <w:sz w:val="28"/>
                                </w:rPr>
                                <w:t>for</w:t>
                              </w:r>
                              <w:r>
                                <w:rPr>
                                  <w:color w:val="374151"/>
                                  <w:spacing w:val="-2"/>
                                  <w:sz w:val="28"/>
                                </w:rPr>
                                <w:t> survivors.</w:t>
                              </w:r>
                            </w:p>
                          </w:txbxContent>
                        </wps:txbx>
                        <wps:bodyPr wrap="square" lIns="0" tIns="0" rIns="0" bIns="0" rtlCol="0">
                          <a:noAutofit/>
                        </wps:bodyPr>
                      </wps:wsp>
                    </wpg:wgp>
                  </a:graphicData>
                </a:graphic>
              </wp:inline>
            </w:drawing>
          </mc:Choice>
          <mc:Fallback>
            <w:pict>
              <v:group style="width:231.5pt;height:62pt;mso-position-horizontal-relative:char;mso-position-vertical-relative:line" id="docshapegroup254" coordorigin="0,0" coordsize="4630,1240">
                <v:shape style="position:absolute;left:0;top:620;width:3887;height:620" type="#_x0000_t202" id="docshape255" filled="true" fillcolor="#f7f7f8" stroked="false">
                  <v:textbox inset="0,0,0,0">
                    <w:txbxContent>
                      <w:p>
                        <w:pPr>
                          <w:spacing w:line="308" w:lineRule="exact" w:before="0"/>
                          <w:ind w:left="0" w:right="0" w:firstLine="0"/>
                          <w:jc w:val="left"/>
                          <w:rPr>
                            <w:b/>
                            <w:i/>
                            <w:color w:val="000000"/>
                            <w:sz w:val="28"/>
                          </w:rPr>
                        </w:pPr>
                        <w:r>
                          <w:rPr>
                            <w:b/>
                            <w:i/>
                            <w:color w:val="374151"/>
                            <w:sz w:val="28"/>
                          </w:rPr>
                          <w:t>Self-Care</w:t>
                        </w:r>
                        <w:r>
                          <w:rPr>
                            <w:b/>
                            <w:i/>
                            <w:color w:val="374151"/>
                            <w:spacing w:val="-5"/>
                            <w:sz w:val="28"/>
                          </w:rPr>
                          <w:t> </w:t>
                        </w:r>
                        <w:r>
                          <w:rPr>
                            <w:b/>
                            <w:i/>
                            <w:color w:val="374151"/>
                            <w:sz w:val="28"/>
                          </w:rPr>
                          <w:t>and</w:t>
                        </w:r>
                        <w:r>
                          <w:rPr>
                            <w:b/>
                            <w:i/>
                            <w:color w:val="374151"/>
                            <w:spacing w:val="-4"/>
                            <w:sz w:val="28"/>
                          </w:rPr>
                          <w:t> </w:t>
                        </w:r>
                        <w:r>
                          <w:rPr>
                            <w:b/>
                            <w:i/>
                            <w:color w:val="374151"/>
                            <w:sz w:val="28"/>
                          </w:rPr>
                          <w:t>Secondary</w:t>
                        </w:r>
                        <w:r>
                          <w:rPr>
                            <w:b/>
                            <w:i/>
                            <w:color w:val="374151"/>
                            <w:spacing w:val="-4"/>
                            <w:sz w:val="28"/>
                          </w:rPr>
                          <w:t> </w:t>
                        </w:r>
                        <w:r>
                          <w:rPr>
                            <w:b/>
                            <w:i/>
                            <w:color w:val="374151"/>
                            <w:spacing w:val="-2"/>
                            <w:sz w:val="28"/>
                          </w:rPr>
                          <w:t>Trauma</w:t>
                        </w:r>
                      </w:p>
                    </w:txbxContent>
                  </v:textbox>
                  <v:fill type="solid"/>
                  <w10:wrap type="none"/>
                </v:shape>
                <v:shape style="position:absolute;left:0;top:0;width:4630;height:620" type="#_x0000_t202" id="docshape256" filled="true" fillcolor="#f7f7f8" stroked="false">
                  <v:textbox inset="0,0,0,0">
                    <w:txbxContent>
                      <w:p>
                        <w:pPr>
                          <w:spacing w:line="308" w:lineRule="exact" w:before="0"/>
                          <w:ind w:left="0" w:right="-15" w:firstLine="0"/>
                          <w:jc w:val="left"/>
                          <w:rPr>
                            <w:color w:val="000000"/>
                            <w:sz w:val="28"/>
                          </w:rPr>
                        </w:pPr>
                        <w:r>
                          <w:rPr>
                            <w:color w:val="374151"/>
                            <w:sz w:val="28"/>
                          </w:rPr>
                          <w:t>to</w:t>
                        </w:r>
                        <w:r>
                          <w:rPr>
                            <w:color w:val="374151"/>
                            <w:spacing w:val="-3"/>
                            <w:sz w:val="28"/>
                          </w:rPr>
                          <w:t> </w:t>
                        </w:r>
                        <w:r>
                          <w:rPr>
                            <w:color w:val="374151"/>
                            <w:sz w:val="28"/>
                          </w:rPr>
                          <w:t>more</w:t>
                        </w:r>
                        <w:r>
                          <w:rPr>
                            <w:color w:val="374151"/>
                            <w:spacing w:val="-3"/>
                            <w:sz w:val="28"/>
                          </w:rPr>
                          <w:t> </w:t>
                        </w:r>
                        <w:r>
                          <w:rPr>
                            <w:color w:val="374151"/>
                            <w:sz w:val="28"/>
                          </w:rPr>
                          <w:t>effective</w:t>
                        </w:r>
                        <w:r>
                          <w:rPr>
                            <w:color w:val="374151"/>
                            <w:spacing w:val="-3"/>
                            <w:sz w:val="28"/>
                          </w:rPr>
                          <w:t> </w:t>
                        </w:r>
                        <w:r>
                          <w:rPr>
                            <w:color w:val="374151"/>
                            <w:sz w:val="28"/>
                          </w:rPr>
                          <w:t>outcomes</w:t>
                        </w:r>
                        <w:r>
                          <w:rPr>
                            <w:color w:val="374151"/>
                            <w:spacing w:val="-2"/>
                            <w:sz w:val="28"/>
                          </w:rPr>
                          <w:t> </w:t>
                        </w:r>
                        <w:r>
                          <w:rPr>
                            <w:color w:val="374151"/>
                            <w:sz w:val="28"/>
                          </w:rPr>
                          <w:t>for</w:t>
                        </w:r>
                        <w:r>
                          <w:rPr>
                            <w:color w:val="374151"/>
                            <w:spacing w:val="-2"/>
                            <w:sz w:val="28"/>
                          </w:rPr>
                          <w:t> survivors.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Therapists</w:t>
      </w:r>
      <w:r>
        <w:rPr>
          <w:color w:val="374151"/>
          <w:spacing w:val="-4"/>
          <w:shd w:fill="F7F7F8" w:color="auto" w:val="clear"/>
        </w:rPr>
        <w:t> </w:t>
      </w:r>
      <w:r>
        <w:rPr>
          <w:color w:val="374151"/>
          <w:shd w:fill="F7F7F8" w:color="auto" w:val="clear"/>
        </w:rPr>
        <w:t>working</w:t>
      </w:r>
      <w:r>
        <w:rPr>
          <w:color w:val="374151"/>
          <w:spacing w:val="-1"/>
          <w:shd w:fill="F7F7F8" w:color="auto" w:val="clear"/>
        </w:rPr>
        <w:t> </w:t>
      </w:r>
      <w:r>
        <w:rPr>
          <w:color w:val="374151"/>
          <w:shd w:fill="F7F7F8" w:color="auto" w:val="clear"/>
        </w:rPr>
        <w:t>with</w:t>
      </w:r>
      <w:r>
        <w:rPr>
          <w:color w:val="374151"/>
          <w:spacing w:val="-2"/>
          <w:shd w:fill="F7F7F8" w:color="auto" w:val="clear"/>
        </w:rPr>
        <w:t> </w:t>
      </w:r>
      <w:r>
        <w:rPr>
          <w:color w:val="374151"/>
          <w:shd w:fill="F7F7F8" w:color="auto" w:val="clear"/>
        </w:rPr>
        <w:t>survivors</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sexual</w:t>
      </w:r>
      <w:r>
        <w:rPr>
          <w:color w:val="374151"/>
          <w:spacing w:val="-1"/>
          <w:shd w:fill="F7F7F8" w:color="auto" w:val="clear"/>
        </w:rPr>
        <w:t> </w:t>
      </w:r>
      <w:r>
        <w:rPr>
          <w:color w:val="374151"/>
          <w:shd w:fill="F7F7F8" w:color="auto" w:val="clear"/>
        </w:rPr>
        <w:t>violence</w:t>
      </w:r>
      <w:r>
        <w:rPr>
          <w:color w:val="374151"/>
          <w:spacing w:val="-3"/>
          <w:shd w:fill="F7F7F8" w:color="auto" w:val="clear"/>
        </w:rPr>
        <w:t> </w:t>
      </w:r>
      <w:r>
        <w:rPr>
          <w:color w:val="374151"/>
          <w:shd w:fill="F7F7F8" w:color="auto" w:val="clear"/>
        </w:rPr>
        <w:t>are</w:t>
      </w:r>
      <w:r>
        <w:rPr>
          <w:color w:val="374151"/>
          <w:spacing w:val="-2"/>
          <w:shd w:fill="F7F7F8" w:color="auto" w:val="clear"/>
        </w:rPr>
        <w:t> </w:t>
      </w:r>
      <w:r>
        <w:rPr>
          <w:color w:val="374151"/>
          <w:shd w:fill="F7F7F8" w:color="auto" w:val="clear"/>
        </w:rPr>
        <w:t>vulnerable</w:t>
      </w:r>
      <w:r>
        <w:rPr>
          <w:color w:val="374151"/>
          <w:spacing w:val="-2"/>
          <w:shd w:fill="F7F7F8" w:color="auto" w:val="clear"/>
        </w:rPr>
        <w:t> </w:t>
      </w:r>
      <w:r>
        <w:rPr>
          <w:color w:val="374151"/>
          <w:spacing w:val="-5"/>
          <w:shd w:fill="F7F7F8" w:color="auto" w:val="clear"/>
        </w:rPr>
        <w:t>to</w:t>
      </w:r>
      <w:r>
        <w:rPr>
          <w:color w:val="374151"/>
          <w:spacing w:val="40"/>
          <w:shd w:fill="F7F7F8" w:color="auto" w:val="clear"/>
        </w:rPr>
        <w:t> </w:t>
      </w:r>
    </w:p>
    <w:p>
      <w:pPr>
        <w:pStyle w:val="BodyText"/>
        <w:spacing w:after="4"/>
        <w:ind w:left="280" w:right="515"/>
      </w:pPr>
      <w:r>
        <w:rPr>
          <w:color w:val="374151"/>
          <w:shd w:fill="F7F7F8" w:color="auto" w:val="clear"/>
        </w:rPr>
        <w:t>experiencing secondary trauma or compassion fatigue. It is crucial for </w:t>
      </w:r>
      <w:r>
        <w:rPr>
          <w:color w:val="374151"/>
        </w:rPr>
        <w:t> </w:t>
      </w:r>
      <w:r>
        <w:rPr>
          <w:color w:val="374151"/>
          <w:shd w:fill="F7F7F8" w:color="auto" w:val="clear"/>
        </w:rPr>
        <w:t>therapists to prioritize self-care, engage in regular supervision, and seek </w:t>
      </w:r>
      <w:r>
        <w:rPr>
          <w:color w:val="374151"/>
        </w:rPr>
        <w:t> </w:t>
      </w:r>
      <w:r>
        <w:rPr>
          <w:color w:val="374151"/>
          <w:shd w:fill="F7F7F8" w:color="auto" w:val="clear"/>
        </w:rPr>
        <w:t>support when needed. Establishing healthy boundaries, practicing self-</w:t>
      </w:r>
      <w:r>
        <w:rPr>
          <w:color w:val="374151"/>
        </w:rPr>
        <w:t> </w:t>
      </w:r>
      <w:r>
        <w:rPr>
          <w:color w:val="374151"/>
          <w:shd w:fill="F7F7F8" w:color="auto" w:val="clear"/>
        </w:rPr>
        <w:t>compassion, and maintaining a self-care routine are essential for sustaining</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040504" cy="1181100"/>
                <wp:effectExtent l="0" t="0" r="0" b="0"/>
                <wp:docPr id="258" name="Group 258"/>
                <wp:cNvGraphicFramePr>
                  <a:graphicFrameLocks/>
                </wp:cNvGraphicFramePr>
                <a:graphic>
                  <a:graphicData uri="http://schemas.microsoft.com/office/word/2010/wordprocessingGroup">
                    <wpg:wgp>
                      <wpg:cNvPr id="258" name="Group 258"/>
                      <wpg:cNvGrpSpPr/>
                      <wpg:grpSpPr>
                        <a:xfrm>
                          <a:off x="0" y="0"/>
                          <a:ext cx="4040504" cy="1181100"/>
                          <a:chExt cx="4040504" cy="1181100"/>
                        </a:xfrm>
                      </wpg:grpSpPr>
                      <wps:wsp>
                        <wps:cNvPr id="259" name="Textbox 259"/>
                        <wps:cNvSpPr txBox="1"/>
                        <wps:spPr>
                          <a:xfrm>
                            <a:off x="0" y="787400"/>
                            <a:ext cx="280098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Confidentiality</w:t>
                              </w:r>
                              <w:r>
                                <w:rPr>
                                  <w:b/>
                                  <w:i/>
                                  <w:color w:val="374151"/>
                                  <w:spacing w:val="-4"/>
                                  <w:sz w:val="28"/>
                                </w:rPr>
                                <w:t> </w:t>
                              </w:r>
                              <w:r>
                                <w:rPr>
                                  <w:b/>
                                  <w:i/>
                                  <w:color w:val="374151"/>
                                  <w:sz w:val="28"/>
                                </w:rPr>
                                <w:t>and</w:t>
                              </w:r>
                              <w:r>
                                <w:rPr>
                                  <w:b/>
                                  <w:i/>
                                  <w:color w:val="374151"/>
                                  <w:spacing w:val="-2"/>
                                  <w:sz w:val="28"/>
                                </w:rPr>
                                <w:t> </w:t>
                              </w:r>
                              <w:r>
                                <w:rPr>
                                  <w:b/>
                                  <w:i/>
                                  <w:color w:val="374151"/>
                                  <w:sz w:val="28"/>
                                </w:rPr>
                                <w:t>Informed</w:t>
                              </w:r>
                              <w:r>
                                <w:rPr>
                                  <w:b/>
                                  <w:i/>
                                  <w:color w:val="374151"/>
                                  <w:spacing w:val="-2"/>
                                  <w:sz w:val="28"/>
                                </w:rPr>
                                <w:t> Consent</w:t>
                              </w:r>
                            </w:p>
                          </w:txbxContent>
                        </wps:txbx>
                        <wps:bodyPr wrap="square" lIns="0" tIns="0" rIns="0" bIns="0" rtlCol="0">
                          <a:noAutofit/>
                        </wps:bodyPr>
                      </wps:wsp>
                      <wps:wsp>
                        <wps:cNvPr id="260" name="Textbox 260"/>
                        <wps:cNvSpPr txBox="1"/>
                        <wps:spPr>
                          <a:xfrm>
                            <a:off x="0" y="393700"/>
                            <a:ext cx="4040504"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z w:val="28"/>
                                </w:rPr>
                                <w:t>Ethical</w:t>
                              </w:r>
                              <w:r>
                                <w:rPr>
                                  <w:b/>
                                  <w:color w:val="374151"/>
                                  <w:spacing w:val="-4"/>
                                  <w:sz w:val="28"/>
                                </w:rPr>
                                <w:t> </w:t>
                              </w:r>
                              <w:r>
                                <w:rPr>
                                  <w:b/>
                                  <w:color w:val="374151"/>
                                  <w:sz w:val="28"/>
                                </w:rPr>
                                <w:t>Considerations</w:t>
                              </w:r>
                              <w:r>
                                <w:rPr>
                                  <w:b/>
                                  <w:color w:val="374151"/>
                                  <w:spacing w:val="-4"/>
                                  <w:sz w:val="28"/>
                                </w:rPr>
                                <w:t> </w:t>
                              </w:r>
                              <w:r>
                                <w:rPr>
                                  <w:b/>
                                  <w:color w:val="374151"/>
                                  <w:sz w:val="28"/>
                                </w:rPr>
                                <w:t>and</w:t>
                              </w:r>
                              <w:r>
                                <w:rPr>
                                  <w:b/>
                                  <w:color w:val="374151"/>
                                  <w:spacing w:val="-10"/>
                                  <w:sz w:val="28"/>
                                </w:rPr>
                                <w:t> </w:t>
                              </w:r>
                              <w:r>
                                <w:rPr>
                                  <w:b/>
                                  <w:color w:val="374151"/>
                                  <w:sz w:val="28"/>
                                </w:rPr>
                                <w:t>Therapist</w:t>
                              </w:r>
                              <w:r>
                                <w:rPr>
                                  <w:b/>
                                  <w:color w:val="374151"/>
                                  <w:spacing w:val="-3"/>
                                  <w:sz w:val="28"/>
                                </w:rPr>
                                <w:t> </w:t>
                              </w:r>
                              <w:r>
                                <w:rPr>
                                  <w:b/>
                                  <w:color w:val="374151"/>
                                  <w:sz w:val="28"/>
                                </w:rPr>
                                <w:t>Self-</w:t>
                              </w:r>
                              <w:r>
                                <w:rPr>
                                  <w:b/>
                                  <w:color w:val="374151"/>
                                  <w:spacing w:val="-4"/>
                                  <w:sz w:val="28"/>
                                </w:rPr>
                                <w:t>Awareness</w:t>
                              </w:r>
                            </w:p>
                          </w:txbxContent>
                        </wps:txbx>
                        <wps:bodyPr wrap="square" lIns="0" tIns="0" rIns="0" bIns="0" rtlCol="0">
                          <a:noAutofit/>
                        </wps:bodyPr>
                      </wps:wsp>
                      <wps:wsp>
                        <wps:cNvPr id="261" name="Textbox 261"/>
                        <wps:cNvSpPr txBox="1"/>
                        <wps:spPr>
                          <a:xfrm>
                            <a:off x="0" y="0"/>
                            <a:ext cx="3278504"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therapist</w:t>
                              </w:r>
                              <w:r>
                                <w:rPr>
                                  <w:color w:val="374151"/>
                                  <w:spacing w:val="-2"/>
                                  <w:sz w:val="28"/>
                                </w:rPr>
                                <w:t> </w:t>
                              </w:r>
                              <w:r>
                                <w:rPr>
                                  <w:color w:val="374151"/>
                                  <w:sz w:val="28"/>
                                </w:rPr>
                                <w:t>well-being</w:t>
                              </w:r>
                              <w:r>
                                <w:rPr>
                                  <w:color w:val="374151"/>
                                  <w:spacing w:val="-2"/>
                                  <w:sz w:val="28"/>
                                </w:rPr>
                                <w:t> </w:t>
                              </w:r>
                              <w:r>
                                <w:rPr>
                                  <w:color w:val="374151"/>
                                  <w:sz w:val="28"/>
                                </w:rPr>
                                <w:t>and</w:t>
                              </w:r>
                              <w:r>
                                <w:rPr>
                                  <w:color w:val="374151"/>
                                  <w:spacing w:val="-2"/>
                                  <w:sz w:val="28"/>
                                </w:rPr>
                                <w:t> </w:t>
                              </w:r>
                              <w:r>
                                <w:rPr>
                                  <w:color w:val="374151"/>
                                  <w:sz w:val="28"/>
                                </w:rPr>
                                <w:t>professional</w:t>
                              </w:r>
                              <w:r>
                                <w:rPr>
                                  <w:color w:val="374151"/>
                                  <w:spacing w:val="-1"/>
                                  <w:sz w:val="28"/>
                                </w:rPr>
                                <w:t> </w:t>
                              </w:r>
                              <w:r>
                                <w:rPr>
                                  <w:color w:val="374151"/>
                                  <w:spacing w:val="-2"/>
                                  <w:sz w:val="28"/>
                                </w:rPr>
                                <w:t>efficacy.</w:t>
                              </w:r>
                            </w:p>
                          </w:txbxContent>
                        </wps:txbx>
                        <wps:bodyPr wrap="square" lIns="0" tIns="0" rIns="0" bIns="0" rtlCol="0">
                          <a:noAutofit/>
                        </wps:bodyPr>
                      </wps:wsp>
                    </wpg:wgp>
                  </a:graphicData>
                </a:graphic>
              </wp:inline>
            </w:drawing>
          </mc:Choice>
          <mc:Fallback>
            <w:pict>
              <v:group style="width:318.150pt;height:93pt;mso-position-horizontal-relative:char;mso-position-vertical-relative:line" id="docshapegroup257" coordorigin="0,0" coordsize="6363,1860">
                <v:shape style="position:absolute;left:0;top:1240;width:4411;height:620" type="#_x0000_t202" id="docshape258" filled="true" fillcolor="#f7f7f8" stroked="false">
                  <v:textbox inset="0,0,0,0">
                    <w:txbxContent>
                      <w:p>
                        <w:pPr>
                          <w:spacing w:line="308" w:lineRule="exact" w:before="0"/>
                          <w:ind w:left="0" w:right="0" w:firstLine="0"/>
                          <w:jc w:val="left"/>
                          <w:rPr>
                            <w:b/>
                            <w:i/>
                            <w:color w:val="000000"/>
                            <w:sz w:val="28"/>
                          </w:rPr>
                        </w:pPr>
                        <w:r>
                          <w:rPr>
                            <w:b/>
                            <w:i/>
                            <w:color w:val="374151"/>
                            <w:sz w:val="28"/>
                          </w:rPr>
                          <w:t>Confidentiality</w:t>
                        </w:r>
                        <w:r>
                          <w:rPr>
                            <w:b/>
                            <w:i/>
                            <w:color w:val="374151"/>
                            <w:spacing w:val="-4"/>
                            <w:sz w:val="28"/>
                          </w:rPr>
                          <w:t> </w:t>
                        </w:r>
                        <w:r>
                          <w:rPr>
                            <w:b/>
                            <w:i/>
                            <w:color w:val="374151"/>
                            <w:sz w:val="28"/>
                          </w:rPr>
                          <w:t>and</w:t>
                        </w:r>
                        <w:r>
                          <w:rPr>
                            <w:b/>
                            <w:i/>
                            <w:color w:val="374151"/>
                            <w:spacing w:val="-2"/>
                            <w:sz w:val="28"/>
                          </w:rPr>
                          <w:t> </w:t>
                        </w:r>
                        <w:r>
                          <w:rPr>
                            <w:b/>
                            <w:i/>
                            <w:color w:val="374151"/>
                            <w:sz w:val="28"/>
                          </w:rPr>
                          <w:t>Informed</w:t>
                        </w:r>
                        <w:r>
                          <w:rPr>
                            <w:b/>
                            <w:i/>
                            <w:color w:val="374151"/>
                            <w:spacing w:val="-2"/>
                            <w:sz w:val="28"/>
                          </w:rPr>
                          <w:t> Consent</w:t>
                        </w:r>
                      </w:p>
                    </w:txbxContent>
                  </v:textbox>
                  <v:fill type="solid"/>
                  <w10:wrap type="none"/>
                </v:shape>
                <v:shape style="position:absolute;left:0;top:620;width:6363;height:620" type="#_x0000_t202" id="docshape259" filled="true" fillcolor="#f7f7f8" stroked="false">
                  <v:textbox inset="0,0,0,0">
                    <w:txbxContent>
                      <w:p>
                        <w:pPr>
                          <w:spacing w:line="308" w:lineRule="exact" w:before="0"/>
                          <w:ind w:left="0" w:right="0" w:firstLine="0"/>
                          <w:jc w:val="left"/>
                          <w:rPr>
                            <w:b/>
                            <w:color w:val="000000"/>
                            <w:sz w:val="28"/>
                          </w:rPr>
                        </w:pPr>
                        <w:r>
                          <w:rPr>
                            <w:b/>
                            <w:color w:val="374151"/>
                            <w:sz w:val="28"/>
                          </w:rPr>
                          <w:t>Ethical</w:t>
                        </w:r>
                        <w:r>
                          <w:rPr>
                            <w:b/>
                            <w:color w:val="374151"/>
                            <w:spacing w:val="-4"/>
                            <w:sz w:val="28"/>
                          </w:rPr>
                          <w:t> </w:t>
                        </w:r>
                        <w:r>
                          <w:rPr>
                            <w:b/>
                            <w:color w:val="374151"/>
                            <w:sz w:val="28"/>
                          </w:rPr>
                          <w:t>Considerations</w:t>
                        </w:r>
                        <w:r>
                          <w:rPr>
                            <w:b/>
                            <w:color w:val="374151"/>
                            <w:spacing w:val="-4"/>
                            <w:sz w:val="28"/>
                          </w:rPr>
                          <w:t> </w:t>
                        </w:r>
                        <w:r>
                          <w:rPr>
                            <w:b/>
                            <w:color w:val="374151"/>
                            <w:sz w:val="28"/>
                          </w:rPr>
                          <w:t>and</w:t>
                        </w:r>
                        <w:r>
                          <w:rPr>
                            <w:b/>
                            <w:color w:val="374151"/>
                            <w:spacing w:val="-10"/>
                            <w:sz w:val="28"/>
                          </w:rPr>
                          <w:t> </w:t>
                        </w:r>
                        <w:r>
                          <w:rPr>
                            <w:b/>
                            <w:color w:val="374151"/>
                            <w:sz w:val="28"/>
                          </w:rPr>
                          <w:t>Therapist</w:t>
                        </w:r>
                        <w:r>
                          <w:rPr>
                            <w:b/>
                            <w:color w:val="374151"/>
                            <w:spacing w:val="-3"/>
                            <w:sz w:val="28"/>
                          </w:rPr>
                          <w:t> </w:t>
                        </w:r>
                        <w:r>
                          <w:rPr>
                            <w:b/>
                            <w:color w:val="374151"/>
                            <w:sz w:val="28"/>
                          </w:rPr>
                          <w:t>Self-</w:t>
                        </w:r>
                        <w:r>
                          <w:rPr>
                            <w:b/>
                            <w:color w:val="374151"/>
                            <w:spacing w:val="-4"/>
                            <w:sz w:val="28"/>
                          </w:rPr>
                          <w:t>Awareness</w:t>
                        </w:r>
                      </w:p>
                    </w:txbxContent>
                  </v:textbox>
                  <v:fill type="solid"/>
                  <w10:wrap type="none"/>
                </v:shape>
                <v:shape style="position:absolute;left:0;top:0;width:5163;height:620" type="#_x0000_t202" id="docshape260" filled="true" fillcolor="#f7f7f8" stroked="false">
                  <v:textbox inset="0,0,0,0">
                    <w:txbxContent>
                      <w:p>
                        <w:pPr>
                          <w:spacing w:line="308" w:lineRule="exact" w:before="0"/>
                          <w:ind w:left="0" w:right="-15" w:firstLine="0"/>
                          <w:jc w:val="left"/>
                          <w:rPr>
                            <w:color w:val="000000"/>
                            <w:sz w:val="28"/>
                          </w:rPr>
                        </w:pPr>
                        <w:r>
                          <w:rPr>
                            <w:color w:val="374151"/>
                            <w:sz w:val="28"/>
                          </w:rPr>
                          <w:t>therapist</w:t>
                        </w:r>
                        <w:r>
                          <w:rPr>
                            <w:color w:val="374151"/>
                            <w:spacing w:val="-2"/>
                            <w:sz w:val="28"/>
                          </w:rPr>
                          <w:t> </w:t>
                        </w:r>
                        <w:r>
                          <w:rPr>
                            <w:color w:val="374151"/>
                            <w:sz w:val="28"/>
                          </w:rPr>
                          <w:t>well-being</w:t>
                        </w:r>
                        <w:r>
                          <w:rPr>
                            <w:color w:val="374151"/>
                            <w:spacing w:val="-2"/>
                            <w:sz w:val="28"/>
                          </w:rPr>
                          <w:t> </w:t>
                        </w:r>
                        <w:r>
                          <w:rPr>
                            <w:color w:val="374151"/>
                            <w:sz w:val="28"/>
                          </w:rPr>
                          <w:t>and</w:t>
                        </w:r>
                        <w:r>
                          <w:rPr>
                            <w:color w:val="374151"/>
                            <w:spacing w:val="-2"/>
                            <w:sz w:val="28"/>
                          </w:rPr>
                          <w:t> </w:t>
                        </w:r>
                        <w:r>
                          <w:rPr>
                            <w:color w:val="374151"/>
                            <w:sz w:val="28"/>
                          </w:rPr>
                          <w:t>professional</w:t>
                        </w:r>
                        <w:r>
                          <w:rPr>
                            <w:color w:val="374151"/>
                            <w:spacing w:val="-1"/>
                            <w:sz w:val="28"/>
                          </w:rPr>
                          <w:t> </w:t>
                        </w:r>
                        <w:r>
                          <w:rPr>
                            <w:color w:val="374151"/>
                            <w:spacing w:val="-2"/>
                            <w:sz w:val="28"/>
                          </w:rPr>
                          <w:t>efficacy.</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Maintaining</w:t>
      </w:r>
      <w:r>
        <w:rPr>
          <w:color w:val="374151"/>
          <w:spacing w:val="-2"/>
          <w:shd w:fill="F7F7F8" w:color="auto" w:val="clear"/>
        </w:rPr>
        <w:t> </w:t>
      </w:r>
      <w:r>
        <w:rPr>
          <w:color w:val="374151"/>
          <w:shd w:fill="F7F7F8" w:color="auto" w:val="clear"/>
        </w:rPr>
        <w:t>confidentiality</w:t>
      </w:r>
      <w:r>
        <w:rPr>
          <w:color w:val="374151"/>
          <w:spacing w:val="-1"/>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paramount</w:t>
      </w:r>
      <w:r>
        <w:rPr>
          <w:color w:val="374151"/>
          <w:spacing w:val="-1"/>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working</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survivors</w:t>
      </w:r>
      <w:r>
        <w:rPr>
          <w:color w:val="374151"/>
          <w:spacing w:val="-1"/>
          <w:shd w:fill="F7F7F8" w:color="auto" w:val="clear"/>
        </w:rPr>
        <w:t> </w:t>
      </w:r>
      <w:r>
        <w:rPr>
          <w:color w:val="374151"/>
          <w:shd w:fill="F7F7F8" w:color="auto" w:val="clear"/>
        </w:rPr>
        <w:t>of</w:t>
      </w:r>
      <w:r>
        <w:rPr>
          <w:color w:val="374151"/>
          <w:spacing w:val="-1"/>
          <w:shd w:fill="F7F7F8" w:color="auto" w:val="clear"/>
        </w:rPr>
        <w:t> </w:t>
      </w:r>
      <w:r>
        <w:rPr>
          <w:color w:val="374151"/>
          <w:spacing w:val="-2"/>
          <w:shd w:fill="F7F7F8" w:color="auto" w:val="clear"/>
        </w:rPr>
        <w:t>sexual</w:t>
      </w:r>
      <w:r>
        <w:rPr>
          <w:color w:val="374151"/>
          <w:spacing w:val="40"/>
          <w:shd w:fill="F7F7F8" w:color="auto" w:val="clear"/>
        </w:rPr>
        <w:t> </w:t>
      </w:r>
    </w:p>
    <w:p>
      <w:pPr>
        <w:pStyle w:val="BodyText"/>
        <w:spacing w:after="7"/>
        <w:ind w:left="280" w:right="502"/>
      </w:pPr>
      <w:r>
        <w:rPr>
          <w:color w:val="374151"/>
          <w:shd w:fill="F7F7F8" w:color="auto" w:val="clear"/>
        </w:rPr>
        <w:t>violence. Therapists must adhere to legal and ethical guidelines regarding </w:t>
      </w:r>
      <w:r>
        <w:rPr>
          <w:color w:val="374151"/>
        </w:rPr>
        <w:t> </w:t>
      </w:r>
      <w:r>
        <w:rPr>
          <w:color w:val="374151"/>
          <w:shd w:fill="F7F7F8" w:color="auto" w:val="clear"/>
        </w:rPr>
        <w:t>confidentiality and obtain informed consent from survivors. It is essential to </w:t>
      </w:r>
      <w:r>
        <w:rPr>
          <w:color w:val="374151"/>
        </w:rPr>
        <w:t> </w:t>
      </w:r>
      <w:r>
        <w:rPr>
          <w:color w:val="374151"/>
          <w:shd w:fill="F7F7F8" w:color="auto" w:val="clear"/>
        </w:rPr>
        <w:t>explain</w:t>
      </w:r>
      <w:r>
        <w:rPr>
          <w:color w:val="374151"/>
          <w:spacing w:val="-6"/>
          <w:shd w:fill="F7F7F8" w:color="auto" w:val="clear"/>
        </w:rPr>
        <w:t> </w:t>
      </w:r>
      <w:r>
        <w:rPr>
          <w:color w:val="374151"/>
          <w:shd w:fill="F7F7F8" w:color="auto" w:val="clear"/>
        </w:rPr>
        <w:t>the</w:t>
      </w:r>
      <w:r>
        <w:rPr>
          <w:color w:val="374151"/>
          <w:spacing w:val="-7"/>
          <w:shd w:fill="F7F7F8" w:color="auto" w:val="clear"/>
        </w:rPr>
        <w:t> </w:t>
      </w:r>
      <w:r>
        <w:rPr>
          <w:color w:val="374151"/>
          <w:shd w:fill="F7F7F8" w:color="auto" w:val="clear"/>
        </w:rPr>
        <w:t>limits</w:t>
      </w:r>
      <w:r>
        <w:rPr>
          <w:color w:val="374151"/>
          <w:spacing w:val="-6"/>
          <w:shd w:fill="F7F7F8" w:color="auto" w:val="clear"/>
        </w:rPr>
        <w:t> </w:t>
      </w:r>
      <w:r>
        <w:rPr>
          <w:color w:val="374151"/>
          <w:shd w:fill="F7F7F8" w:color="auto" w:val="clear"/>
        </w:rPr>
        <w:t>of</w:t>
      </w:r>
      <w:r>
        <w:rPr>
          <w:color w:val="374151"/>
          <w:spacing w:val="-6"/>
          <w:shd w:fill="F7F7F8" w:color="auto" w:val="clear"/>
        </w:rPr>
        <w:t> </w:t>
      </w:r>
      <w:r>
        <w:rPr>
          <w:color w:val="374151"/>
          <w:shd w:fill="F7F7F8" w:color="auto" w:val="clear"/>
        </w:rPr>
        <w:t>confidentiality,</w:t>
      </w:r>
      <w:r>
        <w:rPr>
          <w:color w:val="374151"/>
          <w:spacing w:val="-6"/>
          <w:shd w:fill="F7F7F8" w:color="auto" w:val="clear"/>
        </w:rPr>
        <w:t> </w:t>
      </w:r>
      <w:r>
        <w:rPr>
          <w:color w:val="374151"/>
          <w:shd w:fill="F7F7F8" w:color="auto" w:val="clear"/>
        </w:rPr>
        <w:t>such</w:t>
      </w:r>
      <w:r>
        <w:rPr>
          <w:color w:val="374151"/>
          <w:spacing w:val="-6"/>
          <w:shd w:fill="F7F7F8" w:color="auto" w:val="clear"/>
        </w:rPr>
        <w:t> </w:t>
      </w:r>
      <w:r>
        <w:rPr>
          <w:color w:val="374151"/>
          <w:shd w:fill="F7F7F8" w:color="auto" w:val="clear"/>
        </w:rPr>
        <w:t>as</w:t>
      </w:r>
      <w:r>
        <w:rPr>
          <w:color w:val="374151"/>
          <w:spacing w:val="-6"/>
          <w:shd w:fill="F7F7F8" w:color="auto" w:val="clear"/>
        </w:rPr>
        <w:t> </w:t>
      </w:r>
      <w:r>
        <w:rPr>
          <w:color w:val="374151"/>
          <w:shd w:fill="F7F7F8" w:color="auto" w:val="clear"/>
        </w:rPr>
        <w:t>mandatory</w:t>
      </w:r>
      <w:r>
        <w:rPr>
          <w:color w:val="374151"/>
          <w:spacing w:val="-6"/>
          <w:shd w:fill="F7F7F8" w:color="auto" w:val="clear"/>
        </w:rPr>
        <w:t> </w:t>
      </w:r>
      <w:r>
        <w:rPr>
          <w:color w:val="374151"/>
          <w:shd w:fill="F7F7F8" w:color="auto" w:val="clear"/>
        </w:rPr>
        <w:t>reporting</w:t>
      </w:r>
      <w:r>
        <w:rPr>
          <w:color w:val="374151"/>
          <w:spacing w:val="-6"/>
          <w:shd w:fill="F7F7F8" w:color="auto" w:val="clear"/>
        </w:rPr>
        <w:t> </w:t>
      </w:r>
      <w:r>
        <w:rPr>
          <w:color w:val="374151"/>
          <w:shd w:fill="F7F7F8" w:color="auto" w:val="clear"/>
        </w:rPr>
        <w:t>obligations</w:t>
      </w:r>
      <w:r>
        <w:rPr>
          <w:color w:val="374151"/>
          <w:spacing w:val="-6"/>
          <w:shd w:fill="F7F7F8" w:color="auto" w:val="clear"/>
        </w:rPr>
        <w:t> </w:t>
      </w:r>
      <w:r>
        <w:rPr>
          <w:color w:val="374151"/>
          <w:shd w:fill="F7F7F8" w:color="auto" w:val="clear"/>
        </w:rPr>
        <w:t>in</w:t>
      </w:r>
    </w:p>
    <w:p>
      <w:pPr>
        <w:pStyle w:val="BodyText"/>
        <w:ind w:left="280"/>
        <w:rPr>
          <w:sz w:val="20"/>
        </w:rPr>
      </w:pPr>
      <w:r>
        <w:rPr>
          <w:sz w:val="20"/>
        </w:rPr>
        <mc:AlternateContent>
          <mc:Choice Requires="wps">
            <w:drawing>
              <wp:inline distT="0" distB="0" distL="0" distR="0">
                <wp:extent cx="2390140" cy="393700"/>
                <wp:effectExtent l="0" t="0" r="0" b="0"/>
                <wp:docPr id="262" name="Textbox 262"/>
                <wp:cNvGraphicFramePr>
                  <a:graphicFrameLocks/>
                </wp:cNvGraphicFramePr>
                <a:graphic>
                  <a:graphicData uri="http://schemas.microsoft.com/office/word/2010/wordprocessingShape">
                    <wps:wsp>
                      <wps:cNvPr id="262" name="Textbox 262"/>
                      <wps:cNvSpPr txBox="1"/>
                      <wps:spPr>
                        <a:xfrm>
                          <a:off x="0" y="0"/>
                          <a:ext cx="2390140" cy="393700"/>
                        </a:xfrm>
                        <a:prstGeom prst="rect">
                          <a:avLst/>
                        </a:prstGeom>
                        <a:solidFill>
                          <a:srgbClr val="F7F7F8"/>
                        </a:solidFill>
                      </wps:spPr>
                      <wps:txbx>
                        <w:txbxContent>
                          <w:p>
                            <w:pPr>
                              <w:pStyle w:val="BodyText"/>
                              <w:spacing w:line="308" w:lineRule="exact"/>
                              <w:rPr>
                                <w:color w:val="000000"/>
                              </w:rPr>
                            </w:pPr>
                            <w:r>
                              <w:rPr>
                                <w:color w:val="374151"/>
                              </w:rPr>
                              <w:t>cases</w:t>
                            </w:r>
                            <w:r>
                              <w:rPr>
                                <w:color w:val="374151"/>
                                <w:spacing w:val="-1"/>
                              </w:rPr>
                              <w:t> </w:t>
                            </w:r>
                            <w:r>
                              <w:rPr>
                                <w:color w:val="374151"/>
                              </w:rPr>
                              <w:t>of</w:t>
                            </w:r>
                            <w:r>
                              <w:rPr>
                                <w:color w:val="374151"/>
                                <w:spacing w:val="-1"/>
                              </w:rPr>
                              <w:t> </w:t>
                            </w:r>
                            <w:r>
                              <w:rPr>
                                <w:color w:val="374151"/>
                              </w:rPr>
                              <w:t>imminent</w:t>
                            </w:r>
                            <w:r>
                              <w:rPr>
                                <w:color w:val="374151"/>
                                <w:spacing w:val="-1"/>
                              </w:rPr>
                              <w:t> </w:t>
                            </w:r>
                            <w:r>
                              <w:rPr>
                                <w:color w:val="374151"/>
                              </w:rPr>
                              <w:t>harm</w:t>
                            </w:r>
                            <w:r>
                              <w:rPr>
                                <w:color w:val="374151"/>
                                <w:spacing w:val="-1"/>
                              </w:rPr>
                              <w:t> </w:t>
                            </w:r>
                            <w:r>
                              <w:rPr>
                                <w:color w:val="374151"/>
                              </w:rPr>
                              <w:t>or</w:t>
                            </w:r>
                            <w:r>
                              <w:rPr>
                                <w:color w:val="374151"/>
                                <w:spacing w:val="-1"/>
                              </w:rPr>
                              <w:t> </w:t>
                            </w:r>
                            <w:r>
                              <w:rPr>
                                <w:color w:val="374151"/>
                                <w:spacing w:val="-2"/>
                              </w:rPr>
                              <w:t>abuse.</w:t>
                            </w:r>
                          </w:p>
                        </w:txbxContent>
                      </wps:txbx>
                      <wps:bodyPr wrap="square" lIns="0" tIns="0" rIns="0" bIns="0" rtlCol="0">
                        <a:noAutofit/>
                      </wps:bodyPr>
                    </wps:wsp>
                  </a:graphicData>
                </a:graphic>
              </wp:inline>
            </w:drawing>
          </mc:Choice>
          <mc:Fallback>
            <w:pict>
              <v:shape style="width:188.2pt;height:31pt;mso-position-horizontal-relative:char;mso-position-vertical-relative:line" type="#_x0000_t202" id="docshape261" filled="true" fillcolor="#f7f7f8" stroked="false">
                <w10:anchorlock/>
                <v:textbox inset="0,0,0,0">
                  <w:txbxContent>
                    <w:p>
                      <w:pPr>
                        <w:pStyle w:val="BodyText"/>
                        <w:spacing w:line="308" w:lineRule="exact"/>
                        <w:rPr>
                          <w:color w:val="000000"/>
                        </w:rPr>
                      </w:pPr>
                      <w:r>
                        <w:rPr>
                          <w:color w:val="374151"/>
                        </w:rPr>
                        <w:t>cases</w:t>
                      </w:r>
                      <w:r>
                        <w:rPr>
                          <w:color w:val="374151"/>
                          <w:spacing w:val="-1"/>
                        </w:rPr>
                        <w:t> </w:t>
                      </w:r>
                      <w:r>
                        <w:rPr>
                          <w:color w:val="374151"/>
                        </w:rPr>
                        <w:t>of</w:t>
                      </w:r>
                      <w:r>
                        <w:rPr>
                          <w:color w:val="374151"/>
                          <w:spacing w:val="-1"/>
                        </w:rPr>
                        <w:t> </w:t>
                      </w:r>
                      <w:r>
                        <w:rPr>
                          <w:color w:val="374151"/>
                        </w:rPr>
                        <w:t>imminent</w:t>
                      </w:r>
                      <w:r>
                        <w:rPr>
                          <w:color w:val="374151"/>
                          <w:spacing w:val="-1"/>
                        </w:rPr>
                        <w:t> </w:t>
                      </w:r>
                      <w:r>
                        <w:rPr>
                          <w:color w:val="374151"/>
                        </w:rPr>
                        <w:t>harm</w:t>
                      </w:r>
                      <w:r>
                        <w:rPr>
                          <w:color w:val="374151"/>
                          <w:spacing w:val="-1"/>
                        </w:rPr>
                        <w:t> </w:t>
                      </w:r>
                      <w:r>
                        <w:rPr>
                          <w:color w:val="374151"/>
                        </w:rPr>
                        <w:t>or</w:t>
                      </w:r>
                      <w:r>
                        <w:rPr>
                          <w:color w:val="374151"/>
                          <w:spacing w:val="-1"/>
                        </w:rPr>
                        <w:t> </w:t>
                      </w:r>
                      <w:r>
                        <w:rPr>
                          <w:color w:val="374151"/>
                          <w:spacing w:val="-2"/>
                        </w:rPr>
                        <w:t>abuse.</w:t>
                      </w:r>
                    </w:p>
                  </w:txbxContent>
                </v:textbox>
                <v:fill type="solid"/>
              </v:shape>
            </w:pict>
          </mc:Fallback>
        </mc:AlternateContent>
      </w:r>
      <w:r>
        <w:rPr>
          <w:sz w:val="20"/>
        </w:rPr>
      </w:r>
    </w:p>
    <w:p>
      <w:pPr>
        <w:pStyle w:val="Heading3"/>
        <w:spacing w:line="283" w:lineRule="exact"/>
        <w:rPr>
          <w:i/>
        </w:rPr>
      </w:pPr>
      <w:r>
        <w:rPr>
          <w:i/>
          <w:color w:val="374151"/>
          <w:shd w:fill="F7F7F8" w:color="auto" w:val="clear"/>
        </w:rPr>
        <w:t>Countertransference</w:t>
      </w:r>
      <w:r>
        <w:rPr>
          <w:i/>
          <w:color w:val="374151"/>
          <w:spacing w:val="-10"/>
          <w:shd w:fill="F7F7F8" w:color="auto" w:val="clear"/>
        </w:rPr>
        <w:t> </w:t>
      </w:r>
      <w:r>
        <w:rPr>
          <w:i/>
          <w:color w:val="374151"/>
          <w:shd w:fill="F7F7F8" w:color="auto" w:val="clear"/>
        </w:rPr>
        <w:t>and</w:t>
      </w:r>
      <w:r>
        <w:rPr>
          <w:i/>
          <w:color w:val="374151"/>
          <w:spacing w:val="-9"/>
          <w:shd w:fill="F7F7F8" w:color="auto" w:val="clear"/>
        </w:rPr>
        <w:t> </w:t>
      </w:r>
      <w:r>
        <w:rPr>
          <w:i/>
          <w:color w:val="374151"/>
          <w:shd w:fill="F7F7F8" w:color="auto" w:val="clear"/>
        </w:rPr>
        <w:t>Vicarious</w:t>
      </w:r>
      <w:r>
        <w:rPr>
          <w:i/>
          <w:color w:val="374151"/>
          <w:spacing w:val="-9"/>
          <w:shd w:fill="F7F7F8" w:color="auto" w:val="clear"/>
        </w:rPr>
        <w:t> </w:t>
      </w:r>
      <w:r>
        <w:rPr>
          <w:i/>
          <w:color w:val="374151"/>
          <w:spacing w:val="-2"/>
          <w:shd w:fill="F7F7F8" w:color="auto" w:val="clear"/>
        </w:rPr>
        <w:t>Traumatization</w:t>
      </w:r>
    </w:p>
    <w:p>
      <w:pPr>
        <w:pStyle w:val="BodyText"/>
        <w:spacing w:before="7"/>
        <w:rPr>
          <w:b/>
          <w:i/>
          <w:sz w:val="27"/>
        </w:rPr>
      </w:pPr>
    </w:p>
    <w:p>
      <w:pPr>
        <w:pStyle w:val="BodyText"/>
        <w:ind w:left="280" w:right="668"/>
      </w:pPr>
      <w:r>
        <w:rPr>
          <w:color w:val="374151"/>
          <w:shd w:fill="F7F7F8" w:color="auto" w:val="clear"/>
        </w:rPr>
        <w:t>Therapists may experience countertransference, which involves having </w:t>
      </w:r>
      <w:r>
        <w:rPr>
          <w:color w:val="374151"/>
        </w:rPr>
        <w:t> </w:t>
      </w:r>
      <w:r>
        <w:rPr>
          <w:color w:val="374151"/>
          <w:shd w:fill="F7F7F8" w:color="auto" w:val="clear"/>
        </w:rPr>
        <w:t>personal emotional reactions to the survivor's trauma. It is important for </w:t>
      </w:r>
      <w:r>
        <w:rPr>
          <w:color w:val="374151"/>
        </w:rPr>
        <w:t> </w:t>
      </w:r>
      <w:r>
        <w:rPr>
          <w:color w:val="374151"/>
          <w:shd w:fill="F7F7F8" w:color="auto" w:val="clear"/>
        </w:rPr>
        <w:t>therapists to recognize and process these feelings, seek supervision, and </w:t>
      </w:r>
      <w:r>
        <w:rPr>
          <w:color w:val="374151"/>
        </w:rPr>
        <w:t> </w:t>
      </w:r>
      <w:r>
        <w:rPr>
          <w:color w:val="374151"/>
          <w:shd w:fill="F7F7F8" w:color="auto" w:val="clear"/>
        </w:rPr>
        <w:t>engage</w:t>
      </w:r>
      <w:r>
        <w:rPr>
          <w:color w:val="374151"/>
          <w:spacing w:val="-5"/>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self-reflection</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minimize</w:t>
      </w:r>
      <w:r>
        <w:rPr>
          <w:color w:val="374151"/>
          <w:spacing w:val="-5"/>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impact</w:t>
      </w:r>
      <w:r>
        <w:rPr>
          <w:color w:val="374151"/>
          <w:spacing w:val="-4"/>
          <w:shd w:fill="F7F7F8" w:color="auto" w:val="clear"/>
        </w:rPr>
        <w:t> </w:t>
      </w:r>
      <w:r>
        <w:rPr>
          <w:color w:val="374151"/>
          <w:shd w:fill="F7F7F8" w:color="auto" w:val="clear"/>
        </w:rPr>
        <w:t>on</w:t>
      </w:r>
      <w:r>
        <w:rPr>
          <w:color w:val="374151"/>
          <w:spacing w:val="-4"/>
          <w:shd w:fill="F7F7F8" w:color="auto" w:val="clear"/>
        </w:rPr>
        <w:t> </w:t>
      </w:r>
      <w:r>
        <w:rPr>
          <w:color w:val="374151"/>
          <w:shd w:fill="F7F7F8" w:color="auto" w:val="clear"/>
        </w:rPr>
        <w:t>their</w:t>
      </w:r>
      <w:r>
        <w:rPr>
          <w:color w:val="374151"/>
          <w:spacing w:val="-4"/>
          <w:shd w:fill="F7F7F8" w:color="auto" w:val="clear"/>
        </w:rPr>
        <w:t> </w:t>
      </w:r>
      <w:r>
        <w:rPr>
          <w:color w:val="374151"/>
          <w:shd w:fill="F7F7F8" w:color="auto" w:val="clear"/>
        </w:rPr>
        <w:t>therapeutic</w:t>
      </w:r>
      <w:r>
        <w:rPr>
          <w:color w:val="374151"/>
          <w:spacing w:val="-5"/>
          <w:shd w:fill="F7F7F8" w:color="auto" w:val="clear"/>
        </w:rPr>
        <w:t> </w:t>
      </w:r>
      <w:r>
        <w:rPr>
          <w:color w:val="374151"/>
          <w:shd w:fill="F7F7F8" w:color="auto" w:val="clear"/>
        </w:rPr>
        <w:t>work.</w:t>
      </w:r>
    </w:p>
    <w:p>
      <w:pPr>
        <w:pStyle w:val="BodyText"/>
        <w:spacing w:before="3"/>
        <w:rPr>
          <w:sz w:val="26"/>
        </w:rPr>
      </w:pPr>
      <w:r>
        <w:rPr/>
        <mc:AlternateContent>
          <mc:Choice Requires="wps">
            <w:drawing>
              <wp:anchor distT="0" distB="0" distL="0" distR="0" allowOverlap="1" layoutInCell="1" locked="0" behindDoc="1" simplePos="0" relativeHeight="487647232">
                <wp:simplePos x="0" y="0"/>
                <wp:positionH relativeFrom="page">
                  <wp:posOffset>1066800</wp:posOffset>
                </wp:positionH>
                <wp:positionV relativeFrom="paragraph">
                  <wp:posOffset>206993</wp:posOffset>
                </wp:positionV>
                <wp:extent cx="3126740" cy="393700"/>
                <wp:effectExtent l="0" t="0" r="0" b="0"/>
                <wp:wrapTopAndBottom/>
                <wp:docPr id="263" name="Textbox 263"/>
                <wp:cNvGraphicFramePr>
                  <a:graphicFrameLocks/>
                </wp:cNvGraphicFramePr>
                <a:graphic>
                  <a:graphicData uri="http://schemas.microsoft.com/office/word/2010/wordprocessingShape">
                    <wps:wsp>
                      <wps:cNvPr id="263" name="Textbox 263"/>
                      <wps:cNvSpPr txBox="1"/>
                      <wps:spPr>
                        <a:xfrm>
                          <a:off x="0" y="0"/>
                          <a:ext cx="3126740"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z w:val="28"/>
                              </w:rPr>
                              <w:t>Cultural</w:t>
                            </w:r>
                            <w:r>
                              <w:rPr>
                                <w:b/>
                                <w:i/>
                                <w:color w:val="374151"/>
                                <w:spacing w:val="-2"/>
                                <w:sz w:val="28"/>
                              </w:rPr>
                              <w:t> </w:t>
                            </w:r>
                            <w:r>
                              <w:rPr>
                                <w:b/>
                                <w:i/>
                                <w:color w:val="374151"/>
                                <w:sz w:val="28"/>
                              </w:rPr>
                              <w:t>Competence</w:t>
                            </w:r>
                            <w:r>
                              <w:rPr>
                                <w:b/>
                                <w:i/>
                                <w:color w:val="374151"/>
                                <w:spacing w:val="-3"/>
                                <w:sz w:val="28"/>
                              </w:rPr>
                              <w:t> </w:t>
                            </w:r>
                            <w:r>
                              <w:rPr>
                                <w:b/>
                                <w:i/>
                                <w:color w:val="374151"/>
                                <w:sz w:val="28"/>
                              </w:rPr>
                              <w:t>and</w:t>
                            </w:r>
                            <w:r>
                              <w:rPr>
                                <w:b/>
                                <w:i/>
                                <w:color w:val="374151"/>
                                <w:spacing w:val="-1"/>
                                <w:sz w:val="28"/>
                              </w:rPr>
                              <w:t> </w:t>
                            </w:r>
                            <w:r>
                              <w:rPr>
                                <w:b/>
                                <w:i/>
                                <w:color w:val="374151"/>
                                <w:spacing w:val="-2"/>
                                <w:sz w:val="28"/>
                              </w:rPr>
                              <w:t>Intersectionality</w:t>
                            </w:r>
                          </w:p>
                        </w:txbxContent>
                      </wps:txbx>
                      <wps:bodyPr wrap="square" lIns="0" tIns="0" rIns="0" bIns="0" rtlCol="0">
                        <a:noAutofit/>
                      </wps:bodyPr>
                    </wps:wsp>
                  </a:graphicData>
                </a:graphic>
              </wp:anchor>
            </w:drawing>
          </mc:Choice>
          <mc:Fallback>
            <w:pict>
              <v:shape style="position:absolute;margin-left:84pt;margin-top:16.298731pt;width:246.2pt;height:31pt;mso-position-horizontal-relative:page;mso-position-vertical-relative:paragraph;z-index:-15669248;mso-wrap-distance-left:0;mso-wrap-distance-right:0" type="#_x0000_t202" id="docshape262" filled="true" fillcolor="#f7f7f8" stroked="false">
                <v:textbox inset="0,0,0,0">
                  <w:txbxContent>
                    <w:p>
                      <w:pPr>
                        <w:spacing w:line="308" w:lineRule="exact" w:before="0"/>
                        <w:ind w:left="0" w:right="-15" w:firstLine="0"/>
                        <w:jc w:val="left"/>
                        <w:rPr>
                          <w:b/>
                          <w:i/>
                          <w:color w:val="000000"/>
                          <w:sz w:val="28"/>
                        </w:rPr>
                      </w:pPr>
                      <w:r>
                        <w:rPr>
                          <w:b/>
                          <w:i/>
                          <w:color w:val="374151"/>
                          <w:sz w:val="28"/>
                        </w:rPr>
                        <w:t>Cultural</w:t>
                      </w:r>
                      <w:r>
                        <w:rPr>
                          <w:b/>
                          <w:i/>
                          <w:color w:val="374151"/>
                          <w:spacing w:val="-2"/>
                          <w:sz w:val="28"/>
                        </w:rPr>
                        <w:t> </w:t>
                      </w:r>
                      <w:r>
                        <w:rPr>
                          <w:b/>
                          <w:i/>
                          <w:color w:val="374151"/>
                          <w:sz w:val="28"/>
                        </w:rPr>
                        <w:t>Competence</w:t>
                      </w:r>
                      <w:r>
                        <w:rPr>
                          <w:b/>
                          <w:i/>
                          <w:color w:val="374151"/>
                          <w:spacing w:val="-3"/>
                          <w:sz w:val="28"/>
                        </w:rPr>
                        <w:t> </w:t>
                      </w:r>
                      <w:r>
                        <w:rPr>
                          <w:b/>
                          <w:i/>
                          <w:color w:val="374151"/>
                          <w:sz w:val="28"/>
                        </w:rPr>
                        <w:t>and</w:t>
                      </w:r>
                      <w:r>
                        <w:rPr>
                          <w:b/>
                          <w:i/>
                          <w:color w:val="374151"/>
                          <w:spacing w:val="-1"/>
                          <w:sz w:val="28"/>
                        </w:rPr>
                        <w:t> </w:t>
                      </w:r>
                      <w:r>
                        <w:rPr>
                          <w:b/>
                          <w:i/>
                          <w:color w:val="374151"/>
                          <w:spacing w:val="-2"/>
                          <w:sz w:val="28"/>
                        </w:rPr>
                        <w:t>Intersectionality</w:t>
                      </w:r>
                    </w:p>
                  </w:txbxContent>
                </v:textbox>
                <v:fill type="solid"/>
                <w10:wrap type="topAndBottom"/>
              </v:shape>
            </w:pict>
          </mc:Fallback>
        </mc:AlternateContent>
      </w:r>
    </w:p>
    <w:p>
      <w:pPr>
        <w:pStyle w:val="BodyText"/>
        <w:spacing w:line="237" w:lineRule="auto"/>
        <w:ind w:left="280" w:right="668"/>
      </w:pPr>
      <w:r>
        <w:rPr>
          <w:color w:val="374151"/>
          <w:shd w:fill="F7F7F8" w:color="auto" w:val="clear"/>
        </w:rPr>
        <w:t>Cultural competence is crucial when working with survivors of sexual </w:t>
      </w:r>
      <w:r>
        <w:rPr>
          <w:color w:val="374151"/>
        </w:rPr>
        <w:t> </w:t>
      </w:r>
      <w:r>
        <w:rPr>
          <w:color w:val="374151"/>
          <w:shd w:fill="F7F7F8" w:color="auto" w:val="clear"/>
        </w:rPr>
        <w:t>violence, as it acknowledges and respects the diversity of experiences and </w:t>
      </w:r>
      <w:r>
        <w:rPr>
          <w:color w:val="374151"/>
        </w:rPr>
        <w:t> </w:t>
      </w:r>
      <w:r>
        <w:rPr>
          <w:color w:val="374151"/>
          <w:shd w:fill="F7F7F8" w:color="auto" w:val="clear"/>
        </w:rPr>
        <w:t>identities. Therapists should strive to understand the cultural context of the </w:t>
      </w:r>
      <w:r>
        <w:rPr>
          <w:color w:val="374151"/>
        </w:rPr>
        <w:t> </w:t>
      </w:r>
      <w:r>
        <w:rPr>
          <w:color w:val="374151"/>
          <w:shd w:fill="F7F7F8" w:color="auto" w:val="clear"/>
        </w:rPr>
        <w:t>survivor,</w:t>
      </w:r>
      <w:r>
        <w:rPr>
          <w:color w:val="374151"/>
          <w:spacing w:val="-11"/>
          <w:shd w:fill="F7F7F8" w:color="auto" w:val="clear"/>
        </w:rPr>
        <w:t> </w:t>
      </w:r>
      <w:r>
        <w:rPr>
          <w:color w:val="374151"/>
          <w:shd w:fill="F7F7F8" w:color="auto" w:val="clear"/>
        </w:rPr>
        <w:t>including</w:t>
      </w:r>
      <w:r>
        <w:rPr>
          <w:color w:val="374151"/>
          <w:spacing w:val="-11"/>
          <w:shd w:fill="F7F7F8" w:color="auto" w:val="clear"/>
        </w:rPr>
        <w:t> </w:t>
      </w:r>
      <w:r>
        <w:rPr>
          <w:color w:val="374151"/>
          <w:shd w:fill="F7F7F8" w:color="auto" w:val="clear"/>
        </w:rPr>
        <w:t>their</w:t>
      </w:r>
      <w:r>
        <w:rPr>
          <w:color w:val="374151"/>
          <w:spacing w:val="-11"/>
          <w:shd w:fill="F7F7F8" w:color="auto" w:val="clear"/>
        </w:rPr>
        <w:t> </w:t>
      </w:r>
      <w:r>
        <w:rPr>
          <w:color w:val="374151"/>
          <w:shd w:fill="F7F7F8" w:color="auto" w:val="clear"/>
        </w:rPr>
        <w:t>race,</w:t>
      </w:r>
      <w:r>
        <w:rPr>
          <w:color w:val="374151"/>
          <w:spacing w:val="-11"/>
          <w:shd w:fill="F7F7F8" w:color="auto" w:val="clear"/>
        </w:rPr>
        <w:t> </w:t>
      </w:r>
      <w:r>
        <w:rPr>
          <w:color w:val="374151"/>
          <w:shd w:fill="F7F7F8" w:color="auto" w:val="clear"/>
        </w:rPr>
        <w:t>ethnicity,</w:t>
      </w:r>
      <w:r>
        <w:rPr>
          <w:color w:val="374151"/>
          <w:spacing w:val="-11"/>
          <w:shd w:fill="F7F7F8" w:color="auto" w:val="clear"/>
        </w:rPr>
        <w:t> </w:t>
      </w:r>
      <w:r>
        <w:rPr>
          <w:color w:val="374151"/>
          <w:shd w:fill="F7F7F8" w:color="auto" w:val="clear"/>
        </w:rPr>
        <w:t>gender,</w:t>
      </w:r>
      <w:r>
        <w:rPr>
          <w:color w:val="374151"/>
          <w:spacing w:val="-11"/>
          <w:shd w:fill="F7F7F8" w:color="auto" w:val="clear"/>
        </w:rPr>
        <w:t> </w:t>
      </w:r>
      <w:r>
        <w:rPr>
          <w:color w:val="374151"/>
          <w:shd w:fill="F7F7F8" w:color="auto" w:val="clear"/>
        </w:rPr>
        <w:t>sexuality,</w:t>
      </w:r>
      <w:r>
        <w:rPr>
          <w:color w:val="374151"/>
          <w:spacing w:val="-11"/>
          <w:shd w:fill="F7F7F8" w:color="auto" w:val="clear"/>
        </w:rPr>
        <w:t> </w:t>
      </w:r>
      <w:r>
        <w:rPr>
          <w:color w:val="374151"/>
          <w:shd w:fill="F7F7F8" w:color="auto" w:val="clear"/>
        </w:rPr>
        <w:t>and</w:t>
      </w:r>
      <w:r>
        <w:rPr>
          <w:color w:val="374151"/>
          <w:spacing w:val="-11"/>
          <w:shd w:fill="F7F7F8" w:color="auto" w:val="clear"/>
        </w:rPr>
        <w:t> </w:t>
      </w:r>
      <w:r>
        <w:rPr>
          <w:color w:val="374151"/>
          <w:shd w:fill="F7F7F8" w:color="auto" w:val="clear"/>
        </w:rPr>
        <w:t>socioeconomic</w:t>
      </w:r>
      <w:r>
        <w:rPr>
          <w:color w:val="374151"/>
          <w:spacing w:val="-12"/>
          <w:shd w:fill="F7F7F8" w:color="auto" w:val="clear"/>
        </w:rPr>
        <w:t> </w:t>
      </w:r>
      <w:r>
        <w:rPr>
          <w:color w:val="374151"/>
          <w:spacing w:val="-12"/>
        </w:rPr>
        <w:t> </w:t>
      </w:r>
      <w:r>
        <w:rPr>
          <w:color w:val="374151"/>
          <w:shd w:fill="F7F7F8" w:color="auto" w:val="clear"/>
        </w:rPr>
        <w:t>background. Intersectionality, which recognizes the overlapping systems of</w:t>
      </w:r>
      <w:r>
        <w:rPr>
          <w:color w:val="374151"/>
          <w:spacing w:val="40"/>
          <w:shd w:fill="F7F7F8" w:color="auto" w:val="clear"/>
        </w:rPr>
        <w:t> </w:t>
      </w:r>
    </w:p>
    <w:p>
      <w:pPr>
        <w:spacing w:after="0" w:line="237" w:lineRule="auto"/>
        <w:sectPr>
          <w:pgSz w:w="12240" w:h="15840"/>
          <w:pgMar w:header="0" w:footer="765" w:top="134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48256">
                <wp:simplePos x="0" y="0"/>
                <wp:positionH relativeFrom="page">
                  <wp:posOffset>1066800</wp:posOffset>
                </wp:positionH>
                <wp:positionV relativeFrom="paragraph">
                  <wp:posOffset>251357</wp:posOffset>
                </wp:positionV>
                <wp:extent cx="4710430" cy="787400"/>
                <wp:effectExtent l="0" t="0" r="0" b="0"/>
                <wp:wrapTopAndBottom/>
                <wp:docPr id="264" name="Group 264"/>
                <wp:cNvGraphicFramePr>
                  <a:graphicFrameLocks/>
                </wp:cNvGraphicFramePr>
                <a:graphic>
                  <a:graphicData uri="http://schemas.microsoft.com/office/word/2010/wordprocessingGroup">
                    <wpg:wgp>
                      <wpg:cNvPr id="264" name="Group 264"/>
                      <wpg:cNvGrpSpPr/>
                      <wpg:grpSpPr>
                        <a:xfrm>
                          <a:off x="0" y="0"/>
                          <a:ext cx="4710430" cy="787400"/>
                          <a:chExt cx="4710430" cy="787400"/>
                        </a:xfrm>
                      </wpg:grpSpPr>
                      <wps:wsp>
                        <wps:cNvPr id="265" name="Textbox 265"/>
                        <wps:cNvSpPr txBox="1"/>
                        <wps:spPr>
                          <a:xfrm>
                            <a:off x="0" y="393700"/>
                            <a:ext cx="850265" cy="393700"/>
                          </a:xfrm>
                          <a:prstGeom prst="rect">
                            <a:avLst/>
                          </a:prstGeom>
                          <a:solidFill>
                            <a:srgbClr val="F7F7F8"/>
                          </a:solidFill>
                        </wps:spPr>
                        <wps:txbx>
                          <w:txbxContent>
                            <w:p>
                              <w:pPr>
                                <w:spacing w:line="308" w:lineRule="exact" w:before="0"/>
                                <w:ind w:left="0" w:right="0" w:firstLine="0"/>
                                <w:jc w:val="left"/>
                                <w:rPr>
                                  <w:b/>
                                  <w:color w:val="000000"/>
                                  <w:sz w:val="28"/>
                                </w:rPr>
                              </w:pPr>
                              <w:r>
                                <w:rPr>
                                  <w:b/>
                                  <w:color w:val="374151"/>
                                  <w:spacing w:val="-2"/>
                                  <w:sz w:val="28"/>
                                </w:rPr>
                                <w:t>Conclusion</w:t>
                              </w:r>
                            </w:p>
                          </w:txbxContent>
                        </wps:txbx>
                        <wps:bodyPr wrap="square" lIns="0" tIns="0" rIns="0" bIns="0" rtlCol="0">
                          <a:noAutofit/>
                        </wps:bodyPr>
                      </wps:wsp>
                      <wps:wsp>
                        <wps:cNvPr id="266" name="Textbox 266"/>
                        <wps:cNvSpPr txBox="1"/>
                        <wps:spPr>
                          <a:xfrm>
                            <a:off x="0" y="0"/>
                            <a:ext cx="471043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survivors</w:t>
                              </w:r>
                              <w:r>
                                <w:rPr>
                                  <w:color w:val="374151"/>
                                  <w:spacing w:val="-4"/>
                                  <w:sz w:val="28"/>
                                </w:rPr>
                                <w:t> </w:t>
                              </w:r>
                              <w:r>
                                <w:rPr>
                                  <w:color w:val="374151"/>
                                  <w:sz w:val="28"/>
                                </w:rPr>
                                <w:t>to</w:t>
                              </w:r>
                              <w:r>
                                <w:rPr>
                                  <w:color w:val="374151"/>
                                  <w:spacing w:val="-2"/>
                                  <w:sz w:val="28"/>
                                </w:rPr>
                                <w:t> </w:t>
                              </w:r>
                              <w:r>
                                <w:rPr>
                                  <w:color w:val="374151"/>
                                  <w:sz w:val="28"/>
                                </w:rPr>
                                <w:t>provide</w:t>
                              </w:r>
                              <w:r>
                                <w:rPr>
                                  <w:color w:val="374151"/>
                                  <w:spacing w:val="-3"/>
                                  <w:sz w:val="28"/>
                                </w:rPr>
                                <w:t> </w:t>
                              </w:r>
                              <w:r>
                                <w:rPr>
                                  <w:color w:val="374151"/>
                                  <w:sz w:val="28"/>
                                </w:rPr>
                                <w:t>individualized</w:t>
                              </w:r>
                              <w:r>
                                <w:rPr>
                                  <w:color w:val="374151"/>
                                  <w:spacing w:val="-2"/>
                                  <w:sz w:val="28"/>
                                </w:rPr>
                                <w:t> </w:t>
                              </w:r>
                              <w:r>
                                <w:rPr>
                                  <w:color w:val="374151"/>
                                  <w:sz w:val="28"/>
                                </w:rPr>
                                <w:t>and</w:t>
                              </w:r>
                              <w:r>
                                <w:rPr>
                                  <w:color w:val="374151"/>
                                  <w:spacing w:val="-2"/>
                                  <w:sz w:val="28"/>
                                </w:rPr>
                                <w:t> </w:t>
                              </w:r>
                              <w:r>
                                <w:rPr>
                                  <w:color w:val="374151"/>
                                  <w:sz w:val="28"/>
                                </w:rPr>
                                <w:t>culturally</w:t>
                              </w:r>
                              <w:r>
                                <w:rPr>
                                  <w:color w:val="374151"/>
                                  <w:spacing w:val="-2"/>
                                  <w:sz w:val="28"/>
                                </w:rPr>
                                <w:t> </w:t>
                              </w:r>
                              <w:r>
                                <w:rPr>
                                  <w:color w:val="374151"/>
                                  <w:sz w:val="28"/>
                                </w:rPr>
                                <w:t>responsive</w:t>
                              </w:r>
                              <w:r>
                                <w:rPr>
                                  <w:color w:val="374151"/>
                                  <w:spacing w:val="-2"/>
                                  <w:sz w:val="28"/>
                                </w:rPr>
                                <w:t> care.</w:t>
                              </w:r>
                            </w:p>
                          </w:txbxContent>
                        </wps:txbx>
                        <wps:bodyPr wrap="square" lIns="0" tIns="0" rIns="0" bIns="0" rtlCol="0">
                          <a:noAutofit/>
                        </wps:bodyPr>
                      </wps:wsp>
                    </wpg:wgp>
                  </a:graphicData>
                </a:graphic>
              </wp:anchor>
            </w:drawing>
          </mc:Choice>
          <mc:Fallback>
            <w:pict>
              <v:group style="position:absolute;margin-left:84pt;margin-top:19.791931pt;width:370.9pt;height:62pt;mso-position-horizontal-relative:page;mso-position-vertical-relative:paragraph;z-index:-15668224;mso-wrap-distance-left:0;mso-wrap-distance-right:0" id="docshapegroup263" coordorigin="1680,396" coordsize="7418,1240">
                <v:shape style="position:absolute;left:1680;top:1015;width:1339;height:620" type="#_x0000_t202" id="docshape264" filled="true" fillcolor="#f7f7f8" stroked="false">
                  <v:textbox inset="0,0,0,0">
                    <w:txbxContent>
                      <w:p>
                        <w:pPr>
                          <w:spacing w:line="308" w:lineRule="exact" w:before="0"/>
                          <w:ind w:left="0" w:right="0" w:firstLine="0"/>
                          <w:jc w:val="left"/>
                          <w:rPr>
                            <w:b/>
                            <w:color w:val="000000"/>
                            <w:sz w:val="28"/>
                          </w:rPr>
                        </w:pPr>
                        <w:r>
                          <w:rPr>
                            <w:b/>
                            <w:color w:val="374151"/>
                            <w:spacing w:val="-2"/>
                            <w:sz w:val="28"/>
                          </w:rPr>
                          <w:t>Conclusion</w:t>
                        </w:r>
                      </w:p>
                    </w:txbxContent>
                  </v:textbox>
                  <v:fill type="solid"/>
                  <w10:wrap type="none"/>
                </v:shape>
                <v:shape style="position:absolute;left:1680;top:395;width:7418;height:620" type="#_x0000_t202" id="docshape265" filled="true" fillcolor="#f7f7f8" stroked="false">
                  <v:textbox inset="0,0,0,0">
                    <w:txbxContent>
                      <w:p>
                        <w:pPr>
                          <w:spacing w:line="308" w:lineRule="exact" w:before="0"/>
                          <w:ind w:left="0" w:right="-15" w:firstLine="0"/>
                          <w:jc w:val="left"/>
                          <w:rPr>
                            <w:color w:val="000000"/>
                            <w:sz w:val="28"/>
                          </w:rPr>
                        </w:pPr>
                        <w:r>
                          <w:rPr>
                            <w:color w:val="374151"/>
                            <w:sz w:val="28"/>
                          </w:rPr>
                          <w:t>survivors</w:t>
                        </w:r>
                        <w:r>
                          <w:rPr>
                            <w:color w:val="374151"/>
                            <w:spacing w:val="-4"/>
                            <w:sz w:val="28"/>
                          </w:rPr>
                          <w:t> </w:t>
                        </w:r>
                        <w:r>
                          <w:rPr>
                            <w:color w:val="374151"/>
                            <w:sz w:val="28"/>
                          </w:rPr>
                          <w:t>to</w:t>
                        </w:r>
                        <w:r>
                          <w:rPr>
                            <w:color w:val="374151"/>
                            <w:spacing w:val="-2"/>
                            <w:sz w:val="28"/>
                          </w:rPr>
                          <w:t> </w:t>
                        </w:r>
                        <w:r>
                          <w:rPr>
                            <w:color w:val="374151"/>
                            <w:sz w:val="28"/>
                          </w:rPr>
                          <w:t>provide</w:t>
                        </w:r>
                        <w:r>
                          <w:rPr>
                            <w:color w:val="374151"/>
                            <w:spacing w:val="-3"/>
                            <w:sz w:val="28"/>
                          </w:rPr>
                          <w:t> </w:t>
                        </w:r>
                        <w:r>
                          <w:rPr>
                            <w:color w:val="374151"/>
                            <w:sz w:val="28"/>
                          </w:rPr>
                          <w:t>individualized</w:t>
                        </w:r>
                        <w:r>
                          <w:rPr>
                            <w:color w:val="374151"/>
                            <w:spacing w:val="-2"/>
                            <w:sz w:val="28"/>
                          </w:rPr>
                          <w:t> </w:t>
                        </w:r>
                        <w:r>
                          <w:rPr>
                            <w:color w:val="374151"/>
                            <w:sz w:val="28"/>
                          </w:rPr>
                          <w:t>and</w:t>
                        </w:r>
                        <w:r>
                          <w:rPr>
                            <w:color w:val="374151"/>
                            <w:spacing w:val="-2"/>
                            <w:sz w:val="28"/>
                          </w:rPr>
                          <w:t> </w:t>
                        </w:r>
                        <w:r>
                          <w:rPr>
                            <w:color w:val="374151"/>
                            <w:sz w:val="28"/>
                          </w:rPr>
                          <w:t>culturally</w:t>
                        </w:r>
                        <w:r>
                          <w:rPr>
                            <w:color w:val="374151"/>
                            <w:spacing w:val="-2"/>
                            <w:sz w:val="28"/>
                          </w:rPr>
                          <w:t> </w:t>
                        </w:r>
                        <w:r>
                          <w:rPr>
                            <w:color w:val="374151"/>
                            <w:sz w:val="28"/>
                          </w:rPr>
                          <w:t>responsive</w:t>
                        </w:r>
                        <w:r>
                          <w:rPr>
                            <w:color w:val="374151"/>
                            <w:spacing w:val="-2"/>
                            <w:sz w:val="28"/>
                          </w:rPr>
                          <w:t> care.</w:t>
                        </w:r>
                      </w:p>
                    </w:txbxContent>
                  </v:textbox>
                  <v:fill type="solid"/>
                  <w10:wrap type="none"/>
                </v:shape>
                <w10:wrap type="topAndBottom"/>
              </v:group>
            </w:pict>
          </mc:Fallback>
        </mc:AlternateContent>
      </w:r>
      <w:r>
        <w:rPr>
          <w:color w:val="374151"/>
          <w:shd w:fill="F7F7F8" w:color="auto" w:val="clear"/>
        </w:rPr>
        <w:t>oppression</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privilege,</w:t>
      </w:r>
      <w:r>
        <w:rPr>
          <w:color w:val="374151"/>
          <w:spacing w:val="-2"/>
          <w:shd w:fill="F7F7F8" w:color="auto" w:val="clear"/>
        </w:rPr>
        <w:t> </w:t>
      </w:r>
      <w:r>
        <w:rPr>
          <w:color w:val="374151"/>
          <w:shd w:fill="F7F7F8" w:color="auto" w:val="clear"/>
        </w:rPr>
        <w:t>should</w:t>
      </w:r>
      <w:r>
        <w:rPr>
          <w:color w:val="374151"/>
          <w:spacing w:val="-1"/>
          <w:shd w:fill="F7F7F8" w:color="auto" w:val="clear"/>
        </w:rPr>
        <w:t> </w:t>
      </w:r>
      <w:r>
        <w:rPr>
          <w:color w:val="374151"/>
          <w:shd w:fill="F7F7F8" w:color="auto" w:val="clear"/>
        </w:rPr>
        <w:t>be</w:t>
      </w:r>
      <w:r>
        <w:rPr>
          <w:color w:val="374151"/>
          <w:spacing w:val="-3"/>
          <w:shd w:fill="F7F7F8" w:color="auto" w:val="clear"/>
        </w:rPr>
        <w:t> </w:t>
      </w:r>
      <w:r>
        <w:rPr>
          <w:color w:val="374151"/>
          <w:shd w:fill="F7F7F8" w:color="auto" w:val="clear"/>
        </w:rPr>
        <w:t>considered</w:t>
      </w:r>
      <w:r>
        <w:rPr>
          <w:color w:val="374151"/>
          <w:spacing w:val="-1"/>
          <w:shd w:fill="F7F7F8" w:color="auto" w:val="clear"/>
        </w:rPr>
        <w:t> </w:t>
      </w:r>
      <w:r>
        <w:rPr>
          <w:color w:val="374151"/>
          <w:shd w:fill="F7F7F8" w:color="auto" w:val="clear"/>
        </w:rPr>
        <w:t>when</w:t>
      </w:r>
      <w:r>
        <w:rPr>
          <w:color w:val="374151"/>
          <w:spacing w:val="-2"/>
          <w:shd w:fill="F7F7F8" w:color="auto" w:val="clear"/>
        </w:rPr>
        <w:t> </w:t>
      </w:r>
      <w:r>
        <w:rPr>
          <w:color w:val="374151"/>
          <w:shd w:fill="F7F7F8" w:color="auto" w:val="clear"/>
        </w:rPr>
        <w:t>assessing</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pacing w:val="-2"/>
          <w:shd w:fill="F7F7F8" w:color="auto" w:val="clear"/>
        </w:rPr>
        <w:t>treating</w:t>
      </w:r>
      <w:r>
        <w:rPr>
          <w:color w:val="374151"/>
          <w:spacing w:val="40"/>
          <w:shd w:fill="F7F7F8" w:color="auto" w:val="clear"/>
        </w:rPr>
        <w:t> </w:t>
      </w:r>
    </w:p>
    <w:p>
      <w:pPr>
        <w:pStyle w:val="BodyText"/>
        <w:spacing w:line="237" w:lineRule="auto" w:after="10"/>
        <w:ind w:left="280" w:right="553"/>
      </w:pPr>
      <w:r>
        <w:rPr>
          <w:color w:val="374151"/>
          <w:shd w:fill="F7F7F8" w:color="auto" w:val="clear"/>
        </w:rPr>
        <w:t>The</w:t>
      </w:r>
      <w:r>
        <w:rPr>
          <w:color w:val="374151"/>
          <w:spacing w:val="-4"/>
          <w:shd w:fill="F7F7F8" w:color="auto" w:val="clear"/>
        </w:rPr>
        <w:t> </w:t>
      </w:r>
      <w:r>
        <w:rPr>
          <w:color w:val="374151"/>
          <w:shd w:fill="F7F7F8" w:color="auto" w:val="clear"/>
        </w:rPr>
        <w:t>assessment</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treatment</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sexual</w:t>
      </w:r>
      <w:r>
        <w:rPr>
          <w:color w:val="374151"/>
          <w:spacing w:val="-3"/>
          <w:shd w:fill="F7F7F8" w:color="auto" w:val="clear"/>
        </w:rPr>
        <w:t> </w:t>
      </w:r>
      <w:r>
        <w:rPr>
          <w:color w:val="374151"/>
          <w:shd w:fill="F7F7F8" w:color="auto" w:val="clear"/>
        </w:rPr>
        <w:t>violence</w:t>
      </w:r>
      <w:r>
        <w:rPr>
          <w:color w:val="374151"/>
          <w:spacing w:val="-4"/>
          <w:shd w:fill="F7F7F8" w:color="auto" w:val="clear"/>
        </w:rPr>
        <w:t> </w:t>
      </w:r>
      <w:r>
        <w:rPr>
          <w:color w:val="374151"/>
          <w:shd w:fill="F7F7F8" w:color="auto" w:val="clear"/>
        </w:rPr>
        <w:t>require</w:t>
      </w:r>
      <w:r>
        <w:rPr>
          <w:color w:val="374151"/>
          <w:spacing w:val="-4"/>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comprehensive</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pacing w:val="-4"/>
        </w:rPr>
        <w:t> </w:t>
      </w:r>
      <w:r>
        <w:rPr>
          <w:color w:val="374151"/>
          <w:shd w:fill="F7F7F8" w:color="auto" w:val="clear"/>
        </w:rPr>
        <w:t>trauma-informed approach. Mental health therapists play a vital role in </w:t>
      </w:r>
      <w:r>
        <w:rPr>
          <w:color w:val="374151"/>
        </w:rPr>
        <w:t> </w:t>
      </w:r>
      <w:r>
        <w:rPr>
          <w:color w:val="374151"/>
          <w:shd w:fill="F7F7F8" w:color="auto" w:val="clear"/>
        </w:rPr>
        <w:t>supporting survivors on their healing journey. By conducting thorough </w:t>
      </w:r>
      <w:r>
        <w:rPr>
          <w:color w:val="374151"/>
        </w:rPr>
        <w:t> </w:t>
      </w:r>
      <w:r>
        <w:rPr>
          <w:color w:val="374151"/>
          <w:shd w:fill="F7F7F8" w:color="auto" w:val="clear"/>
        </w:rPr>
        <w:t>assessments, employing evidence-based treatment approaches, and staying </w:t>
      </w:r>
      <w:r>
        <w:rPr>
          <w:color w:val="374151"/>
        </w:rPr>
        <w:t> </w:t>
      </w:r>
      <w:r>
        <w:rPr>
          <w:color w:val="374151"/>
          <w:shd w:fill="F7F7F8" w:color="auto" w:val="clear"/>
        </w:rPr>
        <w:t>updated on emerging trends, therapists can provide effective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658870" cy="393700"/>
                <wp:effectExtent l="0" t="0" r="0" b="0"/>
                <wp:docPr id="267" name="Textbox 267"/>
                <wp:cNvGraphicFramePr>
                  <a:graphicFrameLocks/>
                </wp:cNvGraphicFramePr>
                <a:graphic>
                  <a:graphicData uri="http://schemas.microsoft.com/office/word/2010/wordprocessingShape">
                    <wps:wsp>
                      <wps:cNvPr id="267" name="Textbox 267"/>
                      <wps:cNvSpPr txBox="1"/>
                      <wps:spPr>
                        <a:xfrm>
                          <a:off x="0" y="0"/>
                          <a:ext cx="3658870" cy="393700"/>
                        </a:xfrm>
                        <a:prstGeom prst="rect">
                          <a:avLst/>
                        </a:prstGeom>
                        <a:solidFill>
                          <a:srgbClr val="F7F7F8"/>
                        </a:solidFill>
                      </wps:spPr>
                      <wps:txbx>
                        <w:txbxContent>
                          <w:p>
                            <w:pPr>
                              <w:pStyle w:val="BodyText"/>
                              <w:spacing w:line="308" w:lineRule="exact"/>
                              <w:ind w:right="-15"/>
                              <w:rPr>
                                <w:color w:val="000000"/>
                              </w:rPr>
                            </w:pPr>
                            <w:r>
                              <w:rPr>
                                <w:color w:val="374151"/>
                              </w:rPr>
                              <w:t>compassionate</w:t>
                            </w:r>
                            <w:r>
                              <w:rPr>
                                <w:color w:val="374151"/>
                                <w:spacing w:val="-3"/>
                              </w:rPr>
                              <w:t> </w:t>
                            </w:r>
                            <w:r>
                              <w:rPr>
                                <w:color w:val="374151"/>
                              </w:rPr>
                              <w:t>care</w:t>
                            </w:r>
                            <w:r>
                              <w:rPr>
                                <w:color w:val="374151"/>
                                <w:spacing w:val="-3"/>
                              </w:rPr>
                              <w:t> </w:t>
                            </w:r>
                            <w:r>
                              <w:rPr>
                                <w:color w:val="374151"/>
                              </w:rPr>
                              <w:t>to</w:t>
                            </w:r>
                            <w:r>
                              <w:rPr>
                                <w:color w:val="374151"/>
                                <w:spacing w:val="-1"/>
                              </w:rPr>
                              <w:t> </w:t>
                            </w:r>
                            <w:r>
                              <w:rPr>
                                <w:color w:val="374151"/>
                              </w:rPr>
                              <w:t>survivors</w:t>
                            </w:r>
                            <w:r>
                              <w:rPr>
                                <w:color w:val="374151"/>
                                <w:spacing w:val="-2"/>
                              </w:rPr>
                              <w:t> </w:t>
                            </w:r>
                            <w:r>
                              <w:rPr>
                                <w:color w:val="374151"/>
                              </w:rPr>
                              <w:t>of</w:t>
                            </w:r>
                            <w:r>
                              <w:rPr>
                                <w:color w:val="374151"/>
                                <w:spacing w:val="-2"/>
                              </w:rPr>
                              <w:t> </w:t>
                            </w:r>
                            <w:r>
                              <w:rPr>
                                <w:color w:val="374151"/>
                              </w:rPr>
                              <w:t>sexual</w:t>
                            </w:r>
                            <w:r>
                              <w:rPr>
                                <w:color w:val="374151"/>
                                <w:spacing w:val="-1"/>
                              </w:rPr>
                              <w:t> </w:t>
                            </w:r>
                            <w:r>
                              <w:rPr>
                                <w:color w:val="374151"/>
                                <w:spacing w:val="-2"/>
                              </w:rPr>
                              <w:t>violence.</w:t>
                            </w:r>
                          </w:p>
                        </w:txbxContent>
                      </wps:txbx>
                      <wps:bodyPr wrap="square" lIns="0" tIns="0" rIns="0" bIns="0" rtlCol="0">
                        <a:noAutofit/>
                      </wps:bodyPr>
                    </wps:wsp>
                  </a:graphicData>
                </a:graphic>
              </wp:inline>
            </w:drawing>
          </mc:Choice>
          <mc:Fallback>
            <w:pict>
              <v:shape style="width:288.1pt;height:31pt;mso-position-horizontal-relative:char;mso-position-vertical-relative:line" type="#_x0000_t202" id="docshape266" filled="true" fillcolor="#f7f7f8" stroked="false">
                <w10:anchorlock/>
                <v:textbox inset="0,0,0,0">
                  <w:txbxContent>
                    <w:p>
                      <w:pPr>
                        <w:pStyle w:val="BodyText"/>
                        <w:spacing w:line="308" w:lineRule="exact"/>
                        <w:ind w:right="-15"/>
                        <w:rPr>
                          <w:color w:val="000000"/>
                        </w:rPr>
                      </w:pPr>
                      <w:r>
                        <w:rPr>
                          <w:color w:val="374151"/>
                        </w:rPr>
                        <w:t>compassionate</w:t>
                      </w:r>
                      <w:r>
                        <w:rPr>
                          <w:color w:val="374151"/>
                          <w:spacing w:val="-3"/>
                        </w:rPr>
                        <w:t> </w:t>
                      </w:r>
                      <w:r>
                        <w:rPr>
                          <w:color w:val="374151"/>
                        </w:rPr>
                        <w:t>care</w:t>
                      </w:r>
                      <w:r>
                        <w:rPr>
                          <w:color w:val="374151"/>
                          <w:spacing w:val="-3"/>
                        </w:rPr>
                        <w:t> </w:t>
                      </w:r>
                      <w:r>
                        <w:rPr>
                          <w:color w:val="374151"/>
                        </w:rPr>
                        <w:t>to</w:t>
                      </w:r>
                      <w:r>
                        <w:rPr>
                          <w:color w:val="374151"/>
                          <w:spacing w:val="-1"/>
                        </w:rPr>
                        <w:t> </w:t>
                      </w:r>
                      <w:r>
                        <w:rPr>
                          <w:color w:val="374151"/>
                        </w:rPr>
                        <w:t>survivors</w:t>
                      </w:r>
                      <w:r>
                        <w:rPr>
                          <w:color w:val="374151"/>
                          <w:spacing w:val="-2"/>
                        </w:rPr>
                        <w:t> </w:t>
                      </w:r>
                      <w:r>
                        <w:rPr>
                          <w:color w:val="374151"/>
                        </w:rPr>
                        <w:t>of</w:t>
                      </w:r>
                      <w:r>
                        <w:rPr>
                          <w:color w:val="374151"/>
                          <w:spacing w:val="-2"/>
                        </w:rPr>
                        <w:t> </w:t>
                      </w:r>
                      <w:r>
                        <w:rPr>
                          <w:color w:val="374151"/>
                        </w:rPr>
                        <w:t>sexual</w:t>
                      </w:r>
                      <w:r>
                        <w:rPr>
                          <w:color w:val="374151"/>
                          <w:spacing w:val="-1"/>
                        </w:rPr>
                        <w:t> </w:t>
                      </w:r>
                      <w:r>
                        <w:rPr>
                          <w:color w:val="374151"/>
                          <w:spacing w:val="-2"/>
                        </w:rPr>
                        <w:t>violence.</w:t>
                      </w:r>
                    </w:p>
                  </w:txbxContent>
                </v:textbox>
                <v:fill type="solid"/>
              </v:shape>
            </w:pict>
          </mc:Fallback>
        </mc:AlternateContent>
      </w:r>
      <w:r>
        <w:rPr>
          <w:sz w:val="20"/>
        </w:rPr>
      </w:r>
    </w:p>
    <w:p>
      <w:pPr>
        <w:pStyle w:val="BodyText"/>
        <w:spacing w:line="282" w:lineRule="exact"/>
        <w:ind w:left="280"/>
      </w:pPr>
      <w:r>
        <w:rPr>
          <w:color w:val="374151"/>
          <w:shd w:fill="F7F7F8" w:color="auto" w:val="clear"/>
        </w:rPr>
        <w:t>As</w:t>
      </w:r>
      <w:r>
        <w:rPr>
          <w:color w:val="374151"/>
          <w:spacing w:val="-2"/>
          <w:shd w:fill="F7F7F8" w:color="auto" w:val="clear"/>
        </w:rPr>
        <w:t> </w:t>
      </w:r>
      <w:r>
        <w:rPr>
          <w:color w:val="374151"/>
          <w:shd w:fill="F7F7F8" w:color="auto" w:val="clear"/>
        </w:rPr>
        <w:t>therapists</w:t>
      </w:r>
      <w:r>
        <w:rPr>
          <w:color w:val="374151"/>
          <w:spacing w:val="-1"/>
          <w:shd w:fill="F7F7F8" w:color="auto" w:val="clear"/>
        </w:rPr>
        <w:t> </w:t>
      </w:r>
      <w:r>
        <w:rPr>
          <w:color w:val="374151"/>
          <w:shd w:fill="F7F7F8" w:color="auto" w:val="clear"/>
        </w:rPr>
        <w:t>continue</w:t>
      </w:r>
      <w:r>
        <w:rPr>
          <w:color w:val="374151"/>
          <w:spacing w:val="-2"/>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enhance</w:t>
      </w:r>
      <w:r>
        <w:rPr>
          <w:color w:val="374151"/>
          <w:spacing w:val="-3"/>
          <w:shd w:fill="F7F7F8" w:color="auto" w:val="clear"/>
        </w:rPr>
        <w:t> </w:t>
      </w:r>
      <w:r>
        <w:rPr>
          <w:color w:val="374151"/>
          <w:shd w:fill="F7F7F8" w:color="auto" w:val="clear"/>
        </w:rPr>
        <w:t>their</w:t>
      </w:r>
      <w:r>
        <w:rPr>
          <w:color w:val="374151"/>
          <w:spacing w:val="-1"/>
          <w:shd w:fill="F7F7F8" w:color="auto" w:val="clear"/>
        </w:rPr>
        <w:t> </w:t>
      </w:r>
      <w:r>
        <w:rPr>
          <w:color w:val="374151"/>
          <w:shd w:fill="F7F7F8" w:color="auto" w:val="clear"/>
        </w:rPr>
        <w:t>knowledge</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skills,</w:t>
      </w:r>
      <w:r>
        <w:rPr>
          <w:color w:val="374151"/>
          <w:spacing w:val="-2"/>
          <w:shd w:fill="F7F7F8" w:color="auto" w:val="clear"/>
        </w:rPr>
        <w:t> </w:t>
      </w:r>
      <w:r>
        <w:rPr>
          <w:color w:val="374151"/>
          <w:shd w:fill="F7F7F8" w:color="auto" w:val="clear"/>
        </w:rPr>
        <w:t>it</w:t>
      </w:r>
      <w:r>
        <w:rPr>
          <w:color w:val="374151"/>
          <w:spacing w:val="-1"/>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essential</w:t>
      </w:r>
      <w:r>
        <w:rPr>
          <w:color w:val="374151"/>
          <w:spacing w:val="-1"/>
          <w:shd w:fill="F7F7F8" w:color="auto" w:val="clear"/>
        </w:rPr>
        <w:t> </w:t>
      </w:r>
      <w:r>
        <w:rPr>
          <w:color w:val="374151"/>
          <w:spacing w:val="-5"/>
          <w:shd w:fill="F7F7F8" w:color="auto" w:val="clear"/>
        </w:rPr>
        <w:t>to</w:t>
      </w:r>
      <w:r>
        <w:rPr>
          <w:color w:val="374151"/>
          <w:spacing w:val="40"/>
          <w:shd w:fill="F7F7F8" w:color="auto" w:val="clear"/>
        </w:rPr>
        <w:t> </w:t>
      </w:r>
    </w:p>
    <w:p>
      <w:pPr>
        <w:pStyle w:val="BodyText"/>
        <w:spacing w:after="7"/>
        <w:ind w:left="280" w:right="517"/>
      </w:pPr>
      <w:r>
        <w:rPr>
          <w:color w:val="374151"/>
          <w:shd w:fill="F7F7F8" w:color="auto" w:val="clear"/>
        </w:rPr>
        <w:t>prioritize ethical considerations, engage in self-reflection, and engage in </w:t>
      </w:r>
      <w:r>
        <w:rPr>
          <w:color w:val="374151"/>
        </w:rPr>
        <w:t> </w:t>
      </w:r>
      <w:r>
        <w:rPr>
          <w:color w:val="374151"/>
          <w:shd w:fill="F7F7F8" w:color="auto" w:val="clear"/>
        </w:rPr>
        <w:t>ongoing professional development. By doing so, therapists can create a safe </w:t>
      </w:r>
      <w:r>
        <w:rPr>
          <w:color w:val="374151"/>
        </w:rPr>
        <w:t> </w:t>
      </w:r>
      <w:r>
        <w:rPr>
          <w:color w:val="374151"/>
          <w:shd w:fill="F7F7F8" w:color="auto" w:val="clear"/>
        </w:rPr>
        <w:t>and supportive therapeutic environment that promotes healing, resilience,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019935" cy="393700"/>
                <wp:effectExtent l="0" t="0" r="0" b="0"/>
                <wp:docPr id="268" name="Textbox 268"/>
                <wp:cNvGraphicFramePr>
                  <a:graphicFrameLocks/>
                </wp:cNvGraphicFramePr>
                <a:graphic>
                  <a:graphicData uri="http://schemas.microsoft.com/office/word/2010/wordprocessingShape">
                    <wps:wsp>
                      <wps:cNvPr id="268" name="Textbox 268"/>
                      <wps:cNvSpPr txBox="1"/>
                      <wps:spPr>
                        <a:xfrm>
                          <a:off x="0" y="0"/>
                          <a:ext cx="2019935" cy="393700"/>
                        </a:xfrm>
                        <a:prstGeom prst="rect">
                          <a:avLst/>
                        </a:prstGeom>
                        <a:solidFill>
                          <a:srgbClr val="F7F7F8"/>
                        </a:solidFill>
                      </wps:spPr>
                      <wps:txbx>
                        <w:txbxContent>
                          <w:p>
                            <w:pPr>
                              <w:pStyle w:val="BodyText"/>
                              <w:spacing w:line="308" w:lineRule="exact"/>
                              <w:rPr>
                                <w:color w:val="000000"/>
                              </w:rPr>
                            </w:pPr>
                            <w:r>
                              <w:rPr>
                                <w:color w:val="374151"/>
                              </w:rPr>
                              <w:t>empowerment</w:t>
                            </w:r>
                            <w:r>
                              <w:rPr>
                                <w:color w:val="374151"/>
                                <w:spacing w:val="-3"/>
                              </w:rPr>
                              <w:t> </w:t>
                            </w:r>
                            <w:r>
                              <w:rPr>
                                <w:color w:val="374151"/>
                              </w:rPr>
                              <w:t>for</w:t>
                            </w:r>
                            <w:r>
                              <w:rPr>
                                <w:color w:val="374151"/>
                                <w:spacing w:val="-2"/>
                              </w:rPr>
                              <w:t> </w:t>
                            </w:r>
                            <w:r>
                              <w:rPr>
                                <w:color w:val="374151"/>
                                <w:spacing w:val="-2"/>
                              </w:rPr>
                              <w:t>survivors.</w:t>
                            </w:r>
                          </w:p>
                        </w:txbxContent>
                      </wps:txbx>
                      <wps:bodyPr wrap="square" lIns="0" tIns="0" rIns="0" bIns="0" rtlCol="0">
                        <a:noAutofit/>
                      </wps:bodyPr>
                    </wps:wsp>
                  </a:graphicData>
                </a:graphic>
              </wp:inline>
            </w:drawing>
          </mc:Choice>
          <mc:Fallback>
            <w:pict>
              <v:shape style="width:159.050pt;height:31pt;mso-position-horizontal-relative:char;mso-position-vertical-relative:line" type="#_x0000_t202" id="docshape267" filled="true" fillcolor="#f7f7f8" stroked="false">
                <w10:anchorlock/>
                <v:textbox inset="0,0,0,0">
                  <w:txbxContent>
                    <w:p>
                      <w:pPr>
                        <w:pStyle w:val="BodyText"/>
                        <w:spacing w:line="308" w:lineRule="exact"/>
                        <w:rPr>
                          <w:color w:val="000000"/>
                        </w:rPr>
                      </w:pPr>
                      <w:r>
                        <w:rPr>
                          <w:color w:val="374151"/>
                        </w:rPr>
                        <w:t>empowerment</w:t>
                      </w:r>
                      <w:r>
                        <w:rPr>
                          <w:color w:val="374151"/>
                          <w:spacing w:val="-3"/>
                        </w:rPr>
                        <w:t> </w:t>
                      </w:r>
                      <w:r>
                        <w:rPr>
                          <w:color w:val="374151"/>
                        </w:rPr>
                        <w:t>for</w:t>
                      </w:r>
                      <w:r>
                        <w:rPr>
                          <w:color w:val="374151"/>
                          <w:spacing w:val="-2"/>
                        </w:rPr>
                        <w:t> </w:t>
                      </w:r>
                      <w:r>
                        <w:rPr>
                          <w:color w:val="374151"/>
                          <w:spacing w:val="-2"/>
                        </w:rPr>
                        <w:t>survivors.</w:t>
                      </w:r>
                    </w:p>
                  </w:txbxContent>
                </v:textbox>
                <v:fill type="solid"/>
              </v:shape>
            </w:pict>
          </mc:Fallback>
        </mc:AlternateContent>
      </w:r>
      <w:r>
        <w:rPr>
          <w:sz w:val="20"/>
        </w:rPr>
      </w:r>
    </w:p>
    <w:p>
      <w:pPr>
        <w:pStyle w:val="BodyText"/>
        <w:spacing w:line="282" w:lineRule="exact"/>
        <w:ind w:left="280"/>
      </w:pPr>
      <w:r>
        <w:rPr>
          <w:color w:val="374151"/>
          <w:shd w:fill="F7F7F8" w:color="auto" w:val="clear"/>
        </w:rPr>
        <w:t>In</w:t>
      </w:r>
      <w:r>
        <w:rPr>
          <w:color w:val="374151"/>
          <w:spacing w:val="-4"/>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coming</w:t>
      </w:r>
      <w:r>
        <w:rPr>
          <w:color w:val="374151"/>
          <w:spacing w:val="-1"/>
          <w:shd w:fill="F7F7F8" w:color="auto" w:val="clear"/>
        </w:rPr>
        <w:t> </w:t>
      </w:r>
      <w:r>
        <w:rPr>
          <w:color w:val="374151"/>
          <w:shd w:fill="F7F7F8" w:color="auto" w:val="clear"/>
        </w:rPr>
        <w:t>years,</w:t>
      </w:r>
      <w:r>
        <w:rPr>
          <w:color w:val="374151"/>
          <w:spacing w:val="-2"/>
          <w:shd w:fill="F7F7F8" w:color="auto" w:val="clear"/>
        </w:rPr>
        <w:t> </w:t>
      </w:r>
      <w:r>
        <w:rPr>
          <w:color w:val="374151"/>
          <w:shd w:fill="F7F7F8" w:color="auto" w:val="clear"/>
        </w:rPr>
        <w:t>further</w:t>
      </w:r>
      <w:r>
        <w:rPr>
          <w:color w:val="374151"/>
          <w:spacing w:val="-2"/>
          <w:shd w:fill="F7F7F8" w:color="auto" w:val="clear"/>
        </w:rPr>
        <w:t> </w:t>
      </w:r>
      <w:r>
        <w:rPr>
          <w:color w:val="374151"/>
          <w:shd w:fill="F7F7F8" w:color="auto" w:val="clear"/>
        </w:rPr>
        <w:t>research</w:t>
      </w:r>
      <w:r>
        <w:rPr>
          <w:color w:val="374151"/>
          <w:spacing w:val="-1"/>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advancements</w:t>
      </w:r>
      <w:r>
        <w:rPr>
          <w:color w:val="374151"/>
          <w:spacing w:val="-2"/>
          <w:shd w:fill="F7F7F8" w:color="auto" w:val="clear"/>
        </w:rPr>
        <w:t> </w:t>
      </w:r>
      <w:r>
        <w:rPr>
          <w:color w:val="374151"/>
          <w:shd w:fill="F7F7F8" w:color="auto" w:val="clear"/>
        </w:rPr>
        <w:t>in</w:t>
      </w:r>
      <w:r>
        <w:rPr>
          <w:color w:val="374151"/>
          <w:spacing w:val="-1"/>
          <w:shd w:fill="F7F7F8" w:color="auto" w:val="clear"/>
        </w:rPr>
        <w:t> </w:t>
      </w:r>
      <w:r>
        <w:rPr>
          <w:color w:val="374151"/>
          <w:spacing w:val="-2"/>
          <w:shd w:fill="F7F7F8" w:color="auto" w:val="clear"/>
        </w:rPr>
        <w:t>technology,</w:t>
      </w:r>
      <w:r>
        <w:rPr>
          <w:color w:val="374151"/>
          <w:spacing w:val="40"/>
          <w:shd w:fill="F7F7F8" w:color="auto" w:val="clear"/>
        </w:rPr>
        <w:t> </w:t>
      </w:r>
    </w:p>
    <w:p>
      <w:pPr>
        <w:pStyle w:val="BodyText"/>
        <w:spacing w:after="7"/>
        <w:ind w:left="280" w:right="502"/>
      </w:pPr>
      <w:r>
        <w:rPr>
          <w:color w:val="374151"/>
          <w:shd w:fill="F7F7F8" w:color="auto" w:val="clear"/>
        </w:rPr>
        <w:t>integrated care models, and self-care practices will continue to shape the field </w:t>
      </w:r>
      <w:r>
        <w:rPr>
          <w:color w:val="374151"/>
        </w:rPr>
        <w:t> </w:t>
      </w:r>
      <w:r>
        <w:rPr>
          <w:color w:val="374151"/>
          <w:shd w:fill="F7F7F8" w:color="auto" w:val="clear"/>
        </w:rPr>
        <w:t>of assessment and treatment for sexual violence. Mental health therapists </w:t>
      </w:r>
      <w:r>
        <w:rPr>
          <w:color w:val="374151"/>
        </w:rPr>
        <w:t> </w:t>
      </w:r>
      <w:r>
        <w:rPr>
          <w:color w:val="374151"/>
          <w:shd w:fill="F7F7F8" w:color="auto" w:val="clear"/>
        </w:rPr>
        <w:t>should remain informed and adaptable to best serve the needs of survivors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5538470" cy="1181100"/>
                <wp:effectExtent l="0" t="0" r="0" b="0"/>
                <wp:docPr id="269" name="Group 269"/>
                <wp:cNvGraphicFramePr>
                  <a:graphicFrameLocks/>
                </wp:cNvGraphicFramePr>
                <a:graphic>
                  <a:graphicData uri="http://schemas.microsoft.com/office/word/2010/wordprocessingGroup">
                    <wpg:wgp>
                      <wpg:cNvPr id="269" name="Group 269"/>
                      <wpg:cNvGrpSpPr/>
                      <wpg:grpSpPr>
                        <a:xfrm>
                          <a:off x="0" y="0"/>
                          <a:ext cx="5538470" cy="1181100"/>
                          <a:chExt cx="5538470" cy="1181100"/>
                        </a:xfrm>
                      </wpg:grpSpPr>
                      <wps:wsp>
                        <wps:cNvPr id="270" name="Textbox 270"/>
                        <wps:cNvSpPr txBox="1"/>
                        <wps:spPr>
                          <a:xfrm>
                            <a:off x="0" y="787400"/>
                            <a:ext cx="293814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Research</w:t>
                              </w:r>
                              <w:r>
                                <w:rPr>
                                  <w:b/>
                                  <w:i/>
                                  <w:color w:val="374151"/>
                                  <w:spacing w:val="-5"/>
                                  <w:sz w:val="28"/>
                                </w:rPr>
                                <w:t> </w:t>
                              </w:r>
                              <w:r>
                                <w:rPr>
                                  <w:b/>
                                  <w:i/>
                                  <w:color w:val="374151"/>
                                  <w:sz w:val="28"/>
                                </w:rPr>
                                <w:t>and</w:t>
                              </w:r>
                              <w:r>
                                <w:rPr>
                                  <w:b/>
                                  <w:i/>
                                  <w:color w:val="374151"/>
                                  <w:spacing w:val="-4"/>
                                  <w:sz w:val="28"/>
                                </w:rPr>
                                <w:t> </w:t>
                              </w:r>
                              <w:r>
                                <w:rPr>
                                  <w:b/>
                                  <w:i/>
                                  <w:color w:val="374151"/>
                                  <w:sz w:val="28"/>
                                </w:rPr>
                                <w:t>Evidence-Based</w:t>
                              </w:r>
                              <w:r>
                                <w:rPr>
                                  <w:b/>
                                  <w:i/>
                                  <w:color w:val="374151"/>
                                  <w:spacing w:val="-4"/>
                                  <w:sz w:val="28"/>
                                </w:rPr>
                                <w:t> </w:t>
                              </w:r>
                              <w:r>
                                <w:rPr>
                                  <w:b/>
                                  <w:i/>
                                  <w:color w:val="374151"/>
                                  <w:spacing w:val="-2"/>
                                  <w:sz w:val="28"/>
                                </w:rPr>
                                <w:t>Practices</w:t>
                              </w:r>
                            </w:p>
                          </w:txbxContent>
                        </wps:txbx>
                        <wps:bodyPr wrap="square" lIns="0" tIns="0" rIns="0" bIns="0" rtlCol="0">
                          <a:noAutofit/>
                        </wps:bodyPr>
                      </wps:wsp>
                      <wps:wsp>
                        <wps:cNvPr id="271" name="Textbox 271"/>
                        <wps:cNvSpPr txBox="1"/>
                        <wps:spPr>
                          <a:xfrm>
                            <a:off x="0" y="393700"/>
                            <a:ext cx="423926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Future</w:t>
                              </w:r>
                              <w:r>
                                <w:rPr>
                                  <w:b/>
                                  <w:color w:val="374151"/>
                                  <w:spacing w:val="-8"/>
                                  <w:sz w:val="28"/>
                                </w:rPr>
                                <w:t> </w:t>
                              </w:r>
                              <w:r>
                                <w:rPr>
                                  <w:b/>
                                  <w:color w:val="374151"/>
                                  <w:sz w:val="28"/>
                                </w:rPr>
                                <w:t>Directions</w:t>
                              </w:r>
                              <w:r>
                                <w:rPr>
                                  <w:b/>
                                  <w:color w:val="374151"/>
                                  <w:spacing w:val="-5"/>
                                  <w:sz w:val="28"/>
                                </w:rPr>
                                <w:t> </w:t>
                              </w:r>
                              <w:r>
                                <w:rPr>
                                  <w:b/>
                                  <w:color w:val="374151"/>
                                  <w:sz w:val="28"/>
                                </w:rPr>
                                <w:t>and</w:t>
                              </w:r>
                              <w:r>
                                <w:rPr>
                                  <w:b/>
                                  <w:color w:val="374151"/>
                                  <w:spacing w:val="-4"/>
                                  <w:sz w:val="28"/>
                                </w:rPr>
                                <w:t> </w:t>
                              </w:r>
                              <w:r>
                                <w:rPr>
                                  <w:b/>
                                  <w:color w:val="374151"/>
                                  <w:sz w:val="28"/>
                                </w:rPr>
                                <w:t>Recommendations</w:t>
                              </w:r>
                              <w:r>
                                <w:rPr>
                                  <w:b/>
                                  <w:color w:val="374151"/>
                                  <w:spacing w:val="-5"/>
                                  <w:sz w:val="28"/>
                                </w:rPr>
                                <w:t> </w:t>
                              </w:r>
                              <w:r>
                                <w:rPr>
                                  <w:b/>
                                  <w:color w:val="374151"/>
                                  <w:sz w:val="28"/>
                                </w:rPr>
                                <w:t>for</w:t>
                              </w:r>
                              <w:r>
                                <w:rPr>
                                  <w:b/>
                                  <w:color w:val="374151"/>
                                  <w:spacing w:val="-14"/>
                                  <w:sz w:val="28"/>
                                </w:rPr>
                                <w:t> </w:t>
                              </w:r>
                              <w:r>
                                <w:rPr>
                                  <w:b/>
                                  <w:color w:val="374151"/>
                                  <w:spacing w:val="-2"/>
                                  <w:sz w:val="28"/>
                                </w:rPr>
                                <w:t>Therapists</w:t>
                              </w:r>
                            </w:p>
                          </w:txbxContent>
                        </wps:txbx>
                        <wps:bodyPr wrap="square" lIns="0" tIns="0" rIns="0" bIns="0" rtlCol="0">
                          <a:noAutofit/>
                        </wps:bodyPr>
                      </wps:wsp>
                      <wps:wsp>
                        <wps:cNvPr id="272" name="Textbox 272"/>
                        <wps:cNvSpPr txBox="1"/>
                        <wps:spPr>
                          <a:xfrm>
                            <a:off x="0" y="0"/>
                            <a:ext cx="553847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contribute</w:t>
                              </w:r>
                              <w:r>
                                <w:rPr>
                                  <w:color w:val="374151"/>
                                  <w:spacing w:val="-4"/>
                                  <w:sz w:val="28"/>
                                </w:rPr>
                                <w:t> </w:t>
                              </w:r>
                              <w:r>
                                <w:rPr>
                                  <w:color w:val="374151"/>
                                  <w:sz w:val="28"/>
                                </w:rPr>
                                <w:t>to</w:t>
                              </w:r>
                              <w:r>
                                <w:rPr>
                                  <w:color w:val="374151"/>
                                  <w:spacing w:val="-1"/>
                                  <w:sz w:val="28"/>
                                </w:rPr>
                                <w:t> </w:t>
                              </w:r>
                              <w:r>
                                <w:rPr>
                                  <w:color w:val="374151"/>
                                  <w:sz w:val="28"/>
                                </w:rPr>
                                <w:t>the</w:t>
                              </w:r>
                              <w:r>
                                <w:rPr>
                                  <w:color w:val="374151"/>
                                  <w:spacing w:val="-2"/>
                                  <w:sz w:val="28"/>
                                </w:rPr>
                                <w:t> </w:t>
                              </w:r>
                              <w:r>
                                <w:rPr>
                                  <w:color w:val="374151"/>
                                  <w:sz w:val="28"/>
                                </w:rPr>
                                <w:t>prevention</w:t>
                              </w:r>
                              <w:r>
                                <w:rPr>
                                  <w:color w:val="374151"/>
                                  <w:spacing w:val="-1"/>
                                  <w:sz w:val="28"/>
                                </w:rPr>
                                <w:t> </w:t>
                              </w:r>
                              <w:r>
                                <w:rPr>
                                  <w:color w:val="374151"/>
                                  <w:sz w:val="28"/>
                                </w:rPr>
                                <w:t>and</w:t>
                              </w:r>
                              <w:r>
                                <w:rPr>
                                  <w:color w:val="374151"/>
                                  <w:spacing w:val="-1"/>
                                  <w:sz w:val="28"/>
                                </w:rPr>
                                <w:t> </w:t>
                              </w:r>
                              <w:r>
                                <w:rPr>
                                  <w:color w:val="374151"/>
                                  <w:sz w:val="28"/>
                                </w:rPr>
                                <w:t>healing</w:t>
                              </w:r>
                              <w:r>
                                <w:rPr>
                                  <w:color w:val="374151"/>
                                  <w:spacing w:val="-1"/>
                                  <w:sz w:val="28"/>
                                </w:rPr>
                                <w:t> </w:t>
                              </w:r>
                              <w:r>
                                <w:rPr>
                                  <w:color w:val="374151"/>
                                  <w:sz w:val="28"/>
                                </w:rPr>
                                <w:t>of</w:t>
                              </w:r>
                              <w:r>
                                <w:rPr>
                                  <w:color w:val="374151"/>
                                  <w:spacing w:val="-1"/>
                                  <w:sz w:val="28"/>
                                </w:rPr>
                                <w:t> </w:t>
                              </w:r>
                              <w:r>
                                <w:rPr>
                                  <w:color w:val="374151"/>
                                  <w:sz w:val="28"/>
                                </w:rPr>
                                <w:t>sexual</w:t>
                              </w:r>
                              <w:r>
                                <w:rPr>
                                  <w:color w:val="374151"/>
                                  <w:spacing w:val="-1"/>
                                  <w:sz w:val="28"/>
                                </w:rPr>
                                <w:t> </w:t>
                              </w:r>
                              <w:r>
                                <w:rPr>
                                  <w:color w:val="374151"/>
                                  <w:sz w:val="28"/>
                                </w:rPr>
                                <w:t>violence</w:t>
                              </w:r>
                              <w:r>
                                <w:rPr>
                                  <w:color w:val="374151"/>
                                  <w:spacing w:val="-2"/>
                                  <w:sz w:val="28"/>
                                </w:rPr>
                                <w:t> </w:t>
                              </w:r>
                              <w:r>
                                <w:rPr>
                                  <w:color w:val="374151"/>
                                  <w:sz w:val="28"/>
                                </w:rPr>
                                <w:t>within</w:t>
                              </w:r>
                              <w:r>
                                <w:rPr>
                                  <w:color w:val="374151"/>
                                  <w:spacing w:val="-1"/>
                                  <w:sz w:val="28"/>
                                </w:rPr>
                                <w:t> </w:t>
                              </w:r>
                              <w:r>
                                <w:rPr>
                                  <w:color w:val="374151"/>
                                  <w:sz w:val="28"/>
                                </w:rPr>
                                <w:t>our </w:t>
                              </w:r>
                              <w:r>
                                <w:rPr>
                                  <w:color w:val="374151"/>
                                  <w:spacing w:val="-2"/>
                                  <w:sz w:val="28"/>
                                </w:rPr>
                                <w:t>society.</w:t>
                              </w:r>
                            </w:p>
                          </w:txbxContent>
                        </wps:txbx>
                        <wps:bodyPr wrap="square" lIns="0" tIns="0" rIns="0" bIns="0" rtlCol="0">
                          <a:noAutofit/>
                        </wps:bodyPr>
                      </wps:wsp>
                    </wpg:wgp>
                  </a:graphicData>
                </a:graphic>
              </wp:inline>
            </w:drawing>
          </mc:Choice>
          <mc:Fallback>
            <w:pict>
              <v:group style="width:436.1pt;height:93pt;mso-position-horizontal-relative:char;mso-position-vertical-relative:line" id="docshapegroup268" coordorigin="0,0" coordsize="8722,1860">
                <v:shape style="position:absolute;left:0;top:1240;width:4627;height:620" type="#_x0000_t202" id="docshape269" filled="true" fillcolor="#f7f7f8" stroked="false">
                  <v:textbox inset="0,0,0,0">
                    <w:txbxContent>
                      <w:p>
                        <w:pPr>
                          <w:spacing w:line="308" w:lineRule="exact" w:before="0"/>
                          <w:ind w:left="0" w:right="0" w:firstLine="0"/>
                          <w:jc w:val="left"/>
                          <w:rPr>
                            <w:b/>
                            <w:i/>
                            <w:color w:val="000000"/>
                            <w:sz w:val="28"/>
                          </w:rPr>
                        </w:pPr>
                        <w:r>
                          <w:rPr>
                            <w:b/>
                            <w:i/>
                            <w:color w:val="374151"/>
                            <w:sz w:val="28"/>
                          </w:rPr>
                          <w:t>Research</w:t>
                        </w:r>
                        <w:r>
                          <w:rPr>
                            <w:b/>
                            <w:i/>
                            <w:color w:val="374151"/>
                            <w:spacing w:val="-5"/>
                            <w:sz w:val="28"/>
                          </w:rPr>
                          <w:t> </w:t>
                        </w:r>
                        <w:r>
                          <w:rPr>
                            <w:b/>
                            <w:i/>
                            <w:color w:val="374151"/>
                            <w:sz w:val="28"/>
                          </w:rPr>
                          <w:t>and</w:t>
                        </w:r>
                        <w:r>
                          <w:rPr>
                            <w:b/>
                            <w:i/>
                            <w:color w:val="374151"/>
                            <w:spacing w:val="-4"/>
                            <w:sz w:val="28"/>
                          </w:rPr>
                          <w:t> </w:t>
                        </w:r>
                        <w:r>
                          <w:rPr>
                            <w:b/>
                            <w:i/>
                            <w:color w:val="374151"/>
                            <w:sz w:val="28"/>
                          </w:rPr>
                          <w:t>Evidence-Based</w:t>
                        </w:r>
                        <w:r>
                          <w:rPr>
                            <w:b/>
                            <w:i/>
                            <w:color w:val="374151"/>
                            <w:spacing w:val="-4"/>
                            <w:sz w:val="28"/>
                          </w:rPr>
                          <w:t> </w:t>
                        </w:r>
                        <w:r>
                          <w:rPr>
                            <w:b/>
                            <w:i/>
                            <w:color w:val="374151"/>
                            <w:spacing w:val="-2"/>
                            <w:sz w:val="28"/>
                          </w:rPr>
                          <w:t>Practices</w:t>
                        </w:r>
                      </w:p>
                    </w:txbxContent>
                  </v:textbox>
                  <v:fill type="solid"/>
                  <w10:wrap type="none"/>
                </v:shape>
                <v:shape style="position:absolute;left:0;top:620;width:6676;height:620" type="#_x0000_t202" id="docshape270" filled="true" fillcolor="#f7f7f8" stroked="false">
                  <v:textbox inset="0,0,0,0">
                    <w:txbxContent>
                      <w:p>
                        <w:pPr>
                          <w:spacing w:line="308" w:lineRule="exact" w:before="0"/>
                          <w:ind w:left="0" w:right="-15" w:firstLine="0"/>
                          <w:jc w:val="left"/>
                          <w:rPr>
                            <w:b/>
                            <w:color w:val="000000"/>
                            <w:sz w:val="28"/>
                          </w:rPr>
                        </w:pPr>
                        <w:r>
                          <w:rPr>
                            <w:b/>
                            <w:color w:val="374151"/>
                            <w:sz w:val="28"/>
                          </w:rPr>
                          <w:t>Future</w:t>
                        </w:r>
                        <w:r>
                          <w:rPr>
                            <w:b/>
                            <w:color w:val="374151"/>
                            <w:spacing w:val="-8"/>
                            <w:sz w:val="28"/>
                          </w:rPr>
                          <w:t> </w:t>
                        </w:r>
                        <w:r>
                          <w:rPr>
                            <w:b/>
                            <w:color w:val="374151"/>
                            <w:sz w:val="28"/>
                          </w:rPr>
                          <w:t>Directions</w:t>
                        </w:r>
                        <w:r>
                          <w:rPr>
                            <w:b/>
                            <w:color w:val="374151"/>
                            <w:spacing w:val="-5"/>
                            <w:sz w:val="28"/>
                          </w:rPr>
                          <w:t> </w:t>
                        </w:r>
                        <w:r>
                          <w:rPr>
                            <w:b/>
                            <w:color w:val="374151"/>
                            <w:sz w:val="28"/>
                          </w:rPr>
                          <w:t>and</w:t>
                        </w:r>
                        <w:r>
                          <w:rPr>
                            <w:b/>
                            <w:color w:val="374151"/>
                            <w:spacing w:val="-4"/>
                            <w:sz w:val="28"/>
                          </w:rPr>
                          <w:t> </w:t>
                        </w:r>
                        <w:r>
                          <w:rPr>
                            <w:b/>
                            <w:color w:val="374151"/>
                            <w:sz w:val="28"/>
                          </w:rPr>
                          <w:t>Recommendations</w:t>
                        </w:r>
                        <w:r>
                          <w:rPr>
                            <w:b/>
                            <w:color w:val="374151"/>
                            <w:spacing w:val="-5"/>
                            <w:sz w:val="28"/>
                          </w:rPr>
                          <w:t> </w:t>
                        </w:r>
                        <w:r>
                          <w:rPr>
                            <w:b/>
                            <w:color w:val="374151"/>
                            <w:sz w:val="28"/>
                          </w:rPr>
                          <w:t>for</w:t>
                        </w:r>
                        <w:r>
                          <w:rPr>
                            <w:b/>
                            <w:color w:val="374151"/>
                            <w:spacing w:val="-14"/>
                            <w:sz w:val="28"/>
                          </w:rPr>
                          <w:t> </w:t>
                        </w:r>
                        <w:r>
                          <w:rPr>
                            <w:b/>
                            <w:color w:val="374151"/>
                            <w:spacing w:val="-2"/>
                            <w:sz w:val="28"/>
                          </w:rPr>
                          <w:t>Therapists</w:t>
                        </w:r>
                      </w:p>
                    </w:txbxContent>
                  </v:textbox>
                  <v:fill type="solid"/>
                  <w10:wrap type="none"/>
                </v:shape>
                <v:shape style="position:absolute;left:0;top:0;width:8722;height:620" type="#_x0000_t202" id="docshape271" filled="true" fillcolor="#f7f7f8" stroked="false">
                  <v:textbox inset="0,0,0,0">
                    <w:txbxContent>
                      <w:p>
                        <w:pPr>
                          <w:spacing w:line="308" w:lineRule="exact" w:before="0"/>
                          <w:ind w:left="0" w:right="-15" w:firstLine="0"/>
                          <w:jc w:val="left"/>
                          <w:rPr>
                            <w:color w:val="000000"/>
                            <w:sz w:val="28"/>
                          </w:rPr>
                        </w:pPr>
                        <w:r>
                          <w:rPr>
                            <w:color w:val="374151"/>
                            <w:sz w:val="28"/>
                          </w:rPr>
                          <w:t>contribute</w:t>
                        </w:r>
                        <w:r>
                          <w:rPr>
                            <w:color w:val="374151"/>
                            <w:spacing w:val="-4"/>
                            <w:sz w:val="28"/>
                          </w:rPr>
                          <w:t> </w:t>
                        </w:r>
                        <w:r>
                          <w:rPr>
                            <w:color w:val="374151"/>
                            <w:sz w:val="28"/>
                          </w:rPr>
                          <w:t>to</w:t>
                        </w:r>
                        <w:r>
                          <w:rPr>
                            <w:color w:val="374151"/>
                            <w:spacing w:val="-1"/>
                            <w:sz w:val="28"/>
                          </w:rPr>
                          <w:t> </w:t>
                        </w:r>
                        <w:r>
                          <w:rPr>
                            <w:color w:val="374151"/>
                            <w:sz w:val="28"/>
                          </w:rPr>
                          <w:t>the</w:t>
                        </w:r>
                        <w:r>
                          <w:rPr>
                            <w:color w:val="374151"/>
                            <w:spacing w:val="-2"/>
                            <w:sz w:val="28"/>
                          </w:rPr>
                          <w:t> </w:t>
                        </w:r>
                        <w:r>
                          <w:rPr>
                            <w:color w:val="374151"/>
                            <w:sz w:val="28"/>
                          </w:rPr>
                          <w:t>prevention</w:t>
                        </w:r>
                        <w:r>
                          <w:rPr>
                            <w:color w:val="374151"/>
                            <w:spacing w:val="-1"/>
                            <w:sz w:val="28"/>
                          </w:rPr>
                          <w:t> </w:t>
                        </w:r>
                        <w:r>
                          <w:rPr>
                            <w:color w:val="374151"/>
                            <w:sz w:val="28"/>
                          </w:rPr>
                          <w:t>and</w:t>
                        </w:r>
                        <w:r>
                          <w:rPr>
                            <w:color w:val="374151"/>
                            <w:spacing w:val="-1"/>
                            <w:sz w:val="28"/>
                          </w:rPr>
                          <w:t> </w:t>
                        </w:r>
                        <w:r>
                          <w:rPr>
                            <w:color w:val="374151"/>
                            <w:sz w:val="28"/>
                          </w:rPr>
                          <w:t>healing</w:t>
                        </w:r>
                        <w:r>
                          <w:rPr>
                            <w:color w:val="374151"/>
                            <w:spacing w:val="-1"/>
                            <w:sz w:val="28"/>
                          </w:rPr>
                          <w:t> </w:t>
                        </w:r>
                        <w:r>
                          <w:rPr>
                            <w:color w:val="374151"/>
                            <w:sz w:val="28"/>
                          </w:rPr>
                          <w:t>of</w:t>
                        </w:r>
                        <w:r>
                          <w:rPr>
                            <w:color w:val="374151"/>
                            <w:spacing w:val="-1"/>
                            <w:sz w:val="28"/>
                          </w:rPr>
                          <w:t> </w:t>
                        </w:r>
                        <w:r>
                          <w:rPr>
                            <w:color w:val="374151"/>
                            <w:sz w:val="28"/>
                          </w:rPr>
                          <w:t>sexual</w:t>
                        </w:r>
                        <w:r>
                          <w:rPr>
                            <w:color w:val="374151"/>
                            <w:spacing w:val="-1"/>
                            <w:sz w:val="28"/>
                          </w:rPr>
                          <w:t> </w:t>
                        </w:r>
                        <w:r>
                          <w:rPr>
                            <w:color w:val="374151"/>
                            <w:sz w:val="28"/>
                          </w:rPr>
                          <w:t>violence</w:t>
                        </w:r>
                        <w:r>
                          <w:rPr>
                            <w:color w:val="374151"/>
                            <w:spacing w:val="-2"/>
                            <w:sz w:val="28"/>
                          </w:rPr>
                          <w:t> </w:t>
                        </w:r>
                        <w:r>
                          <w:rPr>
                            <w:color w:val="374151"/>
                            <w:sz w:val="28"/>
                          </w:rPr>
                          <w:t>within</w:t>
                        </w:r>
                        <w:r>
                          <w:rPr>
                            <w:color w:val="374151"/>
                            <w:spacing w:val="-1"/>
                            <w:sz w:val="28"/>
                          </w:rPr>
                          <w:t> </w:t>
                        </w:r>
                        <w:r>
                          <w:rPr>
                            <w:color w:val="374151"/>
                            <w:sz w:val="28"/>
                          </w:rPr>
                          <w:t>our </w:t>
                        </w:r>
                        <w:r>
                          <w:rPr>
                            <w:color w:val="374151"/>
                            <w:spacing w:val="-2"/>
                            <w:sz w:val="28"/>
                          </w:rPr>
                          <w:t>society.</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As</w:t>
      </w:r>
      <w:r>
        <w:rPr>
          <w:color w:val="374151"/>
          <w:spacing w:val="-2"/>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field</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assessment</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treatment</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sexual</w:t>
      </w:r>
      <w:r>
        <w:rPr>
          <w:color w:val="374151"/>
          <w:spacing w:val="-1"/>
          <w:shd w:fill="F7F7F8" w:color="auto" w:val="clear"/>
        </w:rPr>
        <w:t> </w:t>
      </w:r>
      <w:r>
        <w:rPr>
          <w:color w:val="374151"/>
          <w:shd w:fill="F7F7F8" w:color="auto" w:val="clear"/>
        </w:rPr>
        <w:t>violence</w:t>
      </w:r>
      <w:r>
        <w:rPr>
          <w:color w:val="374151"/>
          <w:spacing w:val="-2"/>
          <w:shd w:fill="F7F7F8" w:color="auto" w:val="clear"/>
        </w:rPr>
        <w:t> </w:t>
      </w:r>
      <w:r>
        <w:rPr>
          <w:color w:val="374151"/>
          <w:shd w:fill="F7F7F8" w:color="auto" w:val="clear"/>
        </w:rPr>
        <w:t>continues</w:t>
      </w:r>
      <w:r>
        <w:rPr>
          <w:color w:val="374151"/>
          <w:spacing w:val="-1"/>
          <w:shd w:fill="F7F7F8" w:color="auto" w:val="clear"/>
        </w:rPr>
        <w:t> </w:t>
      </w:r>
      <w:r>
        <w:rPr>
          <w:color w:val="374151"/>
          <w:spacing w:val="-5"/>
          <w:shd w:fill="F7F7F8" w:color="auto" w:val="clear"/>
        </w:rPr>
        <w:t>to</w:t>
      </w:r>
      <w:r>
        <w:rPr>
          <w:color w:val="374151"/>
          <w:spacing w:val="40"/>
          <w:shd w:fill="F7F7F8" w:color="auto" w:val="clear"/>
        </w:rPr>
        <w:t> </w:t>
      </w:r>
    </w:p>
    <w:p>
      <w:pPr>
        <w:pStyle w:val="BodyText"/>
        <w:spacing w:after="7"/>
        <w:ind w:left="280" w:right="498"/>
      </w:pPr>
      <w:r>
        <w:rPr>
          <w:color w:val="374151"/>
          <w:shd w:fill="F7F7F8" w:color="auto" w:val="clear"/>
        </w:rPr>
        <w:t>evolve,</w:t>
      </w:r>
      <w:r>
        <w:rPr>
          <w:color w:val="374151"/>
          <w:spacing w:val="-3"/>
          <w:shd w:fill="F7F7F8" w:color="auto" w:val="clear"/>
        </w:rPr>
        <w:t> </w:t>
      </w:r>
      <w:r>
        <w:rPr>
          <w:color w:val="374151"/>
          <w:shd w:fill="F7F7F8" w:color="auto" w:val="clear"/>
        </w:rPr>
        <w:t>it</w:t>
      </w:r>
      <w:r>
        <w:rPr>
          <w:color w:val="374151"/>
          <w:spacing w:val="-3"/>
          <w:shd w:fill="F7F7F8" w:color="auto" w:val="clear"/>
        </w:rPr>
        <w:t> </w:t>
      </w:r>
      <w:r>
        <w:rPr>
          <w:color w:val="374151"/>
          <w:shd w:fill="F7F7F8" w:color="auto" w:val="clear"/>
        </w:rPr>
        <w:t>is</w:t>
      </w:r>
      <w:r>
        <w:rPr>
          <w:color w:val="374151"/>
          <w:spacing w:val="-3"/>
          <w:shd w:fill="F7F7F8" w:color="auto" w:val="clear"/>
        </w:rPr>
        <w:t> </w:t>
      </w:r>
      <w:r>
        <w:rPr>
          <w:color w:val="374151"/>
          <w:shd w:fill="F7F7F8" w:color="auto" w:val="clear"/>
        </w:rPr>
        <w:t>crucial</w:t>
      </w:r>
      <w:r>
        <w:rPr>
          <w:color w:val="374151"/>
          <w:spacing w:val="-3"/>
          <w:shd w:fill="F7F7F8" w:color="auto" w:val="clear"/>
        </w:rPr>
        <w:t> </w:t>
      </w:r>
      <w:r>
        <w:rPr>
          <w:color w:val="374151"/>
          <w:shd w:fill="F7F7F8" w:color="auto" w:val="clear"/>
        </w:rPr>
        <w:t>for</w:t>
      </w:r>
      <w:r>
        <w:rPr>
          <w:color w:val="374151"/>
          <w:spacing w:val="-3"/>
          <w:shd w:fill="F7F7F8" w:color="auto" w:val="clear"/>
        </w:rPr>
        <w:t> </w:t>
      </w:r>
      <w:r>
        <w:rPr>
          <w:color w:val="374151"/>
          <w:shd w:fill="F7F7F8" w:color="auto" w:val="clear"/>
        </w:rPr>
        <w:t>therapists</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stay</w:t>
      </w:r>
      <w:r>
        <w:rPr>
          <w:color w:val="374151"/>
          <w:spacing w:val="-3"/>
          <w:shd w:fill="F7F7F8" w:color="auto" w:val="clear"/>
        </w:rPr>
        <w:t> </w:t>
      </w:r>
      <w:r>
        <w:rPr>
          <w:color w:val="374151"/>
          <w:shd w:fill="F7F7F8" w:color="auto" w:val="clear"/>
        </w:rPr>
        <w:t>informed</w:t>
      </w:r>
      <w:r>
        <w:rPr>
          <w:color w:val="374151"/>
          <w:spacing w:val="-3"/>
          <w:shd w:fill="F7F7F8" w:color="auto" w:val="clear"/>
        </w:rPr>
        <w:t> </w:t>
      </w:r>
      <w:r>
        <w:rPr>
          <w:color w:val="374151"/>
          <w:shd w:fill="F7F7F8" w:color="auto" w:val="clear"/>
        </w:rPr>
        <w:t>about</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latest</w:t>
      </w:r>
      <w:r>
        <w:rPr>
          <w:color w:val="374151"/>
          <w:spacing w:val="-3"/>
          <w:shd w:fill="F7F7F8" w:color="auto" w:val="clear"/>
        </w:rPr>
        <w:t> </w:t>
      </w:r>
      <w:r>
        <w:rPr>
          <w:color w:val="374151"/>
          <w:shd w:fill="F7F7F8" w:color="auto" w:val="clear"/>
        </w:rPr>
        <w:t>research</w:t>
      </w:r>
      <w:r>
        <w:rPr>
          <w:color w:val="374151"/>
          <w:spacing w:val="-3"/>
          <w:shd w:fill="F7F7F8" w:color="auto" w:val="clear"/>
        </w:rPr>
        <w:t> </w:t>
      </w:r>
      <w:r>
        <w:rPr>
          <w:color w:val="374151"/>
          <w:shd w:fill="F7F7F8" w:color="auto" w:val="clear"/>
        </w:rPr>
        <w:t>and</w:t>
      </w:r>
      <w:r>
        <w:rPr>
          <w:color w:val="374151"/>
          <w:spacing w:val="-11"/>
          <w:shd w:fill="F7F7F8" w:color="auto" w:val="clear"/>
        </w:rPr>
        <w:t> </w:t>
      </w:r>
      <w:r>
        <w:rPr>
          <w:color w:val="374151"/>
          <w:spacing w:val="-11"/>
        </w:rPr>
        <w:t> </w:t>
      </w:r>
      <w:r>
        <w:rPr>
          <w:color w:val="374151"/>
          <w:shd w:fill="F7F7F8" w:color="auto" w:val="clear"/>
        </w:rPr>
        <w:t>evidence-based practices. Engaging in continuing education, attending </w:t>
      </w:r>
      <w:r>
        <w:rPr>
          <w:color w:val="374151"/>
        </w:rPr>
        <w:t> </w:t>
      </w:r>
      <w:r>
        <w:rPr>
          <w:color w:val="374151"/>
          <w:shd w:fill="F7F7F8" w:color="auto" w:val="clear"/>
        </w:rPr>
        <w:t>conferences,</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participating</w:t>
      </w:r>
      <w:r>
        <w:rPr>
          <w:color w:val="374151"/>
          <w:spacing w:val="-3"/>
          <w:shd w:fill="F7F7F8" w:color="auto" w:val="clear"/>
        </w:rPr>
        <w:t> </w:t>
      </w:r>
      <w:r>
        <w:rPr>
          <w:color w:val="374151"/>
          <w:shd w:fill="F7F7F8" w:color="auto" w:val="clear"/>
        </w:rPr>
        <w:t>in</w:t>
      </w:r>
      <w:r>
        <w:rPr>
          <w:color w:val="374151"/>
          <w:spacing w:val="-3"/>
          <w:shd w:fill="F7F7F8" w:color="auto" w:val="clear"/>
        </w:rPr>
        <w:t> </w:t>
      </w:r>
      <w:r>
        <w:rPr>
          <w:color w:val="374151"/>
          <w:shd w:fill="F7F7F8" w:color="auto" w:val="clear"/>
        </w:rPr>
        <w:t>professional</w:t>
      </w:r>
      <w:r>
        <w:rPr>
          <w:color w:val="374151"/>
          <w:spacing w:val="-3"/>
          <w:shd w:fill="F7F7F8" w:color="auto" w:val="clear"/>
        </w:rPr>
        <w:t> </w:t>
      </w:r>
      <w:r>
        <w:rPr>
          <w:color w:val="374151"/>
          <w:shd w:fill="F7F7F8" w:color="auto" w:val="clear"/>
        </w:rPr>
        <w:t>networks</w:t>
      </w:r>
      <w:r>
        <w:rPr>
          <w:color w:val="374151"/>
          <w:spacing w:val="-3"/>
          <w:shd w:fill="F7F7F8" w:color="auto" w:val="clear"/>
        </w:rPr>
        <w:t> </w:t>
      </w:r>
      <w:r>
        <w:rPr>
          <w:color w:val="374151"/>
          <w:shd w:fill="F7F7F8" w:color="auto" w:val="clear"/>
        </w:rPr>
        <w:t>can</w:t>
      </w:r>
      <w:r>
        <w:rPr>
          <w:color w:val="374151"/>
          <w:spacing w:val="-3"/>
          <w:shd w:fill="F7F7F8" w:color="auto" w:val="clear"/>
        </w:rPr>
        <w:t> </w:t>
      </w:r>
      <w:r>
        <w:rPr>
          <w:color w:val="374151"/>
          <w:shd w:fill="F7F7F8" w:color="auto" w:val="clear"/>
        </w:rPr>
        <w:t>help</w:t>
      </w:r>
      <w:r>
        <w:rPr>
          <w:color w:val="374151"/>
          <w:spacing w:val="-3"/>
          <w:shd w:fill="F7F7F8" w:color="auto" w:val="clear"/>
        </w:rPr>
        <w:t> </w:t>
      </w:r>
      <w:r>
        <w:rPr>
          <w:color w:val="374151"/>
          <w:shd w:fill="F7F7F8" w:color="auto" w:val="clear"/>
        </w:rPr>
        <w:t>therapists</w:t>
      </w:r>
      <w:r>
        <w:rPr>
          <w:color w:val="374151"/>
          <w:spacing w:val="-3"/>
          <w:shd w:fill="F7F7F8" w:color="auto" w:val="clear"/>
        </w:rPr>
        <w:t> </w:t>
      </w:r>
      <w:r>
        <w:rPr>
          <w:color w:val="374151"/>
          <w:shd w:fill="F7F7F8" w:color="auto" w:val="clear"/>
        </w:rPr>
        <w:t>stay</w:t>
      </w:r>
    </w:p>
    <w:p>
      <w:pPr>
        <w:pStyle w:val="BodyText"/>
        <w:ind w:left="280"/>
        <w:rPr>
          <w:sz w:val="20"/>
        </w:rPr>
      </w:pPr>
      <w:r>
        <w:rPr>
          <w:sz w:val="20"/>
        </w:rPr>
        <mc:AlternateContent>
          <mc:Choice Requires="wps">
            <w:drawing>
              <wp:inline distT="0" distB="0" distL="0" distR="0">
                <wp:extent cx="4885690" cy="787400"/>
                <wp:effectExtent l="0" t="0" r="0" b="3175"/>
                <wp:docPr id="273" name="Group 273"/>
                <wp:cNvGraphicFramePr>
                  <a:graphicFrameLocks/>
                </wp:cNvGraphicFramePr>
                <a:graphic>
                  <a:graphicData uri="http://schemas.microsoft.com/office/word/2010/wordprocessingGroup">
                    <wpg:wgp>
                      <wpg:cNvPr id="273" name="Group 273"/>
                      <wpg:cNvGrpSpPr/>
                      <wpg:grpSpPr>
                        <a:xfrm>
                          <a:off x="0" y="0"/>
                          <a:ext cx="4885690" cy="787400"/>
                          <a:chExt cx="4885690" cy="787400"/>
                        </a:xfrm>
                      </wpg:grpSpPr>
                      <wps:wsp>
                        <wps:cNvPr id="274" name="Textbox 274"/>
                        <wps:cNvSpPr txBox="1"/>
                        <wps:spPr>
                          <a:xfrm>
                            <a:off x="0" y="393700"/>
                            <a:ext cx="351599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Collaboration</w:t>
                              </w:r>
                              <w:r>
                                <w:rPr>
                                  <w:b/>
                                  <w:i/>
                                  <w:color w:val="374151"/>
                                  <w:spacing w:val="-5"/>
                                  <w:sz w:val="28"/>
                                </w:rPr>
                                <w:t> </w:t>
                              </w:r>
                              <w:r>
                                <w:rPr>
                                  <w:b/>
                                  <w:i/>
                                  <w:color w:val="374151"/>
                                  <w:sz w:val="28"/>
                                </w:rPr>
                                <w:t>and</w:t>
                              </w:r>
                              <w:r>
                                <w:rPr>
                                  <w:b/>
                                  <w:i/>
                                  <w:color w:val="374151"/>
                                  <w:spacing w:val="-3"/>
                                  <w:sz w:val="28"/>
                                </w:rPr>
                                <w:t> </w:t>
                              </w:r>
                              <w:r>
                                <w:rPr>
                                  <w:b/>
                                  <w:i/>
                                  <w:color w:val="374151"/>
                                  <w:sz w:val="28"/>
                                </w:rPr>
                                <w:t>Interdisciplinary</w:t>
                              </w:r>
                              <w:r>
                                <w:rPr>
                                  <w:b/>
                                  <w:i/>
                                  <w:color w:val="374151"/>
                                  <w:spacing w:val="-13"/>
                                  <w:sz w:val="28"/>
                                </w:rPr>
                                <w:t> </w:t>
                              </w:r>
                              <w:r>
                                <w:rPr>
                                  <w:b/>
                                  <w:i/>
                                  <w:color w:val="374151"/>
                                  <w:spacing w:val="-2"/>
                                  <w:sz w:val="28"/>
                                </w:rPr>
                                <w:t>Approaches</w:t>
                              </w:r>
                            </w:p>
                          </w:txbxContent>
                        </wps:txbx>
                        <wps:bodyPr wrap="square" lIns="0" tIns="0" rIns="0" bIns="0" rtlCol="0">
                          <a:noAutofit/>
                        </wps:bodyPr>
                      </wps:wsp>
                      <wps:wsp>
                        <wps:cNvPr id="275" name="Textbox 275"/>
                        <wps:cNvSpPr txBox="1"/>
                        <wps:spPr>
                          <a:xfrm>
                            <a:off x="0" y="0"/>
                            <a:ext cx="488569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up</w:t>
                              </w:r>
                              <w:r>
                                <w:rPr>
                                  <w:color w:val="374151"/>
                                  <w:spacing w:val="-3"/>
                                  <w:sz w:val="28"/>
                                </w:rPr>
                                <w:t> </w:t>
                              </w:r>
                              <w:r>
                                <w:rPr>
                                  <w:color w:val="374151"/>
                                  <w:sz w:val="28"/>
                                </w:rPr>
                                <w:t>to</w:t>
                              </w:r>
                              <w:r>
                                <w:rPr>
                                  <w:color w:val="374151"/>
                                  <w:spacing w:val="-2"/>
                                  <w:sz w:val="28"/>
                                </w:rPr>
                                <w:t> </w:t>
                              </w:r>
                              <w:r>
                                <w:rPr>
                                  <w:color w:val="374151"/>
                                  <w:sz w:val="28"/>
                                </w:rPr>
                                <w:t>date</w:t>
                              </w:r>
                              <w:r>
                                <w:rPr>
                                  <w:color w:val="374151"/>
                                  <w:spacing w:val="-3"/>
                                  <w:sz w:val="28"/>
                                </w:rPr>
                                <w:t> </w:t>
                              </w:r>
                              <w:r>
                                <w:rPr>
                                  <w:color w:val="374151"/>
                                  <w:sz w:val="28"/>
                                </w:rPr>
                                <w:t>with</w:t>
                              </w:r>
                              <w:r>
                                <w:rPr>
                                  <w:color w:val="374151"/>
                                  <w:spacing w:val="-2"/>
                                  <w:sz w:val="28"/>
                                </w:rPr>
                                <w:t> </w:t>
                              </w:r>
                              <w:r>
                                <w:rPr>
                                  <w:color w:val="374151"/>
                                  <w:sz w:val="28"/>
                                </w:rPr>
                                <w:t>emerging</w:t>
                              </w:r>
                              <w:r>
                                <w:rPr>
                                  <w:color w:val="374151"/>
                                  <w:spacing w:val="-3"/>
                                  <w:sz w:val="28"/>
                                </w:rPr>
                                <w:t> </w:t>
                              </w:r>
                              <w:r>
                                <w:rPr>
                                  <w:color w:val="374151"/>
                                  <w:sz w:val="28"/>
                                </w:rPr>
                                <w:t>trends,</w:t>
                              </w:r>
                              <w:r>
                                <w:rPr>
                                  <w:color w:val="374151"/>
                                  <w:spacing w:val="-2"/>
                                  <w:sz w:val="28"/>
                                </w:rPr>
                                <w:t> </w:t>
                              </w:r>
                              <w:r>
                                <w:rPr>
                                  <w:color w:val="374151"/>
                                  <w:sz w:val="28"/>
                                </w:rPr>
                                <w:t>interventions,</w:t>
                              </w:r>
                              <w:r>
                                <w:rPr>
                                  <w:color w:val="374151"/>
                                  <w:spacing w:val="-2"/>
                                  <w:sz w:val="28"/>
                                </w:rPr>
                                <w:t> </w:t>
                              </w:r>
                              <w:r>
                                <w:rPr>
                                  <w:color w:val="374151"/>
                                  <w:sz w:val="28"/>
                                </w:rPr>
                                <w:t>and</w:t>
                              </w:r>
                              <w:r>
                                <w:rPr>
                                  <w:color w:val="374151"/>
                                  <w:spacing w:val="-2"/>
                                  <w:sz w:val="28"/>
                                </w:rPr>
                                <w:t> </w:t>
                              </w:r>
                              <w:r>
                                <w:rPr>
                                  <w:color w:val="374151"/>
                                  <w:sz w:val="28"/>
                                </w:rPr>
                                <w:t>assessment</w:t>
                              </w:r>
                              <w:r>
                                <w:rPr>
                                  <w:color w:val="374151"/>
                                  <w:spacing w:val="-2"/>
                                  <w:sz w:val="28"/>
                                </w:rPr>
                                <w:t> tools.</w:t>
                              </w:r>
                            </w:p>
                          </w:txbxContent>
                        </wps:txbx>
                        <wps:bodyPr wrap="square" lIns="0" tIns="0" rIns="0" bIns="0" rtlCol="0">
                          <a:noAutofit/>
                        </wps:bodyPr>
                      </wps:wsp>
                    </wpg:wgp>
                  </a:graphicData>
                </a:graphic>
              </wp:inline>
            </w:drawing>
          </mc:Choice>
          <mc:Fallback>
            <w:pict>
              <v:group style="width:384.7pt;height:62pt;mso-position-horizontal-relative:char;mso-position-vertical-relative:line" id="docshapegroup272" coordorigin="0,0" coordsize="7694,1240">
                <v:shape style="position:absolute;left:0;top:620;width:5537;height:620" type="#_x0000_t202" id="docshape273" filled="true" fillcolor="#f7f7f8" stroked="false">
                  <v:textbox inset="0,0,0,0">
                    <w:txbxContent>
                      <w:p>
                        <w:pPr>
                          <w:spacing w:line="308" w:lineRule="exact" w:before="0"/>
                          <w:ind w:left="0" w:right="0" w:firstLine="0"/>
                          <w:jc w:val="left"/>
                          <w:rPr>
                            <w:b/>
                            <w:i/>
                            <w:color w:val="000000"/>
                            <w:sz w:val="28"/>
                          </w:rPr>
                        </w:pPr>
                        <w:r>
                          <w:rPr>
                            <w:b/>
                            <w:i/>
                            <w:color w:val="374151"/>
                            <w:sz w:val="28"/>
                          </w:rPr>
                          <w:t>Collaboration</w:t>
                        </w:r>
                        <w:r>
                          <w:rPr>
                            <w:b/>
                            <w:i/>
                            <w:color w:val="374151"/>
                            <w:spacing w:val="-5"/>
                            <w:sz w:val="28"/>
                          </w:rPr>
                          <w:t> </w:t>
                        </w:r>
                        <w:r>
                          <w:rPr>
                            <w:b/>
                            <w:i/>
                            <w:color w:val="374151"/>
                            <w:sz w:val="28"/>
                          </w:rPr>
                          <w:t>and</w:t>
                        </w:r>
                        <w:r>
                          <w:rPr>
                            <w:b/>
                            <w:i/>
                            <w:color w:val="374151"/>
                            <w:spacing w:val="-3"/>
                            <w:sz w:val="28"/>
                          </w:rPr>
                          <w:t> </w:t>
                        </w:r>
                        <w:r>
                          <w:rPr>
                            <w:b/>
                            <w:i/>
                            <w:color w:val="374151"/>
                            <w:sz w:val="28"/>
                          </w:rPr>
                          <w:t>Interdisciplinary</w:t>
                        </w:r>
                        <w:r>
                          <w:rPr>
                            <w:b/>
                            <w:i/>
                            <w:color w:val="374151"/>
                            <w:spacing w:val="-13"/>
                            <w:sz w:val="28"/>
                          </w:rPr>
                          <w:t> </w:t>
                        </w:r>
                        <w:r>
                          <w:rPr>
                            <w:b/>
                            <w:i/>
                            <w:color w:val="374151"/>
                            <w:spacing w:val="-2"/>
                            <w:sz w:val="28"/>
                          </w:rPr>
                          <w:t>Approaches</w:t>
                        </w:r>
                      </w:p>
                    </w:txbxContent>
                  </v:textbox>
                  <v:fill type="solid"/>
                  <w10:wrap type="none"/>
                </v:shape>
                <v:shape style="position:absolute;left:0;top:0;width:7694;height:620" type="#_x0000_t202" id="docshape274" filled="true" fillcolor="#f7f7f8" stroked="false">
                  <v:textbox inset="0,0,0,0">
                    <w:txbxContent>
                      <w:p>
                        <w:pPr>
                          <w:spacing w:line="308" w:lineRule="exact" w:before="0"/>
                          <w:ind w:left="0" w:right="-15" w:firstLine="0"/>
                          <w:jc w:val="left"/>
                          <w:rPr>
                            <w:color w:val="000000"/>
                            <w:sz w:val="28"/>
                          </w:rPr>
                        </w:pPr>
                        <w:r>
                          <w:rPr>
                            <w:color w:val="374151"/>
                            <w:sz w:val="28"/>
                          </w:rPr>
                          <w:t>up</w:t>
                        </w:r>
                        <w:r>
                          <w:rPr>
                            <w:color w:val="374151"/>
                            <w:spacing w:val="-3"/>
                            <w:sz w:val="28"/>
                          </w:rPr>
                          <w:t> </w:t>
                        </w:r>
                        <w:r>
                          <w:rPr>
                            <w:color w:val="374151"/>
                            <w:sz w:val="28"/>
                          </w:rPr>
                          <w:t>to</w:t>
                        </w:r>
                        <w:r>
                          <w:rPr>
                            <w:color w:val="374151"/>
                            <w:spacing w:val="-2"/>
                            <w:sz w:val="28"/>
                          </w:rPr>
                          <w:t> </w:t>
                        </w:r>
                        <w:r>
                          <w:rPr>
                            <w:color w:val="374151"/>
                            <w:sz w:val="28"/>
                          </w:rPr>
                          <w:t>date</w:t>
                        </w:r>
                        <w:r>
                          <w:rPr>
                            <w:color w:val="374151"/>
                            <w:spacing w:val="-3"/>
                            <w:sz w:val="28"/>
                          </w:rPr>
                          <w:t> </w:t>
                        </w:r>
                        <w:r>
                          <w:rPr>
                            <w:color w:val="374151"/>
                            <w:sz w:val="28"/>
                          </w:rPr>
                          <w:t>with</w:t>
                        </w:r>
                        <w:r>
                          <w:rPr>
                            <w:color w:val="374151"/>
                            <w:spacing w:val="-2"/>
                            <w:sz w:val="28"/>
                          </w:rPr>
                          <w:t> </w:t>
                        </w:r>
                        <w:r>
                          <w:rPr>
                            <w:color w:val="374151"/>
                            <w:sz w:val="28"/>
                          </w:rPr>
                          <w:t>emerging</w:t>
                        </w:r>
                        <w:r>
                          <w:rPr>
                            <w:color w:val="374151"/>
                            <w:spacing w:val="-3"/>
                            <w:sz w:val="28"/>
                          </w:rPr>
                          <w:t> </w:t>
                        </w:r>
                        <w:r>
                          <w:rPr>
                            <w:color w:val="374151"/>
                            <w:sz w:val="28"/>
                          </w:rPr>
                          <w:t>trends,</w:t>
                        </w:r>
                        <w:r>
                          <w:rPr>
                            <w:color w:val="374151"/>
                            <w:spacing w:val="-2"/>
                            <w:sz w:val="28"/>
                          </w:rPr>
                          <w:t> </w:t>
                        </w:r>
                        <w:r>
                          <w:rPr>
                            <w:color w:val="374151"/>
                            <w:sz w:val="28"/>
                          </w:rPr>
                          <w:t>interventions,</w:t>
                        </w:r>
                        <w:r>
                          <w:rPr>
                            <w:color w:val="374151"/>
                            <w:spacing w:val="-2"/>
                            <w:sz w:val="28"/>
                          </w:rPr>
                          <w:t> </w:t>
                        </w:r>
                        <w:r>
                          <w:rPr>
                            <w:color w:val="374151"/>
                            <w:sz w:val="28"/>
                          </w:rPr>
                          <w:t>and</w:t>
                        </w:r>
                        <w:r>
                          <w:rPr>
                            <w:color w:val="374151"/>
                            <w:spacing w:val="-2"/>
                            <w:sz w:val="28"/>
                          </w:rPr>
                          <w:t> </w:t>
                        </w:r>
                        <w:r>
                          <w:rPr>
                            <w:color w:val="374151"/>
                            <w:sz w:val="28"/>
                          </w:rPr>
                          <w:t>assessment</w:t>
                        </w:r>
                        <w:r>
                          <w:rPr>
                            <w:color w:val="374151"/>
                            <w:spacing w:val="-2"/>
                            <w:sz w:val="28"/>
                          </w:rPr>
                          <w:t> tools.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Given</w:t>
      </w:r>
      <w:r>
        <w:rPr>
          <w:color w:val="374151"/>
          <w:spacing w:val="-3"/>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complex</w:t>
      </w:r>
      <w:r>
        <w:rPr>
          <w:color w:val="374151"/>
          <w:spacing w:val="-1"/>
          <w:shd w:fill="F7F7F8" w:color="auto" w:val="clear"/>
        </w:rPr>
        <w:t> </w:t>
      </w:r>
      <w:r>
        <w:rPr>
          <w:color w:val="374151"/>
          <w:shd w:fill="F7F7F8" w:color="auto" w:val="clear"/>
        </w:rPr>
        <w:t>nature</w:t>
      </w:r>
      <w:r>
        <w:rPr>
          <w:color w:val="374151"/>
          <w:spacing w:val="-2"/>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sexual</w:t>
      </w:r>
      <w:r>
        <w:rPr>
          <w:color w:val="374151"/>
          <w:spacing w:val="-1"/>
          <w:shd w:fill="F7F7F8" w:color="auto" w:val="clear"/>
        </w:rPr>
        <w:t> </w:t>
      </w:r>
      <w:r>
        <w:rPr>
          <w:color w:val="374151"/>
          <w:shd w:fill="F7F7F8" w:color="auto" w:val="clear"/>
        </w:rPr>
        <w:t>violence</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its</w:t>
      </w:r>
      <w:r>
        <w:rPr>
          <w:color w:val="374151"/>
          <w:spacing w:val="-1"/>
          <w:shd w:fill="F7F7F8" w:color="auto" w:val="clear"/>
        </w:rPr>
        <w:t> </w:t>
      </w:r>
      <w:r>
        <w:rPr>
          <w:color w:val="374151"/>
          <w:shd w:fill="F7F7F8" w:color="auto" w:val="clear"/>
        </w:rPr>
        <w:t>impact</w:t>
      </w:r>
      <w:r>
        <w:rPr>
          <w:color w:val="374151"/>
          <w:spacing w:val="-1"/>
          <w:shd w:fill="F7F7F8" w:color="auto" w:val="clear"/>
        </w:rPr>
        <w:t> </w:t>
      </w:r>
      <w:r>
        <w:rPr>
          <w:color w:val="374151"/>
          <w:shd w:fill="F7F7F8" w:color="auto" w:val="clear"/>
        </w:rPr>
        <w:t>on</w:t>
      </w:r>
      <w:r>
        <w:rPr>
          <w:color w:val="374151"/>
          <w:spacing w:val="-1"/>
          <w:shd w:fill="F7F7F8" w:color="auto" w:val="clear"/>
        </w:rPr>
        <w:t> </w:t>
      </w:r>
      <w:r>
        <w:rPr>
          <w:color w:val="374151"/>
          <w:spacing w:val="-2"/>
          <w:shd w:fill="F7F7F8" w:color="auto" w:val="clear"/>
        </w:rPr>
        <w:t>survivors,</w:t>
      </w:r>
      <w:r>
        <w:rPr>
          <w:color w:val="374151"/>
          <w:spacing w:val="40"/>
          <w:shd w:fill="F7F7F8" w:color="auto" w:val="clear"/>
        </w:rPr>
        <w:t> </w:t>
      </w:r>
    </w:p>
    <w:p>
      <w:pPr>
        <w:pStyle w:val="BodyText"/>
        <w:ind w:left="280" w:right="499"/>
      </w:pPr>
      <w:r>
        <w:rPr>
          <w:color w:val="374151"/>
          <w:shd w:fill="F7F7F8" w:color="auto" w:val="clear"/>
        </w:rPr>
        <w:t>collaboration among professionals from various disciplines is essential. </w:t>
      </w:r>
      <w:r>
        <w:rPr>
          <w:color w:val="374151"/>
        </w:rPr>
        <w:t> </w:t>
      </w:r>
      <w:r>
        <w:rPr>
          <w:color w:val="374151"/>
          <w:shd w:fill="F7F7F8" w:color="auto" w:val="clear"/>
        </w:rPr>
        <w:t>Therapists should actively seek opportunities for collaboration with medical </w:t>
      </w:r>
      <w:r>
        <w:rPr>
          <w:color w:val="374151"/>
        </w:rPr>
        <w:t> </w:t>
      </w:r>
      <w:r>
        <w:rPr>
          <w:color w:val="374151"/>
          <w:shd w:fill="F7F7F8" w:color="auto" w:val="clear"/>
        </w:rPr>
        <w:t>professionals,</w:t>
      </w:r>
      <w:r>
        <w:rPr>
          <w:color w:val="374151"/>
          <w:spacing w:val="-6"/>
          <w:shd w:fill="F7F7F8" w:color="auto" w:val="clear"/>
        </w:rPr>
        <w:t> </w:t>
      </w:r>
      <w:r>
        <w:rPr>
          <w:color w:val="374151"/>
          <w:shd w:fill="F7F7F8" w:color="auto" w:val="clear"/>
        </w:rPr>
        <w:t>social</w:t>
      </w:r>
      <w:r>
        <w:rPr>
          <w:color w:val="374151"/>
          <w:spacing w:val="-6"/>
          <w:shd w:fill="F7F7F8" w:color="auto" w:val="clear"/>
        </w:rPr>
        <w:t> </w:t>
      </w:r>
      <w:r>
        <w:rPr>
          <w:color w:val="374151"/>
          <w:shd w:fill="F7F7F8" w:color="auto" w:val="clear"/>
        </w:rPr>
        <w:t>workers,</w:t>
      </w:r>
      <w:r>
        <w:rPr>
          <w:color w:val="374151"/>
          <w:spacing w:val="-6"/>
          <w:shd w:fill="F7F7F8" w:color="auto" w:val="clear"/>
        </w:rPr>
        <w:t> </w:t>
      </w:r>
      <w:r>
        <w:rPr>
          <w:color w:val="374151"/>
          <w:shd w:fill="F7F7F8" w:color="auto" w:val="clear"/>
        </w:rPr>
        <w:t>legal</w:t>
      </w:r>
      <w:r>
        <w:rPr>
          <w:color w:val="374151"/>
          <w:spacing w:val="-6"/>
          <w:shd w:fill="F7F7F8" w:color="auto" w:val="clear"/>
        </w:rPr>
        <w:t> </w:t>
      </w:r>
      <w:r>
        <w:rPr>
          <w:color w:val="374151"/>
          <w:shd w:fill="F7F7F8" w:color="auto" w:val="clear"/>
        </w:rPr>
        <w:t>advocates,</w:t>
      </w:r>
      <w:r>
        <w:rPr>
          <w:color w:val="374151"/>
          <w:spacing w:val="-6"/>
          <w:shd w:fill="F7F7F8" w:color="auto" w:val="clear"/>
        </w:rPr>
        <w:t> </w:t>
      </w:r>
      <w:r>
        <w:rPr>
          <w:color w:val="374151"/>
          <w:shd w:fill="F7F7F8" w:color="auto" w:val="clear"/>
        </w:rPr>
        <w:t>and</w:t>
      </w:r>
      <w:r>
        <w:rPr>
          <w:color w:val="374151"/>
          <w:spacing w:val="-6"/>
          <w:shd w:fill="F7F7F8" w:color="auto" w:val="clear"/>
        </w:rPr>
        <w:t> </w:t>
      </w:r>
      <w:r>
        <w:rPr>
          <w:color w:val="374151"/>
          <w:shd w:fill="F7F7F8" w:color="auto" w:val="clear"/>
        </w:rPr>
        <w:t>community</w:t>
      </w:r>
      <w:r>
        <w:rPr>
          <w:color w:val="374151"/>
          <w:spacing w:val="-6"/>
          <w:shd w:fill="F7F7F8" w:color="auto" w:val="clear"/>
        </w:rPr>
        <w:t> </w:t>
      </w:r>
      <w:r>
        <w:rPr>
          <w:color w:val="374151"/>
          <w:shd w:fill="F7F7F8" w:color="auto" w:val="clear"/>
        </w:rPr>
        <w:t>organizations.</w:t>
      </w:r>
      <w:r>
        <w:rPr>
          <w:color w:val="374151"/>
          <w:spacing w:val="-7"/>
          <w:shd w:fill="F7F7F8" w:color="auto" w:val="clear"/>
        </w:rPr>
        <w:t> </w:t>
      </w:r>
      <w:r>
        <w:rPr>
          <w:color w:val="374151"/>
          <w:spacing w:val="-7"/>
        </w:rPr>
        <w:t> </w:t>
      </w:r>
      <w:r>
        <w:rPr>
          <w:color w:val="374151"/>
          <w:shd w:fill="F7F7F8" w:color="auto" w:val="clear"/>
        </w:rPr>
        <w:t>By working together, professionals can provide comprehensive and holistic </w:t>
      </w:r>
      <w:r>
        <w:rPr>
          <w:color w:val="374151"/>
        </w:rPr>
        <w:t> </w:t>
      </w:r>
      <w:r>
        <w:rPr>
          <w:color w:val="374151"/>
          <w:shd w:fill="F7F7F8" w:color="auto" w:val="clear"/>
        </w:rPr>
        <w:t>care to survivors, addressing their physical, psychological, and social needs.</w:t>
      </w:r>
    </w:p>
    <w:p>
      <w:pPr>
        <w:spacing w:after="0"/>
        <w:sectPr>
          <w:pgSz w:w="12240" w:h="15840"/>
          <w:pgMar w:header="0" w:footer="765" w:top="1260" w:bottom="980" w:left="1400" w:right="1180"/>
        </w:sectPr>
      </w:pPr>
    </w:p>
    <w:p>
      <w:pPr>
        <w:pStyle w:val="BodyText"/>
        <w:rPr>
          <w:sz w:val="20"/>
        </w:rPr>
      </w:pPr>
    </w:p>
    <w:p>
      <w:pPr>
        <w:pStyle w:val="BodyText"/>
        <w:rPr>
          <w:sz w:val="25"/>
        </w:rPr>
      </w:pPr>
    </w:p>
    <w:p>
      <w:pPr>
        <w:pStyle w:val="BodyText"/>
        <w:spacing w:before="88" w:after="3"/>
        <w:ind w:left="280" w:right="515"/>
      </w:pPr>
      <w:r>
        <w:rPr/>
        <mc:AlternateContent>
          <mc:Choice Requires="wps">
            <w:drawing>
              <wp:anchor distT="0" distB="0" distL="0" distR="0" allowOverlap="1" layoutInCell="1" locked="0" behindDoc="0" simplePos="0" relativeHeight="15793664">
                <wp:simplePos x="0" y="0"/>
                <wp:positionH relativeFrom="page">
                  <wp:posOffset>1066800</wp:posOffset>
                </wp:positionH>
                <wp:positionV relativeFrom="paragraph">
                  <wp:posOffset>-329015</wp:posOffset>
                </wp:positionV>
                <wp:extent cx="3734435" cy="39370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373443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Cultivating</w:t>
                            </w:r>
                            <w:r>
                              <w:rPr>
                                <w:b/>
                                <w:i/>
                                <w:color w:val="374151"/>
                                <w:spacing w:val="-8"/>
                                <w:sz w:val="28"/>
                              </w:rPr>
                              <w:t> </w:t>
                            </w:r>
                            <w:r>
                              <w:rPr>
                                <w:b/>
                                <w:i/>
                                <w:color w:val="374151"/>
                                <w:sz w:val="28"/>
                              </w:rPr>
                              <w:t>Therapist</w:t>
                            </w:r>
                            <w:r>
                              <w:rPr>
                                <w:b/>
                                <w:i/>
                                <w:color w:val="374151"/>
                                <w:spacing w:val="-8"/>
                                <w:sz w:val="28"/>
                              </w:rPr>
                              <w:t> </w:t>
                            </w:r>
                            <w:r>
                              <w:rPr>
                                <w:b/>
                                <w:i/>
                                <w:color w:val="374151"/>
                                <w:sz w:val="28"/>
                              </w:rPr>
                              <w:t>Self-Awareness</w:t>
                            </w:r>
                            <w:r>
                              <w:rPr>
                                <w:b/>
                                <w:i/>
                                <w:color w:val="374151"/>
                                <w:spacing w:val="-8"/>
                                <w:sz w:val="28"/>
                              </w:rPr>
                              <w:t> </w:t>
                            </w:r>
                            <w:r>
                              <w:rPr>
                                <w:b/>
                                <w:i/>
                                <w:color w:val="374151"/>
                                <w:sz w:val="28"/>
                              </w:rPr>
                              <w:t>and</w:t>
                            </w:r>
                            <w:r>
                              <w:rPr>
                                <w:b/>
                                <w:i/>
                                <w:color w:val="374151"/>
                                <w:spacing w:val="-13"/>
                                <w:sz w:val="28"/>
                              </w:rPr>
                              <w:t> </w:t>
                            </w:r>
                            <w:r>
                              <w:rPr>
                                <w:b/>
                                <w:i/>
                                <w:color w:val="374151"/>
                                <w:spacing w:val="-4"/>
                                <w:sz w:val="28"/>
                              </w:rPr>
                              <w:t>Wellness</w:t>
                            </w:r>
                          </w:p>
                        </w:txbxContent>
                      </wps:txbx>
                      <wps:bodyPr wrap="square" lIns="0" tIns="0" rIns="0" bIns="0" rtlCol="0">
                        <a:noAutofit/>
                      </wps:bodyPr>
                    </wps:wsp>
                  </a:graphicData>
                </a:graphic>
              </wp:anchor>
            </w:drawing>
          </mc:Choice>
          <mc:Fallback>
            <w:pict>
              <v:shape style="position:absolute;margin-left:84pt;margin-top:-25.906702pt;width:294.05pt;height:31pt;mso-position-horizontal-relative:page;mso-position-vertical-relative:paragraph;z-index:15793664" type="#_x0000_t202" id="docshape275" filled="true" fillcolor="#f7f7f8" stroked="false">
                <v:textbox inset="0,0,0,0">
                  <w:txbxContent>
                    <w:p>
                      <w:pPr>
                        <w:spacing w:line="308" w:lineRule="exact" w:before="0"/>
                        <w:ind w:left="0" w:right="0" w:firstLine="0"/>
                        <w:jc w:val="left"/>
                        <w:rPr>
                          <w:b/>
                          <w:i/>
                          <w:color w:val="000000"/>
                          <w:sz w:val="28"/>
                        </w:rPr>
                      </w:pPr>
                      <w:r>
                        <w:rPr>
                          <w:b/>
                          <w:i/>
                          <w:color w:val="374151"/>
                          <w:sz w:val="28"/>
                        </w:rPr>
                        <w:t>Cultivating</w:t>
                      </w:r>
                      <w:r>
                        <w:rPr>
                          <w:b/>
                          <w:i/>
                          <w:color w:val="374151"/>
                          <w:spacing w:val="-8"/>
                          <w:sz w:val="28"/>
                        </w:rPr>
                        <w:t> </w:t>
                      </w:r>
                      <w:r>
                        <w:rPr>
                          <w:b/>
                          <w:i/>
                          <w:color w:val="374151"/>
                          <w:sz w:val="28"/>
                        </w:rPr>
                        <w:t>Therapist</w:t>
                      </w:r>
                      <w:r>
                        <w:rPr>
                          <w:b/>
                          <w:i/>
                          <w:color w:val="374151"/>
                          <w:spacing w:val="-8"/>
                          <w:sz w:val="28"/>
                        </w:rPr>
                        <w:t> </w:t>
                      </w:r>
                      <w:r>
                        <w:rPr>
                          <w:b/>
                          <w:i/>
                          <w:color w:val="374151"/>
                          <w:sz w:val="28"/>
                        </w:rPr>
                        <w:t>Self-Awareness</w:t>
                      </w:r>
                      <w:r>
                        <w:rPr>
                          <w:b/>
                          <w:i/>
                          <w:color w:val="374151"/>
                          <w:spacing w:val="-8"/>
                          <w:sz w:val="28"/>
                        </w:rPr>
                        <w:t> </w:t>
                      </w:r>
                      <w:r>
                        <w:rPr>
                          <w:b/>
                          <w:i/>
                          <w:color w:val="374151"/>
                          <w:sz w:val="28"/>
                        </w:rPr>
                        <w:t>and</w:t>
                      </w:r>
                      <w:r>
                        <w:rPr>
                          <w:b/>
                          <w:i/>
                          <w:color w:val="374151"/>
                          <w:spacing w:val="-13"/>
                          <w:sz w:val="28"/>
                        </w:rPr>
                        <w:t> </w:t>
                      </w:r>
                      <w:r>
                        <w:rPr>
                          <w:b/>
                          <w:i/>
                          <w:color w:val="374151"/>
                          <w:spacing w:val="-4"/>
                          <w:sz w:val="28"/>
                        </w:rPr>
                        <w:t>Wellness</w:t>
                      </w:r>
                    </w:p>
                  </w:txbxContent>
                </v:textbox>
                <v:fill type="solid"/>
                <w10:wrap type="none"/>
              </v:shape>
            </w:pict>
          </mc:Fallback>
        </mc:AlternateContent>
      </w:r>
      <w:r>
        <w:rPr>
          <w:color w:val="374151"/>
          <w:shd w:fill="F7F7F8" w:color="auto" w:val="clear"/>
        </w:rPr>
        <w:t>Working with survivors of sexual violence can take an emotional toll on </w:t>
      </w:r>
      <w:r>
        <w:rPr>
          <w:color w:val="374151"/>
        </w:rPr>
        <w:t> </w:t>
      </w:r>
      <w:r>
        <w:rPr>
          <w:color w:val="374151"/>
          <w:shd w:fill="F7F7F8" w:color="auto" w:val="clear"/>
        </w:rPr>
        <w:t>therapists.</w:t>
      </w:r>
      <w:r>
        <w:rPr>
          <w:color w:val="374151"/>
          <w:spacing w:val="-4"/>
          <w:shd w:fill="F7F7F8" w:color="auto" w:val="clear"/>
        </w:rPr>
        <w:t> </w:t>
      </w:r>
      <w:r>
        <w:rPr>
          <w:color w:val="374151"/>
          <w:shd w:fill="F7F7F8" w:color="auto" w:val="clear"/>
        </w:rPr>
        <w:t>It</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hd w:fill="F7F7F8" w:color="auto" w:val="clear"/>
        </w:rPr>
        <w:t>essential</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therapists</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engage</w:t>
      </w:r>
      <w:r>
        <w:rPr>
          <w:color w:val="374151"/>
          <w:spacing w:val="-5"/>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regular</w:t>
      </w:r>
      <w:r>
        <w:rPr>
          <w:color w:val="374151"/>
          <w:spacing w:val="-4"/>
          <w:shd w:fill="F7F7F8" w:color="auto" w:val="clear"/>
        </w:rPr>
        <w:t> </w:t>
      </w:r>
      <w:r>
        <w:rPr>
          <w:color w:val="374151"/>
          <w:shd w:fill="F7F7F8" w:color="auto" w:val="clear"/>
        </w:rPr>
        <w:t>self-reflection,</w:t>
      </w:r>
      <w:r>
        <w:rPr>
          <w:color w:val="374151"/>
          <w:spacing w:val="-5"/>
          <w:shd w:fill="F7F7F8" w:color="auto" w:val="clear"/>
        </w:rPr>
        <w:t> </w:t>
      </w:r>
      <w:r>
        <w:rPr>
          <w:color w:val="374151"/>
          <w:spacing w:val="-5"/>
        </w:rPr>
        <w:t> </w:t>
      </w:r>
      <w:r>
        <w:rPr>
          <w:color w:val="374151"/>
          <w:shd w:fill="F7F7F8" w:color="auto" w:val="clear"/>
        </w:rPr>
        <w:t>supervision, and self-care practices. This includes seeking support from </w:t>
      </w:r>
      <w:r>
        <w:rPr>
          <w:color w:val="374151"/>
        </w:rPr>
        <w:t> </w:t>
      </w:r>
      <w:r>
        <w:rPr>
          <w:color w:val="374151"/>
          <w:shd w:fill="F7F7F8" w:color="auto" w:val="clear"/>
        </w:rPr>
        <w:t>colleagues, engaging in personal therapy if needed, and implementing </w:t>
      </w:r>
      <w:r>
        <w:rPr>
          <w:color w:val="374151"/>
        </w:rPr>
        <w:t> </w:t>
      </w:r>
      <w:r>
        <w:rPr>
          <w:color w:val="374151"/>
          <w:shd w:fill="F7F7F8" w:color="auto" w:val="clear"/>
        </w:rPr>
        <w:t>strategies to prevent burnout and compassion fatigue. Therapists should </w:t>
      </w:r>
      <w:r>
        <w:rPr>
          <w:color w:val="374151"/>
        </w:rPr>
        <w:t> </w:t>
      </w:r>
      <w:r>
        <w:rPr>
          <w:color w:val="374151"/>
          <w:shd w:fill="F7F7F8" w:color="auto" w:val="clear"/>
        </w:rPr>
        <w:t>prioritize their own well-being to ensure they can provide effective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421890" cy="787400"/>
                <wp:effectExtent l="0" t="0" r="0" b="3175"/>
                <wp:docPr id="277" name="Group 277"/>
                <wp:cNvGraphicFramePr>
                  <a:graphicFrameLocks/>
                </wp:cNvGraphicFramePr>
                <a:graphic>
                  <a:graphicData uri="http://schemas.microsoft.com/office/word/2010/wordprocessingGroup">
                    <wpg:wgp>
                      <wpg:cNvPr id="277" name="Group 277"/>
                      <wpg:cNvGrpSpPr/>
                      <wpg:grpSpPr>
                        <a:xfrm>
                          <a:off x="0" y="0"/>
                          <a:ext cx="2421890" cy="787400"/>
                          <a:chExt cx="2421890" cy="787400"/>
                        </a:xfrm>
                      </wpg:grpSpPr>
                      <wps:wsp>
                        <wps:cNvPr id="278" name="Textbox 278"/>
                        <wps:cNvSpPr txBox="1"/>
                        <wps:spPr>
                          <a:xfrm>
                            <a:off x="0" y="393700"/>
                            <a:ext cx="2421890"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Advocacy</w:t>
                              </w:r>
                              <w:r>
                                <w:rPr>
                                  <w:b/>
                                  <w:i/>
                                  <w:color w:val="374151"/>
                                  <w:spacing w:val="-4"/>
                                  <w:sz w:val="28"/>
                                </w:rPr>
                                <w:t> </w:t>
                              </w:r>
                              <w:r>
                                <w:rPr>
                                  <w:b/>
                                  <w:i/>
                                  <w:color w:val="374151"/>
                                  <w:sz w:val="28"/>
                                </w:rPr>
                                <w:t>and</w:t>
                              </w:r>
                              <w:r>
                                <w:rPr>
                                  <w:b/>
                                  <w:i/>
                                  <w:color w:val="374151"/>
                                  <w:spacing w:val="-3"/>
                                  <w:sz w:val="28"/>
                                </w:rPr>
                                <w:t> </w:t>
                              </w:r>
                              <w:r>
                                <w:rPr>
                                  <w:b/>
                                  <w:i/>
                                  <w:color w:val="374151"/>
                                  <w:sz w:val="28"/>
                                </w:rPr>
                                <w:t>Prevention</w:t>
                              </w:r>
                              <w:r>
                                <w:rPr>
                                  <w:b/>
                                  <w:i/>
                                  <w:color w:val="374151"/>
                                  <w:spacing w:val="-3"/>
                                  <w:sz w:val="28"/>
                                </w:rPr>
                                <w:t> </w:t>
                              </w:r>
                              <w:r>
                                <w:rPr>
                                  <w:b/>
                                  <w:i/>
                                  <w:color w:val="374151"/>
                                  <w:spacing w:val="-2"/>
                                  <w:sz w:val="28"/>
                                </w:rPr>
                                <w:t>Efforts</w:t>
                              </w:r>
                            </w:p>
                          </w:txbxContent>
                        </wps:txbx>
                        <wps:bodyPr wrap="square" lIns="0" tIns="0" rIns="0" bIns="0" rtlCol="0">
                          <a:noAutofit/>
                        </wps:bodyPr>
                      </wps:wsp>
                      <wps:wsp>
                        <wps:cNvPr id="279" name="Textbox 279"/>
                        <wps:cNvSpPr txBox="1"/>
                        <wps:spPr>
                          <a:xfrm>
                            <a:off x="0" y="0"/>
                            <a:ext cx="206438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sustainable</w:t>
                              </w:r>
                              <w:r>
                                <w:rPr>
                                  <w:color w:val="374151"/>
                                  <w:spacing w:val="-3"/>
                                  <w:sz w:val="28"/>
                                </w:rPr>
                                <w:t> </w:t>
                              </w:r>
                              <w:r>
                                <w:rPr>
                                  <w:color w:val="374151"/>
                                  <w:sz w:val="28"/>
                                </w:rPr>
                                <w:t>care</w:t>
                              </w:r>
                              <w:r>
                                <w:rPr>
                                  <w:color w:val="374151"/>
                                  <w:spacing w:val="-3"/>
                                  <w:sz w:val="28"/>
                                </w:rPr>
                                <w:t> </w:t>
                              </w:r>
                              <w:r>
                                <w:rPr>
                                  <w:color w:val="374151"/>
                                  <w:sz w:val="28"/>
                                </w:rPr>
                                <w:t>to</w:t>
                              </w:r>
                              <w:r>
                                <w:rPr>
                                  <w:color w:val="374151"/>
                                  <w:spacing w:val="-1"/>
                                  <w:sz w:val="28"/>
                                </w:rPr>
                                <w:t> </w:t>
                              </w:r>
                              <w:r>
                                <w:rPr>
                                  <w:color w:val="374151"/>
                                  <w:spacing w:val="-2"/>
                                  <w:sz w:val="28"/>
                                </w:rPr>
                                <w:t>survivors.</w:t>
                              </w:r>
                            </w:p>
                          </w:txbxContent>
                        </wps:txbx>
                        <wps:bodyPr wrap="square" lIns="0" tIns="0" rIns="0" bIns="0" rtlCol="0">
                          <a:noAutofit/>
                        </wps:bodyPr>
                      </wps:wsp>
                    </wpg:wgp>
                  </a:graphicData>
                </a:graphic>
              </wp:inline>
            </w:drawing>
          </mc:Choice>
          <mc:Fallback>
            <w:pict>
              <v:group style="width:190.7pt;height:62pt;mso-position-horizontal-relative:char;mso-position-vertical-relative:line" id="docshapegroup276" coordorigin="0,0" coordsize="3814,1240">
                <v:shape style="position:absolute;left:0;top:620;width:3814;height:620" type="#_x0000_t202" id="docshape277" filled="true" fillcolor="#f7f7f8" stroked="false">
                  <v:textbox inset="0,0,0,0">
                    <w:txbxContent>
                      <w:p>
                        <w:pPr>
                          <w:spacing w:line="308" w:lineRule="exact" w:before="0"/>
                          <w:ind w:left="0" w:right="0" w:firstLine="0"/>
                          <w:jc w:val="left"/>
                          <w:rPr>
                            <w:b/>
                            <w:i/>
                            <w:color w:val="000000"/>
                            <w:sz w:val="28"/>
                          </w:rPr>
                        </w:pPr>
                        <w:r>
                          <w:rPr>
                            <w:b/>
                            <w:i/>
                            <w:color w:val="374151"/>
                            <w:sz w:val="28"/>
                          </w:rPr>
                          <w:t>Advocacy</w:t>
                        </w:r>
                        <w:r>
                          <w:rPr>
                            <w:b/>
                            <w:i/>
                            <w:color w:val="374151"/>
                            <w:spacing w:val="-4"/>
                            <w:sz w:val="28"/>
                          </w:rPr>
                          <w:t> </w:t>
                        </w:r>
                        <w:r>
                          <w:rPr>
                            <w:b/>
                            <w:i/>
                            <w:color w:val="374151"/>
                            <w:sz w:val="28"/>
                          </w:rPr>
                          <w:t>and</w:t>
                        </w:r>
                        <w:r>
                          <w:rPr>
                            <w:b/>
                            <w:i/>
                            <w:color w:val="374151"/>
                            <w:spacing w:val="-3"/>
                            <w:sz w:val="28"/>
                          </w:rPr>
                          <w:t> </w:t>
                        </w:r>
                        <w:r>
                          <w:rPr>
                            <w:b/>
                            <w:i/>
                            <w:color w:val="374151"/>
                            <w:sz w:val="28"/>
                          </w:rPr>
                          <w:t>Prevention</w:t>
                        </w:r>
                        <w:r>
                          <w:rPr>
                            <w:b/>
                            <w:i/>
                            <w:color w:val="374151"/>
                            <w:spacing w:val="-3"/>
                            <w:sz w:val="28"/>
                          </w:rPr>
                          <w:t> </w:t>
                        </w:r>
                        <w:r>
                          <w:rPr>
                            <w:b/>
                            <w:i/>
                            <w:color w:val="374151"/>
                            <w:spacing w:val="-2"/>
                            <w:sz w:val="28"/>
                          </w:rPr>
                          <w:t>Efforts</w:t>
                        </w:r>
                      </w:p>
                    </w:txbxContent>
                  </v:textbox>
                  <v:fill type="solid"/>
                  <w10:wrap type="none"/>
                </v:shape>
                <v:shape style="position:absolute;left:0;top:0;width:3251;height:620" type="#_x0000_t202" id="docshape278" filled="true" fillcolor="#f7f7f8" stroked="false">
                  <v:textbox inset="0,0,0,0">
                    <w:txbxContent>
                      <w:p>
                        <w:pPr>
                          <w:spacing w:line="308" w:lineRule="exact" w:before="0"/>
                          <w:ind w:left="0" w:right="-15" w:firstLine="0"/>
                          <w:jc w:val="left"/>
                          <w:rPr>
                            <w:color w:val="000000"/>
                            <w:sz w:val="28"/>
                          </w:rPr>
                        </w:pPr>
                        <w:r>
                          <w:rPr>
                            <w:color w:val="374151"/>
                            <w:sz w:val="28"/>
                          </w:rPr>
                          <w:t>sustainable</w:t>
                        </w:r>
                        <w:r>
                          <w:rPr>
                            <w:color w:val="374151"/>
                            <w:spacing w:val="-3"/>
                            <w:sz w:val="28"/>
                          </w:rPr>
                          <w:t> </w:t>
                        </w:r>
                        <w:r>
                          <w:rPr>
                            <w:color w:val="374151"/>
                            <w:sz w:val="28"/>
                          </w:rPr>
                          <w:t>care</w:t>
                        </w:r>
                        <w:r>
                          <w:rPr>
                            <w:color w:val="374151"/>
                            <w:spacing w:val="-3"/>
                            <w:sz w:val="28"/>
                          </w:rPr>
                          <w:t> </w:t>
                        </w:r>
                        <w:r>
                          <w:rPr>
                            <w:color w:val="374151"/>
                            <w:sz w:val="28"/>
                          </w:rPr>
                          <w:t>to</w:t>
                        </w:r>
                        <w:r>
                          <w:rPr>
                            <w:color w:val="374151"/>
                            <w:spacing w:val="-1"/>
                            <w:sz w:val="28"/>
                          </w:rPr>
                          <w:t> </w:t>
                        </w:r>
                        <w:r>
                          <w:rPr>
                            <w:color w:val="374151"/>
                            <w:spacing w:val="-2"/>
                            <w:sz w:val="28"/>
                          </w:rPr>
                          <w:t>survivors.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Therapists</w:t>
      </w:r>
      <w:r>
        <w:rPr>
          <w:color w:val="374151"/>
          <w:spacing w:val="-4"/>
          <w:shd w:fill="F7F7F8" w:color="auto" w:val="clear"/>
        </w:rPr>
        <w:t> </w:t>
      </w:r>
      <w:r>
        <w:rPr>
          <w:color w:val="374151"/>
          <w:shd w:fill="F7F7F8" w:color="auto" w:val="clear"/>
        </w:rPr>
        <w:t>have</w:t>
      </w:r>
      <w:r>
        <w:rPr>
          <w:color w:val="374151"/>
          <w:spacing w:val="-2"/>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unique</w:t>
      </w:r>
      <w:r>
        <w:rPr>
          <w:color w:val="374151"/>
          <w:spacing w:val="-3"/>
          <w:shd w:fill="F7F7F8" w:color="auto" w:val="clear"/>
        </w:rPr>
        <w:t> </w:t>
      </w:r>
      <w:r>
        <w:rPr>
          <w:color w:val="374151"/>
          <w:shd w:fill="F7F7F8" w:color="auto" w:val="clear"/>
        </w:rPr>
        <w:t>position</w:t>
      </w:r>
      <w:r>
        <w:rPr>
          <w:color w:val="374151"/>
          <w:spacing w:val="-1"/>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advocate</w:t>
      </w:r>
      <w:r>
        <w:rPr>
          <w:color w:val="374151"/>
          <w:spacing w:val="-3"/>
          <w:shd w:fill="F7F7F8" w:color="auto" w:val="clear"/>
        </w:rPr>
        <w:t> </w:t>
      </w:r>
      <w:r>
        <w:rPr>
          <w:color w:val="374151"/>
          <w:shd w:fill="F7F7F8" w:color="auto" w:val="clear"/>
        </w:rPr>
        <w:t>for</w:t>
      </w:r>
      <w:r>
        <w:rPr>
          <w:color w:val="374151"/>
          <w:spacing w:val="-1"/>
          <w:shd w:fill="F7F7F8" w:color="auto" w:val="clear"/>
        </w:rPr>
        <w:t> </w:t>
      </w:r>
      <w:r>
        <w:rPr>
          <w:color w:val="374151"/>
          <w:shd w:fill="F7F7F8" w:color="auto" w:val="clear"/>
        </w:rPr>
        <w:t>policy</w:t>
      </w:r>
      <w:r>
        <w:rPr>
          <w:color w:val="374151"/>
          <w:spacing w:val="-1"/>
          <w:shd w:fill="F7F7F8" w:color="auto" w:val="clear"/>
        </w:rPr>
        <w:t> </w:t>
      </w:r>
      <w:r>
        <w:rPr>
          <w:color w:val="374151"/>
          <w:shd w:fill="F7F7F8" w:color="auto" w:val="clear"/>
        </w:rPr>
        <w:t>changes,</w:t>
      </w:r>
      <w:r>
        <w:rPr>
          <w:color w:val="374151"/>
          <w:spacing w:val="-1"/>
          <w:shd w:fill="F7F7F8" w:color="auto" w:val="clear"/>
        </w:rPr>
        <w:t> </w:t>
      </w:r>
      <w:r>
        <w:rPr>
          <w:color w:val="374151"/>
          <w:spacing w:val="-2"/>
          <w:shd w:fill="F7F7F8" w:color="auto" w:val="clear"/>
        </w:rPr>
        <w:t>raise</w:t>
      </w:r>
      <w:r>
        <w:rPr>
          <w:color w:val="374151"/>
          <w:spacing w:val="40"/>
          <w:shd w:fill="F7F7F8" w:color="auto" w:val="clear"/>
        </w:rPr>
        <w:t> </w:t>
      </w:r>
    </w:p>
    <w:p>
      <w:pPr>
        <w:pStyle w:val="BodyText"/>
        <w:spacing w:after="4"/>
        <w:ind w:left="280" w:right="502"/>
      </w:pPr>
      <w:r>
        <w:rPr>
          <w:color w:val="374151"/>
          <w:shd w:fill="F7F7F8" w:color="auto" w:val="clear"/>
        </w:rPr>
        <w:t>awareness about sexual violence, and contribute to prevention efforts. By </w:t>
      </w:r>
      <w:r>
        <w:rPr>
          <w:color w:val="374151"/>
        </w:rPr>
        <w:t> </w:t>
      </w:r>
      <w:r>
        <w:rPr>
          <w:color w:val="374151"/>
          <w:shd w:fill="F7F7F8" w:color="auto" w:val="clear"/>
        </w:rPr>
        <w:t>engaging</w:t>
      </w:r>
      <w:r>
        <w:rPr>
          <w:color w:val="374151"/>
          <w:spacing w:val="-6"/>
          <w:shd w:fill="F7F7F8" w:color="auto" w:val="clear"/>
        </w:rPr>
        <w:t> </w:t>
      </w:r>
      <w:r>
        <w:rPr>
          <w:color w:val="374151"/>
          <w:shd w:fill="F7F7F8" w:color="auto" w:val="clear"/>
        </w:rPr>
        <w:t>in</w:t>
      </w:r>
      <w:r>
        <w:rPr>
          <w:color w:val="374151"/>
          <w:spacing w:val="-6"/>
          <w:shd w:fill="F7F7F8" w:color="auto" w:val="clear"/>
        </w:rPr>
        <w:t> </w:t>
      </w:r>
      <w:r>
        <w:rPr>
          <w:color w:val="374151"/>
          <w:shd w:fill="F7F7F8" w:color="auto" w:val="clear"/>
        </w:rPr>
        <w:t>community</w:t>
      </w:r>
      <w:r>
        <w:rPr>
          <w:color w:val="374151"/>
          <w:spacing w:val="-6"/>
          <w:shd w:fill="F7F7F8" w:color="auto" w:val="clear"/>
        </w:rPr>
        <w:t> </w:t>
      </w:r>
      <w:r>
        <w:rPr>
          <w:color w:val="374151"/>
          <w:shd w:fill="F7F7F8" w:color="auto" w:val="clear"/>
        </w:rPr>
        <w:t>education,</w:t>
      </w:r>
      <w:r>
        <w:rPr>
          <w:color w:val="374151"/>
          <w:spacing w:val="-6"/>
          <w:shd w:fill="F7F7F8" w:color="auto" w:val="clear"/>
        </w:rPr>
        <w:t> </w:t>
      </w:r>
      <w:r>
        <w:rPr>
          <w:color w:val="374151"/>
          <w:shd w:fill="F7F7F8" w:color="auto" w:val="clear"/>
        </w:rPr>
        <w:t>collaborating</w:t>
      </w:r>
      <w:r>
        <w:rPr>
          <w:color w:val="374151"/>
          <w:spacing w:val="-6"/>
          <w:shd w:fill="F7F7F8" w:color="auto" w:val="clear"/>
        </w:rPr>
        <w:t> </w:t>
      </w:r>
      <w:r>
        <w:rPr>
          <w:color w:val="374151"/>
          <w:shd w:fill="F7F7F8" w:color="auto" w:val="clear"/>
        </w:rPr>
        <w:t>with</w:t>
      </w:r>
      <w:r>
        <w:rPr>
          <w:color w:val="374151"/>
          <w:spacing w:val="-6"/>
          <w:shd w:fill="F7F7F8" w:color="auto" w:val="clear"/>
        </w:rPr>
        <w:t> </w:t>
      </w:r>
      <w:r>
        <w:rPr>
          <w:color w:val="374151"/>
          <w:shd w:fill="F7F7F8" w:color="auto" w:val="clear"/>
        </w:rPr>
        <w:t>organizations</w:t>
      </w:r>
      <w:r>
        <w:rPr>
          <w:color w:val="374151"/>
          <w:spacing w:val="-6"/>
          <w:shd w:fill="F7F7F8" w:color="auto" w:val="clear"/>
        </w:rPr>
        <w:t> </w:t>
      </w:r>
      <w:r>
        <w:rPr>
          <w:color w:val="374151"/>
          <w:shd w:fill="F7F7F8" w:color="auto" w:val="clear"/>
        </w:rPr>
        <w:t>focused</w:t>
      </w:r>
      <w:r>
        <w:rPr>
          <w:color w:val="374151"/>
          <w:spacing w:val="-6"/>
          <w:shd w:fill="F7F7F8" w:color="auto" w:val="clear"/>
        </w:rPr>
        <w:t> </w:t>
      </w:r>
      <w:r>
        <w:rPr>
          <w:color w:val="374151"/>
          <w:shd w:fill="F7F7F8" w:color="auto" w:val="clear"/>
        </w:rPr>
        <w:t>on</w:t>
      </w:r>
      <w:r>
        <w:rPr>
          <w:color w:val="374151"/>
        </w:rPr>
        <w:t> </w:t>
      </w:r>
      <w:r>
        <w:rPr>
          <w:color w:val="374151"/>
          <w:shd w:fill="F7F7F8" w:color="auto" w:val="clear"/>
        </w:rPr>
        <w:t>prevention, and actively participating in public discourse, therapists can help </w:t>
      </w:r>
      <w:r>
        <w:rPr>
          <w:color w:val="374151"/>
        </w:rPr>
        <w:t> </w:t>
      </w:r>
      <w:r>
        <w:rPr>
          <w:color w:val="374151"/>
          <w:shd w:fill="F7F7F8" w:color="auto" w:val="clear"/>
        </w:rPr>
        <w:t>create a society that is more informed, supportive, and committed to</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102610" cy="787400"/>
                <wp:effectExtent l="0" t="0" r="0" b="3175"/>
                <wp:docPr id="280" name="Group 280"/>
                <wp:cNvGraphicFramePr>
                  <a:graphicFrameLocks/>
                </wp:cNvGraphicFramePr>
                <a:graphic>
                  <a:graphicData uri="http://schemas.microsoft.com/office/word/2010/wordprocessingGroup">
                    <wpg:wgp>
                      <wpg:cNvPr id="280" name="Group 280"/>
                      <wpg:cNvGrpSpPr/>
                      <wpg:grpSpPr>
                        <a:xfrm>
                          <a:off x="0" y="0"/>
                          <a:ext cx="3102610" cy="787400"/>
                          <a:chExt cx="3102610" cy="787400"/>
                        </a:xfrm>
                      </wpg:grpSpPr>
                      <wps:wsp>
                        <wps:cNvPr id="281" name="Textbox 281"/>
                        <wps:cNvSpPr txBox="1"/>
                        <wps:spPr>
                          <a:xfrm>
                            <a:off x="0" y="393700"/>
                            <a:ext cx="3102610"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z w:val="28"/>
                                </w:rPr>
                                <w:t>Addressing</w:t>
                              </w:r>
                              <w:r>
                                <w:rPr>
                                  <w:b/>
                                  <w:i/>
                                  <w:color w:val="374151"/>
                                  <w:spacing w:val="-2"/>
                                  <w:sz w:val="28"/>
                                </w:rPr>
                                <w:t> </w:t>
                              </w:r>
                              <w:r>
                                <w:rPr>
                                  <w:b/>
                                  <w:i/>
                                  <w:color w:val="374151"/>
                                  <w:sz w:val="28"/>
                                </w:rPr>
                                <w:t>Digital</w:t>
                              </w:r>
                              <w:r>
                                <w:rPr>
                                  <w:b/>
                                  <w:i/>
                                  <w:color w:val="374151"/>
                                  <w:spacing w:val="-1"/>
                                  <w:sz w:val="28"/>
                                </w:rPr>
                                <w:t> </w:t>
                              </w:r>
                              <w:r>
                                <w:rPr>
                                  <w:b/>
                                  <w:i/>
                                  <w:color w:val="374151"/>
                                  <w:sz w:val="28"/>
                                </w:rPr>
                                <w:t>and</w:t>
                              </w:r>
                              <w:r>
                                <w:rPr>
                                  <w:b/>
                                  <w:i/>
                                  <w:color w:val="374151"/>
                                  <w:spacing w:val="-1"/>
                                  <w:sz w:val="28"/>
                                </w:rPr>
                                <w:t> </w:t>
                              </w:r>
                              <w:r>
                                <w:rPr>
                                  <w:b/>
                                  <w:i/>
                                  <w:color w:val="374151"/>
                                  <w:sz w:val="28"/>
                                </w:rPr>
                                <w:t>Online</w:t>
                              </w:r>
                              <w:r>
                                <w:rPr>
                                  <w:b/>
                                  <w:i/>
                                  <w:color w:val="374151"/>
                                  <w:spacing w:val="-2"/>
                                  <w:sz w:val="28"/>
                                </w:rPr>
                                <w:t> </w:t>
                              </w:r>
                              <w:r>
                                <w:rPr>
                                  <w:b/>
                                  <w:i/>
                                  <w:color w:val="374151"/>
                                  <w:spacing w:val="-2"/>
                                  <w:sz w:val="28"/>
                                </w:rPr>
                                <w:t>Challenges</w:t>
                              </w:r>
                            </w:p>
                          </w:txbxContent>
                        </wps:txbx>
                        <wps:bodyPr wrap="square" lIns="0" tIns="0" rIns="0" bIns="0" rtlCol="0">
                          <a:noAutofit/>
                        </wps:bodyPr>
                      </wps:wsp>
                      <wps:wsp>
                        <wps:cNvPr id="282" name="Textbox 282"/>
                        <wps:cNvSpPr txBox="1"/>
                        <wps:spPr>
                          <a:xfrm>
                            <a:off x="0" y="0"/>
                            <a:ext cx="195072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preventing</w:t>
                              </w:r>
                              <w:r>
                                <w:rPr>
                                  <w:color w:val="374151"/>
                                  <w:spacing w:val="-2"/>
                                  <w:sz w:val="28"/>
                                </w:rPr>
                                <w:t> </w:t>
                              </w:r>
                              <w:r>
                                <w:rPr>
                                  <w:color w:val="374151"/>
                                  <w:sz w:val="28"/>
                                </w:rPr>
                                <w:t>sexual</w:t>
                              </w:r>
                              <w:r>
                                <w:rPr>
                                  <w:color w:val="374151"/>
                                  <w:spacing w:val="-2"/>
                                  <w:sz w:val="28"/>
                                </w:rPr>
                                <w:t> violence.</w:t>
                              </w:r>
                            </w:p>
                          </w:txbxContent>
                        </wps:txbx>
                        <wps:bodyPr wrap="square" lIns="0" tIns="0" rIns="0" bIns="0" rtlCol="0">
                          <a:noAutofit/>
                        </wps:bodyPr>
                      </wps:wsp>
                    </wpg:wgp>
                  </a:graphicData>
                </a:graphic>
              </wp:inline>
            </w:drawing>
          </mc:Choice>
          <mc:Fallback>
            <w:pict>
              <v:group style="width:244.3pt;height:62pt;mso-position-horizontal-relative:char;mso-position-vertical-relative:line" id="docshapegroup279" coordorigin="0,0" coordsize="4886,1240">
                <v:shape style="position:absolute;left:0;top:620;width:4886;height:620" type="#_x0000_t202" id="docshape280" filled="true" fillcolor="#f7f7f8" stroked="false">
                  <v:textbox inset="0,0,0,0">
                    <w:txbxContent>
                      <w:p>
                        <w:pPr>
                          <w:spacing w:line="308" w:lineRule="exact" w:before="0"/>
                          <w:ind w:left="0" w:right="0" w:firstLine="0"/>
                          <w:jc w:val="left"/>
                          <w:rPr>
                            <w:b/>
                            <w:i/>
                            <w:color w:val="000000"/>
                            <w:sz w:val="28"/>
                          </w:rPr>
                        </w:pPr>
                        <w:r>
                          <w:rPr>
                            <w:b/>
                            <w:i/>
                            <w:color w:val="374151"/>
                            <w:sz w:val="28"/>
                          </w:rPr>
                          <w:t>Addressing</w:t>
                        </w:r>
                        <w:r>
                          <w:rPr>
                            <w:b/>
                            <w:i/>
                            <w:color w:val="374151"/>
                            <w:spacing w:val="-2"/>
                            <w:sz w:val="28"/>
                          </w:rPr>
                          <w:t> </w:t>
                        </w:r>
                        <w:r>
                          <w:rPr>
                            <w:b/>
                            <w:i/>
                            <w:color w:val="374151"/>
                            <w:sz w:val="28"/>
                          </w:rPr>
                          <w:t>Digital</w:t>
                        </w:r>
                        <w:r>
                          <w:rPr>
                            <w:b/>
                            <w:i/>
                            <w:color w:val="374151"/>
                            <w:spacing w:val="-1"/>
                            <w:sz w:val="28"/>
                          </w:rPr>
                          <w:t> </w:t>
                        </w:r>
                        <w:r>
                          <w:rPr>
                            <w:b/>
                            <w:i/>
                            <w:color w:val="374151"/>
                            <w:sz w:val="28"/>
                          </w:rPr>
                          <w:t>and</w:t>
                        </w:r>
                        <w:r>
                          <w:rPr>
                            <w:b/>
                            <w:i/>
                            <w:color w:val="374151"/>
                            <w:spacing w:val="-1"/>
                            <w:sz w:val="28"/>
                          </w:rPr>
                          <w:t> </w:t>
                        </w:r>
                        <w:r>
                          <w:rPr>
                            <w:b/>
                            <w:i/>
                            <w:color w:val="374151"/>
                            <w:sz w:val="28"/>
                          </w:rPr>
                          <w:t>Online</w:t>
                        </w:r>
                        <w:r>
                          <w:rPr>
                            <w:b/>
                            <w:i/>
                            <w:color w:val="374151"/>
                            <w:spacing w:val="-2"/>
                            <w:sz w:val="28"/>
                          </w:rPr>
                          <w:t> </w:t>
                        </w:r>
                        <w:r>
                          <w:rPr>
                            <w:b/>
                            <w:i/>
                            <w:color w:val="374151"/>
                            <w:spacing w:val="-2"/>
                            <w:sz w:val="28"/>
                          </w:rPr>
                          <w:t>Challenges</w:t>
                        </w:r>
                      </w:p>
                    </w:txbxContent>
                  </v:textbox>
                  <v:fill type="solid"/>
                  <w10:wrap type="none"/>
                </v:shape>
                <v:shape style="position:absolute;left:0;top:0;width:3072;height:620" type="#_x0000_t202" id="docshape281" filled="true" fillcolor="#f7f7f8" stroked="false">
                  <v:textbox inset="0,0,0,0">
                    <w:txbxContent>
                      <w:p>
                        <w:pPr>
                          <w:spacing w:line="308" w:lineRule="exact" w:before="0"/>
                          <w:ind w:left="0" w:right="-15" w:firstLine="0"/>
                          <w:jc w:val="left"/>
                          <w:rPr>
                            <w:color w:val="000000"/>
                            <w:sz w:val="28"/>
                          </w:rPr>
                        </w:pPr>
                        <w:r>
                          <w:rPr>
                            <w:color w:val="374151"/>
                            <w:sz w:val="28"/>
                          </w:rPr>
                          <w:t>preventing</w:t>
                        </w:r>
                        <w:r>
                          <w:rPr>
                            <w:color w:val="374151"/>
                            <w:spacing w:val="-2"/>
                            <w:sz w:val="28"/>
                          </w:rPr>
                          <w:t> </w:t>
                        </w:r>
                        <w:r>
                          <w:rPr>
                            <w:color w:val="374151"/>
                            <w:sz w:val="28"/>
                          </w:rPr>
                          <w:t>sexual</w:t>
                        </w:r>
                        <w:r>
                          <w:rPr>
                            <w:color w:val="374151"/>
                            <w:spacing w:val="-2"/>
                            <w:sz w:val="28"/>
                          </w:rPr>
                          <w:t> violence.</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With</w:t>
      </w:r>
      <w:r>
        <w:rPr>
          <w:color w:val="374151"/>
          <w:spacing w:val="-3"/>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increasing</w:t>
      </w:r>
      <w:r>
        <w:rPr>
          <w:color w:val="374151"/>
          <w:spacing w:val="-2"/>
          <w:shd w:fill="F7F7F8" w:color="auto" w:val="clear"/>
        </w:rPr>
        <w:t> </w:t>
      </w:r>
      <w:r>
        <w:rPr>
          <w:color w:val="374151"/>
          <w:shd w:fill="F7F7F8" w:color="auto" w:val="clear"/>
        </w:rPr>
        <w:t>use</w:t>
      </w:r>
      <w:r>
        <w:rPr>
          <w:color w:val="374151"/>
          <w:spacing w:val="-3"/>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technology</w:t>
      </w:r>
      <w:r>
        <w:rPr>
          <w:color w:val="374151"/>
          <w:spacing w:val="-2"/>
          <w:shd w:fill="F7F7F8" w:color="auto" w:val="clear"/>
        </w:rPr>
        <w:t> </w:t>
      </w:r>
      <w:r>
        <w:rPr>
          <w:color w:val="374151"/>
          <w:shd w:fill="F7F7F8" w:color="auto" w:val="clear"/>
        </w:rPr>
        <w:t>in</w:t>
      </w:r>
      <w:r>
        <w:rPr>
          <w:color w:val="374151"/>
          <w:spacing w:val="-2"/>
          <w:shd w:fill="F7F7F8" w:color="auto" w:val="clear"/>
        </w:rPr>
        <w:t> </w:t>
      </w:r>
      <w:r>
        <w:rPr>
          <w:color w:val="374151"/>
          <w:shd w:fill="F7F7F8" w:color="auto" w:val="clear"/>
        </w:rPr>
        <w:t>therapy</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support</w:t>
      </w:r>
      <w:r>
        <w:rPr>
          <w:color w:val="374151"/>
          <w:spacing w:val="-2"/>
          <w:shd w:fill="F7F7F8" w:color="auto" w:val="clear"/>
        </w:rPr>
        <w:t> services,</w:t>
      </w:r>
      <w:r>
        <w:rPr>
          <w:color w:val="374151"/>
          <w:spacing w:val="40"/>
          <w:shd w:fill="F7F7F8" w:color="auto" w:val="clear"/>
        </w:rPr>
        <w:t> </w:t>
      </w:r>
    </w:p>
    <w:p>
      <w:pPr>
        <w:pStyle w:val="BodyText"/>
        <w:spacing w:after="4"/>
        <w:ind w:left="280" w:right="502"/>
      </w:pPr>
      <w:r>
        <w:rPr>
          <w:color w:val="374151"/>
          <w:shd w:fill="F7F7F8" w:color="auto" w:val="clear"/>
        </w:rPr>
        <w:t>therapists must navigate the ethical and practical considerations of digital </w:t>
      </w:r>
      <w:r>
        <w:rPr>
          <w:color w:val="374151"/>
        </w:rPr>
        <w:t> </w:t>
      </w:r>
      <w:r>
        <w:rPr>
          <w:color w:val="374151"/>
          <w:shd w:fill="F7F7F8" w:color="auto" w:val="clear"/>
        </w:rPr>
        <w:t>interventions. Staying updated on privacy regulations, maintaining </w:t>
      </w:r>
      <w:r>
        <w:rPr>
          <w:color w:val="374151"/>
        </w:rPr>
        <w:t> </w:t>
      </w:r>
      <w:r>
        <w:rPr>
          <w:color w:val="374151"/>
          <w:shd w:fill="F7F7F8" w:color="auto" w:val="clear"/>
        </w:rPr>
        <w:t>technological</w:t>
      </w:r>
      <w:r>
        <w:rPr>
          <w:color w:val="374151"/>
          <w:spacing w:val="-5"/>
          <w:shd w:fill="F7F7F8" w:color="auto" w:val="clear"/>
        </w:rPr>
        <w:t> </w:t>
      </w:r>
      <w:r>
        <w:rPr>
          <w:color w:val="374151"/>
          <w:shd w:fill="F7F7F8" w:color="auto" w:val="clear"/>
        </w:rPr>
        <w:t>competence,</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ensuring</w:t>
      </w:r>
      <w:r>
        <w:rPr>
          <w:color w:val="374151"/>
          <w:spacing w:val="-5"/>
          <w:shd w:fill="F7F7F8" w:color="auto" w:val="clear"/>
        </w:rPr>
        <w:t> </w:t>
      </w:r>
      <w:r>
        <w:rPr>
          <w:color w:val="374151"/>
          <w:shd w:fill="F7F7F8" w:color="auto" w:val="clear"/>
        </w:rPr>
        <w:t>informed</w:t>
      </w:r>
      <w:r>
        <w:rPr>
          <w:color w:val="374151"/>
          <w:spacing w:val="-5"/>
          <w:shd w:fill="F7F7F8" w:color="auto" w:val="clear"/>
        </w:rPr>
        <w:t> </w:t>
      </w:r>
      <w:r>
        <w:rPr>
          <w:color w:val="374151"/>
          <w:shd w:fill="F7F7F8" w:color="auto" w:val="clear"/>
        </w:rPr>
        <w:t>consent</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confidentiality</w:t>
      </w:r>
      <w:r>
        <w:rPr>
          <w:color w:val="374151"/>
          <w:spacing w:val="-6"/>
          <w:shd w:fill="F7F7F8" w:color="auto" w:val="clear"/>
        </w:rPr>
        <w:t> </w:t>
      </w:r>
      <w:r>
        <w:rPr>
          <w:color w:val="374151"/>
          <w:spacing w:val="-6"/>
        </w:rPr>
        <w:t> </w:t>
      </w:r>
      <w:r>
        <w:rPr>
          <w:color w:val="374151"/>
          <w:shd w:fill="F7F7F8" w:color="auto" w:val="clear"/>
        </w:rPr>
        <w:t>are crucial when using teletherapy, online support groups, or technology-</w:t>
      </w:r>
    </w:p>
    <w:p>
      <w:pPr>
        <w:pStyle w:val="BodyText"/>
        <w:ind w:left="280"/>
        <w:rPr>
          <w:sz w:val="20"/>
        </w:rPr>
      </w:pPr>
      <w:r>
        <w:rPr>
          <w:sz w:val="20"/>
        </w:rPr>
        <mc:AlternateContent>
          <mc:Choice Requires="wps">
            <w:drawing>
              <wp:inline distT="0" distB="0" distL="0" distR="0">
                <wp:extent cx="3269615" cy="787400"/>
                <wp:effectExtent l="0" t="0" r="0" b="3175"/>
                <wp:docPr id="283" name="Group 283"/>
                <wp:cNvGraphicFramePr>
                  <a:graphicFrameLocks/>
                </wp:cNvGraphicFramePr>
                <a:graphic>
                  <a:graphicData uri="http://schemas.microsoft.com/office/word/2010/wordprocessingGroup">
                    <wpg:wgp>
                      <wpg:cNvPr id="283" name="Group 283"/>
                      <wpg:cNvGrpSpPr/>
                      <wpg:grpSpPr>
                        <a:xfrm>
                          <a:off x="0" y="0"/>
                          <a:ext cx="3269615" cy="787400"/>
                          <a:chExt cx="3269615" cy="787400"/>
                        </a:xfrm>
                      </wpg:grpSpPr>
                      <wps:wsp>
                        <wps:cNvPr id="284" name="Textbox 284"/>
                        <wps:cNvSpPr txBox="1"/>
                        <wps:spPr>
                          <a:xfrm>
                            <a:off x="0" y="393700"/>
                            <a:ext cx="3269615" cy="393700"/>
                          </a:xfrm>
                          <a:prstGeom prst="rect">
                            <a:avLst/>
                          </a:prstGeom>
                          <a:solidFill>
                            <a:srgbClr val="F7F7F8"/>
                          </a:solidFill>
                        </wps:spPr>
                        <wps:txbx>
                          <w:txbxContent>
                            <w:p>
                              <w:pPr>
                                <w:spacing w:line="308" w:lineRule="exact" w:before="0"/>
                                <w:ind w:left="0" w:right="-15" w:firstLine="0"/>
                                <w:jc w:val="left"/>
                                <w:rPr>
                                  <w:b/>
                                  <w:i/>
                                  <w:color w:val="000000"/>
                                  <w:sz w:val="28"/>
                                </w:rPr>
                              </w:pPr>
                              <w:r>
                                <w:rPr>
                                  <w:b/>
                                  <w:i/>
                                  <w:color w:val="374151"/>
                                  <w:sz w:val="28"/>
                                </w:rPr>
                                <w:t>Culturally</w:t>
                              </w:r>
                              <w:r>
                                <w:rPr>
                                  <w:b/>
                                  <w:i/>
                                  <w:color w:val="374151"/>
                                  <w:spacing w:val="-5"/>
                                  <w:sz w:val="28"/>
                                </w:rPr>
                                <w:t> </w:t>
                              </w:r>
                              <w:r>
                                <w:rPr>
                                  <w:b/>
                                  <w:i/>
                                  <w:color w:val="374151"/>
                                  <w:sz w:val="28"/>
                                </w:rPr>
                                <w:t>Competent</w:t>
                              </w:r>
                              <w:r>
                                <w:rPr>
                                  <w:b/>
                                  <w:i/>
                                  <w:color w:val="374151"/>
                                  <w:spacing w:val="-1"/>
                                  <w:sz w:val="28"/>
                                </w:rPr>
                                <w:t> </w:t>
                              </w:r>
                              <w:r>
                                <w:rPr>
                                  <w:b/>
                                  <w:i/>
                                  <w:color w:val="374151"/>
                                  <w:sz w:val="28"/>
                                </w:rPr>
                                <w:t>and</w:t>
                              </w:r>
                              <w:r>
                                <w:rPr>
                                  <w:b/>
                                  <w:i/>
                                  <w:color w:val="374151"/>
                                  <w:spacing w:val="-2"/>
                                  <w:sz w:val="28"/>
                                </w:rPr>
                                <w:t> </w:t>
                              </w:r>
                              <w:r>
                                <w:rPr>
                                  <w:b/>
                                  <w:i/>
                                  <w:color w:val="374151"/>
                                  <w:sz w:val="28"/>
                                </w:rPr>
                                <w:t>Inclusive</w:t>
                              </w:r>
                              <w:r>
                                <w:rPr>
                                  <w:b/>
                                  <w:i/>
                                  <w:color w:val="374151"/>
                                  <w:spacing w:val="-2"/>
                                  <w:sz w:val="28"/>
                                </w:rPr>
                                <w:t> Practice</w:t>
                              </w:r>
                            </w:p>
                          </w:txbxContent>
                        </wps:txbx>
                        <wps:bodyPr wrap="square" lIns="0" tIns="0" rIns="0" bIns="0" rtlCol="0">
                          <a:noAutofit/>
                        </wps:bodyPr>
                      </wps:wsp>
                      <wps:wsp>
                        <wps:cNvPr id="285" name="Textbox 285"/>
                        <wps:cNvSpPr txBox="1"/>
                        <wps:spPr>
                          <a:xfrm>
                            <a:off x="0" y="0"/>
                            <a:ext cx="157035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assisted</w:t>
                              </w:r>
                              <w:r>
                                <w:rPr>
                                  <w:color w:val="374151"/>
                                  <w:spacing w:val="-2"/>
                                  <w:sz w:val="28"/>
                                </w:rPr>
                                <w:t> interventions.</w:t>
                              </w:r>
                            </w:p>
                          </w:txbxContent>
                        </wps:txbx>
                        <wps:bodyPr wrap="square" lIns="0" tIns="0" rIns="0" bIns="0" rtlCol="0">
                          <a:noAutofit/>
                        </wps:bodyPr>
                      </wps:wsp>
                    </wpg:wgp>
                  </a:graphicData>
                </a:graphic>
              </wp:inline>
            </w:drawing>
          </mc:Choice>
          <mc:Fallback>
            <w:pict>
              <v:group style="width:257.45pt;height:62pt;mso-position-horizontal-relative:char;mso-position-vertical-relative:line" id="docshapegroup282" coordorigin="0,0" coordsize="5149,1240">
                <v:shape style="position:absolute;left:0;top:620;width:5149;height:620" type="#_x0000_t202" id="docshape283" filled="true" fillcolor="#f7f7f8" stroked="false">
                  <v:textbox inset="0,0,0,0">
                    <w:txbxContent>
                      <w:p>
                        <w:pPr>
                          <w:spacing w:line="308" w:lineRule="exact" w:before="0"/>
                          <w:ind w:left="0" w:right="-15" w:firstLine="0"/>
                          <w:jc w:val="left"/>
                          <w:rPr>
                            <w:b/>
                            <w:i/>
                            <w:color w:val="000000"/>
                            <w:sz w:val="28"/>
                          </w:rPr>
                        </w:pPr>
                        <w:r>
                          <w:rPr>
                            <w:b/>
                            <w:i/>
                            <w:color w:val="374151"/>
                            <w:sz w:val="28"/>
                          </w:rPr>
                          <w:t>Culturally</w:t>
                        </w:r>
                        <w:r>
                          <w:rPr>
                            <w:b/>
                            <w:i/>
                            <w:color w:val="374151"/>
                            <w:spacing w:val="-5"/>
                            <w:sz w:val="28"/>
                          </w:rPr>
                          <w:t> </w:t>
                        </w:r>
                        <w:r>
                          <w:rPr>
                            <w:b/>
                            <w:i/>
                            <w:color w:val="374151"/>
                            <w:sz w:val="28"/>
                          </w:rPr>
                          <w:t>Competent</w:t>
                        </w:r>
                        <w:r>
                          <w:rPr>
                            <w:b/>
                            <w:i/>
                            <w:color w:val="374151"/>
                            <w:spacing w:val="-1"/>
                            <w:sz w:val="28"/>
                          </w:rPr>
                          <w:t> </w:t>
                        </w:r>
                        <w:r>
                          <w:rPr>
                            <w:b/>
                            <w:i/>
                            <w:color w:val="374151"/>
                            <w:sz w:val="28"/>
                          </w:rPr>
                          <w:t>and</w:t>
                        </w:r>
                        <w:r>
                          <w:rPr>
                            <w:b/>
                            <w:i/>
                            <w:color w:val="374151"/>
                            <w:spacing w:val="-2"/>
                            <w:sz w:val="28"/>
                          </w:rPr>
                          <w:t> </w:t>
                        </w:r>
                        <w:r>
                          <w:rPr>
                            <w:b/>
                            <w:i/>
                            <w:color w:val="374151"/>
                            <w:sz w:val="28"/>
                          </w:rPr>
                          <w:t>Inclusive</w:t>
                        </w:r>
                        <w:r>
                          <w:rPr>
                            <w:b/>
                            <w:i/>
                            <w:color w:val="374151"/>
                            <w:spacing w:val="-2"/>
                            <w:sz w:val="28"/>
                          </w:rPr>
                          <w:t> Practice</w:t>
                        </w:r>
                      </w:p>
                    </w:txbxContent>
                  </v:textbox>
                  <v:fill type="solid"/>
                  <w10:wrap type="none"/>
                </v:shape>
                <v:shape style="position:absolute;left:0;top:0;width:2473;height:620" type="#_x0000_t202" id="docshape284" filled="true" fillcolor="#f7f7f8" stroked="false">
                  <v:textbox inset="0,0,0,0">
                    <w:txbxContent>
                      <w:p>
                        <w:pPr>
                          <w:spacing w:line="308" w:lineRule="exact" w:before="0"/>
                          <w:ind w:left="0" w:right="-15" w:firstLine="0"/>
                          <w:jc w:val="left"/>
                          <w:rPr>
                            <w:color w:val="000000"/>
                            <w:sz w:val="28"/>
                          </w:rPr>
                        </w:pPr>
                        <w:r>
                          <w:rPr>
                            <w:color w:val="374151"/>
                            <w:sz w:val="28"/>
                          </w:rPr>
                          <w:t>assisted</w:t>
                        </w:r>
                        <w:r>
                          <w:rPr>
                            <w:color w:val="374151"/>
                            <w:spacing w:val="-2"/>
                            <w:sz w:val="28"/>
                          </w:rPr>
                          <w:t> interventions.</w:t>
                        </w:r>
                      </w:p>
                    </w:txbxContent>
                  </v:textbox>
                  <v:fill type="solid"/>
                  <w10:wrap type="none"/>
                </v:shape>
              </v:group>
            </w:pict>
          </mc:Fallback>
        </mc:AlternateContent>
      </w:r>
      <w:r>
        <w:rPr>
          <w:sz w:val="20"/>
        </w:rPr>
      </w:r>
    </w:p>
    <w:p>
      <w:pPr>
        <w:pStyle w:val="BodyText"/>
        <w:spacing w:line="297" w:lineRule="exact"/>
        <w:ind w:left="280"/>
        <w:jc w:val="both"/>
      </w:pPr>
      <w:r>
        <w:rPr>
          <w:color w:val="374151"/>
          <w:shd w:fill="F7F7F8" w:color="auto" w:val="clear"/>
        </w:rPr>
        <w:t>Therapists</w:t>
      </w:r>
      <w:r>
        <w:rPr>
          <w:color w:val="374151"/>
          <w:spacing w:val="-4"/>
          <w:shd w:fill="F7F7F8" w:color="auto" w:val="clear"/>
        </w:rPr>
        <w:t> </w:t>
      </w:r>
      <w:r>
        <w:rPr>
          <w:color w:val="374151"/>
          <w:shd w:fill="F7F7F8" w:color="auto" w:val="clear"/>
        </w:rPr>
        <w:t>should</w:t>
      </w:r>
      <w:r>
        <w:rPr>
          <w:color w:val="374151"/>
          <w:spacing w:val="-1"/>
          <w:shd w:fill="F7F7F8" w:color="auto" w:val="clear"/>
        </w:rPr>
        <w:t> </w:t>
      </w:r>
      <w:r>
        <w:rPr>
          <w:color w:val="374151"/>
          <w:shd w:fill="F7F7F8" w:color="auto" w:val="clear"/>
        </w:rPr>
        <w:t>strive</w:t>
      </w:r>
      <w:r>
        <w:rPr>
          <w:color w:val="374151"/>
          <w:spacing w:val="-2"/>
          <w:shd w:fill="F7F7F8" w:color="auto" w:val="clear"/>
        </w:rPr>
        <w:t> </w:t>
      </w:r>
      <w:r>
        <w:rPr>
          <w:color w:val="374151"/>
          <w:shd w:fill="F7F7F8" w:color="auto" w:val="clear"/>
        </w:rPr>
        <w:t>for</w:t>
      </w:r>
      <w:r>
        <w:rPr>
          <w:color w:val="374151"/>
          <w:spacing w:val="-2"/>
          <w:shd w:fill="F7F7F8" w:color="auto" w:val="clear"/>
        </w:rPr>
        <w:t> </w:t>
      </w:r>
      <w:r>
        <w:rPr>
          <w:color w:val="374151"/>
          <w:shd w:fill="F7F7F8" w:color="auto" w:val="clear"/>
        </w:rPr>
        <w:t>cultural</w:t>
      </w:r>
      <w:r>
        <w:rPr>
          <w:color w:val="374151"/>
          <w:spacing w:val="-1"/>
          <w:shd w:fill="F7F7F8" w:color="auto" w:val="clear"/>
        </w:rPr>
        <w:t> </w:t>
      </w:r>
      <w:r>
        <w:rPr>
          <w:color w:val="374151"/>
          <w:shd w:fill="F7F7F8" w:color="auto" w:val="clear"/>
        </w:rPr>
        <w:t>competence</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inclusivity</w:t>
      </w:r>
      <w:r>
        <w:rPr>
          <w:color w:val="374151"/>
          <w:spacing w:val="-1"/>
          <w:shd w:fill="F7F7F8" w:color="auto" w:val="clear"/>
        </w:rPr>
        <w:t> </w:t>
      </w:r>
      <w:r>
        <w:rPr>
          <w:color w:val="374151"/>
          <w:shd w:fill="F7F7F8" w:color="auto" w:val="clear"/>
        </w:rPr>
        <w:t>in</w:t>
      </w:r>
      <w:r>
        <w:rPr>
          <w:color w:val="374151"/>
          <w:spacing w:val="-1"/>
          <w:shd w:fill="F7F7F8" w:color="auto" w:val="clear"/>
        </w:rPr>
        <w:t> </w:t>
      </w:r>
      <w:r>
        <w:rPr>
          <w:color w:val="374151"/>
          <w:spacing w:val="-2"/>
          <w:shd w:fill="F7F7F8" w:color="auto" w:val="clear"/>
        </w:rPr>
        <w:t>their</w:t>
      </w:r>
      <w:r>
        <w:rPr>
          <w:color w:val="374151"/>
          <w:spacing w:val="40"/>
          <w:shd w:fill="F7F7F8" w:color="auto" w:val="clear"/>
        </w:rPr>
        <w:t> </w:t>
      </w:r>
    </w:p>
    <w:p>
      <w:pPr>
        <w:pStyle w:val="BodyText"/>
        <w:spacing w:after="7"/>
        <w:ind w:left="280" w:right="519"/>
        <w:jc w:val="both"/>
      </w:pPr>
      <w:r>
        <w:rPr>
          <w:color w:val="374151"/>
          <w:shd w:fill="F7F7F8" w:color="auto" w:val="clear"/>
        </w:rPr>
        <w:t>practice.</w:t>
      </w:r>
      <w:r>
        <w:rPr>
          <w:color w:val="374151"/>
          <w:spacing w:val="-10"/>
          <w:shd w:fill="F7F7F8" w:color="auto" w:val="clear"/>
        </w:rPr>
        <w:t> </w:t>
      </w:r>
      <w:r>
        <w:rPr>
          <w:color w:val="374151"/>
          <w:shd w:fill="F7F7F8" w:color="auto" w:val="clear"/>
        </w:rPr>
        <w:t>This</w:t>
      </w:r>
      <w:r>
        <w:rPr>
          <w:color w:val="374151"/>
          <w:spacing w:val="-5"/>
          <w:shd w:fill="F7F7F8" w:color="auto" w:val="clear"/>
        </w:rPr>
        <w:t> </w:t>
      </w:r>
      <w:r>
        <w:rPr>
          <w:color w:val="374151"/>
          <w:shd w:fill="F7F7F8" w:color="auto" w:val="clear"/>
        </w:rPr>
        <w:t>includes</w:t>
      </w:r>
      <w:r>
        <w:rPr>
          <w:color w:val="374151"/>
          <w:spacing w:val="-5"/>
          <w:shd w:fill="F7F7F8" w:color="auto" w:val="clear"/>
        </w:rPr>
        <w:t> </w:t>
      </w:r>
      <w:r>
        <w:rPr>
          <w:color w:val="374151"/>
          <w:shd w:fill="F7F7F8" w:color="auto" w:val="clear"/>
        </w:rPr>
        <w:t>ongoing</w:t>
      </w:r>
      <w:r>
        <w:rPr>
          <w:color w:val="374151"/>
          <w:spacing w:val="-5"/>
          <w:shd w:fill="F7F7F8" w:color="auto" w:val="clear"/>
        </w:rPr>
        <w:t> </w:t>
      </w:r>
      <w:r>
        <w:rPr>
          <w:color w:val="374151"/>
          <w:shd w:fill="F7F7F8" w:color="auto" w:val="clear"/>
        </w:rPr>
        <w:t>self-reflection,</w:t>
      </w:r>
      <w:r>
        <w:rPr>
          <w:color w:val="374151"/>
          <w:spacing w:val="-5"/>
          <w:shd w:fill="F7F7F8" w:color="auto" w:val="clear"/>
        </w:rPr>
        <w:t> </w:t>
      </w:r>
      <w:r>
        <w:rPr>
          <w:color w:val="374151"/>
          <w:shd w:fill="F7F7F8" w:color="auto" w:val="clear"/>
        </w:rPr>
        <w:t>education,</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awareness</w:t>
      </w:r>
      <w:r>
        <w:rPr>
          <w:color w:val="374151"/>
          <w:spacing w:val="-5"/>
          <w:shd w:fill="F7F7F8" w:color="auto" w:val="clear"/>
        </w:rPr>
        <w:t> </w:t>
      </w:r>
      <w:r>
        <w:rPr>
          <w:color w:val="374151"/>
          <w:shd w:fill="F7F7F8" w:color="auto" w:val="clear"/>
        </w:rPr>
        <w:t>of</w:t>
      </w:r>
      <w:r>
        <w:rPr>
          <w:color w:val="374151"/>
          <w:spacing w:val="-5"/>
          <w:shd w:fill="F7F7F8" w:color="auto" w:val="clear"/>
        </w:rPr>
        <w:t> </w:t>
      </w:r>
      <w:r>
        <w:rPr>
          <w:color w:val="374151"/>
          <w:shd w:fill="F7F7F8" w:color="auto" w:val="clear"/>
        </w:rPr>
        <w:t>the</w:t>
      </w:r>
      <w:r>
        <w:rPr>
          <w:color w:val="374151"/>
        </w:rPr>
        <w:t> </w:t>
      </w:r>
      <w:r>
        <w:rPr>
          <w:color w:val="374151"/>
          <w:shd w:fill="F7F7F8" w:color="auto" w:val="clear"/>
        </w:rPr>
        <w:t>unique experiences and needs of survivors from diverse cultural backgrounds. </w:t>
      </w:r>
      <w:r>
        <w:rPr>
          <w:color w:val="374151"/>
        </w:rPr>
        <w:t> </w:t>
      </w:r>
      <w:r>
        <w:rPr>
          <w:color w:val="374151"/>
          <w:shd w:fill="F7F7F8" w:color="auto" w:val="clear"/>
        </w:rPr>
        <w:t>It is essential to create a safe and welcoming environment for all survivors,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249295" cy="787400"/>
                <wp:effectExtent l="0" t="0" r="0" b="3175"/>
                <wp:docPr id="286" name="Group 286"/>
                <wp:cNvGraphicFramePr>
                  <a:graphicFrameLocks/>
                </wp:cNvGraphicFramePr>
                <a:graphic>
                  <a:graphicData uri="http://schemas.microsoft.com/office/word/2010/wordprocessingGroup">
                    <wpg:wgp>
                      <wpg:cNvPr id="286" name="Group 286"/>
                      <wpg:cNvGrpSpPr/>
                      <wpg:grpSpPr>
                        <a:xfrm>
                          <a:off x="0" y="0"/>
                          <a:ext cx="3249295" cy="787400"/>
                          <a:chExt cx="3249295" cy="787400"/>
                        </a:xfrm>
                      </wpg:grpSpPr>
                      <wps:wsp>
                        <wps:cNvPr id="287" name="Textbox 287"/>
                        <wps:cNvSpPr txBox="1"/>
                        <wps:spPr>
                          <a:xfrm>
                            <a:off x="0" y="393700"/>
                            <a:ext cx="840105" cy="393700"/>
                          </a:xfrm>
                          <a:prstGeom prst="rect">
                            <a:avLst/>
                          </a:prstGeom>
                          <a:solidFill>
                            <a:srgbClr val="F7F7F8"/>
                          </a:solidFill>
                        </wps:spPr>
                        <wps:txbx>
                          <w:txbxContent>
                            <w:p>
                              <w:pPr>
                                <w:spacing w:line="308" w:lineRule="exact" w:before="0"/>
                                <w:ind w:left="0" w:right="0" w:firstLine="0"/>
                                <w:jc w:val="left"/>
                                <w:rPr>
                                  <w:b/>
                                  <w:i/>
                                  <w:color w:val="000000"/>
                                  <w:sz w:val="28"/>
                                </w:rPr>
                              </w:pPr>
                              <w:r>
                                <w:rPr>
                                  <w:b/>
                                  <w:i/>
                                  <w:color w:val="374151"/>
                                  <w:spacing w:val="-2"/>
                                  <w:sz w:val="28"/>
                                </w:rPr>
                                <w:t>Conclusion</w:t>
                              </w:r>
                            </w:p>
                          </w:txbxContent>
                        </wps:txbx>
                        <wps:bodyPr wrap="square" lIns="0" tIns="0" rIns="0" bIns="0" rtlCol="0">
                          <a:noAutofit/>
                        </wps:bodyPr>
                      </wps:wsp>
                      <wps:wsp>
                        <wps:cNvPr id="288" name="Textbox 288"/>
                        <wps:cNvSpPr txBox="1"/>
                        <wps:spPr>
                          <a:xfrm>
                            <a:off x="0" y="0"/>
                            <a:ext cx="324929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respecting</w:t>
                              </w:r>
                              <w:r>
                                <w:rPr>
                                  <w:color w:val="374151"/>
                                  <w:spacing w:val="-2"/>
                                  <w:sz w:val="28"/>
                                </w:rPr>
                                <w:t> </w:t>
                              </w:r>
                              <w:r>
                                <w:rPr>
                                  <w:color w:val="374151"/>
                                  <w:sz w:val="28"/>
                                </w:rPr>
                                <w:t>their</w:t>
                              </w:r>
                              <w:r>
                                <w:rPr>
                                  <w:color w:val="374151"/>
                                  <w:spacing w:val="-2"/>
                                  <w:sz w:val="28"/>
                                </w:rPr>
                                <w:t> </w:t>
                              </w:r>
                              <w:r>
                                <w:rPr>
                                  <w:color w:val="374151"/>
                                  <w:sz w:val="28"/>
                                </w:rPr>
                                <w:t>identities,</w:t>
                              </w:r>
                              <w:r>
                                <w:rPr>
                                  <w:color w:val="374151"/>
                                  <w:spacing w:val="-2"/>
                                  <w:sz w:val="28"/>
                                </w:rPr>
                                <w:t> </w:t>
                              </w:r>
                              <w:r>
                                <w:rPr>
                                  <w:color w:val="374151"/>
                                  <w:sz w:val="28"/>
                                </w:rPr>
                                <w:t>beliefs,</w:t>
                              </w:r>
                              <w:r>
                                <w:rPr>
                                  <w:color w:val="374151"/>
                                  <w:spacing w:val="-2"/>
                                  <w:sz w:val="28"/>
                                </w:rPr>
                                <w:t> </w:t>
                              </w:r>
                              <w:r>
                                <w:rPr>
                                  <w:color w:val="374151"/>
                                  <w:sz w:val="28"/>
                                </w:rPr>
                                <w:t>and</w:t>
                              </w:r>
                              <w:r>
                                <w:rPr>
                                  <w:color w:val="374151"/>
                                  <w:spacing w:val="-2"/>
                                  <w:sz w:val="28"/>
                                </w:rPr>
                                <w:t> values.</w:t>
                              </w:r>
                            </w:p>
                          </w:txbxContent>
                        </wps:txbx>
                        <wps:bodyPr wrap="square" lIns="0" tIns="0" rIns="0" bIns="0" rtlCol="0">
                          <a:noAutofit/>
                        </wps:bodyPr>
                      </wps:wsp>
                    </wpg:wgp>
                  </a:graphicData>
                </a:graphic>
              </wp:inline>
            </w:drawing>
          </mc:Choice>
          <mc:Fallback>
            <w:pict>
              <v:group style="width:255.85pt;height:62pt;mso-position-horizontal-relative:char;mso-position-vertical-relative:line" id="docshapegroup285" coordorigin="0,0" coordsize="5117,1240">
                <v:shape style="position:absolute;left:0;top:620;width:1323;height:620" type="#_x0000_t202" id="docshape286" filled="true" fillcolor="#f7f7f8" stroked="false">
                  <v:textbox inset="0,0,0,0">
                    <w:txbxContent>
                      <w:p>
                        <w:pPr>
                          <w:spacing w:line="308" w:lineRule="exact" w:before="0"/>
                          <w:ind w:left="0" w:right="0" w:firstLine="0"/>
                          <w:jc w:val="left"/>
                          <w:rPr>
                            <w:b/>
                            <w:i/>
                            <w:color w:val="000000"/>
                            <w:sz w:val="28"/>
                          </w:rPr>
                        </w:pPr>
                        <w:r>
                          <w:rPr>
                            <w:b/>
                            <w:i/>
                            <w:color w:val="374151"/>
                            <w:spacing w:val="-2"/>
                            <w:sz w:val="28"/>
                          </w:rPr>
                          <w:t>Conclusion</w:t>
                        </w:r>
                      </w:p>
                    </w:txbxContent>
                  </v:textbox>
                  <v:fill type="solid"/>
                  <w10:wrap type="none"/>
                </v:shape>
                <v:shape style="position:absolute;left:0;top:0;width:5117;height:620" type="#_x0000_t202" id="docshape287" filled="true" fillcolor="#f7f7f8" stroked="false">
                  <v:textbox inset="0,0,0,0">
                    <w:txbxContent>
                      <w:p>
                        <w:pPr>
                          <w:spacing w:line="308" w:lineRule="exact" w:before="0"/>
                          <w:ind w:left="0" w:right="-15" w:firstLine="0"/>
                          <w:jc w:val="left"/>
                          <w:rPr>
                            <w:color w:val="000000"/>
                            <w:sz w:val="28"/>
                          </w:rPr>
                        </w:pPr>
                        <w:r>
                          <w:rPr>
                            <w:color w:val="374151"/>
                            <w:sz w:val="28"/>
                          </w:rPr>
                          <w:t>respecting</w:t>
                        </w:r>
                        <w:r>
                          <w:rPr>
                            <w:color w:val="374151"/>
                            <w:spacing w:val="-2"/>
                            <w:sz w:val="28"/>
                          </w:rPr>
                          <w:t> </w:t>
                        </w:r>
                        <w:r>
                          <w:rPr>
                            <w:color w:val="374151"/>
                            <w:sz w:val="28"/>
                          </w:rPr>
                          <w:t>their</w:t>
                        </w:r>
                        <w:r>
                          <w:rPr>
                            <w:color w:val="374151"/>
                            <w:spacing w:val="-2"/>
                            <w:sz w:val="28"/>
                          </w:rPr>
                          <w:t> </w:t>
                        </w:r>
                        <w:r>
                          <w:rPr>
                            <w:color w:val="374151"/>
                            <w:sz w:val="28"/>
                          </w:rPr>
                          <w:t>identities,</w:t>
                        </w:r>
                        <w:r>
                          <w:rPr>
                            <w:color w:val="374151"/>
                            <w:spacing w:val="-2"/>
                            <w:sz w:val="28"/>
                          </w:rPr>
                          <w:t> </w:t>
                        </w:r>
                        <w:r>
                          <w:rPr>
                            <w:color w:val="374151"/>
                            <w:sz w:val="28"/>
                          </w:rPr>
                          <w:t>beliefs,</w:t>
                        </w:r>
                        <w:r>
                          <w:rPr>
                            <w:color w:val="374151"/>
                            <w:spacing w:val="-2"/>
                            <w:sz w:val="28"/>
                          </w:rPr>
                          <w:t> </w:t>
                        </w:r>
                        <w:r>
                          <w:rPr>
                            <w:color w:val="374151"/>
                            <w:sz w:val="28"/>
                          </w:rPr>
                          <w:t>and</w:t>
                        </w:r>
                        <w:r>
                          <w:rPr>
                            <w:color w:val="374151"/>
                            <w:spacing w:val="-2"/>
                            <w:sz w:val="28"/>
                          </w:rPr>
                          <w:t> values.</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The</w:t>
      </w:r>
      <w:r>
        <w:rPr>
          <w:color w:val="374151"/>
          <w:spacing w:val="-5"/>
          <w:shd w:fill="F7F7F8" w:color="auto" w:val="clear"/>
        </w:rPr>
        <w:t> </w:t>
      </w:r>
      <w:r>
        <w:rPr>
          <w:color w:val="374151"/>
          <w:shd w:fill="F7F7F8" w:color="auto" w:val="clear"/>
        </w:rPr>
        <w:t>assessment</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treatment</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sexual</w:t>
      </w:r>
      <w:r>
        <w:rPr>
          <w:color w:val="374151"/>
          <w:spacing w:val="-2"/>
          <w:shd w:fill="F7F7F8" w:color="auto" w:val="clear"/>
        </w:rPr>
        <w:t> </w:t>
      </w:r>
      <w:r>
        <w:rPr>
          <w:color w:val="374151"/>
          <w:shd w:fill="F7F7F8" w:color="auto" w:val="clear"/>
        </w:rPr>
        <w:t>violence</w:t>
      </w:r>
      <w:r>
        <w:rPr>
          <w:color w:val="374151"/>
          <w:spacing w:val="-2"/>
          <w:shd w:fill="F7F7F8" w:color="auto" w:val="clear"/>
        </w:rPr>
        <w:t> </w:t>
      </w:r>
      <w:r>
        <w:rPr>
          <w:color w:val="374151"/>
          <w:shd w:fill="F7F7F8" w:color="auto" w:val="clear"/>
        </w:rPr>
        <w:t>require</w:t>
      </w:r>
      <w:r>
        <w:rPr>
          <w:color w:val="374151"/>
          <w:spacing w:val="-3"/>
          <w:shd w:fill="F7F7F8" w:color="auto" w:val="clear"/>
        </w:rPr>
        <w:t> </w:t>
      </w:r>
      <w:r>
        <w:rPr>
          <w:color w:val="374151"/>
          <w:shd w:fill="F7F7F8" w:color="auto" w:val="clear"/>
        </w:rPr>
        <w:t>a</w:t>
      </w:r>
      <w:r>
        <w:rPr>
          <w:color w:val="374151"/>
          <w:spacing w:val="-3"/>
          <w:shd w:fill="F7F7F8" w:color="auto" w:val="clear"/>
        </w:rPr>
        <w:t> </w:t>
      </w:r>
      <w:r>
        <w:rPr>
          <w:color w:val="374151"/>
          <w:shd w:fill="F7F7F8" w:color="auto" w:val="clear"/>
        </w:rPr>
        <w:t>comprehensive</w:t>
      </w:r>
      <w:r>
        <w:rPr>
          <w:color w:val="374151"/>
          <w:spacing w:val="-2"/>
          <w:shd w:fill="F7F7F8" w:color="auto" w:val="clear"/>
        </w:rPr>
        <w:t> </w:t>
      </w:r>
      <w:r>
        <w:rPr>
          <w:color w:val="374151"/>
          <w:spacing w:val="-5"/>
          <w:shd w:fill="F7F7F8" w:color="auto" w:val="clear"/>
        </w:rPr>
        <w:t>and</w:t>
      </w:r>
      <w:r>
        <w:rPr>
          <w:color w:val="374151"/>
          <w:spacing w:val="40"/>
          <w:shd w:fill="F7F7F8" w:color="auto" w:val="clear"/>
        </w:rPr>
        <w:t> </w:t>
      </w:r>
    </w:p>
    <w:p>
      <w:pPr>
        <w:pStyle w:val="BodyText"/>
        <w:ind w:left="280" w:right="581"/>
      </w:pPr>
      <w:r>
        <w:rPr>
          <w:color w:val="374151"/>
          <w:shd w:fill="F7F7F8" w:color="auto" w:val="clear"/>
        </w:rPr>
        <w:t>multidimensional approach that acknowledges the complexity and </w:t>
      </w:r>
      <w:r>
        <w:rPr>
          <w:color w:val="374151"/>
        </w:rPr>
        <w:t> </w:t>
      </w:r>
      <w:r>
        <w:rPr>
          <w:color w:val="374151"/>
          <w:shd w:fill="F7F7F8" w:color="auto" w:val="clear"/>
        </w:rPr>
        <w:t>individuality of survivors' experiences. Licensed mental health therapists play</w:t>
      </w:r>
      <w:r>
        <w:rPr>
          <w:color w:val="374151"/>
          <w:spacing w:val="40"/>
          <w:shd w:fill="F7F7F8" w:color="auto" w:val="clear"/>
        </w:rPr>
        <w:t> </w:t>
      </w:r>
    </w:p>
    <w:p>
      <w:pPr>
        <w:spacing w:after="0"/>
        <w:sectPr>
          <w:pgSz w:w="12240" w:h="15840"/>
          <w:pgMar w:header="0" w:footer="765" w:top="134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53376">
                <wp:simplePos x="0" y="0"/>
                <wp:positionH relativeFrom="page">
                  <wp:posOffset>1066800</wp:posOffset>
                </wp:positionH>
                <wp:positionV relativeFrom="paragraph">
                  <wp:posOffset>251357</wp:posOffset>
                </wp:positionV>
                <wp:extent cx="3768090" cy="393700"/>
                <wp:effectExtent l="0" t="0" r="0" b="0"/>
                <wp:wrapTopAndBottom/>
                <wp:docPr id="289" name="Textbox 289"/>
                <wp:cNvGraphicFramePr>
                  <a:graphicFrameLocks/>
                </wp:cNvGraphicFramePr>
                <a:graphic>
                  <a:graphicData uri="http://schemas.microsoft.com/office/word/2010/wordprocessingShape">
                    <wps:wsp>
                      <wps:cNvPr id="289" name="Textbox 289"/>
                      <wps:cNvSpPr txBox="1"/>
                      <wps:spPr>
                        <a:xfrm>
                          <a:off x="0" y="0"/>
                          <a:ext cx="3768090" cy="393700"/>
                        </a:xfrm>
                        <a:prstGeom prst="rect">
                          <a:avLst/>
                        </a:prstGeom>
                        <a:solidFill>
                          <a:srgbClr val="F7F7F8"/>
                        </a:solidFill>
                      </wps:spPr>
                      <wps:txbx>
                        <w:txbxContent>
                          <w:p>
                            <w:pPr>
                              <w:pStyle w:val="BodyText"/>
                              <w:spacing w:line="308" w:lineRule="exact"/>
                              <w:ind w:right="-15"/>
                              <w:rPr>
                                <w:color w:val="000000"/>
                              </w:rPr>
                            </w:pPr>
                            <w:r>
                              <w:rPr>
                                <w:color w:val="374151"/>
                              </w:rPr>
                              <w:t>survivors,</w:t>
                            </w:r>
                            <w:r>
                              <w:rPr>
                                <w:color w:val="374151"/>
                                <w:spacing w:val="-2"/>
                              </w:rPr>
                              <w:t> </w:t>
                            </w:r>
                            <w:r>
                              <w:rPr>
                                <w:color w:val="374151"/>
                              </w:rPr>
                              <w:t>and</w:t>
                            </w:r>
                            <w:r>
                              <w:rPr>
                                <w:color w:val="374151"/>
                                <w:spacing w:val="-1"/>
                              </w:rPr>
                              <w:t> </w:t>
                            </w:r>
                            <w:r>
                              <w:rPr>
                                <w:color w:val="374151"/>
                              </w:rPr>
                              <w:t>promoting</w:t>
                            </w:r>
                            <w:r>
                              <w:rPr>
                                <w:color w:val="374151"/>
                                <w:spacing w:val="-2"/>
                              </w:rPr>
                              <w:t> </w:t>
                            </w:r>
                            <w:r>
                              <w:rPr>
                                <w:color w:val="374151"/>
                              </w:rPr>
                              <w:t>healing</w:t>
                            </w:r>
                            <w:r>
                              <w:rPr>
                                <w:color w:val="374151"/>
                                <w:spacing w:val="-1"/>
                              </w:rPr>
                              <w:t> </w:t>
                            </w:r>
                            <w:r>
                              <w:rPr>
                                <w:color w:val="374151"/>
                              </w:rPr>
                              <w:t>and</w:t>
                            </w:r>
                            <w:r>
                              <w:rPr>
                                <w:color w:val="374151"/>
                                <w:spacing w:val="-1"/>
                              </w:rPr>
                              <w:t> </w:t>
                            </w:r>
                            <w:r>
                              <w:rPr>
                                <w:color w:val="374151"/>
                                <w:spacing w:val="-2"/>
                              </w:rPr>
                              <w:t>empowerment.</w:t>
                            </w:r>
                          </w:p>
                        </w:txbxContent>
                      </wps:txbx>
                      <wps:bodyPr wrap="square" lIns="0" tIns="0" rIns="0" bIns="0" rtlCol="0">
                        <a:noAutofit/>
                      </wps:bodyPr>
                    </wps:wsp>
                  </a:graphicData>
                </a:graphic>
              </wp:anchor>
            </w:drawing>
          </mc:Choice>
          <mc:Fallback>
            <w:pict>
              <v:shape style="position:absolute;margin-left:84pt;margin-top:19.791931pt;width:296.7pt;height:31pt;mso-position-horizontal-relative:page;mso-position-vertical-relative:paragraph;z-index:-15663104;mso-wrap-distance-left:0;mso-wrap-distance-right:0" type="#_x0000_t202" id="docshape288" filled="true" fillcolor="#f7f7f8" stroked="false">
                <v:textbox inset="0,0,0,0">
                  <w:txbxContent>
                    <w:p>
                      <w:pPr>
                        <w:pStyle w:val="BodyText"/>
                        <w:spacing w:line="308" w:lineRule="exact"/>
                        <w:ind w:right="-15"/>
                        <w:rPr>
                          <w:color w:val="000000"/>
                        </w:rPr>
                      </w:pPr>
                      <w:r>
                        <w:rPr>
                          <w:color w:val="374151"/>
                        </w:rPr>
                        <w:t>survivors,</w:t>
                      </w:r>
                      <w:r>
                        <w:rPr>
                          <w:color w:val="374151"/>
                          <w:spacing w:val="-2"/>
                        </w:rPr>
                        <w:t> </w:t>
                      </w:r>
                      <w:r>
                        <w:rPr>
                          <w:color w:val="374151"/>
                        </w:rPr>
                        <w:t>and</w:t>
                      </w:r>
                      <w:r>
                        <w:rPr>
                          <w:color w:val="374151"/>
                          <w:spacing w:val="-1"/>
                        </w:rPr>
                        <w:t> </w:t>
                      </w:r>
                      <w:r>
                        <w:rPr>
                          <w:color w:val="374151"/>
                        </w:rPr>
                        <w:t>promoting</w:t>
                      </w:r>
                      <w:r>
                        <w:rPr>
                          <w:color w:val="374151"/>
                          <w:spacing w:val="-2"/>
                        </w:rPr>
                        <w:t> </w:t>
                      </w:r>
                      <w:r>
                        <w:rPr>
                          <w:color w:val="374151"/>
                        </w:rPr>
                        <w:t>healing</w:t>
                      </w:r>
                      <w:r>
                        <w:rPr>
                          <w:color w:val="374151"/>
                          <w:spacing w:val="-1"/>
                        </w:rPr>
                        <w:t> </w:t>
                      </w:r>
                      <w:r>
                        <w:rPr>
                          <w:color w:val="374151"/>
                        </w:rPr>
                        <w:t>and</w:t>
                      </w:r>
                      <w:r>
                        <w:rPr>
                          <w:color w:val="374151"/>
                          <w:spacing w:val="-1"/>
                        </w:rPr>
                        <w:t> </w:t>
                      </w:r>
                      <w:r>
                        <w:rPr>
                          <w:color w:val="374151"/>
                          <w:spacing w:val="-2"/>
                        </w:rPr>
                        <w:t>empowerment.</w:t>
                      </w:r>
                    </w:p>
                  </w:txbxContent>
                </v:textbox>
                <v:fill type="solid"/>
                <w10:wrap type="topAndBottom"/>
              </v:shape>
            </w:pict>
          </mc:Fallback>
        </mc:AlternateContent>
      </w:r>
      <w:r>
        <w:rPr>
          <w:color w:val="374151"/>
          <w:shd w:fill="F7F7F8" w:color="auto" w:val="clear"/>
        </w:rPr>
        <w:t>a</w:t>
      </w:r>
      <w:r>
        <w:rPr>
          <w:color w:val="374151"/>
          <w:spacing w:val="-3"/>
          <w:shd w:fill="F7F7F8" w:color="auto" w:val="clear"/>
        </w:rPr>
        <w:t> </w:t>
      </w:r>
      <w:r>
        <w:rPr>
          <w:color w:val="374151"/>
          <w:shd w:fill="F7F7F8" w:color="auto" w:val="clear"/>
        </w:rPr>
        <w:t>vital</w:t>
      </w:r>
      <w:r>
        <w:rPr>
          <w:color w:val="374151"/>
          <w:spacing w:val="-1"/>
          <w:shd w:fill="F7F7F8" w:color="auto" w:val="clear"/>
        </w:rPr>
        <w:t> </w:t>
      </w:r>
      <w:r>
        <w:rPr>
          <w:color w:val="374151"/>
          <w:shd w:fill="F7F7F8" w:color="auto" w:val="clear"/>
        </w:rPr>
        <w:t>role</w:t>
      </w:r>
      <w:r>
        <w:rPr>
          <w:color w:val="374151"/>
          <w:spacing w:val="-2"/>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providing</w:t>
      </w:r>
      <w:r>
        <w:rPr>
          <w:color w:val="374151"/>
          <w:spacing w:val="-1"/>
          <w:shd w:fill="F7F7F8" w:color="auto" w:val="clear"/>
        </w:rPr>
        <w:t> </w:t>
      </w:r>
      <w:r>
        <w:rPr>
          <w:color w:val="374151"/>
          <w:shd w:fill="F7F7F8" w:color="auto" w:val="clear"/>
        </w:rPr>
        <w:t>trauma-informed</w:t>
      </w:r>
      <w:r>
        <w:rPr>
          <w:color w:val="374151"/>
          <w:spacing w:val="-1"/>
          <w:shd w:fill="F7F7F8" w:color="auto" w:val="clear"/>
        </w:rPr>
        <w:t> </w:t>
      </w:r>
      <w:r>
        <w:rPr>
          <w:color w:val="374151"/>
          <w:shd w:fill="F7F7F8" w:color="auto" w:val="clear"/>
        </w:rPr>
        <w:t>care,</w:t>
      </w:r>
      <w:r>
        <w:rPr>
          <w:color w:val="374151"/>
          <w:spacing w:val="-1"/>
          <w:shd w:fill="F7F7F8" w:color="auto" w:val="clear"/>
        </w:rPr>
        <w:t> </w:t>
      </w:r>
      <w:r>
        <w:rPr>
          <w:color w:val="374151"/>
          <w:shd w:fill="F7F7F8" w:color="auto" w:val="clear"/>
        </w:rPr>
        <w:t>addressing</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unique</w:t>
      </w:r>
      <w:r>
        <w:rPr>
          <w:color w:val="374151"/>
          <w:spacing w:val="-2"/>
          <w:shd w:fill="F7F7F8" w:color="auto" w:val="clear"/>
        </w:rPr>
        <w:t> </w:t>
      </w:r>
      <w:r>
        <w:rPr>
          <w:color w:val="374151"/>
          <w:shd w:fill="F7F7F8" w:color="auto" w:val="clear"/>
        </w:rPr>
        <w:t>needs</w:t>
      </w:r>
      <w:r>
        <w:rPr>
          <w:color w:val="374151"/>
          <w:spacing w:val="-1"/>
          <w:shd w:fill="F7F7F8" w:color="auto" w:val="clear"/>
        </w:rPr>
        <w:t> </w:t>
      </w:r>
      <w:r>
        <w:rPr>
          <w:color w:val="374151"/>
          <w:spacing w:val="-5"/>
          <w:shd w:fill="F7F7F8" w:color="auto" w:val="clear"/>
        </w:rPr>
        <w:t>of</w:t>
      </w:r>
      <w:r>
        <w:rPr>
          <w:color w:val="374151"/>
          <w:spacing w:val="40"/>
          <w:shd w:fill="F7F7F8" w:color="auto" w:val="clear"/>
        </w:rPr>
        <w:t> </w:t>
      </w:r>
    </w:p>
    <w:p>
      <w:pPr>
        <w:pStyle w:val="BodyText"/>
        <w:spacing w:line="237" w:lineRule="auto" w:after="10"/>
        <w:ind w:left="280" w:right="502"/>
      </w:pPr>
      <w:r>
        <w:rPr>
          <w:color w:val="374151"/>
          <w:shd w:fill="F7F7F8" w:color="auto" w:val="clear"/>
        </w:rPr>
        <w:t>By staying informed about current research, practicing evidence-based </w:t>
      </w:r>
      <w:r>
        <w:rPr>
          <w:color w:val="374151"/>
        </w:rPr>
        <w:t> </w:t>
      </w:r>
      <w:r>
        <w:rPr>
          <w:color w:val="374151"/>
          <w:shd w:fill="F7F7F8" w:color="auto" w:val="clear"/>
        </w:rPr>
        <w:t>approaches, and prioritizing therapist self-awareness and self-care, therapists </w:t>
      </w:r>
      <w:r>
        <w:rPr>
          <w:color w:val="374151"/>
        </w:rPr>
        <w:t> </w:t>
      </w:r>
      <w:r>
        <w:rPr>
          <w:color w:val="374151"/>
          <w:shd w:fill="F7F7F8" w:color="auto" w:val="clear"/>
        </w:rPr>
        <w:t>can effectively support survivors on their healing journey. Collaboration with </w:t>
      </w:r>
      <w:r>
        <w:rPr>
          <w:color w:val="374151"/>
        </w:rPr>
        <w:t> </w:t>
      </w:r>
      <w:r>
        <w:rPr>
          <w:color w:val="374151"/>
          <w:shd w:fill="F7F7F8" w:color="auto" w:val="clear"/>
        </w:rPr>
        <w:t>other</w:t>
      </w:r>
      <w:r>
        <w:rPr>
          <w:color w:val="374151"/>
          <w:spacing w:val="-5"/>
          <w:shd w:fill="F7F7F8" w:color="auto" w:val="clear"/>
        </w:rPr>
        <w:t> </w:t>
      </w:r>
      <w:r>
        <w:rPr>
          <w:color w:val="374151"/>
          <w:shd w:fill="F7F7F8" w:color="auto" w:val="clear"/>
        </w:rPr>
        <w:t>professionals,</w:t>
      </w:r>
      <w:r>
        <w:rPr>
          <w:color w:val="374151"/>
          <w:spacing w:val="-5"/>
          <w:shd w:fill="F7F7F8" w:color="auto" w:val="clear"/>
        </w:rPr>
        <w:t> </w:t>
      </w:r>
      <w:r>
        <w:rPr>
          <w:color w:val="374151"/>
          <w:shd w:fill="F7F7F8" w:color="auto" w:val="clear"/>
        </w:rPr>
        <w:t>engaging</w:t>
      </w:r>
      <w:r>
        <w:rPr>
          <w:color w:val="374151"/>
          <w:spacing w:val="-5"/>
          <w:shd w:fill="F7F7F8" w:color="auto" w:val="clear"/>
        </w:rPr>
        <w:t> </w:t>
      </w:r>
      <w:r>
        <w:rPr>
          <w:color w:val="374151"/>
          <w:shd w:fill="F7F7F8" w:color="auto" w:val="clear"/>
        </w:rPr>
        <w:t>in</w:t>
      </w:r>
      <w:r>
        <w:rPr>
          <w:color w:val="374151"/>
          <w:spacing w:val="-5"/>
          <w:shd w:fill="F7F7F8" w:color="auto" w:val="clear"/>
        </w:rPr>
        <w:t> </w:t>
      </w:r>
      <w:r>
        <w:rPr>
          <w:color w:val="374151"/>
          <w:shd w:fill="F7F7F8" w:color="auto" w:val="clear"/>
        </w:rPr>
        <w:t>advocacy</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prevention</w:t>
      </w:r>
      <w:r>
        <w:rPr>
          <w:color w:val="374151"/>
          <w:spacing w:val="-5"/>
          <w:shd w:fill="F7F7F8" w:color="auto" w:val="clear"/>
        </w:rPr>
        <w:t> </w:t>
      </w:r>
      <w:r>
        <w:rPr>
          <w:color w:val="374151"/>
          <w:shd w:fill="F7F7F8" w:color="auto" w:val="clear"/>
        </w:rPr>
        <w:t>efforts,</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fostering</w:t>
      </w:r>
      <w:r>
        <w:rPr>
          <w:color w:val="374151"/>
        </w:rPr>
        <w:t> </w:t>
      </w:r>
      <w:r>
        <w:rPr>
          <w:color w:val="374151"/>
          <w:shd w:fill="F7F7F8" w:color="auto" w:val="clear"/>
        </w:rPr>
        <w:t>cultural competence are essential in creating a society that is committed to</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056255" cy="393700"/>
                <wp:effectExtent l="0" t="0" r="0" b="0"/>
                <wp:docPr id="290" name="Textbox 290"/>
                <wp:cNvGraphicFramePr>
                  <a:graphicFrameLocks/>
                </wp:cNvGraphicFramePr>
                <a:graphic>
                  <a:graphicData uri="http://schemas.microsoft.com/office/word/2010/wordprocessingShape">
                    <wps:wsp>
                      <wps:cNvPr id="290" name="Textbox 290"/>
                      <wps:cNvSpPr txBox="1"/>
                      <wps:spPr>
                        <a:xfrm>
                          <a:off x="0" y="0"/>
                          <a:ext cx="3056255" cy="393700"/>
                        </a:xfrm>
                        <a:prstGeom prst="rect">
                          <a:avLst/>
                        </a:prstGeom>
                        <a:solidFill>
                          <a:srgbClr val="F7F7F8"/>
                        </a:solidFill>
                      </wps:spPr>
                      <wps:txbx>
                        <w:txbxContent>
                          <w:p>
                            <w:pPr>
                              <w:pStyle w:val="BodyText"/>
                              <w:spacing w:line="308" w:lineRule="exact"/>
                              <w:ind w:right="-15"/>
                              <w:rPr>
                                <w:color w:val="000000"/>
                              </w:rPr>
                            </w:pPr>
                            <w:r>
                              <w:rPr>
                                <w:color w:val="374151"/>
                              </w:rPr>
                              <w:t>addressing</w:t>
                            </w:r>
                            <w:r>
                              <w:rPr>
                                <w:color w:val="374151"/>
                                <w:spacing w:val="-2"/>
                              </w:rPr>
                              <w:t> </w:t>
                            </w:r>
                            <w:r>
                              <w:rPr>
                                <w:color w:val="374151"/>
                              </w:rPr>
                              <w:t>and</w:t>
                            </w:r>
                            <w:r>
                              <w:rPr>
                                <w:color w:val="374151"/>
                                <w:spacing w:val="-2"/>
                              </w:rPr>
                              <w:t> </w:t>
                            </w:r>
                            <w:r>
                              <w:rPr>
                                <w:color w:val="374151"/>
                              </w:rPr>
                              <w:t>preventing</w:t>
                            </w:r>
                            <w:r>
                              <w:rPr>
                                <w:color w:val="374151"/>
                                <w:spacing w:val="-2"/>
                              </w:rPr>
                              <w:t> </w:t>
                            </w:r>
                            <w:r>
                              <w:rPr>
                                <w:color w:val="374151"/>
                              </w:rPr>
                              <w:t>sexual</w:t>
                            </w:r>
                            <w:r>
                              <w:rPr>
                                <w:color w:val="374151"/>
                                <w:spacing w:val="-1"/>
                              </w:rPr>
                              <w:t> </w:t>
                            </w:r>
                            <w:r>
                              <w:rPr>
                                <w:color w:val="374151"/>
                                <w:spacing w:val="-2"/>
                              </w:rPr>
                              <w:t>violence.</w:t>
                            </w:r>
                          </w:p>
                        </w:txbxContent>
                      </wps:txbx>
                      <wps:bodyPr wrap="square" lIns="0" tIns="0" rIns="0" bIns="0" rtlCol="0">
                        <a:noAutofit/>
                      </wps:bodyPr>
                    </wps:wsp>
                  </a:graphicData>
                </a:graphic>
              </wp:inline>
            </w:drawing>
          </mc:Choice>
          <mc:Fallback>
            <w:pict>
              <v:shape style="width:240.65pt;height:31pt;mso-position-horizontal-relative:char;mso-position-vertical-relative:line" type="#_x0000_t202" id="docshape289" filled="true" fillcolor="#f7f7f8" stroked="false">
                <w10:anchorlock/>
                <v:textbox inset="0,0,0,0">
                  <w:txbxContent>
                    <w:p>
                      <w:pPr>
                        <w:pStyle w:val="BodyText"/>
                        <w:spacing w:line="308" w:lineRule="exact"/>
                        <w:ind w:right="-15"/>
                        <w:rPr>
                          <w:color w:val="000000"/>
                        </w:rPr>
                      </w:pPr>
                      <w:r>
                        <w:rPr>
                          <w:color w:val="374151"/>
                        </w:rPr>
                        <w:t>addressing</w:t>
                      </w:r>
                      <w:r>
                        <w:rPr>
                          <w:color w:val="374151"/>
                          <w:spacing w:val="-2"/>
                        </w:rPr>
                        <w:t> </w:t>
                      </w:r>
                      <w:r>
                        <w:rPr>
                          <w:color w:val="374151"/>
                        </w:rPr>
                        <w:t>and</w:t>
                      </w:r>
                      <w:r>
                        <w:rPr>
                          <w:color w:val="374151"/>
                          <w:spacing w:val="-2"/>
                        </w:rPr>
                        <w:t> </w:t>
                      </w:r>
                      <w:r>
                        <w:rPr>
                          <w:color w:val="374151"/>
                        </w:rPr>
                        <w:t>preventing</w:t>
                      </w:r>
                      <w:r>
                        <w:rPr>
                          <w:color w:val="374151"/>
                          <w:spacing w:val="-2"/>
                        </w:rPr>
                        <w:t> </w:t>
                      </w:r>
                      <w:r>
                        <w:rPr>
                          <w:color w:val="374151"/>
                        </w:rPr>
                        <w:t>sexual</w:t>
                      </w:r>
                      <w:r>
                        <w:rPr>
                          <w:color w:val="374151"/>
                          <w:spacing w:val="-1"/>
                        </w:rPr>
                        <w:t> </w:t>
                      </w:r>
                      <w:r>
                        <w:rPr>
                          <w:color w:val="374151"/>
                          <w:spacing w:val="-2"/>
                        </w:rPr>
                        <w:t>violence.</w:t>
                      </w:r>
                    </w:p>
                  </w:txbxContent>
                </v:textbox>
                <v:fill type="solid"/>
              </v:shape>
            </w:pict>
          </mc:Fallback>
        </mc:AlternateContent>
      </w:r>
      <w:r>
        <w:rPr>
          <w:sz w:val="20"/>
        </w:rPr>
      </w:r>
    </w:p>
    <w:p>
      <w:pPr>
        <w:pStyle w:val="BodyText"/>
        <w:spacing w:line="282" w:lineRule="exact"/>
        <w:ind w:left="280"/>
      </w:pPr>
      <w:r>
        <w:rPr>
          <w:color w:val="374151"/>
          <w:shd w:fill="F7F7F8" w:color="auto" w:val="clear"/>
        </w:rPr>
        <w:t>Ultimately,</w:t>
      </w:r>
      <w:r>
        <w:rPr>
          <w:color w:val="374151"/>
          <w:spacing w:val="-6"/>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work</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licensed</w:t>
      </w:r>
      <w:r>
        <w:rPr>
          <w:color w:val="374151"/>
          <w:spacing w:val="-3"/>
          <w:shd w:fill="F7F7F8" w:color="auto" w:val="clear"/>
        </w:rPr>
        <w:t> </w:t>
      </w:r>
      <w:r>
        <w:rPr>
          <w:color w:val="374151"/>
          <w:shd w:fill="F7F7F8" w:color="auto" w:val="clear"/>
        </w:rPr>
        <w:t>mental</w:t>
      </w:r>
      <w:r>
        <w:rPr>
          <w:color w:val="374151"/>
          <w:spacing w:val="-3"/>
          <w:shd w:fill="F7F7F8" w:color="auto" w:val="clear"/>
        </w:rPr>
        <w:t> </w:t>
      </w:r>
      <w:r>
        <w:rPr>
          <w:color w:val="374151"/>
          <w:shd w:fill="F7F7F8" w:color="auto" w:val="clear"/>
        </w:rPr>
        <w:t>health</w:t>
      </w:r>
      <w:r>
        <w:rPr>
          <w:color w:val="374151"/>
          <w:spacing w:val="-3"/>
          <w:shd w:fill="F7F7F8" w:color="auto" w:val="clear"/>
        </w:rPr>
        <w:t> </w:t>
      </w:r>
      <w:r>
        <w:rPr>
          <w:color w:val="374151"/>
          <w:shd w:fill="F7F7F8" w:color="auto" w:val="clear"/>
        </w:rPr>
        <w:t>therapists</w:t>
      </w:r>
      <w:r>
        <w:rPr>
          <w:color w:val="374151"/>
          <w:spacing w:val="-3"/>
          <w:shd w:fill="F7F7F8" w:color="auto" w:val="clear"/>
        </w:rPr>
        <w:t> </w:t>
      </w:r>
      <w:r>
        <w:rPr>
          <w:color w:val="374151"/>
          <w:shd w:fill="F7F7F8" w:color="auto" w:val="clear"/>
        </w:rPr>
        <w:t>in</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assessment</w:t>
      </w:r>
      <w:r>
        <w:rPr>
          <w:color w:val="374151"/>
          <w:spacing w:val="-3"/>
          <w:shd w:fill="F7F7F8" w:color="auto" w:val="clear"/>
        </w:rPr>
        <w:t> </w:t>
      </w:r>
      <w:r>
        <w:rPr>
          <w:color w:val="374151"/>
          <w:spacing w:val="-5"/>
          <w:shd w:fill="F7F7F8" w:color="auto" w:val="clear"/>
        </w:rPr>
        <w:t>and</w:t>
      </w:r>
      <w:r>
        <w:rPr>
          <w:color w:val="374151"/>
          <w:spacing w:val="40"/>
          <w:shd w:fill="F7F7F8" w:color="auto" w:val="clear"/>
        </w:rPr>
        <w:t> </w:t>
      </w:r>
    </w:p>
    <w:p>
      <w:pPr>
        <w:pStyle w:val="BodyText"/>
        <w:ind w:left="280"/>
      </w:pPr>
      <w:r>
        <w:rPr/>
        <mc:AlternateContent>
          <mc:Choice Requires="wps">
            <w:drawing>
              <wp:anchor distT="0" distB="0" distL="0" distR="0" allowOverlap="1" layoutInCell="1" locked="0" behindDoc="1" simplePos="0" relativeHeight="487654400">
                <wp:simplePos x="0" y="0"/>
                <wp:positionH relativeFrom="page">
                  <wp:posOffset>1066800</wp:posOffset>
                </wp:positionH>
                <wp:positionV relativeFrom="paragraph">
                  <wp:posOffset>415204</wp:posOffset>
                </wp:positionV>
                <wp:extent cx="4428490" cy="393700"/>
                <wp:effectExtent l="0" t="0" r="0" b="0"/>
                <wp:wrapTopAndBottom/>
                <wp:docPr id="291" name="Textbox 291"/>
                <wp:cNvGraphicFramePr>
                  <a:graphicFrameLocks/>
                </wp:cNvGraphicFramePr>
                <a:graphic>
                  <a:graphicData uri="http://schemas.microsoft.com/office/word/2010/wordprocessingShape">
                    <wps:wsp>
                      <wps:cNvPr id="291" name="Textbox 291"/>
                      <wps:cNvSpPr txBox="1"/>
                      <wps:spPr>
                        <a:xfrm>
                          <a:off x="0" y="0"/>
                          <a:ext cx="4428490" cy="393700"/>
                        </a:xfrm>
                        <a:prstGeom prst="rect">
                          <a:avLst/>
                        </a:prstGeom>
                        <a:solidFill>
                          <a:srgbClr val="F7F7F8"/>
                        </a:solidFill>
                      </wps:spPr>
                      <wps:txbx>
                        <w:txbxContent>
                          <w:p>
                            <w:pPr>
                              <w:pStyle w:val="BodyText"/>
                              <w:spacing w:line="308" w:lineRule="exact"/>
                              <w:ind w:right="-15"/>
                              <w:rPr>
                                <w:color w:val="000000"/>
                              </w:rPr>
                            </w:pPr>
                            <w:r>
                              <w:rPr>
                                <w:color w:val="374151"/>
                              </w:rPr>
                              <w:t>eradicated,</w:t>
                            </w:r>
                            <w:r>
                              <w:rPr>
                                <w:color w:val="374151"/>
                                <w:spacing w:val="-4"/>
                              </w:rPr>
                              <w:t> </w:t>
                            </w:r>
                            <w:r>
                              <w:rPr>
                                <w:color w:val="374151"/>
                              </w:rPr>
                              <w:t>and</w:t>
                            </w:r>
                            <w:r>
                              <w:rPr>
                                <w:color w:val="374151"/>
                                <w:spacing w:val="-1"/>
                              </w:rPr>
                              <w:t> </w:t>
                            </w:r>
                            <w:r>
                              <w:rPr>
                                <w:color w:val="374151"/>
                              </w:rPr>
                              <w:t>individuals</w:t>
                            </w:r>
                            <w:r>
                              <w:rPr>
                                <w:color w:val="374151"/>
                                <w:spacing w:val="-2"/>
                              </w:rPr>
                              <w:t> </w:t>
                            </w:r>
                            <w:r>
                              <w:rPr>
                                <w:color w:val="374151"/>
                              </w:rPr>
                              <w:t>can</w:t>
                            </w:r>
                            <w:r>
                              <w:rPr>
                                <w:color w:val="374151"/>
                                <w:spacing w:val="-1"/>
                              </w:rPr>
                              <w:t> </w:t>
                            </w:r>
                            <w:r>
                              <w:rPr>
                                <w:color w:val="374151"/>
                              </w:rPr>
                              <w:t>live</w:t>
                            </w:r>
                            <w:r>
                              <w:rPr>
                                <w:color w:val="374151"/>
                                <w:spacing w:val="-3"/>
                              </w:rPr>
                              <w:t> </w:t>
                            </w:r>
                            <w:r>
                              <w:rPr>
                                <w:color w:val="374151"/>
                              </w:rPr>
                              <w:t>free</w:t>
                            </w:r>
                            <w:r>
                              <w:rPr>
                                <w:color w:val="374151"/>
                                <w:spacing w:val="-2"/>
                              </w:rPr>
                              <w:t> </w:t>
                            </w:r>
                            <w:r>
                              <w:rPr>
                                <w:color w:val="374151"/>
                              </w:rPr>
                              <w:t>from</w:t>
                            </w:r>
                            <w:r>
                              <w:rPr>
                                <w:color w:val="374151"/>
                                <w:spacing w:val="-2"/>
                              </w:rPr>
                              <w:t> </w:t>
                            </w:r>
                            <w:r>
                              <w:rPr>
                                <w:color w:val="374151"/>
                              </w:rPr>
                              <w:t>fear</w:t>
                            </w:r>
                            <w:r>
                              <w:rPr>
                                <w:color w:val="374151"/>
                                <w:spacing w:val="-1"/>
                              </w:rPr>
                              <w:t> </w:t>
                            </w:r>
                            <w:r>
                              <w:rPr>
                                <w:color w:val="374151"/>
                              </w:rPr>
                              <w:t>and</w:t>
                            </w:r>
                            <w:r>
                              <w:rPr>
                                <w:color w:val="374151"/>
                                <w:spacing w:val="-1"/>
                              </w:rPr>
                              <w:t> </w:t>
                            </w:r>
                            <w:r>
                              <w:rPr>
                                <w:color w:val="374151"/>
                                <w:spacing w:val="-2"/>
                              </w:rPr>
                              <w:t>trauma.</w:t>
                            </w:r>
                          </w:p>
                        </w:txbxContent>
                      </wps:txbx>
                      <wps:bodyPr wrap="square" lIns="0" tIns="0" rIns="0" bIns="0" rtlCol="0">
                        <a:noAutofit/>
                      </wps:bodyPr>
                    </wps:wsp>
                  </a:graphicData>
                </a:graphic>
              </wp:anchor>
            </w:drawing>
          </mc:Choice>
          <mc:Fallback>
            <w:pict>
              <v:shape style="position:absolute;margin-left:84pt;margin-top:32.693298pt;width:348.7pt;height:31pt;mso-position-horizontal-relative:page;mso-position-vertical-relative:paragraph;z-index:-15662080;mso-wrap-distance-left:0;mso-wrap-distance-right:0" type="#_x0000_t202" id="docshape290" filled="true" fillcolor="#f7f7f8" stroked="false">
                <v:textbox inset="0,0,0,0">
                  <w:txbxContent>
                    <w:p>
                      <w:pPr>
                        <w:pStyle w:val="BodyText"/>
                        <w:spacing w:line="308" w:lineRule="exact"/>
                        <w:ind w:right="-15"/>
                        <w:rPr>
                          <w:color w:val="000000"/>
                        </w:rPr>
                      </w:pPr>
                      <w:r>
                        <w:rPr>
                          <w:color w:val="374151"/>
                        </w:rPr>
                        <w:t>eradicated,</w:t>
                      </w:r>
                      <w:r>
                        <w:rPr>
                          <w:color w:val="374151"/>
                          <w:spacing w:val="-4"/>
                        </w:rPr>
                        <w:t> </w:t>
                      </w:r>
                      <w:r>
                        <w:rPr>
                          <w:color w:val="374151"/>
                        </w:rPr>
                        <w:t>and</w:t>
                      </w:r>
                      <w:r>
                        <w:rPr>
                          <w:color w:val="374151"/>
                          <w:spacing w:val="-1"/>
                        </w:rPr>
                        <w:t> </w:t>
                      </w:r>
                      <w:r>
                        <w:rPr>
                          <w:color w:val="374151"/>
                        </w:rPr>
                        <w:t>individuals</w:t>
                      </w:r>
                      <w:r>
                        <w:rPr>
                          <w:color w:val="374151"/>
                          <w:spacing w:val="-2"/>
                        </w:rPr>
                        <w:t> </w:t>
                      </w:r>
                      <w:r>
                        <w:rPr>
                          <w:color w:val="374151"/>
                        </w:rPr>
                        <w:t>can</w:t>
                      </w:r>
                      <w:r>
                        <w:rPr>
                          <w:color w:val="374151"/>
                          <w:spacing w:val="-1"/>
                        </w:rPr>
                        <w:t> </w:t>
                      </w:r>
                      <w:r>
                        <w:rPr>
                          <w:color w:val="374151"/>
                        </w:rPr>
                        <w:t>live</w:t>
                      </w:r>
                      <w:r>
                        <w:rPr>
                          <w:color w:val="374151"/>
                          <w:spacing w:val="-3"/>
                        </w:rPr>
                        <w:t> </w:t>
                      </w:r>
                      <w:r>
                        <w:rPr>
                          <w:color w:val="374151"/>
                        </w:rPr>
                        <w:t>free</w:t>
                      </w:r>
                      <w:r>
                        <w:rPr>
                          <w:color w:val="374151"/>
                          <w:spacing w:val="-2"/>
                        </w:rPr>
                        <w:t> </w:t>
                      </w:r>
                      <w:r>
                        <w:rPr>
                          <w:color w:val="374151"/>
                        </w:rPr>
                        <w:t>from</w:t>
                      </w:r>
                      <w:r>
                        <w:rPr>
                          <w:color w:val="374151"/>
                          <w:spacing w:val="-2"/>
                        </w:rPr>
                        <w:t> </w:t>
                      </w:r>
                      <w:r>
                        <w:rPr>
                          <w:color w:val="374151"/>
                        </w:rPr>
                        <w:t>fear</w:t>
                      </w:r>
                      <w:r>
                        <w:rPr>
                          <w:color w:val="374151"/>
                          <w:spacing w:val="-1"/>
                        </w:rPr>
                        <w:t> </w:t>
                      </w:r>
                      <w:r>
                        <w:rPr>
                          <w:color w:val="374151"/>
                        </w:rPr>
                        <w:t>and</w:t>
                      </w:r>
                      <w:r>
                        <w:rPr>
                          <w:color w:val="374151"/>
                          <w:spacing w:val="-1"/>
                        </w:rPr>
                        <w:t> </w:t>
                      </w:r>
                      <w:r>
                        <w:rPr>
                          <w:color w:val="374151"/>
                          <w:spacing w:val="-2"/>
                        </w:rPr>
                        <w:t>trauma.</w:t>
                      </w:r>
                    </w:p>
                  </w:txbxContent>
                </v:textbox>
                <v:fill type="solid"/>
                <w10:wrap type="topAndBottom"/>
              </v:shape>
            </w:pict>
          </mc:Fallback>
        </mc:AlternateContent>
      </w:r>
      <w:r>
        <w:rPr>
          <w:color w:val="374151"/>
          <w:shd w:fill="F7F7F8" w:color="auto" w:val="clear"/>
        </w:rPr>
        <w:t>treatment of sexual violence contributes to the healing, resilience, and </w:t>
      </w:r>
      <w:r>
        <w:rPr>
          <w:color w:val="374151"/>
        </w:rPr>
        <w:t> </w:t>
      </w:r>
      <w:r>
        <w:rPr>
          <w:color w:val="374151"/>
          <w:shd w:fill="F7F7F8" w:color="auto" w:val="clear"/>
        </w:rPr>
        <w:t>empowerment of survivors, fostering a future where sexual violence is</w:t>
      </w:r>
      <w:r>
        <w:rPr>
          <w:color w:val="374151"/>
          <w:spacing w:val="40"/>
          <w:shd w:fill="F7F7F8" w:color="auto" w:val="clear"/>
        </w:rPr>
        <w:t> </w:t>
      </w:r>
    </w:p>
    <w:p>
      <w:pPr>
        <w:pStyle w:val="BodyText"/>
        <w:spacing w:before="3"/>
        <w:rPr>
          <w:sz w:val="10"/>
        </w:rPr>
      </w:pPr>
    </w:p>
    <w:p>
      <w:pPr>
        <w:pStyle w:val="Heading2"/>
        <w:spacing w:before="88"/>
      </w:pPr>
      <w:r>
        <w:rPr/>
        <mc:AlternateContent>
          <mc:Choice Requires="wps">
            <w:drawing>
              <wp:anchor distT="0" distB="0" distL="0" distR="0" allowOverlap="1" layoutInCell="1" locked="0" behindDoc="1" simplePos="0" relativeHeight="487654912">
                <wp:simplePos x="0" y="0"/>
                <wp:positionH relativeFrom="page">
                  <wp:posOffset>1066800</wp:posOffset>
                </wp:positionH>
                <wp:positionV relativeFrom="paragraph">
                  <wp:posOffset>265321</wp:posOffset>
                </wp:positionV>
                <wp:extent cx="2129155" cy="393700"/>
                <wp:effectExtent l="0" t="0" r="0" b="0"/>
                <wp:wrapTopAndBottom/>
                <wp:docPr id="292" name="Textbox 292"/>
                <wp:cNvGraphicFramePr>
                  <a:graphicFrameLocks/>
                </wp:cNvGraphicFramePr>
                <a:graphic>
                  <a:graphicData uri="http://schemas.microsoft.com/office/word/2010/wordprocessingShape">
                    <wps:wsp>
                      <wps:cNvPr id="292" name="Textbox 292"/>
                      <wps:cNvSpPr txBox="1"/>
                      <wps:spPr>
                        <a:xfrm>
                          <a:off x="0" y="0"/>
                          <a:ext cx="2129155" cy="393700"/>
                        </a:xfrm>
                        <a:prstGeom prst="rect">
                          <a:avLst/>
                        </a:prstGeom>
                        <a:solidFill>
                          <a:srgbClr val="F7F7F8"/>
                        </a:solidFill>
                      </wps:spPr>
                      <wps:txbx>
                        <w:txbxContent>
                          <w:p>
                            <w:pPr>
                              <w:spacing w:line="308" w:lineRule="exact" w:before="0"/>
                              <w:ind w:left="0" w:right="-15" w:firstLine="0"/>
                              <w:jc w:val="left"/>
                              <w:rPr>
                                <w:color w:val="000000"/>
                                <w:sz w:val="28"/>
                              </w:rPr>
                            </w:pPr>
                            <w:r>
                              <w:rPr>
                                <w:b/>
                                <w:color w:val="374151"/>
                                <w:sz w:val="28"/>
                              </w:rPr>
                              <w:t>information,</w:t>
                            </w:r>
                            <w:r>
                              <w:rPr>
                                <w:b/>
                                <w:color w:val="374151"/>
                                <w:spacing w:val="-2"/>
                                <w:sz w:val="28"/>
                              </w:rPr>
                              <w:t> </w:t>
                            </w:r>
                            <w:r>
                              <w:rPr>
                                <w:b/>
                                <w:color w:val="374151"/>
                                <w:sz w:val="28"/>
                              </w:rPr>
                              <w:t>and</w:t>
                            </w:r>
                            <w:r>
                              <w:rPr>
                                <w:b/>
                                <w:color w:val="374151"/>
                                <w:spacing w:val="-1"/>
                                <w:sz w:val="28"/>
                              </w:rPr>
                              <w:t> </w:t>
                            </w:r>
                            <w:r>
                              <w:rPr>
                                <w:b/>
                                <w:color w:val="374151"/>
                                <w:spacing w:val="-2"/>
                                <w:sz w:val="28"/>
                              </w:rPr>
                              <w:t>assistance</w:t>
                            </w:r>
                            <w:r>
                              <w:rPr>
                                <w:color w:val="374151"/>
                                <w:spacing w:val="-2"/>
                                <w:sz w:val="28"/>
                              </w:rPr>
                              <w:t>:</w:t>
                            </w:r>
                          </w:p>
                        </w:txbxContent>
                      </wps:txbx>
                      <wps:bodyPr wrap="square" lIns="0" tIns="0" rIns="0" bIns="0" rtlCol="0">
                        <a:noAutofit/>
                      </wps:bodyPr>
                    </wps:wsp>
                  </a:graphicData>
                </a:graphic>
              </wp:anchor>
            </w:drawing>
          </mc:Choice>
          <mc:Fallback>
            <w:pict>
              <v:shape style="position:absolute;margin-left:84pt;margin-top:20.891443pt;width:167.65pt;height:31pt;mso-position-horizontal-relative:page;mso-position-vertical-relative:paragraph;z-index:-15661568;mso-wrap-distance-left:0;mso-wrap-distance-right:0" type="#_x0000_t202" id="docshape291" filled="true" fillcolor="#f7f7f8" stroked="false">
                <v:textbox inset="0,0,0,0">
                  <w:txbxContent>
                    <w:p>
                      <w:pPr>
                        <w:spacing w:line="308" w:lineRule="exact" w:before="0"/>
                        <w:ind w:left="0" w:right="-15" w:firstLine="0"/>
                        <w:jc w:val="left"/>
                        <w:rPr>
                          <w:color w:val="000000"/>
                          <w:sz w:val="28"/>
                        </w:rPr>
                      </w:pPr>
                      <w:r>
                        <w:rPr>
                          <w:b/>
                          <w:color w:val="374151"/>
                          <w:sz w:val="28"/>
                        </w:rPr>
                        <w:t>information,</w:t>
                      </w:r>
                      <w:r>
                        <w:rPr>
                          <w:b/>
                          <w:color w:val="374151"/>
                          <w:spacing w:val="-2"/>
                          <w:sz w:val="28"/>
                        </w:rPr>
                        <w:t> </w:t>
                      </w:r>
                      <w:r>
                        <w:rPr>
                          <w:b/>
                          <w:color w:val="374151"/>
                          <w:sz w:val="28"/>
                        </w:rPr>
                        <w:t>and</w:t>
                      </w:r>
                      <w:r>
                        <w:rPr>
                          <w:b/>
                          <w:color w:val="374151"/>
                          <w:spacing w:val="-1"/>
                          <w:sz w:val="28"/>
                        </w:rPr>
                        <w:t> </w:t>
                      </w:r>
                      <w:r>
                        <w:rPr>
                          <w:b/>
                          <w:color w:val="374151"/>
                          <w:spacing w:val="-2"/>
                          <w:sz w:val="28"/>
                        </w:rPr>
                        <w:t>assistance</w:t>
                      </w:r>
                      <w:r>
                        <w:rPr>
                          <w:color w:val="374151"/>
                          <w:spacing w:val="-2"/>
                          <w:sz w:val="28"/>
                        </w:rPr>
                        <w:t>:</w:t>
                      </w:r>
                    </w:p>
                  </w:txbxContent>
                </v:textbox>
                <v:fill type="solid"/>
                <w10:wrap type="topAndBottom"/>
              </v:shape>
            </w:pict>
          </mc:Fallback>
        </mc:AlternateContent>
      </w:r>
      <w:r>
        <w:rPr>
          <w:color w:val="374151"/>
        </w:rPr>
        <w:t>R</w:t>
      </w:r>
      <w:r>
        <w:rPr>
          <w:color w:val="374151"/>
          <w:shd w:fill="F7F7F8" w:color="auto" w:val="clear"/>
        </w:rPr>
        <w:t>esources</w:t>
      </w:r>
      <w:r>
        <w:rPr>
          <w:color w:val="374151"/>
          <w:spacing w:val="-5"/>
          <w:shd w:fill="F7F7F8" w:color="auto" w:val="clear"/>
        </w:rPr>
        <w:t> </w:t>
      </w:r>
      <w:r>
        <w:rPr>
          <w:color w:val="374151"/>
          <w:shd w:fill="F7F7F8" w:color="auto" w:val="clear"/>
        </w:rPr>
        <w:t>that</w:t>
      </w:r>
      <w:r>
        <w:rPr>
          <w:color w:val="374151"/>
          <w:spacing w:val="-2"/>
          <w:shd w:fill="F7F7F8" w:color="auto" w:val="clear"/>
        </w:rPr>
        <w:t> </w:t>
      </w:r>
      <w:r>
        <w:rPr>
          <w:color w:val="374151"/>
          <w:shd w:fill="F7F7F8" w:color="auto" w:val="clear"/>
        </w:rPr>
        <w:t>victims</w:t>
      </w:r>
      <w:r>
        <w:rPr>
          <w:color w:val="374151"/>
          <w:spacing w:val="-2"/>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sexual</w:t>
      </w:r>
      <w:r>
        <w:rPr>
          <w:color w:val="374151"/>
          <w:spacing w:val="-2"/>
          <w:shd w:fill="F7F7F8" w:color="auto" w:val="clear"/>
        </w:rPr>
        <w:t> </w:t>
      </w:r>
      <w:r>
        <w:rPr>
          <w:color w:val="374151"/>
          <w:shd w:fill="F7F7F8" w:color="auto" w:val="clear"/>
        </w:rPr>
        <w:t>violence</w:t>
      </w:r>
      <w:r>
        <w:rPr>
          <w:color w:val="374151"/>
          <w:spacing w:val="-3"/>
          <w:shd w:fill="F7F7F8" w:color="auto" w:val="clear"/>
        </w:rPr>
        <w:t> </w:t>
      </w:r>
      <w:r>
        <w:rPr>
          <w:color w:val="374151"/>
          <w:shd w:fill="F7F7F8" w:color="auto" w:val="clear"/>
        </w:rPr>
        <w:t>can</w:t>
      </w:r>
      <w:r>
        <w:rPr>
          <w:color w:val="374151"/>
          <w:spacing w:val="-2"/>
          <w:shd w:fill="F7F7F8" w:color="auto" w:val="clear"/>
        </w:rPr>
        <w:t> </w:t>
      </w:r>
      <w:r>
        <w:rPr>
          <w:color w:val="374151"/>
          <w:shd w:fill="F7F7F8" w:color="auto" w:val="clear"/>
        </w:rPr>
        <w:t>turn</w:t>
      </w:r>
      <w:r>
        <w:rPr>
          <w:color w:val="374151"/>
          <w:spacing w:val="-2"/>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for</w:t>
      </w:r>
      <w:r>
        <w:rPr>
          <w:color w:val="374151"/>
          <w:spacing w:val="-7"/>
          <w:shd w:fill="F7F7F8" w:color="auto" w:val="clear"/>
        </w:rPr>
        <w:t> </w:t>
      </w:r>
      <w:r>
        <w:rPr>
          <w:color w:val="374151"/>
          <w:spacing w:val="-2"/>
          <w:shd w:fill="F7F7F8" w:color="auto" w:val="clear"/>
        </w:rPr>
        <w:t>support,</w:t>
      </w:r>
      <w:r>
        <w:rPr>
          <w:color w:val="374151"/>
          <w:spacing w:val="40"/>
          <w:shd w:fill="F7F7F8" w:color="auto" w:val="clear"/>
        </w:rPr>
        <w:t> </w:t>
      </w:r>
    </w:p>
    <w:p>
      <w:pPr>
        <w:pStyle w:val="Heading3"/>
        <w:spacing w:line="311" w:lineRule="exact"/>
        <w:rPr>
          <w:b w:val="0"/>
          <w:i w:val="0"/>
        </w:rPr>
      </w:pPr>
      <w:r>
        <w:rPr>
          <w:i/>
          <w:color w:val="374151"/>
          <w:shd w:fill="F7F7F8" w:color="auto" w:val="clear"/>
        </w:rPr>
        <w:t>National</w:t>
      </w:r>
      <w:r>
        <w:rPr>
          <w:i/>
          <w:color w:val="374151"/>
          <w:spacing w:val="-2"/>
          <w:shd w:fill="F7F7F8" w:color="auto" w:val="clear"/>
        </w:rPr>
        <w:t> </w:t>
      </w:r>
      <w:r>
        <w:rPr>
          <w:i/>
          <w:color w:val="374151"/>
          <w:shd w:fill="F7F7F8" w:color="auto" w:val="clear"/>
        </w:rPr>
        <w:t>Sexual</w:t>
      </w:r>
      <w:r>
        <w:rPr>
          <w:i/>
          <w:color w:val="374151"/>
          <w:spacing w:val="-12"/>
          <w:shd w:fill="F7F7F8" w:color="auto" w:val="clear"/>
        </w:rPr>
        <w:t> </w:t>
      </w:r>
      <w:r>
        <w:rPr>
          <w:i/>
          <w:color w:val="374151"/>
          <w:shd w:fill="F7F7F8" w:color="auto" w:val="clear"/>
        </w:rPr>
        <w:t>Assault</w:t>
      </w:r>
      <w:r>
        <w:rPr>
          <w:i/>
          <w:color w:val="374151"/>
          <w:spacing w:val="-2"/>
          <w:shd w:fill="F7F7F8" w:color="auto" w:val="clear"/>
        </w:rPr>
        <w:t> </w:t>
      </w:r>
      <w:r>
        <w:rPr>
          <w:i/>
          <w:color w:val="374151"/>
          <w:shd w:fill="F7F7F8" w:color="auto" w:val="clear"/>
        </w:rPr>
        <w:t>Hotline</w:t>
      </w:r>
      <w:r>
        <w:rPr>
          <w:i/>
          <w:color w:val="374151"/>
          <w:spacing w:val="-2"/>
          <w:shd w:fill="F7F7F8" w:color="auto" w:val="clear"/>
        </w:rPr>
        <w:t> </w:t>
      </w:r>
      <w:r>
        <w:rPr>
          <w:i/>
          <w:color w:val="374151"/>
          <w:shd w:fill="F7F7F8" w:color="auto" w:val="clear"/>
        </w:rPr>
        <w:t>(United</w:t>
      </w:r>
      <w:r>
        <w:rPr>
          <w:i/>
          <w:color w:val="374151"/>
          <w:spacing w:val="-1"/>
          <w:shd w:fill="F7F7F8" w:color="auto" w:val="clear"/>
        </w:rPr>
        <w:t> </w:t>
      </w:r>
      <w:r>
        <w:rPr>
          <w:i/>
          <w:color w:val="374151"/>
          <w:spacing w:val="-2"/>
          <w:shd w:fill="F7F7F8" w:color="auto" w:val="clear"/>
        </w:rPr>
        <w:t>States)</w:t>
      </w:r>
      <w:r>
        <w:rPr>
          <w:b w:val="0"/>
          <w:i w:val="0"/>
          <w:color w:val="374151"/>
          <w:spacing w:val="-2"/>
          <w:shd w:fill="F7F7F8" w:color="auto" w:val="clear"/>
        </w:rPr>
        <w:t>:</w:t>
      </w:r>
    </w:p>
    <w:p>
      <w:pPr>
        <w:pStyle w:val="BodyText"/>
        <w:spacing w:line="320" w:lineRule="exact"/>
        <w:ind w:left="280"/>
      </w:pPr>
      <w:r>
        <w:rPr>
          <w:color w:val="374151"/>
          <w:shd w:fill="F7F7F8" w:color="auto" w:val="clear"/>
        </w:rPr>
        <w:t>Phone:</w:t>
      </w:r>
      <w:r>
        <w:rPr>
          <w:color w:val="374151"/>
          <w:spacing w:val="-6"/>
          <w:shd w:fill="F7F7F8" w:color="auto" w:val="clear"/>
        </w:rPr>
        <w:t> </w:t>
      </w:r>
      <w:r>
        <w:rPr>
          <w:color w:val="374151"/>
          <w:shd w:fill="F7F7F8" w:color="auto" w:val="clear"/>
        </w:rPr>
        <w:t>1-800-656-HOPE</w:t>
      </w:r>
      <w:r>
        <w:rPr>
          <w:color w:val="374151"/>
          <w:spacing w:val="-6"/>
          <w:shd w:fill="F7F7F8" w:color="auto" w:val="clear"/>
        </w:rPr>
        <w:t> </w:t>
      </w:r>
      <w:r>
        <w:rPr>
          <w:color w:val="374151"/>
          <w:spacing w:val="-2"/>
          <w:shd w:fill="F7F7F8" w:color="auto" w:val="clear"/>
        </w:rPr>
        <w:t>(4673)</w:t>
      </w:r>
    </w:p>
    <w:p>
      <w:pPr>
        <w:pStyle w:val="BodyText"/>
        <w:spacing w:line="321" w:lineRule="exact"/>
        <w:ind w:left="280"/>
      </w:pPr>
      <w:r>
        <w:rPr>
          <w:color w:val="374151"/>
          <w:spacing w:val="-2"/>
          <w:shd w:fill="F7F7F8" w:color="auto" w:val="clear"/>
        </w:rPr>
        <w:t>Website:</w:t>
      </w:r>
      <w:r>
        <w:rPr>
          <w:color w:val="374151"/>
          <w:spacing w:val="-10"/>
          <w:shd w:fill="F7F7F8" w:color="auto" w:val="clear"/>
        </w:rPr>
        <w:t> </w:t>
      </w:r>
      <w:hyperlink r:id="rId27">
        <w:r>
          <w:rPr>
            <w:color w:val="0000FF"/>
            <w:spacing w:val="-2"/>
            <w:u w:val="single" w:color="0000FF"/>
            <w:shd w:fill="F7F7F8" w:color="auto" w:val="clear"/>
          </w:rPr>
          <w:t>www.rainn.org</w:t>
        </w:r>
      </w:hyperlink>
    </w:p>
    <w:p>
      <w:pPr>
        <w:pStyle w:val="BodyText"/>
        <w:spacing w:before="7"/>
        <w:rPr>
          <w:sz w:val="27"/>
        </w:rPr>
      </w:pPr>
    </w:p>
    <w:p>
      <w:pPr>
        <w:pStyle w:val="Heading3"/>
        <w:spacing w:line="321" w:lineRule="exact"/>
        <w:rPr>
          <w:i/>
        </w:rPr>
      </w:pPr>
      <w:r>
        <w:rPr>
          <w:i/>
          <w:color w:val="374151"/>
          <w:shd w:fill="F7F7F8" w:color="auto" w:val="clear"/>
        </w:rPr>
        <w:t>National</w:t>
      </w:r>
      <w:r>
        <w:rPr>
          <w:i/>
          <w:color w:val="374151"/>
          <w:spacing w:val="-7"/>
          <w:shd w:fill="F7F7F8" w:color="auto" w:val="clear"/>
        </w:rPr>
        <w:t> </w:t>
      </w:r>
      <w:r>
        <w:rPr>
          <w:i/>
          <w:color w:val="374151"/>
          <w:shd w:fill="F7F7F8" w:color="auto" w:val="clear"/>
        </w:rPr>
        <w:t>Domestic</w:t>
      </w:r>
      <w:r>
        <w:rPr>
          <w:i/>
          <w:color w:val="374151"/>
          <w:spacing w:val="-5"/>
          <w:shd w:fill="F7F7F8" w:color="auto" w:val="clear"/>
        </w:rPr>
        <w:t> </w:t>
      </w:r>
      <w:r>
        <w:rPr>
          <w:i/>
          <w:color w:val="374151"/>
          <w:shd w:fill="F7F7F8" w:color="auto" w:val="clear"/>
        </w:rPr>
        <w:t>Violence</w:t>
      </w:r>
      <w:r>
        <w:rPr>
          <w:i/>
          <w:color w:val="374151"/>
          <w:spacing w:val="-6"/>
          <w:shd w:fill="F7F7F8" w:color="auto" w:val="clear"/>
        </w:rPr>
        <w:t> </w:t>
      </w:r>
      <w:r>
        <w:rPr>
          <w:i/>
          <w:color w:val="374151"/>
          <w:shd w:fill="F7F7F8" w:color="auto" w:val="clear"/>
        </w:rPr>
        <w:t>Hotline</w:t>
      </w:r>
      <w:r>
        <w:rPr>
          <w:i/>
          <w:color w:val="374151"/>
          <w:spacing w:val="-5"/>
          <w:shd w:fill="F7F7F8" w:color="auto" w:val="clear"/>
        </w:rPr>
        <w:t> </w:t>
      </w:r>
      <w:r>
        <w:rPr>
          <w:i/>
          <w:color w:val="374151"/>
          <w:shd w:fill="F7F7F8" w:color="auto" w:val="clear"/>
        </w:rPr>
        <w:t>(United</w:t>
      </w:r>
      <w:r>
        <w:rPr>
          <w:i/>
          <w:color w:val="374151"/>
          <w:spacing w:val="-4"/>
          <w:shd w:fill="F7F7F8" w:color="auto" w:val="clear"/>
        </w:rPr>
        <w:t> </w:t>
      </w:r>
      <w:r>
        <w:rPr>
          <w:i/>
          <w:color w:val="374151"/>
          <w:spacing w:val="-2"/>
          <w:shd w:fill="F7F7F8" w:color="auto" w:val="clear"/>
        </w:rPr>
        <w:t>States):</w:t>
      </w:r>
    </w:p>
    <w:p>
      <w:pPr>
        <w:pStyle w:val="BodyText"/>
        <w:spacing w:line="320" w:lineRule="exact"/>
        <w:ind w:left="280"/>
      </w:pPr>
      <w:r>
        <w:rPr>
          <w:color w:val="374151"/>
          <w:shd w:fill="F7F7F8" w:color="auto" w:val="clear"/>
        </w:rPr>
        <w:t>Phone:</w:t>
      </w:r>
      <w:r>
        <w:rPr>
          <w:color w:val="374151"/>
          <w:spacing w:val="-6"/>
          <w:shd w:fill="F7F7F8" w:color="auto" w:val="clear"/>
        </w:rPr>
        <w:t> </w:t>
      </w:r>
      <w:r>
        <w:rPr>
          <w:color w:val="374151"/>
          <w:shd w:fill="F7F7F8" w:color="auto" w:val="clear"/>
        </w:rPr>
        <w:t>1-800-799-SAFE</w:t>
      </w:r>
      <w:r>
        <w:rPr>
          <w:color w:val="374151"/>
          <w:spacing w:val="-6"/>
          <w:shd w:fill="F7F7F8" w:color="auto" w:val="clear"/>
        </w:rPr>
        <w:t> </w:t>
      </w:r>
      <w:r>
        <w:rPr>
          <w:color w:val="374151"/>
          <w:spacing w:val="-2"/>
          <w:shd w:fill="F7F7F8" w:color="auto" w:val="clear"/>
        </w:rPr>
        <w:t>(7233)</w:t>
      </w:r>
    </w:p>
    <w:p>
      <w:pPr>
        <w:pStyle w:val="BodyText"/>
        <w:spacing w:line="321" w:lineRule="exact"/>
        <w:ind w:left="280"/>
      </w:pPr>
      <w:r>
        <w:rPr/>
        <mc:AlternateContent>
          <mc:Choice Requires="wps">
            <w:drawing>
              <wp:anchor distT="0" distB="0" distL="0" distR="0" allowOverlap="1" layoutInCell="1" locked="0" behindDoc="1" simplePos="0" relativeHeight="487655424">
                <wp:simplePos x="0" y="0"/>
                <wp:positionH relativeFrom="page">
                  <wp:posOffset>1066800</wp:posOffset>
                </wp:positionH>
                <wp:positionV relativeFrom="paragraph">
                  <wp:posOffset>211378</wp:posOffset>
                </wp:positionV>
                <wp:extent cx="457200" cy="20320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457200" cy="203200"/>
                        </a:xfrm>
                        <a:custGeom>
                          <a:avLst/>
                          <a:gdLst/>
                          <a:ahLst/>
                          <a:cxnLst/>
                          <a:rect l="l" t="t" r="r" b="b"/>
                          <a:pathLst>
                            <a:path w="457200" h="203200">
                              <a:moveTo>
                                <a:pt x="457200" y="0"/>
                              </a:moveTo>
                              <a:lnTo>
                                <a:pt x="0" y="0"/>
                              </a:lnTo>
                              <a:lnTo>
                                <a:pt x="0" y="203200"/>
                              </a:lnTo>
                              <a:lnTo>
                                <a:pt x="457200" y="203200"/>
                              </a:lnTo>
                              <a:lnTo>
                                <a:pt x="457200" y="0"/>
                              </a:lnTo>
                              <a:close/>
                            </a:path>
                          </a:pathLst>
                        </a:custGeom>
                        <a:solidFill>
                          <a:srgbClr val="F7F7F8"/>
                        </a:solidFill>
                      </wps:spPr>
                      <wps:bodyPr wrap="square" lIns="0" tIns="0" rIns="0" bIns="0" rtlCol="0">
                        <a:prstTxWarp prst="textNoShape">
                          <a:avLst/>
                        </a:prstTxWarp>
                        <a:noAutofit/>
                      </wps:bodyPr>
                    </wps:wsp>
                  </a:graphicData>
                </a:graphic>
              </wp:anchor>
            </w:drawing>
          </mc:Choice>
          <mc:Fallback>
            <w:pict>
              <v:rect style="position:absolute;margin-left:84pt;margin-top:16.643982pt;width:36pt;height:16pt;mso-position-horizontal-relative:page;mso-position-vertical-relative:paragraph;z-index:-15661056;mso-wrap-distance-left:0;mso-wrap-distance-right:0" id="docshape292" filled="true" fillcolor="#f7f7f8" stroked="false">
                <v:fill type="solid"/>
                <w10:wrap type="topAndBottom"/>
              </v:rect>
            </w:pict>
          </mc:Fallback>
        </mc:AlternateContent>
      </w:r>
      <w:r>
        <w:rPr>
          <w:color w:val="374151"/>
          <w:spacing w:val="-2"/>
          <w:shd w:fill="F7F7F8" w:color="auto" w:val="clear"/>
        </w:rPr>
        <w:t>Website:</w:t>
      </w:r>
      <w:r>
        <w:rPr>
          <w:color w:val="374151"/>
          <w:spacing w:val="-10"/>
          <w:shd w:fill="F7F7F8" w:color="auto" w:val="clear"/>
        </w:rPr>
        <w:t> </w:t>
      </w:r>
      <w:hyperlink r:id="rId28">
        <w:r>
          <w:rPr>
            <w:color w:val="0000FF"/>
            <w:spacing w:val="-2"/>
            <w:u w:val="single" w:color="0000FF"/>
            <w:shd w:fill="F7F7F8" w:color="auto" w:val="clear"/>
          </w:rPr>
          <w:t>www.thehotline.org</w:t>
        </w:r>
      </w:hyperlink>
    </w:p>
    <w:p>
      <w:pPr>
        <w:pStyle w:val="Heading3"/>
        <w:spacing w:line="307" w:lineRule="exact"/>
        <w:rPr>
          <w:i/>
        </w:rPr>
      </w:pPr>
      <w:r>
        <w:rPr>
          <w:i/>
          <w:color w:val="374151"/>
          <w:shd w:fill="F7F7F8" w:color="auto" w:val="clear"/>
        </w:rPr>
        <w:t>Rape,</w:t>
      </w:r>
      <w:r>
        <w:rPr>
          <w:i/>
          <w:color w:val="374151"/>
          <w:spacing w:val="-15"/>
          <w:shd w:fill="F7F7F8" w:color="auto" w:val="clear"/>
        </w:rPr>
        <w:t> </w:t>
      </w:r>
      <w:r>
        <w:rPr>
          <w:i/>
          <w:color w:val="374151"/>
          <w:shd w:fill="F7F7F8" w:color="auto" w:val="clear"/>
        </w:rPr>
        <w:t>Abuse</w:t>
      </w:r>
      <w:r>
        <w:rPr>
          <w:i/>
          <w:color w:val="374151"/>
          <w:spacing w:val="-2"/>
          <w:shd w:fill="F7F7F8" w:color="auto" w:val="clear"/>
        </w:rPr>
        <w:t> </w:t>
      </w:r>
      <w:r>
        <w:rPr>
          <w:i/>
          <w:color w:val="374151"/>
          <w:shd w:fill="F7F7F8" w:color="auto" w:val="clear"/>
        </w:rPr>
        <w:t>&amp;</w:t>
      </w:r>
      <w:r>
        <w:rPr>
          <w:i/>
          <w:color w:val="374151"/>
          <w:spacing w:val="-2"/>
          <w:shd w:fill="F7F7F8" w:color="auto" w:val="clear"/>
        </w:rPr>
        <w:t> </w:t>
      </w:r>
      <w:r>
        <w:rPr>
          <w:i/>
          <w:color w:val="374151"/>
          <w:shd w:fill="F7F7F8" w:color="auto" w:val="clear"/>
        </w:rPr>
        <w:t>Incest</w:t>
      </w:r>
      <w:r>
        <w:rPr>
          <w:i/>
          <w:color w:val="374151"/>
          <w:spacing w:val="-1"/>
          <w:shd w:fill="F7F7F8" w:color="auto" w:val="clear"/>
        </w:rPr>
        <w:t> </w:t>
      </w:r>
      <w:r>
        <w:rPr>
          <w:i/>
          <w:color w:val="374151"/>
          <w:shd w:fill="F7F7F8" w:color="auto" w:val="clear"/>
        </w:rPr>
        <w:t>National</w:t>
      </w:r>
      <w:r>
        <w:rPr>
          <w:i/>
          <w:color w:val="374151"/>
          <w:spacing w:val="-2"/>
          <w:shd w:fill="F7F7F8" w:color="auto" w:val="clear"/>
        </w:rPr>
        <w:t> </w:t>
      </w:r>
      <w:r>
        <w:rPr>
          <w:i/>
          <w:color w:val="374151"/>
          <w:shd w:fill="F7F7F8" w:color="auto" w:val="clear"/>
        </w:rPr>
        <w:t>Network</w:t>
      </w:r>
      <w:r>
        <w:rPr>
          <w:i/>
          <w:color w:val="374151"/>
          <w:spacing w:val="-1"/>
          <w:shd w:fill="F7F7F8" w:color="auto" w:val="clear"/>
        </w:rPr>
        <w:t> </w:t>
      </w:r>
      <w:r>
        <w:rPr>
          <w:i/>
          <w:color w:val="374151"/>
          <w:spacing w:val="-2"/>
          <w:shd w:fill="F7F7F8" w:color="auto" w:val="clear"/>
        </w:rPr>
        <w:t>(RAINN):</w:t>
      </w:r>
    </w:p>
    <w:p>
      <w:pPr>
        <w:pStyle w:val="BodyText"/>
        <w:spacing w:line="320" w:lineRule="exact"/>
        <w:ind w:left="280"/>
      </w:pPr>
      <w:r>
        <w:rPr>
          <w:color w:val="374151"/>
          <w:spacing w:val="-2"/>
          <w:shd w:fill="F7F7F8" w:color="auto" w:val="clear"/>
        </w:rPr>
        <w:t>Website:</w:t>
      </w:r>
      <w:r>
        <w:rPr>
          <w:color w:val="374151"/>
          <w:spacing w:val="-10"/>
          <w:shd w:fill="F7F7F8" w:color="auto" w:val="clear"/>
        </w:rPr>
        <w:t> </w:t>
      </w:r>
      <w:hyperlink r:id="rId27">
        <w:r>
          <w:rPr>
            <w:color w:val="0000FF"/>
            <w:spacing w:val="-2"/>
            <w:u w:val="single" w:color="0000FF"/>
            <w:shd w:fill="F7F7F8" w:color="auto" w:val="clear"/>
          </w:rPr>
          <w:t>www.rainn.org</w:t>
        </w:r>
      </w:hyperlink>
    </w:p>
    <w:p>
      <w:pPr>
        <w:pStyle w:val="BodyText"/>
        <w:ind w:left="280" w:right="668"/>
      </w:pPr>
      <w:r>
        <w:rPr>
          <w:color w:val="374151"/>
          <w:shd w:fill="F7F7F8" w:color="auto" w:val="clear"/>
        </w:rPr>
        <w:t>RAINN</w:t>
      </w:r>
      <w:r>
        <w:rPr>
          <w:color w:val="374151"/>
          <w:spacing w:val="-4"/>
          <w:shd w:fill="F7F7F8" w:color="auto" w:val="clear"/>
        </w:rPr>
        <w:t> </w:t>
      </w:r>
      <w:r>
        <w:rPr>
          <w:color w:val="374151"/>
          <w:shd w:fill="F7F7F8" w:color="auto" w:val="clear"/>
        </w:rPr>
        <w:t>provides</w:t>
      </w:r>
      <w:r>
        <w:rPr>
          <w:color w:val="374151"/>
          <w:spacing w:val="-4"/>
          <w:shd w:fill="F7F7F8" w:color="auto" w:val="clear"/>
        </w:rPr>
        <w:t> </w:t>
      </w:r>
      <w:r>
        <w:rPr>
          <w:color w:val="374151"/>
          <w:shd w:fill="F7F7F8" w:color="auto" w:val="clear"/>
        </w:rPr>
        <w:t>support,</w:t>
      </w:r>
      <w:r>
        <w:rPr>
          <w:color w:val="374151"/>
          <w:spacing w:val="-4"/>
          <w:shd w:fill="F7F7F8" w:color="auto" w:val="clear"/>
        </w:rPr>
        <w:t> </w:t>
      </w:r>
      <w:r>
        <w:rPr>
          <w:color w:val="374151"/>
          <w:shd w:fill="F7F7F8" w:color="auto" w:val="clear"/>
        </w:rPr>
        <w:t>resources,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information</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survivors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sexual</w:t>
      </w:r>
      <w:r>
        <w:rPr>
          <w:color w:val="374151"/>
          <w:spacing w:val="-5"/>
          <w:shd w:fill="F7F7F8" w:color="auto" w:val="clear"/>
        </w:rPr>
        <w:t> </w:t>
      </w:r>
      <w:r>
        <w:rPr>
          <w:color w:val="374151"/>
          <w:spacing w:val="-5"/>
        </w:rPr>
        <w:t> </w:t>
      </w:r>
      <w:r>
        <w:rPr>
          <w:color w:val="374151"/>
          <w:shd w:fill="F7F7F8" w:color="auto" w:val="clear"/>
        </w:rPr>
        <w:t>violence.</w:t>
      </w:r>
      <w:r>
        <w:rPr>
          <w:color w:val="374151"/>
          <w:spacing w:val="-1"/>
          <w:shd w:fill="F7F7F8" w:color="auto" w:val="clear"/>
        </w:rPr>
        <w:t> </w:t>
      </w:r>
      <w:r>
        <w:rPr>
          <w:color w:val="374151"/>
          <w:shd w:fill="F7F7F8" w:color="auto" w:val="clear"/>
        </w:rPr>
        <w:t>Their website offers a comprehensive list of local resources and a </w:t>
      </w:r>
      <w:r>
        <w:rPr>
          <w:color w:val="374151"/>
        </w:rPr>
        <w:t> </w:t>
      </w:r>
      <w:r>
        <w:rPr>
          <w:color w:val="374151"/>
          <w:shd w:fill="F7F7F8" w:color="auto" w:val="clear"/>
        </w:rPr>
        <w:t>live chat service for immediate support.</w:t>
      </w:r>
    </w:p>
    <w:p>
      <w:pPr>
        <w:pStyle w:val="BodyText"/>
        <w:spacing w:before="2"/>
        <w:rPr>
          <w:sz w:val="27"/>
        </w:rPr>
      </w:pPr>
    </w:p>
    <w:p>
      <w:pPr>
        <w:pStyle w:val="Heading3"/>
        <w:spacing w:line="321" w:lineRule="exact"/>
        <w:rPr>
          <w:i/>
        </w:rPr>
      </w:pPr>
      <w:r>
        <w:rPr>
          <w:i/>
          <w:color w:val="374151"/>
          <w:shd w:fill="F7F7F8" w:color="auto" w:val="clear"/>
        </w:rPr>
        <w:t>National</w:t>
      </w:r>
      <w:r>
        <w:rPr>
          <w:i/>
          <w:color w:val="374151"/>
          <w:spacing w:val="-7"/>
          <w:shd w:fill="F7F7F8" w:color="auto" w:val="clear"/>
        </w:rPr>
        <w:t> </w:t>
      </w:r>
      <w:r>
        <w:rPr>
          <w:i/>
          <w:color w:val="374151"/>
          <w:shd w:fill="F7F7F8" w:color="auto" w:val="clear"/>
        </w:rPr>
        <w:t>Coalition</w:t>
      </w:r>
      <w:r>
        <w:rPr>
          <w:i/>
          <w:color w:val="374151"/>
          <w:spacing w:val="-15"/>
          <w:shd w:fill="F7F7F8" w:color="auto" w:val="clear"/>
        </w:rPr>
        <w:t> </w:t>
      </w:r>
      <w:r>
        <w:rPr>
          <w:i/>
          <w:color w:val="374151"/>
          <w:shd w:fill="F7F7F8" w:color="auto" w:val="clear"/>
        </w:rPr>
        <w:t>Against</w:t>
      </w:r>
      <w:r>
        <w:rPr>
          <w:i/>
          <w:color w:val="374151"/>
          <w:spacing w:val="-4"/>
          <w:shd w:fill="F7F7F8" w:color="auto" w:val="clear"/>
        </w:rPr>
        <w:t> </w:t>
      </w:r>
      <w:r>
        <w:rPr>
          <w:i/>
          <w:color w:val="374151"/>
          <w:shd w:fill="F7F7F8" w:color="auto" w:val="clear"/>
        </w:rPr>
        <w:t>Domestic</w:t>
      </w:r>
      <w:r>
        <w:rPr>
          <w:i/>
          <w:color w:val="374151"/>
          <w:spacing w:val="-5"/>
          <w:shd w:fill="F7F7F8" w:color="auto" w:val="clear"/>
        </w:rPr>
        <w:t> </w:t>
      </w:r>
      <w:r>
        <w:rPr>
          <w:i/>
          <w:color w:val="374151"/>
          <w:shd w:fill="F7F7F8" w:color="auto" w:val="clear"/>
        </w:rPr>
        <w:t>Violence</w:t>
      </w:r>
      <w:r>
        <w:rPr>
          <w:i/>
          <w:color w:val="374151"/>
          <w:spacing w:val="-5"/>
          <w:shd w:fill="F7F7F8" w:color="auto" w:val="clear"/>
        </w:rPr>
        <w:t> </w:t>
      </w:r>
      <w:r>
        <w:rPr>
          <w:i/>
          <w:color w:val="374151"/>
          <w:spacing w:val="-2"/>
          <w:shd w:fill="F7F7F8" w:color="auto" w:val="clear"/>
        </w:rPr>
        <w:t>(NCADV):</w:t>
      </w:r>
    </w:p>
    <w:p>
      <w:pPr>
        <w:pStyle w:val="BodyText"/>
        <w:spacing w:line="320" w:lineRule="exact"/>
        <w:ind w:left="280"/>
      </w:pPr>
      <w:r>
        <w:rPr>
          <w:color w:val="374151"/>
          <w:spacing w:val="-2"/>
          <w:shd w:fill="F7F7F8" w:color="auto" w:val="clear"/>
        </w:rPr>
        <w:t>Website:</w:t>
      </w:r>
      <w:r>
        <w:rPr>
          <w:color w:val="374151"/>
          <w:spacing w:val="-10"/>
          <w:shd w:fill="F7F7F8" w:color="auto" w:val="clear"/>
        </w:rPr>
        <w:t> </w:t>
      </w:r>
      <w:hyperlink r:id="rId29">
        <w:r>
          <w:rPr>
            <w:color w:val="0000FF"/>
            <w:spacing w:val="-2"/>
            <w:u w:val="single" w:color="0000FF"/>
            <w:shd w:fill="F7F7F8" w:color="auto" w:val="clear"/>
          </w:rPr>
          <w:t>www.ncadv.org</w:t>
        </w:r>
      </w:hyperlink>
    </w:p>
    <w:p>
      <w:pPr>
        <w:pStyle w:val="BodyText"/>
        <w:ind w:left="280" w:right="502"/>
      </w:pPr>
      <w:r>
        <w:rPr>
          <w:color w:val="374151"/>
          <w:shd w:fill="F7F7F8" w:color="auto" w:val="clear"/>
        </w:rPr>
        <w:t>NCADV</w:t>
      </w:r>
      <w:r>
        <w:rPr>
          <w:color w:val="374151"/>
          <w:spacing w:val="-10"/>
          <w:shd w:fill="F7F7F8" w:color="auto" w:val="clear"/>
        </w:rPr>
        <w:t> </w:t>
      </w:r>
      <w:r>
        <w:rPr>
          <w:color w:val="374151"/>
          <w:shd w:fill="F7F7F8" w:color="auto" w:val="clear"/>
        </w:rPr>
        <w:t>offers</w:t>
      </w:r>
      <w:r>
        <w:rPr>
          <w:color w:val="374151"/>
          <w:spacing w:val="-4"/>
          <w:shd w:fill="F7F7F8" w:color="auto" w:val="clear"/>
        </w:rPr>
        <w:t> </w:t>
      </w:r>
      <w:r>
        <w:rPr>
          <w:color w:val="374151"/>
          <w:shd w:fill="F7F7F8" w:color="auto" w:val="clear"/>
        </w:rPr>
        <w:t>resources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support</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survivors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domestic</w:t>
      </w:r>
      <w:r>
        <w:rPr>
          <w:color w:val="374151"/>
          <w:spacing w:val="-5"/>
          <w:shd w:fill="F7F7F8" w:color="auto" w:val="clear"/>
        </w:rPr>
        <w:t> </w:t>
      </w:r>
      <w:r>
        <w:rPr>
          <w:color w:val="374151"/>
          <w:shd w:fill="F7F7F8" w:color="auto" w:val="clear"/>
        </w:rPr>
        <w:t>violence,</w:t>
      </w:r>
      <w:r>
        <w:rPr>
          <w:color w:val="374151"/>
          <w:spacing w:val="-5"/>
          <w:shd w:fill="F7F7F8" w:color="auto" w:val="clear"/>
        </w:rPr>
        <w:t> </w:t>
      </w:r>
      <w:r>
        <w:rPr>
          <w:color w:val="374151"/>
          <w:spacing w:val="-5"/>
        </w:rPr>
        <w:t> </w:t>
      </w:r>
      <w:r>
        <w:rPr>
          <w:color w:val="374151"/>
          <w:shd w:fill="F7F7F8" w:color="auto" w:val="clear"/>
        </w:rPr>
        <w:t>including sexual violence within the context of domestic abuse.</w:t>
      </w:r>
    </w:p>
    <w:p>
      <w:pPr>
        <w:spacing w:after="0"/>
        <w:sectPr>
          <w:pgSz w:w="12240" w:h="15840"/>
          <w:pgMar w:header="0" w:footer="765" w:top="1260" w:bottom="980" w:left="1400" w:right="1180"/>
        </w:sectPr>
      </w:pPr>
    </w:p>
    <w:p>
      <w:pPr>
        <w:pStyle w:val="Heading1"/>
        <w:numPr>
          <w:ilvl w:val="0"/>
          <w:numId w:val="3"/>
        </w:numPr>
        <w:tabs>
          <w:tab w:pos="640" w:val="left" w:leader="none"/>
        </w:tabs>
        <w:spacing w:line="240" w:lineRule="auto" w:before="70" w:after="0"/>
        <w:ind w:left="640" w:right="0" w:hanging="360"/>
        <w:jc w:val="left"/>
        <w:rPr>
          <w:color w:val="374151"/>
        </w:rPr>
      </w:pPr>
      <w:bookmarkStart w:name="_TOC_250003" w:id="7"/>
      <w:r>
        <w:rPr>
          <w:color w:val="374151"/>
          <w:spacing w:val="-2"/>
          <w:shd w:fill="F7F7F8" w:color="auto" w:val="clear"/>
        </w:rPr>
        <w:t>Sexually</w:t>
      </w:r>
      <w:r>
        <w:rPr>
          <w:color w:val="374151"/>
          <w:spacing w:val="-32"/>
          <w:shd w:fill="F7F7F8" w:color="auto" w:val="clear"/>
        </w:rPr>
        <w:t> </w:t>
      </w:r>
      <w:r>
        <w:rPr>
          <w:color w:val="374151"/>
          <w:spacing w:val="-2"/>
          <w:shd w:fill="F7F7F8" w:color="auto" w:val="clear"/>
        </w:rPr>
        <w:t>Transmitted</w:t>
      </w:r>
      <w:r>
        <w:rPr>
          <w:color w:val="374151"/>
          <w:spacing w:val="-21"/>
          <w:shd w:fill="F7F7F8" w:color="auto" w:val="clear"/>
        </w:rPr>
        <w:t> </w:t>
      </w:r>
      <w:r>
        <w:rPr>
          <w:color w:val="374151"/>
          <w:spacing w:val="-2"/>
          <w:shd w:fill="F7F7F8" w:color="auto" w:val="clear"/>
        </w:rPr>
        <w:t>Infections</w:t>
      </w:r>
      <w:r>
        <w:rPr>
          <w:color w:val="374151"/>
          <w:spacing w:val="-8"/>
          <w:shd w:fill="F7F7F8" w:color="auto" w:val="clear"/>
        </w:rPr>
        <w:t> </w:t>
      </w:r>
      <w:bookmarkEnd w:id="7"/>
      <w:r>
        <w:rPr>
          <w:color w:val="374151"/>
          <w:spacing w:val="-2"/>
          <w:shd w:fill="F7F7F8" w:color="auto" w:val="clear"/>
        </w:rPr>
        <w:t>(STIs)</w:t>
      </w:r>
    </w:p>
    <w:p>
      <w:pPr>
        <w:pStyle w:val="BodyText"/>
        <w:spacing w:before="8"/>
        <w:rPr>
          <w:b/>
          <w:sz w:val="36"/>
        </w:rPr>
      </w:pPr>
    </w:p>
    <w:p>
      <w:pPr>
        <w:pStyle w:val="BodyText"/>
        <w:ind w:left="280" w:right="604"/>
      </w:pPr>
      <w:r>
        <w:rPr>
          <w:color w:val="374151"/>
          <w:shd w:fill="F7F7F8" w:color="auto" w:val="clear"/>
        </w:rPr>
        <w:t>This</w:t>
      </w:r>
      <w:r>
        <w:rPr>
          <w:color w:val="374151"/>
          <w:spacing w:val="-1"/>
          <w:shd w:fill="F7F7F8" w:color="auto" w:val="clear"/>
        </w:rPr>
        <w:t> </w:t>
      </w:r>
      <w:r>
        <w:rPr>
          <w:color w:val="374151"/>
          <w:shd w:fill="F7F7F8" w:color="auto" w:val="clear"/>
        </w:rPr>
        <w:t>section</w:t>
      </w:r>
      <w:r>
        <w:rPr>
          <w:color w:val="374151"/>
          <w:spacing w:val="-1"/>
          <w:shd w:fill="F7F7F8" w:color="auto" w:val="clear"/>
        </w:rPr>
        <w:t> </w:t>
      </w:r>
      <w:r>
        <w:rPr>
          <w:color w:val="374151"/>
          <w:shd w:fill="F7F7F8" w:color="auto" w:val="clear"/>
        </w:rPr>
        <w:t>aims</w:t>
      </w:r>
      <w:r>
        <w:rPr>
          <w:color w:val="374151"/>
          <w:spacing w:val="-1"/>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provide</w:t>
      </w:r>
      <w:r>
        <w:rPr>
          <w:color w:val="374151"/>
          <w:spacing w:val="-2"/>
          <w:shd w:fill="F7F7F8" w:color="auto" w:val="clear"/>
        </w:rPr>
        <w:t> </w:t>
      </w:r>
      <w:r>
        <w:rPr>
          <w:color w:val="374151"/>
          <w:shd w:fill="F7F7F8" w:color="auto" w:val="clear"/>
        </w:rPr>
        <w:t>mental</w:t>
      </w:r>
      <w:r>
        <w:rPr>
          <w:color w:val="374151"/>
          <w:spacing w:val="-1"/>
          <w:shd w:fill="F7F7F8" w:color="auto" w:val="clear"/>
        </w:rPr>
        <w:t> </w:t>
      </w:r>
      <w:r>
        <w:rPr>
          <w:color w:val="374151"/>
          <w:shd w:fill="F7F7F8" w:color="auto" w:val="clear"/>
        </w:rPr>
        <w:t>health</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social</w:t>
      </w:r>
      <w:r>
        <w:rPr>
          <w:color w:val="374151"/>
          <w:spacing w:val="-1"/>
          <w:shd w:fill="F7F7F8" w:color="auto" w:val="clear"/>
        </w:rPr>
        <w:t> </w:t>
      </w:r>
      <w:r>
        <w:rPr>
          <w:color w:val="374151"/>
          <w:shd w:fill="F7F7F8" w:color="auto" w:val="clear"/>
        </w:rPr>
        <w:t>work</w:t>
      </w:r>
      <w:r>
        <w:rPr>
          <w:color w:val="374151"/>
          <w:spacing w:val="-1"/>
          <w:shd w:fill="F7F7F8" w:color="auto" w:val="clear"/>
        </w:rPr>
        <w:t> </w:t>
      </w:r>
      <w:r>
        <w:rPr>
          <w:color w:val="374151"/>
          <w:shd w:fill="F7F7F8" w:color="auto" w:val="clear"/>
        </w:rPr>
        <w:t>professionals</w:t>
      </w:r>
      <w:r>
        <w:rPr>
          <w:color w:val="374151"/>
          <w:spacing w:val="-1"/>
          <w:shd w:fill="F7F7F8" w:color="auto" w:val="clear"/>
        </w:rPr>
        <w:t> </w:t>
      </w:r>
      <w:r>
        <w:rPr>
          <w:color w:val="374151"/>
          <w:shd w:fill="F7F7F8" w:color="auto" w:val="clear"/>
        </w:rPr>
        <w:t>with</w:t>
      </w:r>
      <w:r>
        <w:rPr>
          <w:color w:val="374151"/>
          <w:spacing w:val="-2"/>
          <w:shd w:fill="F7F7F8" w:color="auto" w:val="clear"/>
        </w:rPr>
        <w:t> </w:t>
      </w:r>
      <w:r>
        <w:rPr>
          <w:color w:val="374151"/>
          <w:spacing w:val="-2"/>
        </w:rPr>
        <w:t> </w:t>
      </w:r>
      <w:r>
        <w:rPr>
          <w:color w:val="374151"/>
          <w:shd w:fill="F7F7F8" w:color="auto" w:val="clear"/>
        </w:rPr>
        <w:t>a</w:t>
      </w:r>
      <w:r>
        <w:rPr>
          <w:color w:val="374151"/>
          <w:spacing w:val="-6"/>
          <w:shd w:fill="F7F7F8" w:color="auto" w:val="clear"/>
        </w:rPr>
        <w:t> </w:t>
      </w:r>
      <w:r>
        <w:rPr>
          <w:color w:val="374151"/>
          <w:shd w:fill="F7F7F8" w:color="auto" w:val="clear"/>
        </w:rPr>
        <w:t>comprehensive</w:t>
      </w:r>
      <w:r>
        <w:rPr>
          <w:color w:val="374151"/>
          <w:spacing w:val="-6"/>
          <w:shd w:fill="F7F7F8" w:color="auto" w:val="clear"/>
        </w:rPr>
        <w:t> </w:t>
      </w:r>
      <w:r>
        <w:rPr>
          <w:color w:val="374151"/>
          <w:shd w:fill="F7F7F8" w:color="auto" w:val="clear"/>
        </w:rPr>
        <w:t>understanding</w:t>
      </w:r>
      <w:r>
        <w:rPr>
          <w:color w:val="374151"/>
          <w:spacing w:val="-5"/>
          <w:shd w:fill="F7F7F8" w:color="auto" w:val="clear"/>
        </w:rPr>
        <w:t> </w:t>
      </w:r>
      <w:r>
        <w:rPr>
          <w:color w:val="374151"/>
          <w:shd w:fill="F7F7F8" w:color="auto" w:val="clear"/>
        </w:rPr>
        <w:t>of</w:t>
      </w:r>
      <w:r>
        <w:rPr>
          <w:color w:val="374151"/>
          <w:spacing w:val="-5"/>
          <w:shd w:fill="F7F7F8" w:color="auto" w:val="clear"/>
        </w:rPr>
        <w:t> </w:t>
      </w:r>
      <w:r>
        <w:rPr>
          <w:color w:val="374151"/>
          <w:shd w:fill="F7F7F8" w:color="auto" w:val="clear"/>
        </w:rPr>
        <w:t>Sexually</w:t>
      </w:r>
      <w:r>
        <w:rPr>
          <w:color w:val="374151"/>
          <w:spacing w:val="-11"/>
          <w:shd w:fill="F7F7F8" w:color="auto" w:val="clear"/>
        </w:rPr>
        <w:t> </w:t>
      </w:r>
      <w:r>
        <w:rPr>
          <w:color w:val="374151"/>
          <w:shd w:fill="F7F7F8" w:color="auto" w:val="clear"/>
        </w:rPr>
        <w:t>Transmitted</w:t>
      </w:r>
      <w:r>
        <w:rPr>
          <w:color w:val="374151"/>
          <w:spacing w:val="-5"/>
          <w:shd w:fill="F7F7F8" w:color="auto" w:val="clear"/>
        </w:rPr>
        <w:t> </w:t>
      </w:r>
      <w:r>
        <w:rPr>
          <w:color w:val="374151"/>
          <w:shd w:fill="F7F7F8" w:color="auto" w:val="clear"/>
        </w:rPr>
        <w:t>Infections</w:t>
      </w:r>
      <w:r>
        <w:rPr>
          <w:color w:val="374151"/>
          <w:spacing w:val="-5"/>
          <w:shd w:fill="F7F7F8" w:color="auto" w:val="clear"/>
        </w:rPr>
        <w:t> </w:t>
      </w:r>
      <w:r>
        <w:rPr>
          <w:color w:val="374151"/>
          <w:shd w:fill="F7F7F8" w:color="auto" w:val="clear"/>
        </w:rPr>
        <w:t>(STIs).</w:t>
      </w:r>
      <w:r>
        <w:rPr>
          <w:color w:val="374151"/>
          <w:spacing w:val="-5"/>
          <w:shd w:fill="F7F7F8" w:color="auto" w:val="clear"/>
        </w:rPr>
        <w:t> </w:t>
      </w:r>
      <w:r>
        <w:rPr>
          <w:color w:val="374151"/>
          <w:shd w:fill="F7F7F8" w:color="auto" w:val="clear"/>
        </w:rPr>
        <w:t>By</w:t>
      </w:r>
      <w:r>
        <w:rPr>
          <w:color w:val="374151"/>
          <w:spacing w:val="-6"/>
          <w:shd w:fill="F7F7F8" w:color="auto" w:val="clear"/>
        </w:rPr>
        <w:t> </w:t>
      </w:r>
      <w:r>
        <w:rPr>
          <w:color w:val="374151"/>
          <w:spacing w:val="-6"/>
        </w:rPr>
        <w:t> </w:t>
      </w:r>
      <w:r>
        <w:rPr>
          <w:color w:val="374151"/>
          <w:shd w:fill="F7F7F8" w:color="auto" w:val="clear"/>
        </w:rPr>
        <w:t>exploring various aspects such as epidemiological categories, prevalence, </w:t>
      </w:r>
      <w:r>
        <w:rPr>
          <w:color w:val="374151"/>
        </w:rPr>
        <w:t> </w:t>
      </w:r>
      <w:r>
        <w:rPr>
          <w:color w:val="374151"/>
          <w:shd w:fill="F7F7F8" w:color="auto" w:val="clear"/>
        </w:rPr>
        <w:t>pathology, prevention, and mental health impact, this resource will equip </w:t>
      </w:r>
      <w:r>
        <w:rPr>
          <w:color w:val="374151"/>
        </w:rPr>
        <w:t> </w:t>
      </w:r>
      <w:r>
        <w:rPr>
          <w:color w:val="374151"/>
          <w:shd w:fill="F7F7F8" w:color="auto" w:val="clear"/>
        </w:rPr>
        <w:t>professionals with up-to-date knowledge that can assist in their work with </w:t>
      </w:r>
      <w:r>
        <w:rPr>
          <w:color w:val="374151"/>
        </w:rPr>
        <w:t> </w:t>
      </w:r>
      <w:r>
        <w:rPr>
          <w:color w:val="374151"/>
          <w:shd w:fill="F7F7F8" w:color="auto" w:val="clear"/>
        </w:rPr>
        <w:t>individuals affected by STIs.</w:t>
      </w:r>
    </w:p>
    <w:p>
      <w:pPr>
        <w:pStyle w:val="BodyText"/>
        <w:spacing w:before="9"/>
        <w:rPr>
          <w:sz w:val="26"/>
        </w:rPr>
      </w:pPr>
    </w:p>
    <w:p>
      <w:pPr>
        <w:pStyle w:val="Heading2"/>
      </w:pPr>
      <w:r>
        <w:rPr>
          <w:color w:val="374151"/>
          <w:spacing w:val="-2"/>
          <w:shd w:fill="F7F7F8" w:color="auto" w:val="clear"/>
        </w:rPr>
        <w:t>Introduction</w:t>
      </w:r>
    </w:p>
    <w:p>
      <w:pPr>
        <w:pStyle w:val="BodyText"/>
        <w:spacing w:before="9"/>
        <w:rPr>
          <w:b/>
          <w:sz w:val="39"/>
        </w:rPr>
      </w:pPr>
    </w:p>
    <w:p>
      <w:pPr>
        <w:pStyle w:val="BodyText"/>
        <w:spacing w:before="1" w:after="4"/>
        <w:ind w:left="280"/>
      </w:pPr>
      <w:r>
        <w:rPr>
          <w:color w:val="374151"/>
          <w:shd w:fill="F7F7F8" w:color="auto" w:val="clear"/>
        </w:rPr>
        <w:t>Sexually</w:t>
      </w:r>
      <w:r>
        <w:rPr>
          <w:color w:val="374151"/>
          <w:spacing w:val="-11"/>
          <w:shd w:fill="F7F7F8" w:color="auto" w:val="clear"/>
        </w:rPr>
        <w:t> </w:t>
      </w:r>
      <w:r>
        <w:rPr>
          <w:color w:val="374151"/>
          <w:shd w:fill="F7F7F8" w:color="auto" w:val="clear"/>
        </w:rPr>
        <w:t>Transmitted</w:t>
      </w:r>
      <w:r>
        <w:rPr>
          <w:color w:val="374151"/>
          <w:spacing w:val="-5"/>
          <w:shd w:fill="F7F7F8" w:color="auto" w:val="clear"/>
        </w:rPr>
        <w:t> </w:t>
      </w:r>
      <w:r>
        <w:rPr>
          <w:color w:val="374151"/>
          <w:shd w:fill="F7F7F8" w:color="auto" w:val="clear"/>
        </w:rPr>
        <w:t>Infections</w:t>
      </w:r>
      <w:r>
        <w:rPr>
          <w:color w:val="374151"/>
          <w:spacing w:val="-5"/>
          <w:shd w:fill="F7F7F8" w:color="auto" w:val="clear"/>
        </w:rPr>
        <w:t> </w:t>
      </w:r>
      <w:r>
        <w:rPr>
          <w:color w:val="374151"/>
          <w:shd w:fill="F7F7F8" w:color="auto" w:val="clear"/>
        </w:rPr>
        <w:t>(STIs)</w:t>
      </w:r>
      <w:r>
        <w:rPr>
          <w:color w:val="374151"/>
          <w:spacing w:val="-5"/>
          <w:shd w:fill="F7F7F8" w:color="auto" w:val="clear"/>
        </w:rPr>
        <w:t> </w:t>
      </w:r>
      <w:r>
        <w:rPr>
          <w:color w:val="374151"/>
          <w:shd w:fill="F7F7F8" w:color="auto" w:val="clear"/>
        </w:rPr>
        <w:t>pose</w:t>
      </w:r>
      <w:r>
        <w:rPr>
          <w:color w:val="374151"/>
          <w:spacing w:val="-6"/>
          <w:shd w:fill="F7F7F8" w:color="auto" w:val="clear"/>
        </w:rPr>
        <w:t> </w:t>
      </w:r>
      <w:r>
        <w:rPr>
          <w:color w:val="374151"/>
          <w:shd w:fill="F7F7F8" w:color="auto" w:val="clear"/>
        </w:rPr>
        <w:t>a</w:t>
      </w:r>
      <w:r>
        <w:rPr>
          <w:color w:val="374151"/>
          <w:spacing w:val="-6"/>
          <w:shd w:fill="F7F7F8" w:color="auto" w:val="clear"/>
        </w:rPr>
        <w:t> </w:t>
      </w:r>
      <w:r>
        <w:rPr>
          <w:color w:val="374151"/>
          <w:shd w:fill="F7F7F8" w:color="auto" w:val="clear"/>
        </w:rPr>
        <w:t>significant</w:t>
      </w:r>
      <w:r>
        <w:rPr>
          <w:color w:val="374151"/>
          <w:spacing w:val="-5"/>
          <w:shd w:fill="F7F7F8" w:color="auto" w:val="clear"/>
        </w:rPr>
        <w:t> </w:t>
      </w:r>
      <w:r>
        <w:rPr>
          <w:color w:val="374151"/>
          <w:shd w:fill="F7F7F8" w:color="auto" w:val="clear"/>
        </w:rPr>
        <w:t>public</w:t>
      </w:r>
      <w:r>
        <w:rPr>
          <w:color w:val="374151"/>
          <w:spacing w:val="-6"/>
          <w:shd w:fill="F7F7F8" w:color="auto" w:val="clear"/>
        </w:rPr>
        <w:t> </w:t>
      </w:r>
      <w:r>
        <w:rPr>
          <w:color w:val="374151"/>
          <w:shd w:fill="F7F7F8" w:color="auto" w:val="clear"/>
        </w:rPr>
        <w:t>health</w:t>
      </w:r>
      <w:r>
        <w:rPr>
          <w:color w:val="374151"/>
          <w:spacing w:val="-5"/>
          <w:shd w:fill="F7F7F8" w:color="auto" w:val="clear"/>
        </w:rPr>
        <w:t> </w:t>
      </w:r>
      <w:r>
        <w:rPr>
          <w:color w:val="374151"/>
          <w:shd w:fill="F7F7F8" w:color="auto" w:val="clear"/>
        </w:rPr>
        <w:t>concern</w:t>
      </w:r>
      <w:r>
        <w:rPr>
          <w:color w:val="374151"/>
        </w:rPr>
        <w:t> </w:t>
      </w:r>
      <w:r>
        <w:rPr>
          <w:color w:val="374151"/>
          <w:shd w:fill="F7F7F8" w:color="auto" w:val="clear"/>
        </w:rPr>
        <w:t>worldwide. Mental health and social work professionals play a crucial role in </w:t>
      </w:r>
      <w:r>
        <w:rPr>
          <w:color w:val="374151"/>
        </w:rPr>
        <w:t> </w:t>
      </w:r>
      <w:r>
        <w:rPr>
          <w:color w:val="374151"/>
          <w:shd w:fill="F7F7F8" w:color="auto" w:val="clear"/>
        </w:rPr>
        <w:t>supporting individuals affected by STIs.</w:t>
      </w:r>
      <w:r>
        <w:rPr>
          <w:color w:val="374151"/>
          <w:spacing w:val="-1"/>
          <w:shd w:fill="F7F7F8" w:color="auto" w:val="clear"/>
        </w:rPr>
        <w:t> </w:t>
      </w:r>
      <w:r>
        <w:rPr>
          <w:color w:val="374151"/>
          <w:shd w:fill="F7F7F8" w:color="auto" w:val="clear"/>
        </w:rPr>
        <w:t>This article aims to enhance their </w:t>
      </w:r>
      <w:r>
        <w:rPr>
          <w:color w:val="374151"/>
        </w:rPr>
        <w:t> </w:t>
      </w:r>
      <w:r>
        <w:rPr>
          <w:color w:val="374151"/>
          <w:shd w:fill="F7F7F8" w:color="auto" w:val="clear"/>
        </w:rPr>
        <w:t>understanding of STIs and equip them with evidence-based information to</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1828800" cy="393700"/>
                <wp:effectExtent l="0" t="0" r="0" b="0"/>
                <wp:docPr id="294" name="Textbox 294"/>
                <wp:cNvGraphicFramePr>
                  <a:graphicFrameLocks/>
                </wp:cNvGraphicFramePr>
                <a:graphic>
                  <a:graphicData uri="http://schemas.microsoft.com/office/word/2010/wordprocessingShape">
                    <wps:wsp>
                      <wps:cNvPr id="294" name="Textbox 294"/>
                      <wps:cNvSpPr txBox="1"/>
                      <wps:spPr>
                        <a:xfrm>
                          <a:off x="0" y="0"/>
                          <a:ext cx="1828800" cy="393700"/>
                        </a:xfrm>
                        <a:prstGeom prst="rect">
                          <a:avLst/>
                        </a:prstGeom>
                        <a:solidFill>
                          <a:srgbClr val="F7F7F8"/>
                        </a:solidFill>
                      </wps:spPr>
                      <wps:txbx>
                        <w:txbxContent>
                          <w:p>
                            <w:pPr>
                              <w:pStyle w:val="BodyText"/>
                              <w:spacing w:line="308" w:lineRule="exact"/>
                              <w:rPr>
                                <w:color w:val="000000"/>
                              </w:rPr>
                            </w:pPr>
                            <w:r>
                              <w:rPr>
                                <w:color w:val="374151"/>
                              </w:rPr>
                              <w:t>better</w:t>
                            </w:r>
                            <w:r>
                              <w:rPr>
                                <w:color w:val="374151"/>
                                <w:spacing w:val="-2"/>
                              </w:rPr>
                              <w:t> </w:t>
                            </w:r>
                            <w:r>
                              <w:rPr>
                                <w:color w:val="374151"/>
                              </w:rPr>
                              <w:t>assist</w:t>
                            </w:r>
                            <w:r>
                              <w:rPr>
                                <w:color w:val="374151"/>
                                <w:spacing w:val="-1"/>
                              </w:rPr>
                              <w:t> </w:t>
                            </w:r>
                            <w:r>
                              <w:rPr>
                                <w:color w:val="374151"/>
                              </w:rPr>
                              <w:t>their</w:t>
                            </w:r>
                            <w:r>
                              <w:rPr>
                                <w:color w:val="374151"/>
                                <w:spacing w:val="-1"/>
                              </w:rPr>
                              <w:t> </w:t>
                            </w:r>
                            <w:r>
                              <w:rPr>
                                <w:color w:val="374151"/>
                                <w:spacing w:val="-2"/>
                              </w:rPr>
                              <w:t>clients.</w:t>
                            </w:r>
                          </w:p>
                        </w:txbxContent>
                      </wps:txbx>
                      <wps:bodyPr wrap="square" lIns="0" tIns="0" rIns="0" bIns="0" rtlCol="0">
                        <a:noAutofit/>
                      </wps:bodyPr>
                    </wps:wsp>
                  </a:graphicData>
                </a:graphic>
              </wp:inline>
            </w:drawing>
          </mc:Choice>
          <mc:Fallback>
            <w:pict>
              <v:shape style="width:144pt;height:31pt;mso-position-horizontal-relative:char;mso-position-vertical-relative:line" type="#_x0000_t202" id="docshape293" filled="true" fillcolor="#f7f7f8" stroked="false">
                <w10:anchorlock/>
                <v:textbox inset="0,0,0,0">
                  <w:txbxContent>
                    <w:p>
                      <w:pPr>
                        <w:pStyle w:val="BodyText"/>
                        <w:spacing w:line="308" w:lineRule="exact"/>
                        <w:rPr>
                          <w:color w:val="000000"/>
                        </w:rPr>
                      </w:pPr>
                      <w:r>
                        <w:rPr>
                          <w:color w:val="374151"/>
                        </w:rPr>
                        <w:t>better</w:t>
                      </w:r>
                      <w:r>
                        <w:rPr>
                          <w:color w:val="374151"/>
                          <w:spacing w:val="-2"/>
                        </w:rPr>
                        <w:t> </w:t>
                      </w:r>
                      <w:r>
                        <w:rPr>
                          <w:color w:val="374151"/>
                        </w:rPr>
                        <w:t>assist</w:t>
                      </w:r>
                      <w:r>
                        <w:rPr>
                          <w:color w:val="374151"/>
                          <w:spacing w:val="-1"/>
                        </w:rPr>
                        <w:t> </w:t>
                      </w:r>
                      <w:r>
                        <w:rPr>
                          <w:color w:val="374151"/>
                        </w:rPr>
                        <w:t>their</w:t>
                      </w:r>
                      <w:r>
                        <w:rPr>
                          <w:color w:val="374151"/>
                          <w:spacing w:val="-1"/>
                        </w:rPr>
                        <w:t> </w:t>
                      </w:r>
                      <w:r>
                        <w:rPr>
                          <w:color w:val="374151"/>
                          <w:spacing w:val="-2"/>
                        </w:rPr>
                        <w:t>clients.</w:t>
                      </w:r>
                    </w:p>
                  </w:txbxContent>
                </v:textbox>
                <v:fill type="solid"/>
              </v:shape>
            </w:pict>
          </mc:Fallback>
        </mc:AlternateContent>
      </w:r>
      <w:r>
        <w:rPr>
          <w:sz w:val="20"/>
        </w:rPr>
      </w:r>
    </w:p>
    <w:p>
      <w:pPr>
        <w:pStyle w:val="BodyText"/>
        <w:spacing w:line="282" w:lineRule="exact"/>
        <w:ind w:left="280"/>
      </w:pPr>
      <w:r>
        <w:rPr>
          <w:color w:val="374151"/>
          <w:shd w:fill="F7F7F8" w:color="auto" w:val="clear"/>
        </w:rPr>
        <w:t>Sexually</w:t>
      </w:r>
      <w:r>
        <w:rPr>
          <w:color w:val="374151"/>
          <w:spacing w:val="-4"/>
          <w:shd w:fill="F7F7F8" w:color="auto" w:val="clear"/>
        </w:rPr>
        <w:t> </w:t>
      </w:r>
      <w:r>
        <w:rPr>
          <w:color w:val="374151"/>
          <w:shd w:fill="F7F7F8" w:color="auto" w:val="clear"/>
        </w:rPr>
        <w:t>transmitted</w:t>
      </w:r>
      <w:r>
        <w:rPr>
          <w:color w:val="374151"/>
          <w:spacing w:val="-2"/>
          <w:shd w:fill="F7F7F8" w:color="auto" w:val="clear"/>
        </w:rPr>
        <w:t> </w:t>
      </w:r>
      <w:r>
        <w:rPr>
          <w:color w:val="374151"/>
          <w:shd w:fill="F7F7F8" w:color="auto" w:val="clear"/>
        </w:rPr>
        <w:t>diseases</w:t>
      </w:r>
      <w:r>
        <w:rPr>
          <w:color w:val="374151"/>
          <w:spacing w:val="-2"/>
          <w:shd w:fill="F7F7F8" w:color="auto" w:val="clear"/>
        </w:rPr>
        <w:t> </w:t>
      </w:r>
      <w:r>
        <w:rPr>
          <w:color w:val="374151"/>
          <w:shd w:fill="F7F7F8" w:color="auto" w:val="clear"/>
        </w:rPr>
        <w:t>(STDs)</w:t>
      </w:r>
      <w:r>
        <w:rPr>
          <w:color w:val="374151"/>
          <w:spacing w:val="-2"/>
          <w:shd w:fill="F7F7F8" w:color="auto" w:val="clear"/>
        </w:rPr>
        <w:t> </w:t>
      </w:r>
      <w:r>
        <w:rPr>
          <w:color w:val="374151"/>
          <w:shd w:fill="F7F7F8" w:color="auto" w:val="clear"/>
        </w:rPr>
        <w:t>are</w:t>
      </w:r>
      <w:r>
        <w:rPr>
          <w:color w:val="374151"/>
          <w:spacing w:val="-2"/>
          <w:shd w:fill="F7F7F8" w:color="auto" w:val="clear"/>
        </w:rPr>
        <w:t> </w:t>
      </w:r>
      <w:r>
        <w:rPr>
          <w:color w:val="374151"/>
          <w:shd w:fill="F7F7F8" w:color="auto" w:val="clear"/>
        </w:rPr>
        <w:t>also</w:t>
      </w:r>
      <w:r>
        <w:rPr>
          <w:color w:val="374151"/>
          <w:spacing w:val="-2"/>
          <w:shd w:fill="F7F7F8" w:color="auto" w:val="clear"/>
        </w:rPr>
        <w:t> </w:t>
      </w:r>
      <w:r>
        <w:rPr>
          <w:color w:val="374151"/>
          <w:shd w:fill="F7F7F8" w:color="auto" w:val="clear"/>
        </w:rPr>
        <w:t>referred</w:t>
      </w:r>
      <w:r>
        <w:rPr>
          <w:color w:val="374151"/>
          <w:spacing w:val="-2"/>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as</w:t>
      </w:r>
      <w:r>
        <w:rPr>
          <w:color w:val="374151"/>
          <w:spacing w:val="-1"/>
          <w:shd w:fill="F7F7F8" w:color="auto" w:val="clear"/>
        </w:rPr>
        <w:t> </w:t>
      </w:r>
      <w:r>
        <w:rPr>
          <w:color w:val="374151"/>
          <w:spacing w:val="-2"/>
          <w:shd w:fill="F7F7F8" w:color="auto" w:val="clear"/>
        </w:rPr>
        <w:t>sexually</w:t>
      </w:r>
      <w:r>
        <w:rPr>
          <w:color w:val="374151"/>
          <w:spacing w:val="40"/>
          <w:shd w:fill="F7F7F8" w:color="auto" w:val="clear"/>
        </w:rPr>
        <w:t> </w:t>
      </w:r>
    </w:p>
    <w:p>
      <w:pPr>
        <w:pStyle w:val="BodyText"/>
        <w:ind w:left="280" w:right="521"/>
        <w:rPr>
          <w:i/>
        </w:rPr>
      </w:pPr>
      <w:r>
        <w:rPr>
          <w:color w:val="374151"/>
          <w:shd w:fill="F7F7F8" w:color="auto" w:val="clear"/>
        </w:rPr>
        <w:t>transmitted infections (STIs) or venereal diseases (VDs).</w:t>
      </w:r>
      <w:r>
        <w:rPr>
          <w:color w:val="374151"/>
          <w:spacing w:val="40"/>
          <w:shd w:fill="F7F7F8" w:color="auto" w:val="clear"/>
        </w:rPr>
        <w:t> </w:t>
      </w:r>
      <w:r>
        <w:rPr>
          <w:color w:val="374151"/>
          <w:shd w:fill="F7F7F8" w:color="auto" w:val="clear"/>
        </w:rPr>
        <w:t>It is defined as “an </w:t>
      </w:r>
      <w:r>
        <w:rPr>
          <w:color w:val="374151"/>
        </w:rPr>
        <w:t> </w:t>
      </w:r>
      <w:r>
        <w:rPr>
          <w:color w:val="374151"/>
          <w:shd w:fill="F7F7F8" w:color="auto" w:val="clear"/>
        </w:rPr>
        <w:t>illness that has a significant probability of transmission between humans or </w:t>
      </w:r>
      <w:r>
        <w:rPr>
          <w:color w:val="374151"/>
        </w:rPr>
        <w:t> </w:t>
      </w:r>
      <w:r>
        <w:rPr>
          <w:color w:val="374151"/>
          <w:shd w:fill="F7F7F8" w:color="auto" w:val="clear"/>
        </w:rPr>
        <w:t>animals by means of sexual contact, including vaginal intercourse, oral sex, </w:t>
      </w:r>
      <w:r>
        <w:rPr>
          <w:color w:val="374151"/>
        </w:rPr>
        <w:t> </w:t>
      </w:r>
      <w:r>
        <w:rPr>
          <w:color w:val="374151"/>
          <w:shd w:fill="F7F7F8" w:color="auto" w:val="clear"/>
        </w:rPr>
        <w:t>and</w:t>
      </w:r>
      <w:r>
        <w:rPr>
          <w:color w:val="374151"/>
          <w:spacing w:val="-5"/>
          <w:shd w:fill="F7F7F8" w:color="auto" w:val="clear"/>
        </w:rPr>
        <w:t> </w:t>
      </w:r>
      <w:r>
        <w:rPr>
          <w:color w:val="374151"/>
          <w:shd w:fill="F7F7F8" w:color="auto" w:val="clear"/>
        </w:rPr>
        <w:t>anal</w:t>
      </w:r>
      <w:r>
        <w:rPr>
          <w:color w:val="374151"/>
          <w:spacing w:val="-5"/>
          <w:shd w:fill="F7F7F8" w:color="auto" w:val="clear"/>
        </w:rPr>
        <w:t> </w:t>
      </w:r>
      <w:r>
        <w:rPr>
          <w:color w:val="374151"/>
          <w:shd w:fill="F7F7F8" w:color="auto" w:val="clear"/>
        </w:rPr>
        <w:t>sex”.</w:t>
      </w:r>
      <w:r>
        <w:rPr>
          <w:color w:val="374151"/>
          <w:spacing w:val="-5"/>
          <w:shd w:fill="F7F7F8" w:color="auto" w:val="clear"/>
        </w:rPr>
        <w:t> </w:t>
      </w:r>
      <w:r>
        <w:rPr>
          <w:color w:val="374151"/>
          <w:shd w:fill="F7F7F8" w:color="auto" w:val="clear"/>
        </w:rPr>
        <w:t>More</w:t>
      </w:r>
      <w:r>
        <w:rPr>
          <w:color w:val="374151"/>
          <w:spacing w:val="-6"/>
          <w:shd w:fill="F7F7F8" w:color="auto" w:val="clear"/>
        </w:rPr>
        <w:t> </w:t>
      </w:r>
      <w:r>
        <w:rPr>
          <w:color w:val="374151"/>
          <w:shd w:fill="F7F7F8" w:color="auto" w:val="clear"/>
        </w:rPr>
        <w:t>recently,</w:t>
      </w:r>
      <w:r>
        <w:rPr>
          <w:color w:val="374151"/>
          <w:spacing w:val="-5"/>
          <w:shd w:fill="F7F7F8" w:color="auto" w:val="clear"/>
        </w:rPr>
        <w:t> </w:t>
      </w:r>
      <w:r>
        <w:rPr>
          <w:color w:val="374151"/>
          <w:shd w:fill="F7F7F8" w:color="auto" w:val="clear"/>
        </w:rPr>
        <w:t>the</w:t>
      </w:r>
      <w:r>
        <w:rPr>
          <w:color w:val="374151"/>
          <w:spacing w:val="-6"/>
          <w:shd w:fill="F7F7F8" w:color="auto" w:val="clear"/>
        </w:rPr>
        <w:t> </w:t>
      </w:r>
      <w:r>
        <w:rPr>
          <w:color w:val="374151"/>
          <w:shd w:fill="F7F7F8" w:color="auto" w:val="clear"/>
        </w:rPr>
        <w:t>term</w:t>
      </w:r>
      <w:r>
        <w:rPr>
          <w:color w:val="374151"/>
          <w:spacing w:val="-5"/>
          <w:shd w:fill="F7F7F8" w:color="auto" w:val="clear"/>
        </w:rPr>
        <w:t> </w:t>
      </w:r>
      <w:r>
        <w:rPr>
          <w:color w:val="374151"/>
          <w:shd w:fill="F7F7F8" w:color="auto" w:val="clear"/>
        </w:rPr>
        <w:t>sexually</w:t>
      </w:r>
      <w:r>
        <w:rPr>
          <w:color w:val="374151"/>
          <w:spacing w:val="-5"/>
          <w:shd w:fill="F7F7F8" w:color="auto" w:val="clear"/>
        </w:rPr>
        <w:t> </w:t>
      </w:r>
      <w:r>
        <w:rPr>
          <w:color w:val="374151"/>
          <w:shd w:fill="F7F7F8" w:color="auto" w:val="clear"/>
        </w:rPr>
        <w:t>transmitted</w:t>
      </w:r>
      <w:r>
        <w:rPr>
          <w:color w:val="374151"/>
          <w:spacing w:val="-5"/>
          <w:shd w:fill="F7F7F8" w:color="auto" w:val="clear"/>
        </w:rPr>
        <w:t> </w:t>
      </w:r>
      <w:r>
        <w:rPr>
          <w:color w:val="374151"/>
          <w:shd w:fill="F7F7F8" w:color="auto" w:val="clear"/>
        </w:rPr>
        <w:t>infection</w:t>
      </w:r>
      <w:r>
        <w:rPr>
          <w:color w:val="374151"/>
          <w:spacing w:val="-5"/>
          <w:shd w:fill="F7F7F8" w:color="auto" w:val="clear"/>
        </w:rPr>
        <w:t> </w:t>
      </w:r>
      <w:r>
        <w:rPr>
          <w:color w:val="374151"/>
          <w:shd w:fill="F7F7F8" w:color="auto" w:val="clear"/>
        </w:rPr>
        <w:t>(STI)</w:t>
      </w:r>
      <w:r>
        <w:rPr>
          <w:color w:val="374151"/>
          <w:spacing w:val="-5"/>
          <w:shd w:fill="F7F7F8" w:color="auto" w:val="clear"/>
        </w:rPr>
        <w:t> </w:t>
      </w:r>
      <w:r>
        <w:rPr>
          <w:color w:val="374151"/>
          <w:shd w:fill="F7F7F8" w:color="auto" w:val="clear"/>
        </w:rPr>
        <w:t>has</w:t>
      </w:r>
      <w:r>
        <w:rPr>
          <w:color w:val="374151"/>
          <w:spacing w:val="-6"/>
          <w:shd w:fill="F7F7F8" w:color="auto" w:val="clear"/>
        </w:rPr>
        <w:t> </w:t>
      </w:r>
      <w:r>
        <w:rPr>
          <w:color w:val="374151"/>
          <w:spacing w:val="-6"/>
        </w:rPr>
        <w:t> </w:t>
      </w:r>
      <w:r>
        <w:rPr>
          <w:color w:val="374151"/>
          <w:shd w:fill="F7F7F8" w:color="auto" w:val="clear"/>
        </w:rPr>
        <w:t>been preferred due to several reasons including that it has a broader range of </w:t>
      </w:r>
      <w:r>
        <w:rPr>
          <w:color w:val="374151"/>
        </w:rPr>
        <w:t> </w:t>
      </w:r>
      <w:r>
        <w:rPr>
          <w:color w:val="374151"/>
          <w:shd w:fill="F7F7F8" w:color="auto" w:val="clear"/>
        </w:rPr>
        <w:t>meaning; a person may be infected, and may potentially infect others, without </w:t>
      </w:r>
      <w:r>
        <w:rPr>
          <w:color w:val="374151"/>
        </w:rPr>
        <w:t> </w:t>
      </w:r>
      <w:r>
        <w:rPr>
          <w:color w:val="374151"/>
          <w:shd w:fill="F7F7F8" w:color="auto" w:val="clear"/>
        </w:rPr>
        <w:t>showing signs of disease.</w:t>
      </w:r>
      <w:r>
        <w:rPr>
          <w:color w:val="374151"/>
          <w:spacing w:val="40"/>
          <w:shd w:fill="F7F7F8" w:color="auto" w:val="clear"/>
        </w:rPr>
        <w:t> </w:t>
      </w:r>
      <w:r>
        <w:rPr>
          <w:color w:val="374151"/>
          <w:shd w:fill="F7F7F8" w:color="auto" w:val="clear"/>
        </w:rPr>
        <w:t>Until the 1990s, STDs were mostly referred to as </w:t>
      </w:r>
      <w:r>
        <w:rPr>
          <w:color w:val="374151"/>
        </w:rPr>
        <w:t> </w:t>
      </w:r>
      <w:r>
        <w:rPr>
          <w:color w:val="374151"/>
          <w:shd w:fill="F7F7F8" w:color="auto" w:val="clear"/>
        </w:rPr>
        <w:t>venereal diseases.</w:t>
      </w:r>
      <w:r>
        <w:rPr>
          <w:color w:val="374151"/>
          <w:spacing w:val="40"/>
          <w:shd w:fill="F7F7F8" w:color="auto" w:val="clear"/>
        </w:rPr>
        <w:t> </w:t>
      </w:r>
      <w:r>
        <w:rPr>
          <w:color w:val="374151"/>
          <w:shd w:fill="F7F7F8" w:color="auto" w:val="clear"/>
        </w:rPr>
        <w:t>Public health officials originally introduced the term </w:t>
      </w:r>
      <w:r>
        <w:rPr>
          <w:color w:val="374151"/>
        </w:rPr>
        <w:t> </w:t>
      </w:r>
      <w:r>
        <w:rPr>
          <w:color w:val="374151"/>
          <w:shd w:fill="F7F7F8" w:color="auto" w:val="clear"/>
        </w:rPr>
        <w:t>sexually transmitted infection, which clinicians are increasingly using</w:t>
      </w:r>
      <w:r>
        <w:rPr>
          <w:color w:val="374151"/>
        </w:rPr>
        <w:t> </w:t>
      </w:r>
      <w:r>
        <w:rPr>
          <w:color w:val="374151"/>
          <w:shd w:fill="F7F7F8" w:color="auto" w:val="clear"/>
        </w:rPr>
        <w:t>alongside the term sexually transmitted disease in order to distinguish it from </w:t>
      </w:r>
      <w:r>
        <w:rPr>
          <w:color w:val="374151"/>
        </w:rPr>
        <w:t> </w:t>
      </w:r>
      <w:r>
        <w:rPr>
          <w:color w:val="374151"/>
          <w:shd w:fill="F7F7F8" w:color="auto" w:val="clear"/>
        </w:rPr>
        <w:t>the former.</w:t>
      </w:r>
      <w:r>
        <w:rPr>
          <w:color w:val="374151"/>
          <w:spacing w:val="-25"/>
          <w:shd w:fill="F7F7F8" w:color="auto" w:val="clear"/>
        </w:rPr>
        <w:t> </w:t>
      </w:r>
      <w:r>
        <w:rPr>
          <w:color w:val="374151"/>
          <w:shd w:fill="F7F7F8" w:color="auto" w:val="clear"/>
        </w:rPr>
        <w:t>According to the </w:t>
      </w:r>
      <w:r>
        <w:rPr>
          <w:i/>
          <w:color w:val="374151"/>
          <w:shd w:fill="F7F7F8" w:color="auto" w:val="clear"/>
        </w:rPr>
        <w:t>Ethiopian</w:t>
      </w:r>
      <w:r>
        <w:rPr>
          <w:i/>
          <w:color w:val="374151"/>
          <w:spacing w:val="-5"/>
          <w:shd w:fill="F7F7F8" w:color="auto" w:val="clear"/>
        </w:rPr>
        <w:t> </w:t>
      </w:r>
      <w:r>
        <w:rPr>
          <w:i/>
          <w:color w:val="374151"/>
          <w:shd w:fill="F7F7F8" w:color="auto" w:val="clear"/>
        </w:rPr>
        <w:t>Aids Resource Center FAQ</w:t>
      </w:r>
      <w:r>
        <w:rPr>
          <w:color w:val="374151"/>
          <w:shd w:fill="F7F7F8" w:color="auto" w:val="clear"/>
        </w:rPr>
        <w:t>, </w:t>
      </w:r>
      <w:r>
        <w:rPr>
          <w:color w:val="374151"/>
        </w:rPr>
        <w:t> </w:t>
      </w:r>
      <w:r>
        <w:rPr>
          <w:color w:val="374151"/>
          <w:shd w:fill="F7F7F8" w:color="auto" w:val="clear"/>
        </w:rPr>
        <w:t>"Sometimes the terms STI and STD are used interchangeably.</w:t>
      </w:r>
      <w:r>
        <w:rPr>
          <w:color w:val="374151"/>
          <w:spacing w:val="-2"/>
          <w:shd w:fill="F7F7F8" w:color="auto" w:val="clear"/>
        </w:rPr>
        <w:t> </w:t>
      </w:r>
      <w:r>
        <w:rPr>
          <w:color w:val="374151"/>
          <w:shd w:fill="F7F7F8" w:color="auto" w:val="clear"/>
        </w:rPr>
        <w:t>This can be </w:t>
      </w:r>
      <w:r>
        <w:rPr>
          <w:color w:val="374151"/>
        </w:rPr>
        <w:t> </w:t>
      </w:r>
      <w:r>
        <w:rPr>
          <w:color w:val="374151"/>
          <w:shd w:fill="F7F7F8" w:color="auto" w:val="clear"/>
        </w:rPr>
        <w:t>confusing</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not</w:t>
      </w:r>
      <w:r>
        <w:rPr>
          <w:color w:val="374151"/>
          <w:spacing w:val="-3"/>
          <w:shd w:fill="F7F7F8" w:color="auto" w:val="clear"/>
        </w:rPr>
        <w:t> </w:t>
      </w:r>
      <w:r>
        <w:rPr>
          <w:color w:val="374151"/>
          <w:shd w:fill="F7F7F8" w:color="auto" w:val="clear"/>
        </w:rPr>
        <w:t>always</w:t>
      </w:r>
      <w:r>
        <w:rPr>
          <w:color w:val="374151"/>
          <w:spacing w:val="-3"/>
          <w:shd w:fill="F7F7F8" w:color="auto" w:val="clear"/>
        </w:rPr>
        <w:t> </w:t>
      </w:r>
      <w:r>
        <w:rPr>
          <w:color w:val="374151"/>
          <w:shd w:fill="F7F7F8" w:color="auto" w:val="clear"/>
        </w:rPr>
        <w:t>accurate,</w:t>
      </w:r>
      <w:r>
        <w:rPr>
          <w:color w:val="374151"/>
          <w:spacing w:val="-3"/>
          <w:shd w:fill="F7F7F8" w:color="auto" w:val="clear"/>
        </w:rPr>
        <w:t> </w:t>
      </w:r>
      <w:r>
        <w:rPr>
          <w:color w:val="374151"/>
          <w:shd w:fill="F7F7F8" w:color="auto" w:val="clear"/>
        </w:rPr>
        <w:t>so</w:t>
      </w:r>
      <w:r>
        <w:rPr>
          <w:color w:val="374151"/>
          <w:spacing w:val="-3"/>
          <w:shd w:fill="F7F7F8" w:color="auto" w:val="clear"/>
        </w:rPr>
        <w:t> </w:t>
      </w:r>
      <w:r>
        <w:rPr>
          <w:color w:val="374151"/>
          <w:shd w:fill="F7F7F8" w:color="auto" w:val="clear"/>
        </w:rPr>
        <w:t>it</w:t>
      </w:r>
      <w:r>
        <w:rPr>
          <w:color w:val="374151"/>
          <w:spacing w:val="-3"/>
          <w:shd w:fill="F7F7F8" w:color="auto" w:val="clear"/>
        </w:rPr>
        <w:t> </w:t>
      </w:r>
      <w:r>
        <w:rPr>
          <w:color w:val="374151"/>
          <w:shd w:fill="F7F7F8" w:color="auto" w:val="clear"/>
        </w:rPr>
        <w:t>helps</w:t>
      </w:r>
      <w:r>
        <w:rPr>
          <w:color w:val="374151"/>
          <w:spacing w:val="-3"/>
          <w:shd w:fill="F7F7F8" w:color="auto" w:val="clear"/>
        </w:rPr>
        <w:t> </w:t>
      </w:r>
      <w:r>
        <w:rPr>
          <w:color w:val="374151"/>
          <w:shd w:fill="F7F7F8" w:color="auto" w:val="clear"/>
        </w:rPr>
        <w:t>first</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understand</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difference</w:t>
      </w:r>
      <w:r>
        <w:rPr>
          <w:color w:val="374151"/>
        </w:rPr>
        <w:t> </w:t>
      </w:r>
      <w:r>
        <w:rPr>
          <w:color w:val="374151"/>
          <w:shd w:fill="F7F7F8" w:color="auto" w:val="clear"/>
        </w:rPr>
        <w:t>between infection and disease. Infection simply means that a germ — virus, </w:t>
      </w:r>
      <w:r>
        <w:rPr>
          <w:color w:val="374151"/>
        </w:rPr>
        <w:t> </w:t>
      </w:r>
      <w:r>
        <w:rPr>
          <w:color w:val="374151"/>
          <w:shd w:fill="F7F7F8" w:color="auto" w:val="clear"/>
        </w:rPr>
        <w:t>bacteria, or parasite — that can cause disease or sickness is present inside a</w:t>
      </w:r>
      <w:r>
        <w:rPr>
          <w:color w:val="374151"/>
        </w:rPr>
        <w:t> </w:t>
      </w:r>
      <w:r>
        <w:rPr>
          <w:color w:val="374151"/>
          <w:shd w:fill="F7F7F8" w:color="auto" w:val="clear"/>
        </w:rPr>
        <w:t>person’s body.</w:t>
      </w:r>
      <w:r>
        <w:rPr>
          <w:color w:val="374151"/>
          <w:spacing w:val="-27"/>
          <w:shd w:fill="F7F7F8" w:color="auto" w:val="clear"/>
        </w:rPr>
        <w:t> </w:t>
      </w:r>
      <w:r>
        <w:rPr>
          <w:color w:val="374151"/>
          <w:shd w:fill="F7F7F8" w:color="auto" w:val="clear"/>
        </w:rPr>
        <w:t>An infected person does not necessarily have any symptoms or</w:t>
      </w:r>
      <w:r>
        <w:rPr>
          <w:color w:val="374151"/>
        </w:rPr>
        <w:t> </w:t>
      </w:r>
      <w:r>
        <w:rPr>
          <w:color w:val="374151"/>
          <w:shd w:fill="F7F7F8" w:color="auto" w:val="clear"/>
        </w:rPr>
        <w:t>signs</w:t>
      </w:r>
      <w:r>
        <w:rPr>
          <w:color w:val="374151"/>
          <w:spacing w:val="-2"/>
          <w:shd w:fill="F7F7F8" w:color="auto" w:val="clear"/>
        </w:rPr>
        <w:t> </w:t>
      </w:r>
      <w:r>
        <w:rPr>
          <w:color w:val="374151"/>
          <w:shd w:fill="F7F7F8" w:color="auto" w:val="clear"/>
        </w:rPr>
        <w:t>that the virus or bacteria is actually hurting his or her body; they do not </w:t>
      </w:r>
      <w:r>
        <w:rPr>
          <w:color w:val="374151"/>
        </w:rPr>
        <w:t> </w:t>
      </w:r>
      <w:r>
        <w:rPr>
          <w:color w:val="374151"/>
          <w:shd w:fill="F7F7F8" w:color="auto" w:val="clear"/>
        </w:rPr>
        <w:t>necessarily feel sick.</w:t>
      </w:r>
      <w:r>
        <w:rPr>
          <w:color w:val="374151"/>
          <w:spacing w:val="-15"/>
          <w:shd w:fill="F7F7F8" w:color="auto" w:val="clear"/>
        </w:rPr>
        <w:t> </w:t>
      </w:r>
      <w:r>
        <w:rPr>
          <w:color w:val="374151"/>
          <w:shd w:fill="F7F7F8" w:color="auto" w:val="clear"/>
        </w:rPr>
        <w:t>A</w:t>
      </w:r>
      <w:r>
        <w:rPr>
          <w:color w:val="374151"/>
          <w:spacing w:val="-24"/>
          <w:shd w:fill="F7F7F8" w:color="auto" w:val="clear"/>
        </w:rPr>
        <w:t> </w:t>
      </w:r>
      <w:r>
        <w:rPr>
          <w:color w:val="374151"/>
          <w:shd w:fill="F7F7F8" w:color="auto" w:val="clear"/>
        </w:rPr>
        <w:t>disease means that the infection is actually causing the </w:t>
      </w:r>
      <w:r>
        <w:rPr>
          <w:color w:val="374151"/>
        </w:rPr>
        <w:t> </w:t>
      </w:r>
      <w:r>
        <w:rPr>
          <w:color w:val="374151"/>
          <w:shd w:fill="F7F7F8" w:color="auto" w:val="clear"/>
        </w:rPr>
        <w:t>infected person to feel sick, or to notice something is wrong. For this reason, </w:t>
      </w:r>
      <w:r>
        <w:rPr>
          <w:color w:val="374151"/>
        </w:rPr>
        <w:t> </w:t>
      </w:r>
      <w:r>
        <w:rPr>
          <w:color w:val="374151"/>
          <w:shd w:fill="F7F7F8" w:color="auto" w:val="clear"/>
        </w:rPr>
        <w:t>the term STI — which refers to infection with any germ that can cause an </w:t>
      </w:r>
      <w:r>
        <w:rPr>
          <w:color w:val="374151"/>
        </w:rPr>
        <w:t> </w:t>
      </w:r>
      <w:r>
        <w:rPr>
          <w:color w:val="374151"/>
          <w:shd w:fill="F7F7F8" w:color="auto" w:val="clear"/>
        </w:rPr>
        <w:t>STD, even if the infected person has no symptoms — is a much broader term </w:t>
      </w:r>
      <w:r>
        <w:rPr>
          <w:color w:val="374151"/>
        </w:rPr>
        <w:t> </w:t>
      </w:r>
      <w:r>
        <w:rPr>
          <w:color w:val="374151"/>
          <w:shd w:fill="F7F7F8" w:color="auto" w:val="clear"/>
        </w:rPr>
        <w:t>than STD.” </w:t>
      </w:r>
      <w:r>
        <w:rPr>
          <w:i/>
          <w:color w:val="374151"/>
          <w:shd w:fill="F7F7F8" w:color="auto" w:val="clear"/>
        </w:rPr>
        <w:t>(Source: Aids Resource Center).</w:t>
      </w:r>
    </w:p>
    <w:p>
      <w:pPr>
        <w:spacing w:after="0"/>
        <w:sectPr>
          <w:pgSz w:w="12240" w:h="15840"/>
          <w:pgMar w:header="0" w:footer="765" w:top="1260" w:bottom="980" w:left="1400" w:right="1180"/>
        </w:sectPr>
      </w:pPr>
    </w:p>
    <w:p>
      <w:pPr>
        <w:pStyle w:val="BodyText"/>
        <w:rPr>
          <w:i/>
          <w:sz w:val="20"/>
        </w:rPr>
      </w:pPr>
    </w:p>
    <w:p>
      <w:pPr>
        <w:pStyle w:val="BodyText"/>
        <w:rPr>
          <w:i/>
          <w:sz w:val="25"/>
        </w:rPr>
      </w:pPr>
    </w:p>
    <w:p>
      <w:pPr>
        <w:pStyle w:val="BodyText"/>
        <w:spacing w:before="88"/>
        <w:ind w:left="280" w:right="502"/>
      </w:pPr>
      <w:r>
        <w:rPr/>
        <mc:AlternateContent>
          <mc:Choice Requires="wps">
            <w:drawing>
              <wp:anchor distT="0" distB="0" distL="0" distR="0" allowOverlap="1" layoutInCell="1" locked="0" behindDoc="1" simplePos="0" relativeHeight="487656448">
                <wp:simplePos x="0" y="0"/>
                <wp:positionH relativeFrom="page">
                  <wp:posOffset>1066800</wp:posOffset>
                </wp:positionH>
                <wp:positionV relativeFrom="paragraph">
                  <wp:posOffset>673887</wp:posOffset>
                </wp:positionV>
                <wp:extent cx="2446020" cy="393700"/>
                <wp:effectExtent l="0" t="0" r="0" b="0"/>
                <wp:wrapTopAndBottom/>
                <wp:docPr id="295" name="Textbox 295"/>
                <wp:cNvGraphicFramePr>
                  <a:graphicFrameLocks/>
                </wp:cNvGraphicFramePr>
                <a:graphic>
                  <a:graphicData uri="http://schemas.microsoft.com/office/word/2010/wordprocessingShape">
                    <wps:wsp>
                      <wps:cNvPr id="295" name="Textbox 295"/>
                      <wps:cNvSpPr txBox="1"/>
                      <wps:spPr>
                        <a:xfrm>
                          <a:off x="0" y="0"/>
                          <a:ext cx="2446020" cy="393700"/>
                        </a:xfrm>
                        <a:prstGeom prst="rect">
                          <a:avLst/>
                        </a:prstGeom>
                        <a:solidFill>
                          <a:srgbClr val="F7F7F8"/>
                        </a:solidFill>
                      </wps:spPr>
                      <wps:txbx>
                        <w:txbxContent>
                          <w:p>
                            <w:pPr>
                              <w:pStyle w:val="BodyText"/>
                              <w:spacing w:line="308" w:lineRule="exact"/>
                              <w:ind w:right="-15"/>
                              <w:rPr>
                                <w:color w:val="000000"/>
                              </w:rPr>
                            </w:pPr>
                            <w:r>
                              <w:rPr>
                                <w:color w:val="374151"/>
                              </w:rPr>
                              <w:t>effective</w:t>
                            </w:r>
                            <w:r>
                              <w:rPr>
                                <w:color w:val="374151"/>
                                <w:spacing w:val="-7"/>
                              </w:rPr>
                              <w:t> </w:t>
                            </w:r>
                            <w:r>
                              <w:rPr>
                                <w:color w:val="374151"/>
                              </w:rPr>
                              <w:t>intervention</w:t>
                            </w:r>
                            <w:r>
                              <w:rPr>
                                <w:color w:val="374151"/>
                                <w:spacing w:val="-4"/>
                              </w:rPr>
                              <w:t> </w:t>
                            </w:r>
                            <w:r>
                              <w:rPr>
                                <w:color w:val="374151"/>
                              </w:rPr>
                              <w:t>and</w:t>
                            </w:r>
                            <w:r>
                              <w:rPr>
                                <w:color w:val="374151"/>
                                <w:spacing w:val="-4"/>
                              </w:rPr>
                              <w:t> </w:t>
                            </w:r>
                            <w:r>
                              <w:rPr>
                                <w:color w:val="374151"/>
                                <w:spacing w:val="-2"/>
                              </w:rPr>
                              <w:t>support.</w:t>
                            </w:r>
                          </w:p>
                        </w:txbxContent>
                      </wps:txbx>
                      <wps:bodyPr wrap="square" lIns="0" tIns="0" rIns="0" bIns="0" rtlCol="0">
                        <a:noAutofit/>
                      </wps:bodyPr>
                    </wps:wsp>
                  </a:graphicData>
                </a:graphic>
              </wp:anchor>
            </w:drawing>
          </mc:Choice>
          <mc:Fallback>
            <w:pict>
              <v:shape style="position:absolute;margin-left:84pt;margin-top:53.062pt;width:192.6pt;height:31pt;mso-position-horizontal-relative:page;mso-position-vertical-relative:paragraph;z-index:-15660032;mso-wrap-distance-left:0;mso-wrap-distance-right:0" type="#_x0000_t202" id="docshape294" filled="true" fillcolor="#f7f7f8" stroked="false">
                <v:textbox inset="0,0,0,0">
                  <w:txbxContent>
                    <w:p>
                      <w:pPr>
                        <w:pStyle w:val="BodyText"/>
                        <w:spacing w:line="308" w:lineRule="exact"/>
                        <w:ind w:right="-15"/>
                        <w:rPr>
                          <w:color w:val="000000"/>
                        </w:rPr>
                      </w:pPr>
                      <w:r>
                        <w:rPr>
                          <w:color w:val="374151"/>
                        </w:rPr>
                        <w:t>effective</w:t>
                      </w:r>
                      <w:r>
                        <w:rPr>
                          <w:color w:val="374151"/>
                          <w:spacing w:val="-7"/>
                        </w:rPr>
                        <w:t> </w:t>
                      </w:r>
                      <w:r>
                        <w:rPr>
                          <w:color w:val="374151"/>
                        </w:rPr>
                        <w:t>intervention</w:t>
                      </w:r>
                      <w:r>
                        <w:rPr>
                          <w:color w:val="374151"/>
                          <w:spacing w:val="-4"/>
                        </w:rPr>
                        <w:t> </w:t>
                      </w:r>
                      <w:r>
                        <w:rPr>
                          <w:color w:val="374151"/>
                        </w:rPr>
                        <w:t>and</w:t>
                      </w:r>
                      <w:r>
                        <w:rPr>
                          <w:color w:val="374151"/>
                          <w:spacing w:val="-4"/>
                        </w:rPr>
                        <w:t> </w:t>
                      </w:r>
                      <w:r>
                        <w:rPr>
                          <w:color w:val="374151"/>
                          <w:spacing w:val="-2"/>
                        </w:rPr>
                        <w:t>support.</w:t>
                      </w:r>
                    </w:p>
                  </w:txbxContent>
                </v:textbox>
                <v:fill type="solid"/>
                <w10:wrap type="topAndBottom"/>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1066800</wp:posOffset>
                </wp:positionH>
                <wp:positionV relativeFrom="paragraph">
                  <wp:posOffset>-329015</wp:posOffset>
                </wp:positionV>
                <wp:extent cx="2672080" cy="39370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67208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Epidemiological</w:t>
                            </w:r>
                            <w:r>
                              <w:rPr>
                                <w:b/>
                                <w:color w:val="374151"/>
                                <w:spacing w:val="-4"/>
                                <w:sz w:val="28"/>
                              </w:rPr>
                              <w:t> </w:t>
                            </w:r>
                            <w:r>
                              <w:rPr>
                                <w:b/>
                                <w:color w:val="374151"/>
                                <w:sz w:val="28"/>
                              </w:rPr>
                              <w:t>Categories</w:t>
                            </w:r>
                            <w:r>
                              <w:rPr>
                                <w:b/>
                                <w:color w:val="374151"/>
                                <w:spacing w:val="-2"/>
                                <w:sz w:val="28"/>
                              </w:rPr>
                              <w:t> </w:t>
                            </w:r>
                            <w:r>
                              <w:rPr>
                                <w:b/>
                                <w:color w:val="374151"/>
                                <w:sz w:val="28"/>
                              </w:rPr>
                              <w:t>of</w:t>
                            </w:r>
                            <w:r>
                              <w:rPr>
                                <w:b/>
                                <w:color w:val="374151"/>
                                <w:spacing w:val="-2"/>
                                <w:sz w:val="28"/>
                              </w:rPr>
                              <w:t> </w:t>
                            </w:r>
                            <w:r>
                              <w:rPr>
                                <w:b/>
                                <w:color w:val="374151"/>
                                <w:spacing w:val="-4"/>
                                <w:sz w:val="28"/>
                              </w:rPr>
                              <w:t>STIs</w:t>
                            </w:r>
                          </w:p>
                        </w:txbxContent>
                      </wps:txbx>
                      <wps:bodyPr wrap="square" lIns="0" tIns="0" rIns="0" bIns="0" rtlCol="0">
                        <a:noAutofit/>
                      </wps:bodyPr>
                    </wps:wsp>
                  </a:graphicData>
                </a:graphic>
              </wp:anchor>
            </w:drawing>
          </mc:Choice>
          <mc:Fallback>
            <w:pict>
              <v:shape style="position:absolute;margin-left:84pt;margin-top:-25.906702pt;width:210.4pt;height:31pt;mso-position-horizontal-relative:page;mso-position-vertical-relative:paragraph;z-index:15798272" type="#_x0000_t202" id="docshape295" filled="true" fillcolor="#f7f7f8" stroked="false">
                <v:textbox inset="0,0,0,0">
                  <w:txbxContent>
                    <w:p>
                      <w:pPr>
                        <w:spacing w:line="308" w:lineRule="exact" w:before="0"/>
                        <w:ind w:left="0" w:right="-15" w:firstLine="0"/>
                        <w:jc w:val="left"/>
                        <w:rPr>
                          <w:b/>
                          <w:color w:val="000000"/>
                          <w:sz w:val="28"/>
                        </w:rPr>
                      </w:pPr>
                      <w:r>
                        <w:rPr>
                          <w:b/>
                          <w:color w:val="374151"/>
                          <w:sz w:val="28"/>
                        </w:rPr>
                        <w:t>Epidemiological</w:t>
                      </w:r>
                      <w:r>
                        <w:rPr>
                          <w:b/>
                          <w:color w:val="374151"/>
                          <w:spacing w:val="-4"/>
                          <w:sz w:val="28"/>
                        </w:rPr>
                        <w:t> </w:t>
                      </w:r>
                      <w:r>
                        <w:rPr>
                          <w:b/>
                          <w:color w:val="374151"/>
                          <w:sz w:val="28"/>
                        </w:rPr>
                        <w:t>Categories</w:t>
                      </w:r>
                      <w:r>
                        <w:rPr>
                          <w:b/>
                          <w:color w:val="374151"/>
                          <w:spacing w:val="-2"/>
                          <w:sz w:val="28"/>
                        </w:rPr>
                        <w:t> </w:t>
                      </w:r>
                      <w:r>
                        <w:rPr>
                          <w:b/>
                          <w:color w:val="374151"/>
                          <w:sz w:val="28"/>
                        </w:rPr>
                        <w:t>of</w:t>
                      </w:r>
                      <w:r>
                        <w:rPr>
                          <w:b/>
                          <w:color w:val="374151"/>
                          <w:spacing w:val="-2"/>
                          <w:sz w:val="28"/>
                        </w:rPr>
                        <w:t> </w:t>
                      </w:r>
                      <w:r>
                        <w:rPr>
                          <w:b/>
                          <w:color w:val="374151"/>
                          <w:spacing w:val="-4"/>
                          <w:sz w:val="28"/>
                        </w:rPr>
                        <w:t>STIs</w:t>
                      </w:r>
                    </w:p>
                  </w:txbxContent>
                </v:textbox>
                <v:fill type="solid"/>
                <w10:wrap type="none"/>
              </v:shape>
            </w:pict>
          </mc:Fallback>
        </mc:AlternateContent>
      </w:r>
      <w:r>
        <w:rPr>
          <w:color w:val="374151"/>
          <w:shd w:fill="F7F7F8" w:color="auto" w:val="clear"/>
        </w:rPr>
        <w:t>STIs can be broadly classified into bacterial, viral, and parasitic infections. </w:t>
      </w:r>
      <w:r>
        <w:rPr>
          <w:color w:val="374151"/>
        </w:rPr>
        <w:t> </w:t>
      </w:r>
      <w:r>
        <w:rPr>
          <w:color w:val="374151"/>
          <w:shd w:fill="F7F7F8" w:color="auto" w:val="clear"/>
        </w:rPr>
        <w:t>Each</w:t>
      </w:r>
      <w:r>
        <w:rPr>
          <w:color w:val="374151"/>
          <w:spacing w:val="-4"/>
          <w:shd w:fill="F7F7F8" w:color="auto" w:val="clear"/>
        </w:rPr>
        <w:t> </w:t>
      </w:r>
      <w:r>
        <w:rPr>
          <w:color w:val="374151"/>
          <w:shd w:fill="F7F7F8" w:color="auto" w:val="clear"/>
        </w:rPr>
        <w:t>category</w:t>
      </w:r>
      <w:r>
        <w:rPr>
          <w:color w:val="374151"/>
          <w:spacing w:val="-4"/>
          <w:shd w:fill="F7F7F8" w:color="auto" w:val="clear"/>
        </w:rPr>
        <w:t> </w:t>
      </w:r>
      <w:r>
        <w:rPr>
          <w:color w:val="374151"/>
          <w:shd w:fill="F7F7F8" w:color="auto" w:val="clear"/>
        </w:rPr>
        <w:t>presents</w:t>
      </w:r>
      <w:r>
        <w:rPr>
          <w:color w:val="374151"/>
          <w:spacing w:val="-4"/>
          <w:shd w:fill="F7F7F8" w:color="auto" w:val="clear"/>
        </w:rPr>
        <w:t> </w:t>
      </w:r>
      <w:r>
        <w:rPr>
          <w:color w:val="374151"/>
          <w:shd w:fill="F7F7F8" w:color="auto" w:val="clear"/>
        </w:rPr>
        <w:t>unique</w:t>
      </w:r>
      <w:r>
        <w:rPr>
          <w:color w:val="374151"/>
          <w:spacing w:val="-5"/>
          <w:shd w:fill="F7F7F8" w:color="auto" w:val="clear"/>
        </w:rPr>
        <w:t> </w:t>
      </w:r>
      <w:r>
        <w:rPr>
          <w:color w:val="374151"/>
          <w:shd w:fill="F7F7F8" w:color="auto" w:val="clear"/>
        </w:rPr>
        <w:t>challenges</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terms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transmission,</w:t>
      </w:r>
      <w:r>
        <w:rPr>
          <w:color w:val="374151"/>
          <w:spacing w:val="-4"/>
          <w:shd w:fill="F7F7F8" w:color="auto" w:val="clear"/>
        </w:rPr>
        <w:t> </w:t>
      </w:r>
      <w:r>
        <w:rPr>
          <w:color w:val="374151"/>
          <w:shd w:fill="F7F7F8" w:color="auto" w:val="clear"/>
        </w:rPr>
        <w:t>diagnosis,</w:t>
      </w:r>
      <w:r>
        <w:rPr>
          <w:color w:val="374151"/>
          <w:spacing w:val="-5"/>
          <w:shd w:fill="F7F7F8" w:color="auto" w:val="clear"/>
        </w:rPr>
        <w:t> </w:t>
      </w:r>
      <w:r>
        <w:rPr>
          <w:color w:val="374151"/>
          <w:spacing w:val="-5"/>
        </w:rPr>
        <w:t> </w:t>
      </w:r>
      <w:r>
        <w:rPr>
          <w:color w:val="374151"/>
          <w:shd w:fill="F7F7F8" w:color="auto" w:val="clear"/>
        </w:rPr>
        <w:t>treatment, and prevention. Understanding these categories is essential for</w:t>
      </w:r>
      <w:r>
        <w:rPr>
          <w:color w:val="374151"/>
          <w:spacing w:val="40"/>
          <w:shd w:fill="F7F7F8" w:color="auto" w:val="clear"/>
        </w:rPr>
        <w:t> </w:t>
      </w:r>
    </w:p>
    <w:p>
      <w:pPr>
        <w:pStyle w:val="BodyText"/>
        <w:spacing w:line="237" w:lineRule="auto"/>
        <w:ind w:left="280"/>
      </w:pPr>
      <w:r>
        <w:rPr>
          <w:color w:val="374151"/>
          <w:shd w:fill="F7F7F8" w:color="auto" w:val="clear"/>
        </w:rPr>
        <w:t>The</w:t>
      </w:r>
      <w:r>
        <w:rPr>
          <w:color w:val="374151"/>
          <w:spacing w:val="-10"/>
          <w:shd w:fill="F7F7F8" w:color="auto" w:val="clear"/>
        </w:rPr>
        <w:t> </w:t>
      </w:r>
      <w:r>
        <w:rPr>
          <w:color w:val="374151"/>
          <w:shd w:fill="F7F7F8" w:color="auto" w:val="clear"/>
        </w:rPr>
        <w:t>diseases</w:t>
      </w:r>
      <w:r>
        <w:rPr>
          <w:color w:val="374151"/>
          <w:spacing w:val="-9"/>
          <w:shd w:fill="F7F7F8" w:color="auto" w:val="clear"/>
        </w:rPr>
        <w:t> </w:t>
      </w:r>
      <w:r>
        <w:rPr>
          <w:color w:val="374151"/>
          <w:shd w:fill="F7F7F8" w:color="auto" w:val="clear"/>
        </w:rPr>
        <w:t>listed</w:t>
      </w:r>
      <w:r>
        <w:rPr>
          <w:color w:val="374151"/>
          <w:spacing w:val="-9"/>
          <w:shd w:fill="F7F7F8" w:color="auto" w:val="clear"/>
        </w:rPr>
        <w:t> </w:t>
      </w:r>
      <w:r>
        <w:rPr>
          <w:color w:val="374151"/>
          <w:shd w:fill="F7F7F8" w:color="auto" w:val="clear"/>
        </w:rPr>
        <w:t>below</w:t>
      </w:r>
      <w:r>
        <w:rPr>
          <w:color w:val="374151"/>
          <w:spacing w:val="-9"/>
          <w:shd w:fill="F7F7F8" w:color="auto" w:val="clear"/>
        </w:rPr>
        <w:t> </w:t>
      </w:r>
      <w:r>
        <w:rPr>
          <w:color w:val="374151"/>
          <w:shd w:fill="F7F7F8" w:color="auto" w:val="clear"/>
        </w:rPr>
        <w:t>are</w:t>
      </w:r>
      <w:r>
        <w:rPr>
          <w:color w:val="374151"/>
          <w:spacing w:val="-10"/>
          <w:shd w:fill="F7F7F8" w:color="auto" w:val="clear"/>
        </w:rPr>
        <w:t> </w:t>
      </w:r>
      <w:r>
        <w:rPr>
          <w:color w:val="374151"/>
          <w:shd w:fill="F7F7F8" w:color="auto" w:val="clear"/>
        </w:rPr>
        <w:t>usually</w:t>
      </w:r>
      <w:r>
        <w:rPr>
          <w:color w:val="374151"/>
          <w:spacing w:val="-9"/>
          <w:shd w:fill="F7F7F8" w:color="auto" w:val="clear"/>
        </w:rPr>
        <w:t> </w:t>
      </w:r>
      <w:r>
        <w:rPr>
          <w:color w:val="374151"/>
          <w:shd w:fill="F7F7F8" w:color="auto" w:val="clear"/>
        </w:rPr>
        <w:t>sexually</w:t>
      </w:r>
      <w:r>
        <w:rPr>
          <w:color w:val="374151"/>
          <w:spacing w:val="-9"/>
          <w:shd w:fill="F7F7F8" w:color="auto" w:val="clear"/>
        </w:rPr>
        <w:t> </w:t>
      </w:r>
      <w:r>
        <w:rPr>
          <w:color w:val="374151"/>
          <w:shd w:fill="F7F7F8" w:color="auto" w:val="clear"/>
        </w:rPr>
        <w:t>transmitted.</w:t>
      </w:r>
      <w:r>
        <w:rPr>
          <w:color w:val="374151"/>
          <w:spacing w:val="-9"/>
          <w:shd w:fill="F7F7F8" w:color="auto" w:val="clear"/>
        </w:rPr>
        <w:t> </w:t>
      </w:r>
      <w:r>
        <w:rPr>
          <w:color w:val="374151"/>
          <w:shd w:fill="F7F7F8" w:color="auto" w:val="clear"/>
        </w:rPr>
        <w:t>Some</w:t>
      </w:r>
      <w:r>
        <w:rPr>
          <w:color w:val="374151"/>
          <w:spacing w:val="-10"/>
          <w:shd w:fill="F7F7F8" w:color="auto" w:val="clear"/>
        </w:rPr>
        <w:t> </w:t>
      </w:r>
      <w:r>
        <w:rPr>
          <w:color w:val="374151"/>
          <w:shd w:fill="F7F7F8" w:color="auto" w:val="clear"/>
        </w:rPr>
        <w:t>diseases</w:t>
      </w:r>
      <w:r>
        <w:rPr>
          <w:color w:val="374151"/>
          <w:spacing w:val="-9"/>
          <w:shd w:fill="F7F7F8" w:color="auto" w:val="clear"/>
        </w:rPr>
        <w:t> </w:t>
      </w:r>
      <w:r>
        <w:rPr>
          <w:color w:val="374151"/>
          <w:shd w:fill="F7F7F8" w:color="auto" w:val="clear"/>
        </w:rPr>
        <w:t>are</w:t>
      </w:r>
      <w:r>
        <w:rPr>
          <w:color w:val="374151"/>
        </w:rPr>
        <w:t> </w:t>
      </w:r>
      <w:r>
        <w:rPr>
          <w:color w:val="374151"/>
          <w:shd w:fill="F7F7F8" w:color="auto" w:val="clear"/>
        </w:rPr>
        <w:t>transmitted in other ways such as HIV/AIDS which may be transmitted</w:t>
      </w:r>
      <w:r>
        <w:rPr>
          <w:color w:val="374151"/>
          <w:spacing w:val="40"/>
          <w:shd w:fill="F7F7F8" w:color="auto" w:val="clear"/>
        </w:rPr>
        <w:t> </w:t>
      </w:r>
    </w:p>
    <w:p>
      <w:pPr>
        <w:pStyle w:val="BodyText"/>
        <w:rPr>
          <w:sz w:val="20"/>
        </w:rPr>
      </w:pPr>
    </w:p>
    <w:p>
      <w:pPr>
        <w:pStyle w:val="BodyText"/>
        <w:spacing w:before="4"/>
        <w:rPr>
          <w:sz w:val="25"/>
        </w:rPr>
      </w:pPr>
    </w:p>
    <w:p>
      <w:pPr>
        <w:spacing w:before="28"/>
        <w:ind w:left="760" w:right="0" w:firstLine="0"/>
        <w:jc w:val="left"/>
        <w:rPr>
          <w:rFonts w:ascii="Segoe UI Symbol" w:hAnsi="Segoe UI Symbol"/>
          <w:sz w:val="30"/>
        </w:rPr>
      </w:pPr>
      <w:r>
        <w:rPr/>
        <mc:AlternateContent>
          <mc:Choice Requires="wps">
            <w:drawing>
              <wp:anchor distT="0" distB="0" distL="0" distR="0" allowOverlap="1" layoutInCell="1" locked="0" behindDoc="1" simplePos="0" relativeHeight="485142016">
                <wp:simplePos x="0" y="0"/>
                <wp:positionH relativeFrom="page">
                  <wp:posOffset>1066800</wp:posOffset>
                </wp:positionH>
                <wp:positionV relativeFrom="paragraph">
                  <wp:posOffset>-329140</wp:posOffset>
                </wp:positionV>
                <wp:extent cx="3816985" cy="78740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3816985" cy="787400"/>
                          <a:chExt cx="3816985" cy="787400"/>
                        </a:xfrm>
                      </wpg:grpSpPr>
                      <wps:wsp>
                        <wps:cNvPr id="298" name="Textbox 298"/>
                        <wps:cNvSpPr txBox="1"/>
                        <wps:spPr>
                          <a:xfrm>
                            <a:off x="595745" y="393700"/>
                            <a:ext cx="678180"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pacing w:val="-2"/>
                                  <w:sz w:val="28"/>
                                </w:rPr>
                                <w:t>Bacterial</w:t>
                              </w:r>
                            </w:p>
                          </w:txbxContent>
                        </wps:txbx>
                        <wps:bodyPr wrap="square" lIns="0" tIns="0" rIns="0" bIns="0" rtlCol="0">
                          <a:noAutofit/>
                        </wps:bodyPr>
                      </wps:wsp>
                      <wps:wsp>
                        <wps:cNvPr id="299" name="Textbox 299"/>
                        <wps:cNvSpPr txBox="1"/>
                        <wps:spPr>
                          <a:xfrm>
                            <a:off x="0" y="0"/>
                            <a:ext cx="3816985"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through</w:t>
                              </w:r>
                              <w:r>
                                <w:rPr>
                                  <w:color w:val="374151"/>
                                  <w:spacing w:val="-1"/>
                                  <w:sz w:val="28"/>
                                </w:rPr>
                                <w:t> </w:t>
                              </w:r>
                              <w:r>
                                <w:rPr>
                                  <w:color w:val="374151"/>
                                  <w:sz w:val="28"/>
                                </w:rPr>
                                <w:t>the</w:t>
                              </w:r>
                              <w:r>
                                <w:rPr>
                                  <w:color w:val="374151"/>
                                  <w:spacing w:val="-2"/>
                                  <w:sz w:val="28"/>
                                </w:rPr>
                                <w:t> </w:t>
                              </w:r>
                              <w:r>
                                <w:rPr>
                                  <w:color w:val="374151"/>
                                  <w:sz w:val="28"/>
                                </w:rPr>
                                <w:t>sharing</w:t>
                              </w:r>
                              <w:r>
                                <w:rPr>
                                  <w:color w:val="374151"/>
                                  <w:spacing w:val="-1"/>
                                  <w:sz w:val="28"/>
                                </w:rPr>
                                <w:t> </w:t>
                              </w:r>
                              <w:r>
                                <w:rPr>
                                  <w:color w:val="374151"/>
                                  <w:sz w:val="28"/>
                                </w:rPr>
                                <w:t>of</w:t>
                              </w:r>
                              <w:r>
                                <w:rPr>
                                  <w:color w:val="374151"/>
                                  <w:spacing w:val="-1"/>
                                  <w:sz w:val="28"/>
                                </w:rPr>
                                <w:t> </w:t>
                              </w:r>
                              <w:r>
                                <w:rPr>
                                  <w:color w:val="374151"/>
                                  <w:sz w:val="28"/>
                                </w:rPr>
                                <w:t>infected</w:t>
                              </w:r>
                              <w:r>
                                <w:rPr>
                                  <w:color w:val="374151"/>
                                  <w:spacing w:val="-1"/>
                                  <w:sz w:val="28"/>
                                </w:rPr>
                                <w:t> </w:t>
                              </w:r>
                              <w:r>
                                <w:rPr>
                                  <w:color w:val="374151"/>
                                  <w:sz w:val="28"/>
                                </w:rPr>
                                <w:t>needles</w:t>
                              </w:r>
                              <w:r>
                                <w:rPr>
                                  <w:color w:val="374151"/>
                                  <w:spacing w:val="-1"/>
                                  <w:sz w:val="28"/>
                                </w:rPr>
                                <w:t> </w:t>
                              </w:r>
                              <w:r>
                                <w:rPr>
                                  <w:color w:val="374151"/>
                                  <w:sz w:val="28"/>
                                </w:rPr>
                                <w:t>by</w:t>
                              </w:r>
                              <w:r>
                                <w:rPr>
                                  <w:color w:val="374151"/>
                                  <w:spacing w:val="-1"/>
                                  <w:sz w:val="28"/>
                                </w:rPr>
                                <w:t> </w:t>
                              </w:r>
                              <w:r>
                                <w:rPr>
                                  <w:color w:val="374151"/>
                                  <w:sz w:val="28"/>
                                </w:rPr>
                                <w:t>drug </w:t>
                              </w:r>
                              <w:r>
                                <w:rPr>
                                  <w:color w:val="374151"/>
                                  <w:spacing w:val="-2"/>
                                  <w:sz w:val="28"/>
                                </w:rPr>
                                <w:t>users.</w:t>
                              </w:r>
                            </w:p>
                          </w:txbxContent>
                        </wps:txbx>
                        <wps:bodyPr wrap="square" lIns="0" tIns="0" rIns="0" bIns="0" rtlCol="0">
                          <a:noAutofit/>
                        </wps:bodyPr>
                      </wps:wsp>
                    </wpg:wgp>
                  </a:graphicData>
                </a:graphic>
              </wp:anchor>
            </w:drawing>
          </mc:Choice>
          <mc:Fallback>
            <w:pict>
              <v:group style="position:absolute;margin-left:84pt;margin-top:-25.91659pt;width:300.55pt;height:62pt;mso-position-horizontal-relative:page;mso-position-vertical-relative:paragraph;z-index:-18174464" id="docshapegroup296" coordorigin="1680,-518" coordsize="6011,1240">
                <v:shape style="position:absolute;left:2618;top:101;width:1068;height:620" type="#_x0000_t202" id="docshape297" filled="true" fillcolor="#f7f7f8" stroked="false">
                  <v:textbox inset="0,0,0,0">
                    <w:txbxContent>
                      <w:p>
                        <w:pPr>
                          <w:spacing w:line="308" w:lineRule="exact" w:before="0"/>
                          <w:ind w:left="0" w:right="-15" w:firstLine="0"/>
                          <w:jc w:val="left"/>
                          <w:rPr>
                            <w:b/>
                            <w:color w:val="000000"/>
                            <w:sz w:val="28"/>
                          </w:rPr>
                        </w:pPr>
                        <w:r>
                          <w:rPr>
                            <w:b/>
                            <w:color w:val="374151"/>
                            <w:spacing w:val="-2"/>
                            <w:sz w:val="28"/>
                          </w:rPr>
                          <w:t>Bacterial</w:t>
                        </w:r>
                      </w:p>
                    </w:txbxContent>
                  </v:textbox>
                  <v:fill type="solid"/>
                  <w10:wrap type="none"/>
                </v:shape>
                <v:shape style="position:absolute;left:1680;top:-519;width:6011;height:620" type="#_x0000_t202" id="docshape298" filled="true" fillcolor="#f7f7f8" stroked="false">
                  <v:textbox inset="0,0,0,0">
                    <w:txbxContent>
                      <w:p>
                        <w:pPr>
                          <w:spacing w:line="308" w:lineRule="exact" w:before="0"/>
                          <w:ind w:left="0" w:right="-15" w:firstLine="0"/>
                          <w:jc w:val="left"/>
                          <w:rPr>
                            <w:color w:val="000000"/>
                            <w:sz w:val="28"/>
                          </w:rPr>
                        </w:pPr>
                        <w:r>
                          <w:rPr>
                            <w:color w:val="374151"/>
                            <w:sz w:val="28"/>
                          </w:rPr>
                          <w:t>through</w:t>
                        </w:r>
                        <w:r>
                          <w:rPr>
                            <w:color w:val="374151"/>
                            <w:spacing w:val="-1"/>
                            <w:sz w:val="28"/>
                          </w:rPr>
                          <w:t> </w:t>
                        </w:r>
                        <w:r>
                          <w:rPr>
                            <w:color w:val="374151"/>
                            <w:sz w:val="28"/>
                          </w:rPr>
                          <w:t>the</w:t>
                        </w:r>
                        <w:r>
                          <w:rPr>
                            <w:color w:val="374151"/>
                            <w:spacing w:val="-2"/>
                            <w:sz w:val="28"/>
                          </w:rPr>
                          <w:t> </w:t>
                        </w:r>
                        <w:r>
                          <w:rPr>
                            <w:color w:val="374151"/>
                            <w:sz w:val="28"/>
                          </w:rPr>
                          <w:t>sharing</w:t>
                        </w:r>
                        <w:r>
                          <w:rPr>
                            <w:color w:val="374151"/>
                            <w:spacing w:val="-1"/>
                            <w:sz w:val="28"/>
                          </w:rPr>
                          <w:t> </w:t>
                        </w:r>
                        <w:r>
                          <w:rPr>
                            <w:color w:val="374151"/>
                            <w:sz w:val="28"/>
                          </w:rPr>
                          <w:t>of</w:t>
                        </w:r>
                        <w:r>
                          <w:rPr>
                            <w:color w:val="374151"/>
                            <w:spacing w:val="-1"/>
                            <w:sz w:val="28"/>
                          </w:rPr>
                          <w:t> </w:t>
                        </w:r>
                        <w:r>
                          <w:rPr>
                            <w:color w:val="374151"/>
                            <w:sz w:val="28"/>
                          </w:rPr>
                          <w:t>infected</w:t>
                        </w:r>
                        <w:r>
                          <w:rPr>
                            <w:color w:val="374151"/>
                            <w:spacing w:val="-1"/>
                            <w:sz w:val="28"/>
                          </w:rPr>
                          <w:t> </w:t>
                        </w:r>
                        <w:r>
                          <w:rPr>
                            <w:color w:val="374151"/>
                            <w:sz w:val="28"/>
                          </w:rPr>
                          <w:t>needles</w:t>
                        </w:r>
                        <w:r>
                          <w:rPr>
                            <w:color w:val="374151"/>
                            <w:spacing w:val="-1"/>
                            <w:sz w:val="28"/>
                          </w:rPr>
                          <w:t> </w:t>
                        </w:r>
                        <w:r>
                          <w:rPr>
                            <w:color w:val="374151"/>
                            <w:sz w:val="28"/>
                          </w:rPr>
                          <w:t>by</w:t>
                        </w:r>
                        <w:r>
                          <w:rPr>
                            <w:color w:val="374151"/>
                            <w:spacing w:val="-1"/>
                            <w:sz w:val="28"/>
                          </w:rPr>
                          <w:t> </w:t>
                        </w:r>
                        <w:r>
                          <w:rPr>
                            <w:color w:val="374151"/>
                            <w:sz w:val="28"/>
                          </w:rPr>
                          <w:t>drug </w:t>
                        </w:r>
                        <w:r>
                          <w:rPr>
                            <w:color w:val="374151"/>
                            <w:spacing w:val="-2"/>
                            <w:sz w:val="28"/>
                          </w:rPr>
                          <w:t>users.</w:t>
                        </w:r>
                      </w:p>
                    </w:txbxContent>
                  </v:textbox>
                  <v:fill type="solid"/>
                  <w10:wrap type="none"/>
                </v:shape>
                <w10:wrap type="none"/>
              </v:group>
            </w:pict>
          </mc:Fallback>
        </mc:AlternateContent>
      </w:r>
      <w:r>
        <w:rPr>
          <w:rFonts w:ascii="Segoe UI Symbol" w:hAnsi="Segoe UI Symbol"/>
          <w:color w:val="374151"/>
          <w:w w:val="97"/>
          <w:sz w:val="30"/>
        </w:rPr>
        <w:t>➢</w:t>
      </w:r>
    </w:p>
    <w:p>
      <w:pPr>
        <w:pStyle w:val="ListParagraph"/>
        <w:numPr>
          <w:ilvl w:val="0"/>
          <w:numId w:val="14"/>
        </w:numPr>
        <w:tabs>
          <w:tab w:pos="1118" w:val="left" w:leader="none"/>
          <w:tab w:pos="1120" w:val="left" w:leader="none"/>
        </w:tabs>
        <w:spacing w:line="240" w:lineRule="auto" w:before="220" w:after="0"/>
        <w:ind w:left="1120" w:right="653" w:hanging="360"/>
        <w:jc w:val="left"/>
        <w:rPr>
          <w:rFonts w:ascii="Symbol" w:hAnsi="Symbol"/>
          <w:position w:val="4"/>
          <w:sz w:val="28"/>
        </w:rPr>
      </w:pPr>
      <w:r>
        <w:rPr>
          <w:sz w:val="28"/>
        </w:rPr>
        <w:t>Bacterial</w:t>
      </w:r>
      <w:r>
        <w:rPr>
          <w:spacing w:val="-20"/>
          <w:sz w:val="28"/>
        </w:rPr>
        <w:t> </w:t>
      </w:r>
      <w:r>
        <w:rPr>
          <w:sz w:val="28"/>
        </w:rPr>
        <w:t>Vaginosis</w:t>
      </w:r>
      <w:r>
        <w:rPr>
          <w:spacing w:val="-18"/>
          <w:sz w:val="28"/>
        </w:rPr>
        <w:t> </w:t>
      </w:r>
      <w:r>
        <w:rPr>
          <w:sz w:val="28"/>
        </w:rPr>
        <w:t>(BV)</w:t>
      </w:r>
      <w:r>
        <w:rPr>
          <w:spacing w:val="-12"/>
          <w:sz w:val="28"/>
        </w:rPr>
        <w:t> </w:t>
      </w:r>
      <w:r>
        <w:rPr>
          <w:sz w:val="28"/>
        </w:rPr>
        <w:t>-</w:t>
      </w:r>
      <w:r>
        <w:rPr>
          <w:spacing w:val="-12"/>
          <w:sz w:val="28"/>
        </w:rPr>
        <w:t> </w:t>
      </w:r>
      <w:r>
        <w:rPr>
          <w:sz w:val="28"/>
        </w:rPr>
        <w:t>not</w:t>
      </w:r>
      <w:r>
        <w:rPr>
          <w:spacing w:val="-15"/>
          <w:sz w:val="28"/>
        </w:rPr>
        <w:t> </w:t>
      </w:r>
      <w:r>
        <w:rPr>
          <w:sz w:val="28"/>
        </w:rPr>
        <w:t>officially</w:t>
      </w:r>
      <w:r>
        <w:rPr>
          <w:spacing w:val="-12"/>
          <w:sz w:val="28"/>
        </w:rPr>
        <w:t> </w:t>
      </w:r>
      <w:r>
        <w:rPr>
          <w:sz w:val="28"/>
        </w:rPr>
        <w:t>an</w:t>
      </w:r>
      <w:r>
        <w:rPr>
          <w:spacing w:val="-13"/>
          <w:sz w:val="28"/>
        </w:rPr>
        <w:t> </w:t>
      </w:r>
      <w:r>
        <w:rPr>
          <w:sz w:val="28"/>
        </w:rPr>
        <w:t>STD</w:t>
      </w:r>
      <w:r>
        <w:rPr>
          <w:spacing w:val="-12"/>
          <w:sz w:val="28"/>
        </w:rPr>
        <w:t> </w:t>
      </w:r>
      <w:r>
        <w:rPr>
          <w:sz w:val="28"/>
        </w:rPr>
        <w:t>but</w:t>
      </w:r>
      <w:r>
        <w:rPr>
          <w:spacing w:val="-15"/>
          <w:sz w:val="28"/>
        </w:rPr>
        <w:t> </w:t>
      </w:r>
      <w:r>
        <w:rPr>
          <w:sz w:val="28"/>
        </w:rPr>
        <w:t>affected</w:t>
      </w:r>
      <w:r>
        <w:rPr>
          <w:spacing w:val="-12"/>
          <w:sz w:val="28"/>
        </w:rPr>
        <w:t> </w:t>
      </w:r>
      <w:r>
        <w:rPr>
          <w:sz w:val="28"/>
        </w:rPr>
        <w:t>by</w:t>
      </w:r>
      <w:r>
        <w:rPr>
          <w:spacing w:val="-13"/>
          <w:sz w:val="28"/>
        </w:rPr>
        <w:t> </w:t>
      </w:r>
      <w:r>
        <w:rPr>
          <w:sz w:val="28"/>
        </w:rPr>
        <w:t>sexual </w:t>
      </w:r>
      <w:r>
        <w:rPr>
          <w:spacing w:val="-2"/>
          <w:sz w:val="28"/>
        </w:rPr>
        <w:t>activity.</w:t>
      </w:r>
    </w:p>
    <w:p>
      <w:pPr>
        <w:pStyle w:val="ListParagraph"/>
        <w:numPr>
          <w:ilvl w:val="0"/>
          <w:numId w:val="14"/>
        </w:numPr>
        <w:tabs>
          <w:tab w:pos="1118" w:val="left" w:leader="none"/>
        </w:tabs>
        <w:spacing w:line="371" w:lineRule="exact" w:before="0" w:after="0"/>
        <w:ind w:left="1118" w:right="0" w:hanging="358"/>
        <w:jc w:val="left"/>
        <w:rPr>
          <w:rFonts w:ascii="Symbol" w:hAnsi="Symbol"/>
          <w:position w:val="4"/>
          <w:sz w:val="28"/>
        </w:rPr>
      </w:pPr>
      <w:r>
        <w:rPr>
          <w:spacing w:val="-2"/>
          <w:sz w:val="28"/>
        </w:rPr>
        <w:t>Chancroid</w:t>
      </w:r>
    </w:p>
    <w:p>
      <w:pPr>
        <w:pStyle w:val="ListParagraph"/>
        <w:numPr>
          <w:ilvl w:val="0"/>
          <w:numId w:val="14"/>
        </w:numPr>
        <w:tabs>
          <w:tab w:pos="1118" w:val="left" w:leader="none"/>
        </w:tabs>
        <w:spacing w:line="377" w:lineRule="exact" w:before="0" w:after="0"/>
        <w:ind w:left="1118" w:right="0" w:hanging="358"/>
        <w:jc w:val="left"/>
        <w:rPr>
          <w:rFonts w:ascii="Symbol" w:hAnsi="Symbol"/>
          <w:position w:val="4"/>
          <w:sz w:val="28"/>
        </w:rPr>
      </w:pPr>
      <w:r>
        <w:rPr>
          <w:spacing w:val="-2"/>
          <w:sz w:val="28"/>
        </w:rPr>
        <w:t>Donovanosis</w:t>
      </w:r>
    </w:p>
    <w:p>
      <w:pPr>
        <w:pStyle w:val="ListParagraph"/>
        <w:numPr>
          <w:ilvl w:val="0"/>
          <w:numId w:val="14"/>
        </w:numPr>
        <w:tabs>
          <w:tab w:pos="1118" w:val="left" w:leader="none"/>
        </w:tabs>
        <w:spacing w:line="380" w:lineRule="exact" w:before="0" w:after="0"/>
        <w:ind w:left="1118" w:right="0" w:hanging="358"/>
        <w:jc w:val="left"/>
        <w:rPr>
          <w:rFonts w:ascii="Symbol" w:hAnsi="Symbol"/>
          <w:position w:val="4"/>
          <w:sz w:val="28"/>
        </w:rPr>
      </w:pPr>
      <w:r>
        <w:rPr>
          <w:spacing w:val="-2"/>
          <w:sz w:val="28"/>
        </w:rPr>
        <w:t>Gonorrhea</w:t>
      </w:r>
    </w:p>
    <w:p>
      <w:pPr>
        <w:pStyle w:val="ListParagraph"/>
        <w:numPr>
          <w:ilvl w:val="0"/>
          <w:numId w:val="14"/>
        </w:numPr>
        <w:tabs>
          <w:tab w:pos="1118" w:val="left" w:leader="none"/>
        </w:tabs>
        <w:spacing w:line="240" w:lineRule="auto" w:before="22" w:after="0"/>
        <w:ind w:left="1118" w:right="0" w:hanging="358"/>
        <w:jc w:val="left"/>
        <w:rPr>
          <w:rFonts w:ascii="Symbol" w:hAnsi="Symbol"/>
          <w:position w:val="2"/>
          <w:sz w:val="28"/>
        </w:rPr>
      </w:pPr>
      <w:r>
        <w:rPr>
          <w:sz w:val="28"/>
        </w:rPr>
        <w:t>Lymphogranuloma</w:t>
      </w:r>
      <w:r>
        <w:rPr>
          <w:spacing w:val="-18"/>
          <w:sz w:val="28"/>
        </w:rPr>
        <w:t> </w:t>
      </w:r>
      <w:r>
        <w:rPr>
          <w:sz w:val="28"/>
        </w:rPr>
        <w:t>venereum</w:t>
      </w:r>
      <w:r>
        <w:rPr>
          <w:spacing w:val="-16"/>
          <w:sz w:val="28"/>
        </w:rPr>
        <w:t> </w:t>
      </w:r>
      <w:r>
        <w:rPr>
          <w:sz w:val="28"/>
        </w:rPr>
        <w:t>(LGV)</w:t>
      </w:r>
      <w:r>
        <w:rPr>
          <w:spacing w:val="-15"/>
          <w:sz w:val="28"/>
        </w:rPr>
        <w:t> </w:t>
      </w:r>
      <w:r>
        <w:rPr>
          <w:sz w:val="28"/>
        </w:rPr>
        <w:t>(</w:t>
      </w:r>
      <w:r>
        <w:rPr>
          <w:i/>
          <w:sz w:val="28"/>
        </w:rPr>
        <w:t>Chlamydia</w:t>
      </w:r>
      <w:r>
        <w:rPr>
          <w:i/>
          <w:spacing w:val="-14"/>
          <w:sz w:val="28"/>
        </w:rPr>
        <w:t> </w:t>
      </w:r>
      <w:r>
        <w:rPr>
          <w:i/>
          <w:spacing w:val="-2"/>
          <w:sz w:val="28"/>
        </w:rPr>
        <w:t>trachomatis</w:t>
      </w:r>
    </w:p>
    <w:p>
      <w:pPr>
        <w:pStyle w:val="BodyText"/>
        <w:spacing w:line="362" w:lineRule="exact" w:before="62"/>
        <w:ind w:left="1120"/>
      </w:pPr>
      <w:r>
        <w:rPr/>
        <w:t>serotypes</w:t>
      </w:r>
      <w:r>
        <w:rPr>
          <w:spacing w:val="-10"/>
        </w:rPr>
        <w:t> </w:t>
      </w:r>
      <w:r>
        <w:rPr/>
        <w:t>L</w:t>
      </w:r>
      <w:r>
        <w:rPr>
          <w:position w:val="-3"/>
        </w:rPr>
        <w:t>1</w:t>
      </w:r>
      <w:r>
        <w:rPr/>
        <w:t>,</w:t>
      </w:r>
      <w:r>
        <w:rPr>
          <w:spacing w:val="-10"/>
        </w:rPr>
        <w:t> </w:t>
      </w:r>
      <w:r>
        <w:rPr/>
        <w:t>L</w:t>
      </w:r>
      <w:r>
        <w:rPr>
          <w:position w:val="-3"/>
        </w:rPr>
        <w:t>2</w:t>
      </w:r>
      <w:r>
        <w:rPr/>
        <w:t>, </w:t>
      </w:r>
      <w:r>
        <w:rPr>
          <w:spacing w:val="-5"/>
        </w:rPr>
        <w:t>L</w:t>
      </w:r>
      <w:r>
        <w:rPr>
          <w:spacing w:val="-5"/>
          <w:position w:val="-3"/>
        </w:rPr>
        <w:t>3</w:t>
      </w:r>
      <w:r>
        <w:rPr>
          <w:spacing w:val="-5"/>
        </w:rPr>
        <w:t>)</w:t>
      </w:r>
    </w:p>
    <w:p>
      <w:pPr>
        <w:pStyle w:val="ListParagraph"/>
        <w:numPr>
          <w:ilvl w:val="0"/>
          <w:numId w:val="14"/>
        </w:numPr>
        <w:tabs>
          <w:tab w:pos="1118" w:val="left" w:leader="none"/>
        </w:tabs>
        <w:spacing w:line="379" w:lineRule="exact" w:before="0" w:after="0"/>
        <w:ind w:left="1118" w:right="0" w:hanging="358"/>
        <w:jc w:val="left"/>
        <w:rPr>
          <w:rFonts w:ascii="Symbol" w:hAnsi="Symbol"/>
          <w:position w:val="4"/>
          <w:sz w:val="28"/>
        </w:rPr>
      </w:pPr>
      <w:r>
        <w:rPr>
          <w:sz w:val="28"/>
        </w:rPr>
        <w:t>Non-gonococcal</w:t>
      </w:r>
      <w:r>
        <w:rPr>
          <w:spacing w:val="-7"/>
          <w:sz w:val="28"/>
        </w:rPr>
        <w:t> </w:t>
      </w:r>
      <w:r>
        <w:rPr>
          <w:sz w:val="28"/>
        </w:rPr>
        <w:t>urethritis</w:t>
      </w:r>
      <w:r>
        <w:rPr>
          <w:spacing w:val="-6"/>
          <w:sz w:val="28"/>
        </w:rPr>
        <w:t> </w:t>
      </w:r>
      <w:r>
        <w:rPr>
          <w:spacing w:val="-2"/>
          <w:sz w:val="28"/>
        </w:rPr>
        <w:t>(NGU)</w:t>
      </w:r>
    </w:p>
    <w:p>
      <w:pPr>
        <w:pStyle w:val="ListParagraph"/>
        <w:numPr>
          <w:ilvl w:val="0"/>
          <w:numId w:val="14"/>
        </w:numPr>
        <w:tabs>
          <w:tab w:pos="1118" w:val="left" w:leader="none"/>
        </w:tabs>
        <w:spacing w:line="380" w:lineRule="exact" w:before="0" w:after="0"/>
        <w:ind w:left="1118" w:right="0" w:hanging="358"/>
        <w:jc w:val="left"/>
        <w:rPr>
          <w:rFonts w:ascii="Symbol" w:hAnsi="Symbol"/>
          <w:position w:val="4"/>
          <w:sz w:val="28"/>
        </w:rPr>
      </w:pPr>
      <w:r>
        <w:rPr>
          <w:sz w:val="28"/>
        </w:rPr>
        <w:t>Staphylococcal</w:t>
      </w:r>
      <w:r>
        <w:rPr>
          <w:spacing w:val="-15"/>
          <w:sz w:val="28"/>
        </w:rPr>
        <w:t> </w:t>
      </w:r>
      <w:r>
        <w:rPr>
          <w:sz w:val="28"/>
        </w:rPr>
        <w:t>infection</w:t>
      </w:r>
      <w:r>
        <w:rPr>
          <w:spacing w:val="-13"/>
          <w:sz w:val="28"/>
        </w:rPr>
        <w:t> </w:t>
      </w:r>
      <w:r>
        <w:rPr>
          <w:sz w:val="28"/>
        </w:rPr>
        <w:t>(Staphylococcus</w:t>
      </w:r>
      <w:r>
        <w:rPr>
          <w:spacing w:val="-13"/>
          <w:sz w:val="28"/>
        </w:rPr>
        <w:t> </w:t>
      </w:r>
      <w:r>
        <w:rPr>
          <w:sz w:val="28"/>
        </w:rPr>
        <w:t>aureus,</w:t>
      </w:r>
      <w:r>
        <w:rPr>
          <w:spacing w:val="-13"/>
          <w:sz w:val="28"/>
        </w:rPr>
        <w:t> </w:t>
      </w:r>
      <w:r>
        <w:rPr>
          <w:spacing w:val="-2"/>
          <w:sz w:val="28"/>
        </w:rPr>
        <w:t>MRSA)</w:t>
      </w:r>
    </w:p>
    <w:p>
      <w:pPr>
        <w:pStyle w:val="BodyText"/>
        <w:spacing w:line="321" w:lineRule="exact" w:before="22"/>
        <w:ind w:left="1120"/>
      </w:pPr>
      <w:r>
        <w:rPr/>
        <w:t>-</w:t>
      </w:r>
      <w:r>
        <w:rPr>
          <w:spacing w:val="-10"/>
        </w:rPr>
        <w:t> </w:t>
      </w:r>
      <w:r>
        <w:rPr/>
        <w:t>Sexually</w:t>
      </w:r>
      <w:r>
        <w:rPr>
          <w:spacing w:val="-2"/>
        </w:rPr>
        <w:t> transmissible.</w:t>
      </w:r>
    </w:p>
    <w:p>
      <w:pPr>
        <w:pStyle w:val="ListParagraph"/>
        <w:numPr>
          <w:ilvl w:val="0"/>
          <w:numId w:val="14"/>
        </w:numPr>
        <w:tabs>
          <w:tab w:pos="1118" w:val="left" w:leader="none"/>
        </w:tabs>
        <w:spacing w:line="381" w:lineRule="exact" w:before="0" w:after="0"/>
        <w:ind w:left="1118" w:right="0" w:hanging="358"/>
        <w:jc w:val="left"/>
        <w:rPr>
          <w:rFonts w:ascii="Symbol" w:hAnsi="Symbol"/>
          <w:position w:val="4"/>
          <w:sz w:val="28"/>
        </w:rPr>
      </w:pPr>
      <w:r>
        <w:rPr>
          <w:spacing w:val="-2"/>
          <w:sz w:val="28"/>
        </w:rPr>
        <w:t>Syphilis</w:t>
      </w:r>
    </w:p>
    <w:p>
      <w:pPr>
        <w:pStyle w:val="BodyText"/>
        <w:spacing w:before="6"/>
      </w:pPr>
    </w:p>
    <w:p>
      <w:pPr>
        <w:pStyle w:val="Heading2"/>
        <w:numPr>
          <w:ilvl w:val="0"/>
          <w:numId w:val="15"/>
        </w:numPr>
        <w:tabs>
          <w:tab w:pos="1217" w:val="left" w:leader="none"/>
        </w:tabs>
        <w:spacing w:line="240" w:lineRule="auto" w:before="0" w:after="0"/>
        <w:ind w:left="1217" w:right="0" w:hanging="457"/>
        <w:jc w:val="left"/>
      </w:pPr>
      <w:r>
        <w:rPr>
          <w:spacing w:val="-2"/>
        </w:rPr>
        <w:t>Fungal</w:t>
      </w:r>
    </w:p>
    <w:p>
      <w:pPr>
        <w:pStyle w:val="BodyText"/>
        <w:spacing w:before="11"/>
        <w:rPr>
          <w:b/>
        </w:rPr>
      </w:pPr>
    </w:p>
    <w:p>
      <w:pPr>
        <w:pStyle w:val="ListParagraph"/>
        <w:numPr>
          <w:ilvl w:val="0"/>
          <w:numId w:val="14"/>
        </w:numPr>
        <w:tabs>
          <w:tab w:pos="1118" w:val="left" w:leader="none"/>
        </w:tabs>
        <w:spacing w:line="380" w:lineRule="exact" w:before="0" w:after="0"/>
        <w:ind w:left="1118" w:right="0" w:hanging="358"/>
        <w:jc w:val="left"/>
        <w:rPr>
          <w:rFonts w:ascii="Symbol" w:hAnsi="Symbol"/>
          <w:position w:val="4"/>
          <w:sz w:val="28"/>
        </w:rPr>
      </w:pPr>
      <w:r>
        <w:rPr>
          <w:sz w:val="28"/>
        </w:rPr>
        <w:t>Tinea</w:t>
      </w:r>
      <w:r>
        <w:rPr>
          <w:spacing w:val="-10"/>
          <w:sz w:val="28"/>
        </w:rPr>
        <w:t> </w:t>
      </w:r>
      <w:r>
        <w:rPr>
          <w:sz w:val="28"/>
        </w:rPr>
        <w:t>curis</w:t>
      </w:r>
      <w:r>
        <w:rPr>
          <w:spacing w:val="-7"/>
          <w:sz w:val="28"/>
        </w:rPr>
        <w:t> </w:t>
      </w:r>
      <w:r>
        <w:rPr>
          <w:sz w:val="28"/>
        </w:rPr>
        <w:t>"Jock</w:t>
      </w:r>
      <w:r>
        <w:rPr>
          <w:spacing w:val="-9"/>
          <w:sz w:val="28"/>
        </w:rPr>
        <w:t> </w:t>
      </w:r>
      <w:r>
        <w:rPr>
          <w:sz w:val="28"/>
        </w:rPr>
        <w:t>Itch"-</w:t>
      </w:r>
      <w:r>
        <w:rPr>
          <w:spacing w:val="-7"/>
          <w:sz w:val="28"/>
        </w:rPr>
        <w:t> </w:t>
      </w:r>
      <w:r>
        <w:rPr>
          <w:sz w:val="28"/>
        </w:rPr>
        <w:t>Sexually</w:t>
      </w:r>
      <w:r>
        <w:rPr>
          <w:spacing w:val="-7"/>
          <w:sz w:val="28"/>
        </w:rPr>
        <w:t> </w:t>
      </w:r>
      <w:r>
        <w:rPr>
          <w:spacing w:val="-2"/>
          <w:sz w:val="28"/>
        </w:rPr>
        <w:t>transmissible.</w:t>
      </w:r>
    </w:p>
    <w:p>
      <w:pPr>
        <w:pStyle w:val="ListParagraph"/>
        <w:numPr>
          <w:ilvl w:val="0"/>
          <w:numId w:val="14"/>
        </w:numPr>
        <w:tabs>
          <w:tab w:pos="1118" w:val="left" w:leader="none"/>
        </w:tabs>
        <w:spacing w:line="380" w:lineRule="exact" w:before="0" w:after="0"/>
        <w:ind w:left="1118" w:right="0" w:hanging="358"/>
        <w:jc w:val="left"/>
        <w:rPr>
          <w:rFonts w:ascii="Symbol" w:hAnsi="Symbol"/>
          <w:position w:val="4"/>
          <w:sz w:val="28"/>
        </w:rPr>
      </w:pPr>
      <w:r>
        <w:rPr>
          <w:spacing w:val="-10"/>
          <w:sz w:val="28"/>
        </w:rPr>
        <w:t>Yeast</w:t>
      </w:r>
      <w:r>
        <w:rPr>
          <w:spacing w:val="-12"/>
          <w:sz w:val="28"/>
        </w:rPr>
        <w:t> </w:t>
      </w:r>
      <w:r>
        <w:rPr>
          <w:spacing w:val="-2"/>
          <w:sz w:val="28"/>
        </w:rPr>
        <w:t>Infection</w:t>
      </w:r>
    </w:p>
    <w:p>
      <w:pPr>
        <w:pStyle w:val="Heading2"/>
        <w:numPr>
          <w:ilvl w:val="0"/>
          <w:numId w:val="15"/>
        </w:numPr>
        <w:tabs>
          <w:tab w:pos="1140" w:val="left" w:leader="none"/>
        </w:tabs>
        <w:spacing w:line="240" w:lineRule="auto" w:before="62" w:after="0"/>
        <w:ind w:left="1140" w:right="0" w:hanging="457"/>
        <w:jc w:val="left"/>
      </w:pPr>
      <w:r>
        <w:rPr>
          <w:spacing w:val="-2"/>
        </w:rPr>
        <w:t>Viral</w:t>
      </w:r>
    </w:p>
    <w:p>
      <w:pPr>
        <w:pStyle w:val="ListParagraph"/>
        <w:numPr>
          <w:ilvl w:val="1"/>
          <w:numId w:val="15"/>
        </w:numPr>
        <w:tabs>
          <w:tab w:pos="1338" w:val="left" w:leader="none"/>
        </w:tabs>
        <w:spacing w:line="240" w:lineRule="auto" w:before="45" w:after="0"/>
        <w:ind w:left="1338" w:right="756" w:hanging="459"/>
        <w:jc w:val="left"/>
        <w:rPr>
          <w:sz w:val="28"/>
        </w:rPr>
      </w:pPr>
      <w:r>
        <w:rPr>
          <w:sz w:val="28"/>
        </w:rPr>
        <w:t>Adenoviruses</w:t>
      </w:r>
      <w:r>
        <w:rPr>
          <w:spacing w:val="-24"/>
          <w:sz w:val="28"/>
        </w:rPr>
        <w:t> </w:t>
      </w:r>
      <w:r>
        <w:rPr>
          <w:sz w:val="28"/>
        </w:rPr>
        <w:t>thought</w:t>
      </w:r>
      <w:r>
        <w:rPr>
          <w:spacing w:val="-16"/>
          <w:sz w:val="28"/>
        </w:rPr>
        <w:t> </w:t>
      </w:r>
      <w:r>
        <w:rPr>
          <w:sz w:val="28"/>
        </w:rPr>
        <w:t>to</w:t>
      </w:r>
      <w:r>
        <w:rPr>
          <w:spacing w:val="-9"/>
          <w:sz w:val="28"/>
        </w:rPr>
        <w:t> </w:t>
      </w:r>
      <w:r>
        <w:rPr>
          <w:sz w:val="28"/>
        </w:rPr>
        <w:t>contribute</w:t>
      </w:r>
      <w:r>
        <w:rPr>
          <w:spacing w:val="-11"/>
          <w:sz w:val="28"/>
        </w:rPr>
        <w:t> </w:t>
      </w:r>
      <w:r>
        <w:rPr>
          <w:sz w:val="28"/>
        </w:rPr>
        <w:t>to</w:t>
      </w:r>
      <w:r>
        <w:rPr>
          <w:spacing w:val="-9"/>
          <w:sz w:val="28"/>
        </w:rPr>
        <w:t> </w:t>
      </w:r>
      <w:r>
        <w:rPr>
          <w:sz w:val="28"/>
        </w:rPr>
        <w:t>obesity</w:t>
      </w:r>
      <w:r>
        <w:rPr>
          <w:spacing w:val="-9"/>
          <w:sz w:val="28"/>
        </w:rPr>
        <w:t> </w:t>
      </w:r>
      <w:r>
        <w:rPr>
          <w:sz w:val="28"/>
        </w:rPr>
        <w:t>-</w:t>
      </w:r>
      <w:r>
        <w:rPr>
          <w:spacing w:val="-9"/>
          <w:sz w:val="28"/>
        </w:rPr>
        <w:t> </w:t>
      </w:r>
      <w:r>
        <w:rPr>
          <w:sz w:val="28"/>
        </w:rPr>
        <w:t>venereal</w:t>
      </w:r>
      <w:r>
        <w:rPr>
          <w:spacing w:val="-9"/>
          <w:sz w:val="28"/>
        </w:rPr>
        <w:t> </w:t>
      </w:r>
      <w:r>
        <w:rPr>
          <w:sz w:val="28"/>
        </w:rPr>
        <w:t>fluids</w:t>
      </w:r>
      <w:r>
        <w:rPr>
          <w:spacing w:val="-9"/>
          <w:sz w:val="28"/>
        </w:rPr>
        <w:t> </w:t>
      </w:r>
      <w:r>
        <w:rPr>
          <w:sz w:val="28"/>
        </w:rPr>
        <w:t>(also fecal &amp; respiratory fluids)</w:t>
      </w:r>
    </w:p>
    <w:p>
      <w:pPr>
        <w:pStyle w:val="ListParagraph"/>
        <w:numPr>
          <w:ilvl w:val="1"/>
          <w:numId w:val="15"/>
        </w:numPr>
        <w:tabs>
          <w:tab w:pos="1338" w:val="left" w:leader="none"/>
        </w:tabs>
        <w:spacing w:line="240" w:lineRule="auto" w:before="60" w:after="0"/>
        <w:ind w:left="1338" w:right="849" w:hanging="459"/>
        <w:jc w:val="left"/>
        <w:rPr>
          <w:sz w:val="28"/>
        </w:rPr>
      </w:pPr>
      <w:r>
        <w:rPr>
          <w:sz w:val="28"/>
        </w:rPr>
        <w:t>Viral hepatitis (Hepatitis B virus) - saliva, venereal fluids.(Note: Hepatitis</w:t>
      </w:r>
      <w:r>
        <w:rPr>
          <w:spacing w:val="-21"/>
          <w:sz w:val="28"/>
        </w:rPr>
        <w:t> </w:t>
      </w:r>
      <w:r>
        <w:rPr>
          <w:sz w:val="28"/>
        </w:rPr>
        <w:t>A</w:t>
      </w:r>
      <w:r>
        <w:rPr>
          <w:spacing w:val="-21"/>
          <w:sz w:val="28"/>
        </w:rPr>
        <w:t> </w:t>
      </w:r>
      <w:r>
        <w:rPr>
          <w:sz w:val="28"/>
        </w:rPr>
        <w:t>and</w:t>
      </w:r>
      <w:r>
        <w:rPr>
          <w:spacing w:val="-9"/>
          <w:sz w:val="28"/>
        </w:rPr>
        <w:t> </w:t>
      </w:r>
      <w:r>
        <w:rPr>
          <w:sz w:val="28"/>
        </w:rPr>
        <w:t>Hepatitis</w:t>
      </w:r>
      <w:r>
        <w:rPr>
          <w:spacing w:val="-4"/>
          <w:sz w:val="28"/>
        </w:rPr>
        <w:t> </w:t>
      </w:r>
      <w:r>
        <w:rPr>
          <w:sz w:val="28"/>
        </w:rPr>
        <w:t>E</w:t>
      </w:r>
      <w:r>
        <w:rPr>
          <w:spacing w:val="-5"/>
          <w:sz w:val="28"/>
        </w:rPr>
        <w:t> </w:t>
      </w:r>
      <w:r>
        <w:rPr>
          <w:sz w:val="28"/>
        </w:rPr>
        <w:t>are</w:t>
      </w:r>
      <w:r>
        <w:rPr>
          <w:spacing w:val="-5"/>
          <w:sz w:val="28"/>
        </w:rPr>
        <w:t> </w:t>
      </w:r>
      <w:r>
        <w:rPr>
          <w:sz w:val="28"/>
        </w:rPr>
        <w:t>transmitted</w:t>
      </w:r>
      <w:r>
        <w:rPr>
          <w:spacing w:val="-4"/>
          <w:sz w:val="28"/>
        </w:rPr>
        <w:t> </w:t>
      </w:r>
      <w:r>
        <w:rPr>
          <w:sz w:val="28"/>
        </w:rPr>
        <w:t>via</w:t>
      </w:r>
      <w:r>
        <w:rPr>
          <w:spacing w:val="-5"/>
          <w:sz w:val="28"/>
        </w:rPr>
        <w:t> </w:t>
      </w:r>
      <w:r>
        <w:rPr>
          <w:sz w:val="28"/>
        </w:rPr>
        <w:t>the</w:t>
      </w:r>
      <w:r>
        <w:rPr>
          <w:spacing w:val="-5"/>
          <w:sz w:val="28"/>
        </w:rPr>
        <w:t> </w:t>
      </w:r>
      <w:r>
        <w:rPr>
          <w:sz w:val="28"/>
        </w:rPr>
        <w:t>fecal-oral</w:t>
      </w:r>
      <w:r>
        <w:rPr>
          <w:spacing w:val="-4"/>
          <w:sz w:val="28"/>
        </w:rPr>
        <w:t> </w:t>
      </w:r>
      <w:r>
        <w:rPr>
          <w:sz w:val="28"/>
        </w:rPr>
        <w:t>route; Hepatitis C (liver cancer) is rarely sexually transmittable, and the route of transmission of Hepatitis D (only if infected with B) is uncertain, but may include sexual transmission.</w:t>
      </w:r>
    </w:p>
    <w:p>
      <w:pPr>
        <w:spacing w:after="0" w:line="240" w:lineRule="auto"/>
        <w:jc w:val="left"/>
        <w:rPr>
          <w:sz w:val="28"/>
        </w:rPr>
        <w:sectPr>
          <w:pgSz w:w="12240" w:h="15840"/>
          <w:pgMar w:header="0" w:footer="765" w:top="1580" w:bottom="980" w:left="1400" w:right="1180"/>
        </w:sectPr>
      </w:pPr>
    </w:p>
    <w:p>
      <w:pPr>
        <w:pStyle w:val="ListParagraph"/>
        <w:numPr>
          <w:ilvl w:val="1"/>
          <w:numId w:val="15"/>
        </w:numPr>
        <w:tabs>
          <w:tab w:pos="1338" w:val="left" w:leader="none"/>
        </w:tabs>
        <w:spacing w:line="240" w:lineRule="auto" w:before="6" w:after="0"/>
        <w:ind w:left="1338" w:right="1110" w:hanging="459"/>
        <w:jc w:val="left"/>
        <w:rPr>
          <w:sz w:val="28"/>
        </w:rPr>
      </w:pPr>
      <w:r>
        <w:rPr>
          <w:sz w:val="28"/>
        </w:rPr>
        <w:t>Herpes</w:t>
      </w:r>
      <w:r>
        <w:rPr>
          <w:spacing w:val="-9"/>
          <w:sz w:val="28"/>
        </w:rPr>
        <w:t> </w:t>
      </w:r>
      <w:r>
        <w:rPr>
          <w:sz w:val="28"/>
        </w:rPr>
        <w:t>Simplex</w:t>
      </w:r>
      <w:r>
        <w:rPr>
          <w:spacing w:val="-7"/>
          <w:sz w:val="28"/>
        </w:rPr>
        <w:t> </w:t>
      </w:r>
      <w:r>
        <w:rPr>
          <w:sz w:val="28"/>
        </w:rPr>
        <w:t>skin</w:t>
      </w:r>
      <w:r>
        <w:rPr>
          <w:spacing w:val="-7"/>
          <w:sz w:val="28"/>
        </w:rPr>
        <w:t> </w:t>
      </w:r>
      <w:r>
        <w:rPr>
          <w:sz w:val="28"/>
        </w:rPr>
        <w:t>and</w:t>
      </w:r>
      <w:r>
        <w:rPr>
          <w:spacing w:val="-7"/>
          <w:sz w:val="28"/>
        </w:rPr>
        <w:t> </w:t>
      </w:r>
      <w:r>
        <w:rPr>
          <w:sz w:val="28"/>
        </w:rPr>
        <w:t>mucosal,</w:t>
      </w:r>
      <w:r>
        <w:rPr>
          <w:spacing w:val="-7"/>
          <w:sz w:val="28"/>
        </w:rPr>
        <w:t> </w:t>
      </w:r>
      <w:r>
        <w:rPr>
          <w:sz w:val="28"/>
        </w:rPr>
        <w:t>transmissible</w:t>
      </w:r>
      <w:r>
        <w:rPr>
          <w:spacing w:val="-7"/>
          <w:sz w:val="28"/>
        </w:rPr>
        <w:t> </w:t>
      </w:r>
      <w:r>
        <w:rPr>
          <w:sz w:val="28"/>
        </w:rPr>
        <w:t>with</w:t>
      </w:r>
      <w:r>
        <w:rPr>
          <w:spacing w:val="-7"/>
          <w:sz w:val="28"/>
        </w:rPr>
        <w:t> </w:t>
      </w:r>
      <w:r>
        <w:rPr>
          <w:sz w:val="28"/>
        </w:rPr>
        <w:t>or</w:t>
      </w:r>
      <w:r>
        <w:rPr>
          <w:spacing w:val="-7"/>
          <w:sz w:val="28"/>
        </w:rPr>
        <w:t> </w:t>
      </w:r>
      <w:r>
        <w:rPr>
          <w:sz w:val="28"/>
        </w:rPr>
        <w:t>without visible blisters</w:t>
      </w:r>
    </w:p>
    <w:p>
      <w:pPr>
        <w:pStyle w:val="ListParagraph"/>
        <w:numPr>
          <w:ilvl w:val="1"/>
          <w:numId w:val="15"/>
        </w:numPr>
        <w:tabs>
          <w:tab w:pos="1338" w:val="left" w:leader="none"/>
        </w:tabs>
        <w:spacing w:line="240" w:lineRule="auto" w:before="59" w:after="0"/>
        <w:ind w:left="1338" w:right="0" w:hanging="458"/>
        <w:jc w:val="left"/>
        <w:rPr>
          <w:sz w:val="28"/>
        </w:rPr>
      </w:pPr>
      <w:r>
        <w:rPr>
          <w:sz w:val="28"/>
        </w:rPr>
        <w:t>HIV/</w:t>
      </w:r>
      <w:r>
        <w:rPr>
          <w:spacing w:val="-38"/>
          <w:sz w:val="28"/>
        </w:rPr>
        <w:t> </w:t>
      </w:r>
      <w:r>
        <w:rPr>
          <w:sz w:val="28"/>
        </w:rPr>
        <w:t>AIDS</w:t>
      </w:r>
      <w:r>
        <w:rPr>
          <w:spacing w:val="-18"/>
          <w:sz w:val="28"/>
        </w:rPr>
        <w:t> </w:t>
      </w:r>
      <w:r>
        <w:rPr>
          <w:sz w:val="28"/>
        </w:rPr>
        <w:t>(Human</w:t>
      </w:r>
      <w:r>
        <w:rPr>
          <w:spacing w:val="-10"/>
          <w:sz w:val="28"/>
        </w:rPr>
        <w:t> </w:t>
      </w:r>
      <w:r>
        <w:rPr>
          <w:sz w:val="28"/>
        </w:rPr>
        <w:t>Immunodeficiency</w:t>
      </w:r>
      <w:r>
        <w:rPr>
          <w:spacing w:val="-18"/>
          <w:sz w:val="28"/>
        </w:rPr>
        <w:t> </w:t>
      </w:r>
      <w:r>
        <w:rPr>
          <w:sz w:val="28"/>
        </w:rPr>
        <w:t>Virus)</w:t>
      </w:r>
      <w:r>
        <w:rPr>
          <w:spacing w:val="-10"/>
          <w:sz w:val="28"/>
        </w:rPr>
        <w:t> </w:t>
      </w:r>
      <w:r>
        <w:rPr>
          <w:sz w:val="28"/>
        </w:rPr>
        <w:t>-</w:t>
      </w:r>
      <w:r>
        <w:rPr>
          <w:spacing w:val="-10"/>
          <w:sz w:val="28"/>
        </w:rPr>
        <w:t> </w:t>
      </w:r>
      <w:r>
        <w:rPr>
          <w:sz w:val="28"/>
        </w:rPr>
        <w:t>venereal</w:t>
      </w:r>
      <w:r>
        <w:rPr>
          <w:spacing w:val="-9"/>
          <w:sz w:val="28"/>
        </w:rPr>
        <w:t> </w:t>
      </w:r>
      <w:r>
        <w:rPr>
          <w:spacing w:val="-2"/>
          <w:sz w:val="28"/>
        </w:rPr>
        <w:t>fluids</w:t>
      </w:r>
    </w:p>
    <w:p>
      <w:pPr>
        <w:pStyle w:val="ListParagraph"/>
        <w:numPr>
          <w:ilvl w:val="1"/>
          <w:numId w:val="15"/>
        </w:numPr>
        <w:tabs>
          <w:tab w:pos="1338" w:val="left" w:leader="none"/>
        </w:tabs>
        <w:spacing w:line="240" w:lineRule="auto" w:before="62" w:after="0"/>
        <w:ind w:left="1338" w:right="0" w:hanging="458"/>
        <w:jc w:val="left"/>
        <w:rPr>
          <w:sz w:val="28"/>
        </w:rPr>
      </w:pPr>
      <w:r>
        <w:rPr>
          <w:sz w:val="28"/>
        </w:rPr>
        <w:t>HTLV</w:t>
      </w:r>
      <w:r>
        <w:rPr>
          <w:spacing w:val="-21"/>
          <w:sz w:val="28"/>
        </w:rPr>
        <w:t> </w:t>
      </w:r>
      <w:r>
        <w:rPr>
          <w:sz w:val="28"/>
        </w:rPr>
        <w:t>1,</w:t>
      </w:r>
      <w:r>
        <w:rPr>
          <w:spacing w:val="-18"/>
          <w:sz w:val="28"/>
        </w:rPr>
        <w:t> </w:t>
      </w:r>
      <w:r>
        <w:rPr>
          <w:sz w:val="28"/>
        </w:rPr>
        <w:t>2</w:t>
      </w:r>
      <w:r>
        <w:rPr>
          <w:spacing w:val="-13"/>
          <w:sz w:val="28"/>
        </w:rPr>
        <w:t> </w:t>
      </w:r>
      <w:r>
        <w:rPr>
          <w:sz w:val="28"/>
        </w:rPr>
        <w:t>-</w:t>
      </w:r>
      <w:r>
        <w:rPr>
          <w:spacing w:val="-12"/>
          <w:sz w:val="28"/>
        </w:rPr>
        <w:t> </w:t>
      </w:r>
      <w:r>
        <w:rPr>
          <w:sz w:val="28"/>
        </w:rPr>
        <w:t>venereal</w:t>
      </w:r>
      <w:r>
        <w:rPr>
          <w:spacing w:val="-12"/>
          <w:sz w:val="28"/>
        </w:rPr>
        <w:t> </w:t>
      </w:r>
      <w:r>
        <w:rPr>
          <w:spacing w:val="-2"/>
          <w:sz w:val="28"/>
        </w:rPr>
        <w:t>fluids</w:t>
      </w:r>
    </w:p>
    <w:p>
      <w:pPr>
        <w:pStyle w:val="ListParagraph"/>
        <w:numPr>
          <w:ilvl w:val="1"/>
          <w:numId w:val="15"/>
        </w:numPr>
        <w:tabs>
          <w:tab w:pos="1338" w:val="left" w:leader="none"/>
        </w:tabs>
        <w:spacing w:line="240" w:lineRule="auto" w:before="62" w:after="0"/>
        <w:ind w:left="1338" w:right="905" w:hanging="459"/>
        <w:jc w:val="left"/>
        <w:rPr>
          <w:sz w:val="28"/>
        </w:rPr>
      </w:pPr>
      <w:r>
        <w:rPr>
          <w:sz w:val="28"/>
        </w:rPr>
        <w:t>Genital</w:t>
      </w:r>
      <w:r>
        <w:rPr>
          <w:spacing w:val="-9"/>
          <w:sz w:val="28"/>
        </w:rPr>
        <w:t> </w:t>
      </w:r>
      <w:r>
        <w:rPr>
          <w:sz w:val="28"/>
        </w:rPr>
        <w:t>warts</w:t>
      </w:r>
      <w:r>
        <w:rPr>
          <w:spacing w:val="-9"/>
          <w:sz w:val="28"/>
        </w:rPr>
        <w:t> </w:t>
      </w:r>
      <w:r>
        <w:rPr>
          <w:sz w:val="28"/>
        </w:rPr>
        <w:t>-</w:t>
      </w:r>
      <w:r>
        <w:rPr>
          <w:spacing w:val="-9"/>
          <w:sz w:val="28"/>
        </w:rPr>
        <w:t> </w:t>
      </w:r>
      <w:r>
        <w:rPr>
          <w:sz w:val="28"/>
        </w:rPr>
        <w:t>("low</w:t>
      </w:r>
      <w:r>
        <w:rPr>
          <w:spacing w:val="-9"/>
          <w:sz w:val="28"/>
        </w:rPr>
        <w:t> </w:t>
      </w:r>
      <w:r>
        <w:rPr>
          <w:sz w:val="28"/>
        </w:rPr>
        <w:t>risk"</w:t>
      </w:r>
      <w:r>
        <w:rPr>
          <w:spacing w:val="-9"/>
          <w:sz w:val="28"/>
        </w:rPr>
        <w:t> </w:t>
      </w:r>
      <w:r>
        <w:rPr>
          <w:sz w:val="28"/>
        </w:rPr>
        <w:t>types</w:t>
      </w:r>
      <w:r>
        <w:rPr>
          <w:spacing w:val="-9"/>
          <w:sz w:val="28"/>
        </w:rPr>
        <w:t> </w:t>
      </w:r>
      <w:r>
        <w:rPr>
          <w:sz w:val="28"/>
        </w:rPr>
        <w:t>of</w:t>
      </w:r>
      <w:r>
        <w:rPr>
          <w:spacing w:val="-9"/>
          <w:sz w:val="28"/>
        </w:rPr>
        <w:t> </w:t>
      </w:r>
      <w:r>
        <w:rPr>
          <w:sz w:val="28"/>
        </w:rPr>
        <w:t>Human</w:t>
      </w:r>
      <w:r>
        <w:rPr>
          <w:spacing w:val="-9"/>
          <w:sz w:val="28"/>
        </w:rPr>
        <w:t> </w:t>
      </w:r>
      <w:r>
        <w:rPr>
          <w:sz w:val="28"/>
        </w:rPr>
        <w:t>papillomavirus</w:t>
      </w:r>
      <w:r>
        <w:rPr>
          <w:spacing w:val="-9"/>
          <w:sz w:val="28"/>
        </w:rPr>
        <w:t> </w:t>
      </w:r>
      <w:r>
        <w:rPr>
          <w:sz w:val="28"/>
        </w:rPr>
        <w:t>HPV)</w:t>
      </w:r>
      <w:r>
        <w:rPr>
          <w:spacing w:val="-9"/>
          <w:sz w:val="28"/>
        </w:rPr>
        <w:t> </w:t>
      </w:r>
      <w:r>
        <w:rPr>
          <w:sz w:val="28"/>
        </w:rPr>
        <w:t>- skin and mucosal, transmissible with or without visible warts</w:t>
      </w:r>
    </w:p>
    <w:p>
      <w:pPr>
        <w:pStyle w:val="ListParagraph"/>
        <w:numPr>
          <w:ilvl w:val="1"/>
          <w:numId w:val="15"/>
        </w:numPr>
        <w:tabs>
          <w:tab w:pos="1338" w:val="left" w:leader="none"/>
        </w:tabs>
        <w:spacing w:line="240" w:lineRule="auto" w:before="60" w:after="0"/>
        <w:ind w:left="1338" w:right="1816" w:hanging="459"/>
        <w:jc w:val="left"/>
        <w:rPr>
          <w:sz w:val="28"/>
        </w:rPr>
      </w:pPr>
      <w:r>
        <w:rPr>
          <w:sz w:val="28"/>
        </w:rPr>
        <w:t>Cervical</w:t>
      </w:r>
      <w:r>
        <w:rPr>
          <w:spacing w:val="-11"/>
          <w:sz w:val="28"/>
        </w:rPr>
        <w:t> </w:t>
      </w:r>
      <w:r>
        <w:rPr>
          <w:sz w:val="28"/>
        </w:rPr>
        <w:t>cancer,</w:t>
      </w:r>
      <w:r>
        <w:rPr>
          <w:spacing w:val="-11"/>
          <w:sz w:val="28"/>
        </w:rPr>
        <w:t> </w:t>
      </w:r>
      <w:r>
        <w:rPr>
          <w:sz w:val="28"/>
        </w:rPr>
        <w:t>anal</w:t>
      </w:r>
      <w:r>
        <w:rPr>
          <w:spacing w:val="-11"/>
          <w:sz w:val="28"/>
        </w:rPr>
        <w:t> </w:t>
      </w:r>
      <w:r>
        <w:rPr>
          <w:sz w:val="28"/>
        </w:rPr>
        <w:t>cancer</w:t>
      </w:r>
      <w:r>
        <w:rPr>
          <w:spacing w:val="-11"/>
          <w:sz w:val="28"/>
        </w:rPr>
        <w:t> </w:t>
      </w:r>
      <w:r>
        <w:rPr>
          <w:sz w:val="28"/>
        </w:rPr>
        <w:t>-</w:t>
      </w:r>
      <w:r>
        <w:rPr>
          <w:spacing w:val="-11"/>
          <w:sz w:val="28"/>
        </w:rPr>
        <w:t> </w:t>
      </w:r>
      <w:r>
        <w:rPr>
          <w:sz w:val="28"/>
        </w:rPr>
        <w:t>("high</w:t>
      </w:r>
      <w:r>
        <w:rPr>
          <w:spacing w:val="-11"/>
          <w:sz w:val="28"/>
        </w:rPr>
        <w:t> </w:t>
      </w:r>
      <w:r>
        <w:rPr>
          <w:sz w:val="28"/>
        </w:rPr>
        <w:t>risk"</w:t>
      </w:r>
      <w:r>
        <w:rPr>
          <w:spacing w:val="-11"/>
          <w:sz w:val="28"/>
        </w:rPr>
        <w:t> </w:t>
      </w:r>
      <w:r>
        <w:rPr>
          <w:sz w:val="28"/>
        </w:rPr>
        <w:t>types</w:t>
      </w:r>
      <w:r>
        <w:rPr>
          <w:spacing w:val="-11"/>
          <w:sz w:val="28"/>
        </w:rPr>
        <w:t> </w:t>
      </w:r>
      <w:r>
        <w:rPr>
          <w:sz w:val="28"/>
        </w:rPr>
        <w:t>of</w:t>
      </w:r>
      <w:r>
        <w:rPr>
          <w:spacing w:val="-11"/>
          <w:sz w:val="28"/>
        </w:rPr>
        <w:t> </w:t>
      </w:r>
      <w:r>
        <w:rPr>
          <w:sz w:val="28"/>
        </w:rPr>
        <w:t>Human papillomavirus HPV) - skin and mucosal</w:t>
      </w:r>
    </w:p>
    <w:p>
      <w:pPr>
        <w:pStyle w:val="ListParagraph"/>
        <w:numPr>
          <w:ilvl w:val="1"/>
          <w:numId w:val="15"/>
        </w:numPr>
        <w:tabs>
          <w:tab w:pos="1338" w:val="left" w:leader="none"/>
        </w:tabs>
        <w:spacing w:line="240" w:lineRule="auto" w:before="60" w:after="0"/>
        <w:ind w:left="1338" w:right="0" w:hanging="458"/>
        <w:jc w:val="left"/>
        <w:rPr>
          <w:sz w:val="28"/>
        </w:rPr>
      </w:pPr>
      <w:r>
        <w:rPr>
          <w:sz w:val="28"/>
        </w:rPr>
        <w:t>Molluscum</w:t>
      </w:r>
      <w:r>
        <w:rPr>
          <w:spacing w:val="-8"/>
          <w:sz w:val="28"/>
        </w:rPr>
        <w:t> </w:t>
      </w:r>
      <w:r>
        <w:rPr>
          <w:spacing w:val="-2"/>
          <w:sz w:val="28"/>
        </w:rPr>
        <w:t>contagiosum</w:t>
      </w:r>
    </w:p>
    <w:p>
      <w:pPr>
        <w:pStyle w:val="ListParagraph"/>
        <w:numPr>
          <w:ilvl w:val="1"/>
          <w:numId w:val="15"/>
        </w:numPr>
        <w:tabs>
          <w:tab w:pos="1338" w:val="left" w:leader="none"/>
        </w:tabs>
        <w:spacing w:line="240" w:lineRule="auto" w:before="62" w:after="0"/>
        <w:ind w:left="1338" w:right="0" w:hanging="458"/>
        <w:jc w:val="left"/>
        <w:rPr>
          <w:sz w:val="28"/>
        </w:rPr>
      </w:pPr>
      <w:r>
        <w:rPr>
          <w:spacing w:val="-2"/>
          <w:sz w:val="28"/>
        </w:rPr>
        <w:t>Mononucleosis</w:t>
      </w:r>
    </w:p>
    <w:p>
      <w:pPr>
        <w:pStyle w:val="ListParagraph"/>
        <w:numPr>
          <w:ilvl w:val="2"/>
          <w:numId w:val="15"/>
        </w:numPr>
        <w:tabs>
          <w:tab w:pos="1840" w:val="left" w:leader="none"/>
        </w:tabs>
        <w:spacing w:line="252" w:lineRule="auto" w:before="122" w:after="0"/>
        <w:ind w:left="1840" w:right="1357" w:hanging="360"/>
        <w:jc w:val="left"/>
        <w:rPr>
          <w:sz w:val="28"/>
        </w:rPr>
      </w:pPr>
      <w:r>
        <w:rPr>
          <w:sz w:val="28"/>
        </w:rPr>
        <w:t>(Cytomegalovirus</w:t>
      </w:r>
      <w:r>
        <w:rPr>
          <w:spacing w:val="-12"/>
          <w:sz w:val="28"/>
        </w:rPr>
        <w:t> </w:t>
      </w:r>
      <w:r>
        <w:rPr>
          <w:sz w:val="28"/>
        </w:rPr>
        <w:t>CMV</w:t>
      </w:r>
      <w:r>
        <w:rPr>
          <w:spacing w:val="-18"/>
          <w:sz w:val="28"/>
        </w:rPr>
        <w:t> </w:t>
      </w:r>
      <w:r>
        <w:rPr>
          <w:sz w:val="28"/>
        </w:rPr>
        <w:t>-</w:t>
      </w:r>
      <w:r>
        <w:rPr>
          <w:spacing w:val="-9"/>
          <w:sz w:val="28"/>
        </w:rPr>
        <w:t> </w:t>
      </w:r>
      <w:r>
        <w:rPr>
          <w:sz w:val="28"/>
        </w:rPr>
        <w:t>Herpes</w:t>
      </w:r>
      <w:r>
        <w:rPr>
          <w:spacing w:val="-10"/>
          <w:sz w:val="28"/>
        </w:rPr>
        <w:t> </w:t>
      </w:r>
      <w:r>
        <w:rPr>
          <w:sz w:val="28"/>
        </w:rPr>
        <w:t>5)</w:t>
      </w:r>
      <w:r>
        <w:rPr>
          <w:spacing w:val="-10"/>
          <w:sz w:val="28"/>
        </w:rPr>
        <w:t> </w:t>
      </w:r>
      <w:r>
        <w:rPr>
          <w:sz w:val="28"/>
        </w:rPr>
        <w:t>-</w:t>
      </w:r>
      <w:r>
        <w:rPr>
          <w:spacing w:val="-10"/>
          <w:sz w:val="28"/>
        </w:rPr>
        <w:t> </w:t>
      </w:r>
      <w:r>
        <w:rPr>
          <w:sz w:val="28"/>
        </w:rPr>
        <w:t>saliva,</w:t>
      </w:r>
      <w:r>
        <w:rPr>
          <w:spacing w:val="-10"/>
          <w:sz w:val="28"/>
        </w:rPr>
        <w:t> </w:t>
      </w:r>
      <w:r>
        <w:rPr>
          <w:sz w:val="28"/>
        </w:rPr>
        <w:t>sweat,</w:t>
      </w:r>
      <w:r>
        <w:rPr>
          <w:spacing w:val="-10"/>
          <w:sz w:val="28"/>
        </w:rPr>
        <w:t> </w:t>
      </w:r>
      <w:r>
        <w:rPr>
          <w:sz w:val="28"/>
        </w:rPr>
        <w:t>urine, feces and venereal fluids.</w:t>
      </w:r>
    </w:p>
    <w:p>
      <w:pPr>
        <w:pStyle w:val="ListParagraph"/>
        <w:numPr>
          <w:ilvl w:val="2"/>
          <w:numId w:val="15"/>
        </w:numPr>
        <w:tabs>
          <w:tab w:pos="1839" w:val="left" w:leader="none"/>
        </w:tabs>
        <w:spacing w:line="240" w:lineRule="auto" w:before="112" w:after="0"/>
        <w:ind w:left="1839" w:right="0" w:hanging="359"/>
        <w:jc w:val="left"/>
        <w:rPr>
          <w:sz w:val="28"/>
        </w:rPr>
      </w:pPr>
      <w:r>
        <w:rPr>
          <w:sz w:val="28"/>
        </w:rPr>
        <w:t>(Epstein-Barr</w:t>
      </w:r>
      <w:r>
        <w:rPr>
          <w:spacing w:val="-7"/>
          <w:sz w:val="28"/>
        </w:rPr>
        <w:t> </w:t>
      </w:r>
      <w:r>
        <w:rPr>
          <w:sz w:val="28"/>
        </w:rPr>
        <w:t>virus</w:t>
      </w:r>
      <w:r>
        <w:rPr>
          <w:spacing w:val="-4"/>
          <w:sz w:val="28"/>
        </w:rPr>
        <w:t> </w:t>
      </w:r>
      <w:r>
        <w:rPr>
          <w:sz w:val="28"/>
        </w:rPr>
        <w:t>EBV</w:t>
      </w:r>
      <w:r>
        <w:rPr>
          <w:spacing w:val="-13"/>
          <w:sz w:val="28"/>
        </w:rPr>
        <w:t> </w:t>
      </w:r>
      <w:r>
        <w:rPr>
          <w:sz w:val="28"/>
        </w:rPr>
        <w:t>-</w:t>
      </w:r>
      <w:r>
        <w:rPr>
          <w:spacing w:val="-4"/>
          <w:sz w:val="28"/>
        </w:rPr>
        <w:t> </w:t>
      </w:r>
      <w:r>
        <w:rPr>
          <w:sz w:val="28"/>
        </w:rPr>
        <w:t>Herpes</w:t>
      </w:r>
      <w:r>
        <w:rPr>
          <w:spacing w:val="-4"/>
          <w:sz w:val="28"/>
        </w:rPr>
        <w:t> </w:t>
      </w:r>
      <w:r>
        <w:rPr>
          <w:spacing w:val="-5"/>
          <w:sz w:val="28"/>
        </w:rPr>
        <w:t>4)</w:t>
      </w:r>
    </w:p>
    <w:p>
      <w:pPr>
        <w:pStyle w:val="Heading2"/>
        <w:numPr>
          <w:ilvl w:val="0"/>
          <w:numId w:val="15"/>
        </w:numPr>
        <w:tabs>
          <w:tab w:pos="1140" w:val="left" w:leader="none"/>
        </w:tabs>
        <w:spacing w:line="393" w:lineRule="exact" w:before="59" w:after="0"/>
        <w:ind w:left="1140" w:right="0" w:hanging="457"/>
        <w:jc w:val="left"/>
      </w:pPr>
      <w:r>
        <w:rPr>
          <w:spacing w:val="-2"/>
        </w:rPr>
        <w:t>Parasites</w:t>
      </w:r>
    </w:p>
    <w:p>
      <w:pPr>
        <w:pStyle w:val="ListParagraph"/>
        <w:numPr>
          <w:ilvl w:val="0"/>
          <w:numId w:val="16"/>
        </w:numPr>
        <w:tabs>
          <w:tab w:pos="1118" w:val="left" w:leader="none"/>
        </w:tabs>
        <w:spacing w:line="376" w:lineRule="exact" w:before="0" w:after="0"/>
        <w:ind w:left="1118" w:right="0" w:hanging="358"/>
        <w:jc w:val="left"/>
        <w:rPr>
          <w:sz w:val="28"/>
        </w:rPr>
      </w:pPr>
      <w:r>
        <w:rPr>
          <w:sz w:val="28"/>
        </w:rPr>
        <w:t>Pubic</w:t>
      </w:r>
      <w:r>
        <w:rPr>
          <w:spacing w:val="-8"/>
          <w:sz w:val="28"/>
        </w:rPr>
        <w:t> </w:t>
      </w:r>
      <w:r>
        <w:rPr>
          <w:sz w:val="28"/>
        </w:rPr>
        <w:t>lice,</w:t>
      </w:r>
      <w:r>
        <w:rPr>
          <w:spacing w:val="-5"/>
          <w:sz w:val="28"/>
        </w:rPr>
        <w:t> </w:t>
      </w:r>
      <w:r>
        <w:rPr>
          <w:sz w:val="28"/>
        </w:rPr>
        <w:t>colloquially</w:t>
      </w:r>
      <w:r>
        <w:rPr>
          <w:spacing w:val="-4"/>
          <w:sz w:val="28"/>
        </w:rPr>
        <w:t> </w:t>
      </w:r>
      <w:r>
        <w:rPr>
          <w:sz w:val="28"/>
        </w:rPr>
        <w:t>known</w:t>
      </w:r>
      <w:r>
        <w:rPr>
          <w:spacing w:val="-5"/>
          <w:sz w:val="28"/>
        </w:rPr>
        <w:t> </w:t>
      </w:r>
      <w:r>
        <w:rPr>
          <w:sz w:val="28"/>
        </w:rPr>
        <w:t>as</w:t>
      </w:r>
      <w:r>
        <w:rPr>
          <w:spacing w:val="-4"/>
          <w:sz w:val="28"/>
        </w:rPr>
        <w:t> </w:t>
      </w:r>
      <w:r>
        <w:rPr>
          <w:spacing w:val="-2"/>
          <w:sz w:val="28"/>
        </w:rPr>
        <w:t>"crabs"</w:t>
      </w:r>
    </w:p>
    <w:p>
      <w:pPr>
        <w:pStyle w:val="ListParagraph"/>
        <w:numPr>
          <w:ilvl w:val="0"/>
          <w:numId w:val="16"/>
        </w:numPr>
        <w:tabs>
          <w:tab w:pos="1118" w:val="left" w:leader="none"/>
        </w:tabs>
        <w:spacing w:line="240" w:lineRule="auto" w:before="4" w:after="0"/>
        <w:ind w:left="1118" w:right="0" w:hanging="358"/>
        <w:jc w:val="left"/>
        <w:rPr>
          <w:sz w:val="28"/>
        </w:rPr>
      </w:pPr>
      <w:r>
        <w:rPr>
          <w:spacing w:val="-2"/>
          <w:sz w:val="28"/>
        </w:rPr>
        <w:t>Scabies</w:t>
      </w:r>
    </w:p>
    <w:p>
      <w:pPr>
        <w:pStyle w:val="Heading2"/>
        <w:numPr>
          <w:ilvl w:val="0"/>
          <w:numId w:val="15"/>
        </w:numPr>
        <w:tabs>
          <w:tab w:pos="1140" w:val="left" w:leader="none"/>
        </w:tabs>
        <w:spacing w:line="393" w:lineRule="exact" w:before="63" w:after="0"/>
        <w:ind w:left="1140" w:right="0" w:hanging="457"/>
        <w:jc w:val="left"/>
      </w:pPr>
      <w:r>
        <w:rPr>
          <w:spacing w:val="-2"/>
        </w:rPr>
        <w:t>Protozoal</w:t>
      </w:r>
    </w:p>
    <w:p>
      <w:pPr>
        <w:pStyle w:val="ListParagraph"/>
        <w:numPr>
          <w:ilvl w:val="0"/>
          <w:numId w:val="16"/>
        </w:numPr>
        <w:tabs>
          <w:tab w:pos="1118" w:val="left" w:leader="none"/>
        </w:tabs>
        <w:spacing w:line="376" w:lineRule="exact" w:before="0" w:after="0"/>
        <w:ind w:left="1118" w:right="0" w:hanging="358"/>
        <w:jc w:val="left"/>
        <w:rPr>
          <w:sz w:val="28"/>
        </w:rPr>
      </w:pPr>
      <w:r>
        <w:rPr>
          <w:spacing w:val="-2"/>
          <w:sz w:val="28"/>
        </w:rPr>
        <w:t>Trichomoniasis</w:t>
      </w:r>
    </w:p>
    <w:p>
      <w:pPr>
        <w:pStyle w:val="BodyText"/>
        <w:rPr>
          <w:sz w:val="30"/>
        </w:rPr>
      </w:pPr>
    </w:p>
    <w:p>
      <w:pPr>
        <w:pStyle w:val="Heading2"/>
        <w:spacing w:before="196"/>
        <w:ind w:left="400"/>
        <w:jc w:val="both"/>
      </w:pPr>
      <w:r>
        <w:rPr>
          <w:color w:val="333333"/>
          <w:spacing w:val="-2"/>
        </w:rPr>
        <w:t>Bacterial</w:t>
      </w:r>
      <w:r>
        <w:rPr>
          <w:color w:val="333333"/>
        </w:rPr>
        <w:t> </w:t>
      </w:r>
      <w:r>
        <w:rPr>
          <w:color w:val="333333"/>
          <w:spacing w:val="-2"/>
        </w:rPr>
        <w:t>Vaginosis</w:t>
      </w:r>
    </w:p>
    <w:p>
      <w:pPr>
        <w:pStyle w:val="BodyText"/>
        <w:spacing w:before="142"/>
        <w:ind w:left="400" w:right="625"/>
        <w:jc w:val="both"/>
      </w:pPr>
      <w:r>
        <w:rPr/>
        <w:t>Bacterial</w:t>
      </w:r>
      <w:r>
        <w:rPr>
          <w:spacing w:val="-5"/>
        </w:rPr>
        <w:t> </w:t>
      </w:r>
      <w:r>
        <w:rPr/>
        <w:t>Vaginosis (BV) is a condition in women where the normal balance of bacteria in the vagina is disrupted and replaced by an overgrowth of certain bacteria. It is sometimes accompanied by discharge, odor, pain, itching, or burning.</w:t>
      </w:r>
    </w:p>
    <w:p>
      <w:pPr>
        <w:pStyle w:val="BodyText"/>
        <w:spacing w:before="85"/>
        <w:ind w:left="400" w:right="544"/>
      </w:pPr>
      <w:r>
        <w:rPr/>
        <w:t>Bacterial vaginosis (BV) is the</w:t>
      </w:r>
      <w:r>
        <w:rPr>
          <w:spacing w:val="-1"/>
        </w:rPr>
        <w:t> </w:t>
      </w:r>
      <w:r>
        <w:rPr/>
        <w:t>most common vaginal infection in women of childbearing age.</w:t>
      </w:r>
      <w:r>
        <w:rPr>
          <w:spacing w:val="40"/>
        </w:rPr>
        <w:t> </w:t>
      </w:r>
      <w:r>
        <w:rPr/>
        <w:t>In the United States, BV is common in pregnant women. The</w:t>
      </w:r>
      <w:r>
        <w:rPr>
          <w:spacing w:val="-4"/>
        </w:rPr>
        <w:t> </w:t>
      </w:r>
      <w:r>
        <w:rPr/>
        <w:t>cause</w:t>
      </w:r>
      <w:r>
        <w:rPr>
          <w:spacing w:val="-4"/>
        </w:rPr>
        <w:t> </w:t>
      </w:r>
      <w:r>
        <w:rPr/>
        <w:t>of</w:t>
      </w:r>
      <w:r>
        <w:rPr>
          <w:spacing w:val="-3"/>
        </w:rPr>
        <w:t> </w:t>
      </w:r>
      <w:r>
        <w:rPr/>
        <w:t>BV</w:t>
      </w:r>
      <w:r>
        <w:rPr>
          <w:spacing w:val="-9"/>
        </w:rPr>
        <w:t> </w:t>
      </w:r>
      <w:r>
        <w:rPr/>
        <w:t>is</w:t>
      </w:r>
      <w:r>
        <w:rPr>
          <w:spacing w:val="-3"/>
        </w:rPr>
        <w:t> </w:t>
      </w:r>
      <w:r>
        <w:rPr/>
        <w:t>not</w:t>
      </w:r>
      <w:r>
        <w:rPr>
          <w:spacing w:val="-3"/>
        </w:rPr>
        <w:t> </w:t>
      </w:r>
      <w:r>
        <w:rPr/>
        <w:t>fully</w:t>
      </w:r>
      <w:r>
        <w:rPr>
          <w:spacing w:val="-3"/>
        </w:rPr>
        <w:t> </w:t>
      </w:r>
      <w:r>
        <w:rPr/>
        <w:t>understood.</w:t>
      </w:r>
      <w:r>
        <w:rPr>
          <w:spacing w:val="-3"/>
        </w:rPr>
        <w:t> </w:t>
      </w:r>
      <w:r>
        <w:rPr/>
        <w:t>BV</w:t>
      </w:r>
      <w:r>
        <w:rPr>
          <w:spacing w:val="-9"/>
        </w:rPr>
        <w:t> </w:t>
      </w:r>
      <w:r>
        <w:rPr/>
        <w:t>is</w:t>
      </w:r>
      <w:r>
        <w:rPr>
          <w:spacing w:val="-3"/>
        </w:rPr>
        <w:t> </w:t>
      </w:r>
      <w:r>
        <w:rPr/>
        <w:t>associated</w:t>
      </w:r>
      <w:r>
        <w:rPr>
          <w:spacing w:val="-3"/>
        </w:rPr>
        <w:t> </w:t>
      </w:r>
      <w:r>
        <w:rPr/>
        <w:t>with</w:t>
      </w:r>
      <w:r>
        <w:rPr>
          <w:spacing w:val="-3"/>
        </w:rPr>
        <w:t> </w:t>
      </w:r>
      <w:r>
        <w:rPr/>
        <w:t>an</w:t>
      </w:r>
      <w:r>
        <w:rPr>
          <w:spacing w:val="-3"/>
        </w:rPr>
        <w:t> </w:t>
      </w:r>
      <w:r>
        <w:rPr/>
        <w:t>imbalance in the bacteria that are normally found in a woman's vagina. The vagina normally</w:t>
      </w:r>
      <w:r>
        <w:rPr>
          <w:spacing w:val="-2"/>
        </w:rPr>
        <w:t> </w:t>
      </w:r>
      <w:r>
        <w:rPr/>
        <w:t>contains</w:t>
      </w:r>
      <w:r>
        <w:rPr>
          <w:spacing w:val="-2"/>
        </w:rPr>
        <w:t> </w:t>
      </w:r>
      <w:r>
        <w:rPr/>
        <w:t>mostly</w:t>
      </w:r>
      <w:r>
        <w:rPr>
          <w:spacing w:val="-2"/>
        </w:rPr>
        <w:t> </w:t>
      </w:r>
      <w:r>
        <w:rPr/>
        <w:t>"good"</w:t>
      </w:r>
      <w:r>
        <w:rPr>
          <w:spacing w:val="-2"/>
        </w:rPr>
        <w:t> </w:t>
      </w:r>
      <w:r>
        <w:rPr/>
        <w:t>bacteria,</w:t>
      </w:r>
      <w:r>
        <w:rPr>
          <w:spacing w:val="-2"/>
        </w:rPr>
        <w:t> </w:t>
      </w:r>
      <w:r>
        <w:rPr/>
        <w:t>and</w:t>
      </w:r>
      <w:r>
        <w:rPr>
          <w:spacing w:val="-2"/>
        </w:rPr>
        <w:t> </w:t>
      </w:r>
      <w:r>
        <w:rPr/>
        <w:t>fewer</w:t>
      </w:r>
      <w:r>
        <w:rPr>
          <w:spacing w:val="-2"/>
        </w:rPr>
        <w:t> </w:t>
      </w:r>
      <w:r>
        <w:rPr/>
        <w:t>"harmful"</w:t>
      </w:r>
      <w:r>
        <w:rPr>
          <w:spacing w:val="-2"/>
        </w:rPr>
        <w:t> </w:t>
      </w:r>
      <w:r>
        <w:rPr/>
        <w:t>bacteria.</w:t>
      </w:r>
      <w:r>
        <w:rPr>
          <w:spacing w:val="-2"/>
        </w:rPr>
        <w:t> </w:t>
      </w:r>
      <w:r>
        <w:rPr/>
        <w:t>BV develops when there is an increase in harmful bacteria. Not much is known about how women get BV.</w:t>
      </w:r>
      <w:r>
        <w:rPr>
          <w:spacing w:val="-10"/>
        </w:rPr>
        <w:t> </w:t>
      </w:r>
      <w:r>
        <w:rPr/>
        <w:t>There are many unanswered questions about the role that harmful bacteria play in causing BV.</w:t>
      </w:r>
      <w:r>
        <w:rPr>
          <w:spacing w:val="-25"/>
        </w:rPr>
        <w:t> </w:t>
      </w:r>
      <w:r>
        <w:rPr/>
        <w:t>Any woman can get BV. However, some activities or behaviors can upset the normal balance of bacteria in the vagina and put women at increased risk. It is not clear what role</w:t>
      </w:r>
      <w:r>
        <w:rPr>
          <w:spacing w:val="-2"/>
        </w:rPr>
        <w:t> </w:t>
      </w:r>
      <w:r>
        <w:rPr/>
        <w:t>sexual activity plays in the</w:t>
      </w:r>
      <w:r>
        <w:rPr>
          <w:spacing w:val="-2"/>
        </w:rPr>
        <w:t> </w:t>
      </w:r>
      <w:r>
        <w:rPr/>
        <w:t>development</w:t>
      </w:r>
      <w:r>
        <w:rPr>
          <w:spacing w:val="-2"/>
        </w:rPr>
        <w:t> </w:t>
      </w:r>
      <w:r>
        <w:rPr/>
        <w:t>of BV.</w:t>
      </w:r>
      <w:r>
        <w:rPr>
          <w:spacing w:val="-12"/>
        </w:rPr>
        <w:t> </w:t>
      </w:r>
      <w:r>
        <w:rPr/>
        <w:t>Women do not</w:t>
      </w:r>
      <w:r>
        <w:rPr>
          <w:spacing w:val="-2"/>
        </w:rPr>
        <w:t> </w:t>
      </w:r>
      <w:r>
        <w:rPr/>
        <w:t>get BV from</w:t>
      </w:r>
      <w:r>
        <w:rPr>
          <w:spacing w:val="-3"/>
        </w:rPr>
        <w:t> </w:t>
      </w:r>
      <w:r>
        <w:rPr/>
        <w:t>toilet</w:t>
      </w:r>
      <w:r>
        <w:rPr>
          <w:spacing w:val="-3"/>
        </w:rPr>
        <w:t> </w:t>
      </w:r>
      <w:r>
        <w:rPr/>
        <w:t>seats,</w:t>
      </w:r>
      <w:r>
        <w:rPr>
          <w:spacing w:val="-3"/>
        </w:rPr>
        <w:t> </w:t>
      </w:r>
      <w:r>
        <w:rPr/>
        <w:t>bedding,</w:t>
      </w:r>
      <w:r>
        <w:rPr>
          <w:spacing w:val="-3"/>
        </w:rPr>
        <w:t> </w:t>
      </w:r>
      <w:r>
        <w:rPr/>
        <w:t>swimming</w:t>
      </w:r>
      <w:r>
        <w:rPr>
          <w:spacing w:val="-3"/>
        </w:rPr>
        <w:t> </w:t>
      </w:r>
      <w:r>
        <w:rPr/>
        <w:t>pools,</w:t>
      </w:r>
      <w:r>
        <w:rPr>
          <w:spacing w:val="-3"/>
        </w:rPr>
        <w:t> </w:t>
      </w:r>
      <w:r>
        <w:rPr/>
        <w:t>or</w:t>
      </w:r>
      <w:r>
        <w:rPr>
          <w:spacing w:val="-3"/>
        </w:rPr>
        <w:t> </w:t>
      </w:r>
      <w:r>
        <w:rPr/>
        <w:t>from</w:t>
      </w:r>
      <w:r>
        <w:rPr>
          <w:spacing w:val="-3"/>
        </w:rPr>
        <w:t> </w:t>
      </w:r>
      <w:r>
        <w:rPr/>
        <w:t>touching</w:t>
      </w:r>
      <w:r>
        <w:rPr>
          <w:spacing w:val="-3"/>
        </w:rPr>
        <w:t> </w:t>
      </w:r>
      <w:r>
        <w:rPr/>
        <w:t>objects</w:t>
      </w:r>
      <w:r>
        <w:rPr>
          <w:spacing w:val="-3"/>
        </w:rPr>
        <w:t> </w:t>
      </w:r>
      <w:r>
        <w:rPr/>
        <w:t>around</w:t>
      </w:r>
    </w:p>
    <w:p>
      <w:pPr>
        <w:spacing w:after="0"/>
        <w:sectPr>
          <w:pgSz w:w="12240" w:h="15840"/>
          <w:pgMar w:header="0" w:footer="765" w:top="1260" w:bottom="980" w:left="1400" w:right="1180"/>
        </w:sectPr>
      </w:pPr>
    </w:p>
    <w:p>
      <w:pPr>
        <w:pStyle w:val="BodyText"/>
        <w:spacing w:before="66"/>
        <w:ind w:left="400"/>
      </w:pPr>
      <w:r>
        <w:rPr/>
        <w:t>them.</w:t>
      </w:r>
      <w:r>
        <w:rPr>
          <w:spacing w:val="-12"/>
        </w:rPr>
        <w:t> </w:t>
      </w:r>
      <w:r>
        <w:rPr/>
        <w:t>Women</w:t>
      </w:r>
      <w:r>
        <w:rPr>
          <w:spacing w:val="-12"/>
        </w:rPr>
        <w:t> </w:t>
      </w:r>
      <w:r>
        <w:rPr/>
        <w:t>who</w:t>
      </w:r>
      <w:r>
        <w:rPr>
          <w:spacing w:val="-7"/>
        </w:rPr>
        <w:t> </w:t>
      </w:r>
      <w:r>
        <w:rPr/>
        <w:t>have</w:t>
      </w:r>
      <w:r>
        <w:rPr>
          <w:spacing w:val="-9"/>
        </w:rPr>
        <w:t> </w:t>
      </w:r>
      <w:r>
        <w:rPr/>
        <w:t>never</w:t>
      </w:r>
      <w:r>
        <w:rPr>
          <w:spacing w:val="-9"/>
        </w:rPr>
        <w:t> </w:t>
      </w:r>
      <w:r>
        <w:rPr/>
        <w:t>had</w:t>
      </w:r>
      <w:r>
        <w:rPr>
          <w:spacing w:val="-8"/>
        </w:rPr>
        <w:t> </w:t>
      </w:r>
      <w:r>
        <w:rPr/>
        <w:t>sexual</w:t>
      </w:r>
      <w:r>
        <w:rPr>
          <w:spacing w:val="-8"/>
        </w:rPr>
        <w:t> </w:t>
      </w:r>
      <w:r>
        <w:rPr/>
        <w:t>intercourse</w:t>
      </w:r>
      <w:r>
        <w:rPr>
          <w:spacing w:val="-9"/>
        </w:rPr>
        <w:t> </w:t>
      </w:r>
      <w:r>
        <w:rPr/>
        <w:t>may</w:t>
      </w:r>
      <w:r>
        <w:rPr>
          <w:spacing w:val="-8"/>
        </w:rPr>
        <w:t> </w:t>
      </w:r>
      <w:r>
        <w:rPr/>
        <w:t>also</w:t>
      </w:r>
      <w:r>
        <w:rPr>
          <w:spacing w:val="-8"/>
        </w:rPr>
        <w:t> </w:t>
      </w:r>
      <w:r>
        <w:rPr/>
        <w:t>be</w:t>
      </w:r>
      <w:r>
        <w:rPr>
          <w:spacing w:val="-8"/>
        </w:rPr>
        <w:t> </w:t>
      </w:r>
      <w:r>
        <w:rPr>
          <w:spacing w:val="-2"/>
        </w:rPr>
        <w:t>affected.</w:t>
      </w:r>
    </w:p>
    <w:p>
      <w:pPr>
        <w:pStyle w:val="BodyText"/>
        <w:spacing w:before="142"/>
        <w:ind w:left="400" w:right="499"/>
      </w:pPr>
      <w:r>
        <w:rPr/>
        <w:t>Women</w:t>
      </w:r>
      <w:r>
        <w:rPr>
          <w:spacing w:val="-5"/>
        </w:rPr>
        <w:t> </w:t>
      </w:r>
      <w:r>
        <w:rPr/>
        <w:t>with</w:t>
      </w:r>
      <w:r>
        <w:rPr>
          <w:spacing w:val="-5"/>
        </w:rPr>
        <w:t> </w:t>
      </w:r>
      <w:r>
        <w:rPr/>
        <w:t>BV</w:t>
      </w:r>
      <w:r>
        <w:rPr>
          <w:spacing w:val="-16"/>
        </w:rPr>
        <w:t> </w:t>
      </w:r>
      <w:r>
        <w:rPr/>
        <w:t>may</w:t>
      </w:r>
      <w:r>
        <w:rPr>
          <w:spacing w:val="-5"/>
        </w:rPr>
        <w:t> </w:t>
      </w:r>
      <w:r>
        <w:rPr/>
        <w:t>have</w:t>
      </w:r>
      <w:r>
        <w:rPr>
          <w:spacing w:val="-6"/>
        </w:rPr>
        <w:t> </w:t>
      </w:r>
      <w:r>
        <w:rPr/>
        <w:t>an</w:t>
      </w:r>
      <w:r>
        <w:rPr>
          <w:spacing w:val="-5"/>
        </w:rPr>
        <w:t> </w:t>
      </w:r>
      <w:r>
        <w:rPr/>
        <w:t>abnormal</w:t>
      </w:r>
      <w:r>
        <w:rPr>
          <w:spacing w:val="-5"/>
        </w:rPr>
        <w:t> </w:t>
      </w:r>
      <w:r>
        <w:rPr/>
        <w:t>vaginal</w:t>
      </w:r>
      <w:r>
        <w:rPr>
          <w:spacing w:val="-5"/>
        </w:rPr>
        <w:t> </w:t>
      </w:r>
      <w:r>
        <w:rPr/>
        <w:t>discharge</w:t>
      </w:r>
      <w:r>
        <w:rPr>
          <w:spacing w:val="-6"/>
        </w:rPr>
        <w:t> </w:t>
      </w:r>
      <w:r>
        <w:rPr/>
        <w:t>with</w:t>
      </w:r>
      <w:r>
        <w:rPr>
          <w:spacing w:val="-5"/>
        </w:rPr>
        <w:t> </w:t>
      </w:r>
      <w:r>
        <w:rPr/>
        <w:t>an</w:t>
      </w:r>
      <w:r>
        <w:rPr>
          <w:spacing w:val="-5"/>
        </w:rPr>
        <w:t> </w:t>
      </w:r>
      <w:r>
        <w:rPr/>
        <w:t>unpleasant odor.</w:t>
      </w:r>
      <w:r>
        <w:rPr>
          <w:spacing w:val="-5"/>
        </w:rPr>
        <w:t> </w:t>
      </w:r>
      <w:r>
        <w:rPr/>
        <w:t>Some</w:t>
      </w:r>
      <w:r>
        <w:rPr>
          <w:spacing w:val="-1"/>
        </w:rPr>
        <w:t> </w:t>
      </w:r>
      <w:r>
        <w:rPr/>
        <w:t>women</w:t>
      </w:r>
      <w:r>
        <w:rPr>
          <w:spacing w:val="-3"/>
        </w:rPr>
        <w:t> </w:t>
      </w:r>
      <w:r>
        <w:rPr/>
        <w:t>report</w:t>
      </w:r>
      <w:r>
        <w:rPr>
          <w:spacing w:val="-4"/>
        </w:rPr>
        <w:t> </w:t>
      </w:r>
      <w:r>
        <w:rPr/>
        <w:t>a</w:t>
      </w:r>
      <w:r>
        <w:rPr>
          <w:spacing w:val="-4"/>
        </w:rPr>
        <w:t> </w:t>
      </w:r>
      <w:r>
        <w:rPr/>
        <w:t>strong</w:t>
      </w:r>
      <w:r>
        <w:rPr>
          <w:spacing w:val="-3"/>
        </w:rPr>
        <w:t> </w:t>
      </w:r>
      <w:r>
        <w:rPr/>
        <w:t>fish-like</w:t>
      </w:r>
      <w:r>
        <w:rPr>
          <w:spacing w:val="-4"/>
        </w:rPr>
        <w:t> </w:t>
      </w:r>
      <w:r>
        <w:rPr/>
        <w:t>odor,</w:t>
      </w:r>
      <w:r>
        <w:rPr>
          <w:spacing w:val="-3"/>
        </w:rPr>
        <w:t> </w:t>
      </w:r>
      <w:r>
        <w:rPr/>
        <w:t>especially</w:t>
      </w:r>
      <w:r>
        <w:rPr>
          <w:spacing w:val="-3"/>
        </w:rPr>
        <w:t> </w:t>
      </w:r>
      <w:r>
        <w:rPr/>
        <w:t>after</w:t>
      </w:r>
      <w:r>
        <w:rPr>
          <w:spacing w:val="-3"/>
        </w:rPr>
        <w:t> </w:t>
      </w:r>
      <w:r>
        <w:rPr/>
        <w:t>intercourse. Discharge,</w:t>
      </w:r>
      <w:r>
        <w:rPr>
          <w:spacing w:val="-8"/>
        </w:rPr>
        <w:t> </w:t>
      </w:r>
      <w:r>
        <w:rPr/>
        <w:t>if</w:t>
      </w:r>
      <w:r>
        <w:rPr>
          <w:spacing w:val="-8"/>
        </w:rPr>
        <w:t> </w:t>
      </w:r>
      <w:r>
        <w:rPr/>
        <w:t>present,</w:t>
      </w:r>
      <w:r>
        <w:rPr>
          <w:spacing w:val="-8"/>
        </w:rPr>
        <w:t> </w:t>
      </w:r>
      <w:r>
        <w:rPr/>
        <w:t>is</w:t>
      </w:r>
      <w:r>
        <w:rPr>
          <w:spacing w:val="-5"/>
        </w:rPr>
        <w:t> </w:t>
      </w:r>
      <w:r>
        <w:rPr/>
        <w:t>usually</w:t>
      </w:r>
      <w:r>
        <w:rPr>
          <w:spacing w:val="-5"/>
        </w:rPr>
        <w:t> </w:t>
      </w:r>
      <w:r>
        <w:rPr/>
        <w:t>white</w:t>
      </w:r>
      <w:r>
        <w:rPr>
          <w:spacing w:val="-6"/>
        </w:rPr>
        <w:t> </w:t>
      </w:r>
      <w:r>
        <w:rPr/>
        <w:t>or</w:t>
      </w:r>
      <w:r>
        <w:rPr>
          <w:spacing w:val="-5"/>
        </w:rPr>
        <w:t> </w:t>
      </w:r>
      <w:r>
        <w:rPr/>
        <w:t>gray;</w:t>
      </w:r>
      <w:r>
        <w:rPr>
          <w:spacing w:val="-5"/>
        </w:rPr>
        <w:t> </w:t>
      </w:r>
      <w:r>
        <w:rPr/>
        <w:t>it</w:t>
      </w:r>
      <w:r>
        <w:rPr>
          <w:spacing w:val="-5"/>
        </w:rPr>
        <w:t> </w:t>
      </w:r>
      <w:r>
        <w:rPr/>
        <w:t>can</w:t>
      </w:r>
      <w:r>
        <w:rPr>
          <w:spacing w:val="-5"/>
        </w:rPr>
        <w:t> </w:t>
      </w:r>
      <w:r>
        <w:rPr/>
        <w:t>be</w:t>
      </w:r>
      <w:r>
        <w:rPr>
          <w:spacing w:val="-6"/>
        </w:rPr>
        <w:t> </w:t>
      </w:r>
      <w:r>
        <w:rPr/>
        <w:t>thin.</w:t>
      </w:r>
      <w:r>
        <w:rPr>
          <w:spacing w:val="-10"/>
        </w:rPr>
        <w:t> </w:t>
      </w:r>
      <w:r>
        <w:rPr/>
        <w:t>Women</w:t>
      </w:r>
      <w:r>
        <w:rPr>
          <w:spacing w:val="-5"/>
        </w:rPr>
        <w:t> </w:t>
      </w:r>
      <w:r>
        <w:rPr/>
        <w:t>with</w:t>
      </w:r>
      <w:r>
        <w:rPr>
          <w:spacing w:val="-5"/>
        </w:rPr>
        <w:t> </w:t>
      </w:r>
      <w:r>
        <w:rPr/>
        <w:t>BV may also have burning during urination or itching around the outside of the vagina,</w:t>
      </w:r>
      <w:r>
        <w:rPr>
          <w:spacing w:val="-6"/>
        </w:rPr>
        <w:t> </w:t>
      </w:r>
      <w:r>
        <w:rPr/>
        <w:t>or</w:t>
      </w:r>
      <w:r>
        <w:rPr>
          <w:spacing w:val="-6"/>
        </w:rPr>
        <w:t> </w:t>
      </w:r>
      <w:r>
        <w:rPr/>
        <w:t>both.</w:t>
      </w:r>
      <w:r>
        <w:rPr>
          <w:spacing w:val="-6"/>
        </w:rPr>
        <w:t> </w:t>
      </w:r>
      <w:r>
        <w:rPr/>
        <w:t>However,</w:t>
      </w:r>
      <w:r>
        <w:rPr>
          <w:spacing w:val="-6"/>
        </w:rPr>
        <w:t> </w:t>
      </w:r>
      <w:r>
        <w:rPr/>
        <w:t>most</w:t>
      </w:r>
      <w:r>
        <w:rPr>
          <w:spacing w:val="-6"/>
        </w:rPr>
        <w:t> </w:t>
      </w:r>
      <w:r>
        <w:rPr/>
        <w:t>women</w:t>
      </w:r>
      <w:r>
        <w:rPr>
          <w:spacing w:val="-6"/>
        </w:rPr>
        <w:t> </w:t>
      </w:r>
      <w:r>
        <w:rPr/>
        <w:t>with</w:t>
      </w:r>
      <w:r>
        <w:rPr>
          <w:spacing w:val="-1"/>
        </w:rPr>
        <w:t> </w:t>
      </w:r>
      <w:r>
        <w:rPr/>
        <w:t>BV</w:t>
      </w:r>
      <w:r>
        <w:rPr>
          <w:spacing w:val="-7"/>
        </w:rPr>
        <w:t> </w:t>
      </w:r>
      <w:r>
        <w:rPr/>
        <w:t>report</w:t>
      </w:r>
      <w:r>
        <w:rPr>
          <w:spacing w:val="-1"/>
        </w:rPr>
        <w:t> </w:t>
      </w:r>
      <w:r>
        <w:rPr/>
        <w:t>no</w:t>
      </w:r>
      <w:r>
        <w:rPr>
          <w:spacing w:val="-1"/>
        </w:rPr>
        <w:t> </w:t>
      </w:r>
      <w:r>
        <w:rPr/>
        <w:t>signs</w:t>
      </w:r>
      <w:r>
        <w:rPr>
          <w:spacing w:val="-1"/>
        </w:rPr>
        <w:t> </w:t>
      </w:r>
      <w:r>
        <w:rPr/>
        <w:t>or</w:t>
      </w:r>
      <w:r>
        <w:rPr>
          <w:spacing w:val="-1"/>
        </w:rPr>
        <w:t> </w:t>
      </w:r>
      <w:r>
        <w:rPr/>
        <w:t>symptoms at all.</w:t>
      </w:r>
    </w:p>
    <w:p>
      <w:pPr>
        <w:pStyle w:val="BodyText"/>
        <w:spacing w:before="102"/>
        <w:ind w:left="400" w:right="502"/>
      </w:pPr>
      <w:r>
        <w:rPr/>
        <w:t>In</w:t>
      </w:r>
      <w:r>
        <w:rPr>
          <w:spacing w:val="-7"/>
        </w:rPr>
        <w:t> </w:t>
      </w:r>
      <w:r>
        <w:rPr/>
        <w:t>most</w:t>
      </w:r>
      <w:r>
        <w:rPr>
          <w:spacing w:val="-7"/>
        </w:rPr>
        <w:t> </w:t>
      </w:r>
      <w:r>
        <w:rPr/>
        <w:t>cases,</w:t>
      </w:r>
      <w:r>
        <w:rPr>
          <w:spacing w:val="-7"/>
        </w:rPr>
        <w:t> </w:t>
      </w:r>
      <w:r>
        <w:rPr/>
        <w:t>BV</w:t>
      </w:r>
      <w:r>
        <w:rPr>
          <w:spacing w:val="-18"/>
        </w:rPr>
        <w:t> </w:t>
      </w:r>
      <w:r>
        <w:rPr/>
        <w:t>causes</w:t>
      </w:r>
      <w:r>
        <w:rPr>
          <w:spacing w:val="-7"/>
        </w:rPr>
        <w:t> </w:t>
      </w:r>
      <w:r>
        <w:rPr/>
        <w:t>no</w:t>
      </w:r>
      <w:r>
        <w:rPr>
          <w:spacing w:val="-7"/>
        </w:rPr>
        <w:t> </w:t>
      </w:r>
      <w:r>
        <w:rPr/>
        <w:t>complications.</w:t>
      </w:r>
      <w:r>
        <w:rPr>
          <w:spacing w:val="-7"/>
        </w:rPr>
        <w:t> </w:t>
      </w:r>
      <w:r>
        <w:rPr/>
        <w:t>But</w:t>
      </w:r>
      <w:r>
        <w:rPr>
          <w:spacing w:val="-8"/>
        </w:rPr>
        <w:t> </w:t>
      </w:r>
      <w:r>
        <w:rPr/>
        <w:t>there</w:t>
      </w:r>
      <w:r>
        <w:rPr>
          <w:spacing w:val="-8"/>
        </w:rPr>
        <w:t> </w:t>
      </w:r>
      <w:r>
        <w:rPr/>
        <w:t>are</w:t>
      </w:r>
      <w:r>
        <w:rPr>
          <w:spacing w:val="-8"/>
        </w:rPr>
        <w:t> </w:t>
      </w:r>
      <w:r>
        <w:rPr/>
        <w:t>some</w:t>
      </w:r>
      <w:r>
        <w:rPr>
          <w:spacing w:val="-8"/>
        </w:rPr>
        <w:t> </w:t>
      </w:r>
      <w:r>
        <w:rPr/>
        <w:t>serious</w:t>
      </w:r>
      <w:r>
        <w:rPr>
          <w:spacing w:val="-7"/>
        </w:rPr>
        <w:t> </w:t>
      </w:r>
      <w:r>
        <w:rPr/>
        <w:t>risks from BV including:</w:t>
      </w:r>
    </w:p>
    <w:p>
      <w:pPr>
        <w:pStyle w:val="ListParagraph"/>
        <w:numPr>
          <w:ilvl w:val="0"/>
          <w:numId w:val="16"/>
        </w:numPr>
        <w:tabs>
          <w:tab w:pos="1118" w:val="left" w:leader="none"/>
          <w:tab w:pos="1120" w:val="left" w:leader="none"/>
        </w:tabs>
        <w:spacing w:line="237" w:lineRule="auto" w:before="0" w:after="0"/>
        <w:ind w:left="1120" w:right="2184" w:hanging="360"/>
        <w:jc w:val="left"/>
        <w:rPr>
          <w:sz w:val="28"/>
        </w:rPr>
      </w:pPr>
      <w:r>
        <w:rPr>
          <w:sz w:val="28"/>
        </w:rPr>
        <w:t>Having</w:t>
      </w:r>
      <w:r>
        <w:rPr>
          <w:spacing w:val="-10"/>
          <w:sz w:val="28"/>
        </w:rPr>
        <w:t> </w:t>
      </w:r>
      <w:r>
        <w:rPr>
          <w:sz w:val="28"/>
        </w:rPr>
        <w:t>BV</w:t>
      </w:r>
      <w:r>
        <w:rPr>
          <w:spacing w:val="-18"/>
          <w:sz w:val="28"/>
        </w:rPr>
        <w:t> </w:t>
      </w:r>
      <w:r>
        <w:rPr>
          <w:sz w:val="28"/>
        </w:rPr>
        <w:t>can</w:t>
      </w:r>
      <w:r>
        <w:rPr>
          <w:spacing w:val="-8"/>
          <w:sz w:val="28"/>
        </w:rPr>
        <w:t> </w:t>
      </w:r>
      <w:r>
        <w:rPr>
          <w:sz w:val="28"/>
        </w:rPr>
        <w:t>increase</w:t>
      </w:r>
      <w:r>
        <w:rPr>
          <w:spacing w:val="-10"/>
          <w:sz w:val="28"/>
        </w:rPr>
        <w:t> </w:t>
      </w:r>
      <w:r>
        <w:rPr>
          <w:sz w:val="28"/>
        </w:rPr>
        <w:t>a</w:t>
      </w:r>
      <w:r>
        <w:rPr>
          <w:spacing w:val="-10"/>
          <w:sz w:val="28"/>
        </w:rPr>
        <w:t> </w:t>
      </w:r>
      <w:r>
        <w:rPr>
          <w:sz w:val="28"/>
        </w:rPr>
        <w:t>woman's</w:t>
      </w:r>
      <w:r>
        <w:rPr>
          <w:spacing w:val="-9"/>
          <w:sz w:val="28"/>
        </w:rPr>
        <w:t> </w:t>
      </w:r>
      <w:r>
        <w:rPr>
          <w:sz w:val="28"/>
        </w:rPr>
        <w:t>susceptibility</w:t>
      </w:r>
      <w:r>
        <w:rPr>
          <w:spacing w:val="-9"/>
          <w:sz w:val="28"/>
        </w:rPr>
        <w:t> </w:t>
      </w:r>
      <w:r>
        <w:rPr>
          <w:sz w:val="28"/>
        </w:rPr>
        <w:t>to</w:t>
      </w:r>
      <w:r>
        <w:rPr>
          <w:spacing w:val="-9"/>
          <w:sz w:val="28"/>
        </w:rPr>
        <w:t> </w:t>
      </w:r>
      <w:r>
        <w:rPr>
          <w:sz w:val="28"/>
        </w:rPr>
        <w:t>HIV infection if she is exposed to the HIV virus.</w:t>
      </w:r>
    </w:p>
    <w:p>
      <w:pPr>
        <w:pStyle w:val="ListParagraph"/>
        <w:numPr>
          <w:ilvl w:val="0"/>
          <w:numId w:val="16"/>
        </w:numPr>
        <w:tabs>
          <w:tab w:pos="1118" w:val="left" w:leader="none"/>
          <w:tab w:pos="1120" w:val="left" w:leader="none"/>
        </w:tabs>
        <w:spacing w:line="320" w:lineRule="exact" w:before="31" w:after="0"/>
        <w:ind w:left="1120" w:right="1142" w:hanging="360"/>
        <w:jc w:val="left"/>
        <w:rPr>
          <w:sz w:val="28"/>
        </w:rPr>
      </w:pPr>
      <w:r>
        <w:rPr>
          <w:sz w:val="28"/>
        </w:rPr>
        <w:t>Having</w:t>
      </w:r>
      <w:r>
        <w:rPr>
          <w:spacing w:val="-18"/>
          <w:sz w:val="28"/>
        </w:rPr>
        <w:t> </w:t>
      </w:r>
      <w:r>
        <w:rPr>
          <w:sz w:val="28"/>
        </w:rPr>
        <w:t>BV</w:t>
      </w:r>
      <w:r>
        <w:rPr>
          <w:spacing w:val="-17"/>
          <w:sz w:val="28"/>
        </w:rPr>
        <w:t> </w:t>
      </w:r>
      <w:r>
        <w:rPr>
          <w:sz w:val="28"/>
        </w:rPr>
        <w:t>increases</w:t>
      </w:r>
      <w:r>
        <w:rPr>
          <w:spacing w:val="-14"/>
          <w:sz w:val="28"/>
        </w:rPr>
        <w:t> </w:t>
      </w:r>
      <w:r>
        <w:rPr>
          <w:sz w:val="28"/>
        </w:rPr>
        <w:t>the</w:t>
      </w:r>
      <w:r>
        <w:rPr>
          <w:spacing w:val="-15"/>
          <w:sz w:val="28"/>
        </w:rPr>
        <w:t> </w:t>
      </w:r>
      <w:r>
        <w:rPr>
          <w:sz w:val="28"/>
        </w:rPr>
        <w:t>chances</w:t>
      </w:r>
      <w:r>
        <w:rPr>
          <w:spacing w:val="-13"/>
          <w:sz w:val="28"/>
        </w:rPr>
        <w:t> </w:t>
      </w:r>
      <w:r>
        <w:rPr>
          <w:sz w:val="28"/>
        </w:rPr>
        <w:t>that</w:t>
      </w:r>
      <w:r>
        <w:rPr>
          <w:spacing w:val="-13"/>
          <w:sz w:val="28"/>
        </w:rPr>
        <w:t> </w:t>
      </w:r>
      <w:r>
        <w:rPr>
          <w:sz w:val="28"/>
        </w:rPr>
        <w:t>an</w:t>
      </w:r>
      <w:r>
        <w:rPr>
          <w:spacing w:val="-13"/>
          <w:sz w:val="28"/>
        </w:rPr>
        <w:t> </w:t>
      </w:r>
      <w:r>
        <w:rPr>
          <w:sz w:val="28"/>
        </w:rPr>
        <w:t>HIV-infected</w:t>
      </w:r>
      <w:r>
        <w:rPr>
          <w:spacing w:val="-13"/>
          <w:sz w:val="28"/>
        </w:rPr>
        <w:t> </w:t>
      </w:r>
      <w:r>
        <w:rPr>
          <w:sz w:val="28"/>
        </w:rPr>
        <w:t>woman</w:t>
      </w:r>
      <w:r>
        <w:rPr>
          <w:spacing w:val="-13"/>
          <w:sz w:val="28"/>
        </w:rPr>
        <w:t> </w:t>
      </w:r>
      <w:r>
        <w:rPr>
          <w:sz w:val="28"/>
        </w:rPr>
        <w:t>can pass HIV to her sex partner.</w:t>
      </w:r>
    </w:p>
    <w:p>
      <w:pPr>
        <w:pStyle w:val="ListParagraph"/>
        <w:numPr>
          <w:ilvl w:val="0"/>
          <w:numId w:val="16"/>
        </w:numPr>
        <w:tabs>
          <w:tab w:pos="1118" w:val="left" w:leader="none"/>
          <w:tab w:pos="1120" w:val="left" w:leader="none"/>
        </w:tabs>
        <w:spacing w:line="320" w:lineRule="exact" w:before="35" w:after="0"/>
        <w:ind w:left="1120" w:right="1123" w:hanging="360"/>
        <w:jc w:val="left"/>
        <w:rPr>
          <w:sz w:val="28"/>
        </w:rPr>
      </w:pPr>
      <w:r>
        <w:rPr>
          <w:sz w:val="28"/>
        </w:rPr>
        <w:t>Having BV has been associated with an increase in the development</w:t>
      </w:r>
      <w:r>
        <w:rPr>
          <w:spacing w:val="-6"/>
          <w:sz w:val="28"/>
        </w:rPr>
        <w:t> </w:t>
      </w:r>
      <w:r>
        <w:rPr>
          <w:sz w:val="28"/>
        </w:rPr>
        <w:t>of</w:t>
      </w:r>
      <w:r>
        <w:rPr>
          <w:spacing w:val="-6"/>
          <w:sz w:val="28"/>
        </w:rPr>
        <w:t> </w:t>
      </w:r>
      <w:r>
        <w:rPr>
          <w:sz w:val="28"/>
        </w:rPr>
        <w:t>an</w:t>
      </w:r>
      <w:r>
        <w:rPr>
          <w:spacing w:val="-6"/>
          <w:sz w:val="28"/>
        </w:rPr>
        <w:t> </w:t>
      </w:r>
      <w:r>
        <w:rPr>
          <w:sz w:val="28"/>
        </w:rPr>
        <w:t>infection</w:t>
      </w:r>
      <w:r>
        <w:rPr>
          <w:spacing w:val="-11"/>
          <w:sz w:val="28"/>
        </w:rPr>
        <w:t> </w:t>
      </w:r>
      <w:r>
        <w:rPr>
          <w:sz w:val="28"/>
        </w:rPr>
        <w:t>following</w:t>
      </w:r>
      <w:r>
        <w:rPr>
          <w:spacing w:val="-11"/>
          <w:sz w:val="28"/>
        </w:rPr>
        <w:t> </w:t>
      </w:r>
      <w:r>
        <w:rPr>
          <w:sz w:val="28"/>
        </w:rPr>
        <w:t>surgical</w:t>
      </w:r>
      <w:r>
        <w:rPr>
          <w:spacing w:val="-11"/>
          <w:sz w:val="28"/>
        </w:rPr>
        <w:t> </w:t>
      </w:r>
      <w:r>
        <w:rPr>
          <w:sz w:val="28"/>
        </w:rPr>
        <w:t>procedures</w:t>
      </w:r>
      <w:r>
        <w:rPr>
          <w:spacing w:val="-12"/>
          <w:sz w:val="28"/>
        </w:rPr>
        <w:t> </w:t>
      </w:r>
      <w:r>
        <w:rPr>
          <w:sz w:val="28"/>
        </w:rPr>
        <w:t>such</w:t>
      </w:r>
      <w:r>
        <w:rPr>
          <w:spacing w:val="-11"/>
          <w:sz w:val="28"/>
        </w:rPr>
        <w:t> </w:t>
      </w:r>
      <w:r>
        <w:rPr>
          <w:sz w:val="28"/>
        </w:rPr>
        <w:t>as a hysterectomy or an abortion.</w:t>
      </w:r>
    </w:p>
    <w:p>
      <w:pPr>
        <w:pStyle w:val="ListParagraph"/>
        <w:numPr>
          <w:ilvl w:val="0"/>
          <w:numId w:val="16"/>
        </w:numPr>
        <w:tabs>
          <w:tab w:pos="1118" w:val="left" w:leader="none"/>
          <w:tab w:pos="1120" w:val="left" w:leader="none"/>
        </w:tabs>
        <w:spacing w:line="320" w:lineRule="exact" w:before="35" w:after="0"/>
        <w:ind w:left="1120" w:right="2008" w:hanging="360"/>
        <w:jc w:val="left"/>
        <w:rPr>
          <w:sz w:val="28"/>
        </w:rPr>
      </w:pPr>
      <w:r>
        <w:rPr>
          <w:sz w:val="28"/>
        </w:rPr>
        <w:t>Having BV</w:t>
      </w:r>
      <w:r>
        <w:rPr>
          <w:spacing w:val="-11"/>
          <w:sz w:val="28"/>
        </w:rPr>
        <w:t> </w:t>
      </w:r>
      <w:r>
        <w:rPr>
          <w:sz w:val="28"/>
        </w:rPr>
        <w:t>while pregnant may put a woman at increased risk</w:t>
      </w:r>
      <w:r>
        <w:rPr>
          <w:spacing w:val="-11"/>
          <w:sz w:val="28"/>
        </w:rPr>
        <w:t> </w:t>
      </w:r>
      <w:r>
        <w:rPr>
          <w:sz w:val="28"/>
        </w:rPr>
        <w:t>for</w:t>
      </w:r>
      <w:r>
        <w:rPr>
          <w:spacing w:val="-11"/>
          <w:sz w:val="28"/>
        </w:rPr>
        <w:t> </w:t>
      </w:r>
      <w:r>
        <w:rPr>
          <w:sz w:val="28"/>
        </w:rPr>
        <w:t>some</w:t>
      </w:r>
      <w:r>
        <w:rPr>
          <w:spacing w:val="-8"/>
          <w:sz w:val="28"/>
        </w:rPr>
        <w:t> </w:t>
      </w:r>
      <w:r>
        <w:rPr>
          <w:sz w:val="28"/>
        </w:rPr>
        <w:t>complications</w:t>
      </w:r>
      <w:r>
        <w:rPr>
          <w:spacing w:val="-7"/>
          <w:sz w:val="28"/>
        </w:rPr>
        <w:t> </w:t>
      </w:r>
      <w:r>
        <w:rPr>
          <w:sz w:val="28"/>
        </w:rPr>
        <w:t>of</w:t>
      </w:r>
      <w:r>
        <w:rPr>
          <w:spacing w:val="-7"/>
          <w:sz w:val="28"/>
        </w:rPr>
        <w:t> </w:t>
      </w:r>
      <w:r>
        <w:rPr>
          <w:sz w:val="28"/>
        </w:rPr>
        <w:t>pregnancy,</w:t>
      </w:r>
      <w:r>
        <w:rPr>
          <w:spacing w:val="-7"/>
          <w:sz w:val="28"/>
        </w:rPr>
        <w:t> </w:t>
      </w:r>
      <w:r>
        <w:rPr>
          <w:sz w:val="28"/>
        </w:rPr>
        <w:t>such</w:t>
      </w:r>
      <w:r>
        <w:rPr>
          <w:spacing w:val="-7"/>
          <w:sz w:val="28"/>
        </w:rPr>
        <w:t> </w:t>
      </w:r>
      <w:r>
        <w:rPr>
          <w:sz w:val="28"/>
        </w:rPr>
        <w:t>as</w:t>
      </w:r>
      <w:r>
        <w:rPr>
          <w:spacing w:val="-7"/>
          <w:sz w:val="28"/>
        </w:rPr>
        <w:t> </w:t>
      </w:r>
      <w:r>
        <w:rPr>
          <w:sz w:val="28"/>
        </w:rPr>
        <w:t>preterm </w:t>
      </w:r>
      <w:r>
        <w:rPr>
          <w:spacing w:val="-2"/>
          <w:sz w:val="28"/>
        </w:rPr>
        <w:t>delivery.</w:t>
      </w:r>
    </w:p>
    <w:p>
      <w:pPr>
        <w:pStyle w:val="ListParagraph"/>
        <w:numPr>
          <w:ilvl w:val="0"/>
          <w:numId w:val="16"/>
        </w:numPr>
        <w:tabs>
          <w:tab w:pos="1118" w:val="left" w:leader="none"/>
          <w:tab w:pos="1120" w:val="left" w:leader="none"/>
        </w:tabs>
        <w:spacing w:line="237" w:lineRule="auto" w:before="0" w:after="0"/>
        <w:ind w:left="1120" w:right="1344" w:hanging="360"/>
        <w:jc w:val="left"/>
        <w:rPr>
          <w:sz w:val="28"/>
        </w:rPr>
      </w:pPr>
      <w:r>
        <w:rPr>
          <w:sz w:val="28"/>
        </w:rPr>
        <w:t>BV</w:t>
      </w:r>
      <w:r>
        <w:rPr>
          <w:spacing w:val="-18"/>
          <w:sz w:val="28"/>
        </w:rPr>
        <w:t> </w:t>
      </w:r>
      <w:r>
        <w:rPr>
          <w:sz w:val="28"/>
        </w:rPr>
        <w:t>can</w:t>
      </w:r>
      <w:r>
        <w:rPr>
          <w:spacing w:val="-8"/>
          <w:sz w:val="28"/>
        </w:rPr>
        <w:t> </w:t>
      </w:r>
      <w:r>
        <w:rPr>
          <w:sz w:val="28"/>
        </w:rPr>
        <w:t>increase</w:t>
      </w:r>
      <w:r>
        <w:rPr>
          <w:spacing w:val="-9"/>
          <w:sz w:val="28"/>
        </w:rPr>
        <w:t> </w:t>
      </w:r>
      <w:r>
        <w:rPr>
          <w:sz w:val="28"/>
        </w:rPr>
        <w:t>a</w:t>
      </w:r>
      <w:r>
        <w:rPr>
          <w:spacing w:val="-9"/>
          <w:sz w:val="28"/>
        </w:rPr>
        <w:t> </w:t>
      </w:r>
      <w:r>
        <w:rPr>
          <w:sz w:val="28"/>
        </w:rPr>
        <w:t>woman's</w:t>
      </w:r>
      <w:r>
        <w:rPr>
          <w:spacing w:val="-8"/>
          <w:sz w:val="28"/>
        </w:rPr>
        <w:t> </w:t>
      </w:r>
      <w:r>
        <w:rPr>
          <w:sz w:val="28"/>
        </w:rPr>
        <w:t>susceptibility</w:t>
      </w:r>
      <w:r>
        <w:rPr>
          <w:spacing w:val="-8"/>
          <w:sz w:val="28"/>
        </w:rPr>
        <w:t> </w:t>
      </w:r>
      <w:r>
        <w:rPr>
          <w:sz w:val="28"/>
        </w:rPr>
        <w:t>to</w:t>
      </w:r>
      <w:r>
        <w:rPr>
          <w:spacing w:val="-8"/>
          <w:sz w:val="28"/>
        </w:rPr>
        <w:t> </w:t>
      </w:r>
      <w:r>
        <w:rPr>
          <w:sz w:val="28"/>
        </w:rPr>
        <w:t>other</w:t>
      </w:r>
      <w:r>
        <w:rPr>
          <w:spacing w:val="-8"/>
          <w:sz w:val="28"/>
        </w:rPr>
        <w:t> </w:t>
      </w:r>
      <w:r>
        <w:rPr>
          <w:sz w:val="28"/>
        </w:rPr>
        <w:t>STDs,</w:t>
      </w:r>
      <w:r>
        <w:rPr>
          <w:spacing w:val="-8"/>
          <w:sz w:val="28"/>
        </w:rPr>
        <w:t> </w:t>
      </w:r>
      <w:r>
        <w:rPr>
          <w:sz w:val="28"/>
        </w:rPr>
        <w:t>such</w:t>
      </w:r>
      <w:r>
        <w:rPr>
          <w:spacing w:val="-8"/>
          <w:sz w:val="28"/>
        </w:rPr>
        <w:t> </w:t>
      </w:r>
      <w:r>
        <w:rPr>
          <w:sz w:val="28"/>
        </w:rPr>
        <w:t>as herpes simplex virus (HSV) and gonorrhea.</w:t>
      </w:r>
    </w:p>
    <w:p>
      <w:pPr>
        <w:pStyle w:val="BodyText"/>
        <w:spacing w:before="115"/>
        <w:ind w:left="400" w:right="502"/>
      </w:pPr>
      <w:r>
        <w:rPr/>
        <w:t>Pregnant women with BV</w:t>
      </w:r>
      <w:r>
        <w:rPr>
          <w:spacing w:val="-5"/>
        </w:rPr>
        <w:t> </w:t>
      </w:r>
      <w:r>
        <w:rPr/>
        <w:t>more often have premature births or babies with a low birth weight (low birth weight is less than 5.5 pounds). The bacteria that cause BV can sometimes infect the uterus and fallopian tubes.</w:t>
      </w:r>
      <w:r>
        <w:rPr>
          <w:spacing w:val="40"/>
        </w:rPr>
        <w:t> </w:t>
      </w:r>
      <w:r>
        <w:rPr/>
        <w:t>This type of infection</w:t>
      </w:r>
      <w:r>
        <w:rPr>
          <w:spacing w:val="-8"/>
        </w:rPr>
        <w:t> </w:t>
      </w:r>
      <w:r>
        <w:rPr/>
        <w:t>is</w:t>
      </w:r>
      <w:r>
        <w:rPr>
          <w:spacing w:val="-8"/>
        </w:rPr>
        <w:t> </w:t>
      </w:r>
      <w:r>
        <w:rPr/>
        <w:t>called</w:t>
      </w:r>
      <w:r>
        <w:rPr>
          <w:spacing w:val="-8"/>
        </w:rPr>
        <w:t> </w:t>
      </w:r>
      <w:r>
        <w:rPr/>
        <w:t>pelvic</w:t>
      </w:r>
      <w:r>
        <w:rPr>
          <w:spacing w:val="-9"/>
        </w:rPr>
        <w:t> </w:t>
      </w:r>
      <w:r>
        <w:rPr/>
        <w:t>inflammatory</w:t>
      </w:r>
      <w:r>
        <w:rPr>
          <w:spacing w:val="-8"/>
        </w:rPr>
        <w:t> </w:t>
      </w:r>
      <w:r>
        <w:rPr/>
        <w:t>disease</w:t>
      </w:r>
      <w:r>
        <w:rPr>
          <w:spacing w:val="-9"/>
        </w:rPr>
        <w:t> </w:t>
      </w:r>
      <w:r>
        <w:rPr/>
        <w:t>(PID).</w:t>
      </w:r>
      <w:r>
        <w:rPr>
          <w:spacing w:val="-8"/>
        </w:rPr>
        <w:t> </w:t>
      </w:r>
      <w:r>
        <w:rPr/>
        <w:t>PID</w:t>
      </w:r>
      <w:r>
        <w:rPr>
          <w:spacing w:val="-8"/>
        </w:rPr>
        <w:t> </w:t>
      </w:r>
      <w:r>
        <w:rPr/>
        <w:t>can</w:t>
      </w:r>
      <w:r>
        <w:rPr>
          <w:spacing w:val="-8"/>
        </w:rPr>
        <w:t> </w:t>
      </w:r>
      <w:r>
        <w:rPr/>
        <w:t>cause</w:t>
      </w:r>
      <w:r>
        <w:rPr>
          <w:spacing w:val="-9"/>
        </w:rPr>
        <w:t> </w:t>
      </w:r>
      <w:r>
        <w:rPr/>
        <w:t>infertility or damage the fallopian tubes enough to increase the future risk of ectopic pregnancy and infertility. Ectopic pregnancy is a life-threatening condition in which a fertilized egg grows outside the uterus, usually in a fallopian tube which can rupture.</w:t>
      </w:r>
    </w:p>
    <w:p>
      <w:pPr>
        <w:pStyle w:val="BodyText"/>
        <w:spacing w:before="72"/>
        <w:ind w:left="400" w:right="502"/>
      </w:pPr>
      <w:r>
        <w:rPr/>
        <w:t>A</w:t>
      </w:r>
      <w:r>
        <w:rPr>
          <w:spacing w:val="-33"/>
        </w:rPr>
        <w:t> </w:t>
      </w:r>
      <w:r>
        <w:rPr/>
        <w:t>health</w:t>
      </w:r>
      <w:r>
        <w:rPr>
          <w:spacing w:val="-10"/>
        </w:rPr>
        <w:t> </w:t>
      </w:r>
      <w:r>
        <w:rPr/>
        <w:t>care</w:t>
      </w:r>
      <w:r>
        <w:rPr>
          <w:spacing w:val="-8"/>
        </w:rPr>
        <w:t> </w:t>
      </w:r>
      <w:r>
        <w:rPr/>
        <w:t>provider</w:t>
      </w:r>
      <w:r>
        <w:rPr>
          <w:spacing w:val="-7"/>
        </w:rPr>
        <w:t> </w:t>
      </w:r>
      <w:r>
        <w:rPr/>
        <w:t>must</w:t>
      </w:r>
      <w:r>
        <w:rPr>
          <w:spacing w:val="-7"/>
        </w:rPr>
        <w:t> </w:t>
      </w:r>
      <w:r>
        <w:rPr/>
        <w:t>examine</w:t>
      </w:r>
      <w:r>
        <w:rPr>
          <w:spacing w:val="-8"/>
        </w:rPr>
        <w:t> </w:t>
      </w:r>
      <w:r>
        <w:rPr/>
        <w:t>the</w:t>
      </w:r>
      <w:r>
        <w:rPr>
          <w:spacing w:val="-8"/>
        </w:rPr>
        <w:t> </w:t>
      </w:r>
      <w:r>
        <w:rPr/>
        <w:t>vagina</w:t>
      </w:r>
      <w:r>
        <w:rPr>
          <w:spacing w:val="-8"/>
        </w:rPr>
        <w:t> </w:t>
      </w:r>
      <w:r>
        <w:rPr/>
        <w:t>for</w:t>
      </w:r>
      <w:r>
        <w:rPr>
          <w:spacing w:val="-7"/>
        </w:rPr>
        <w:t> </w:t>
      </w:r>
      <w:r>
        <w:rPr/>
        <w:t>signs</w:t>
      </w:r>
      <w:r>
        <w:rPr>
          <w:spacing w:val="-7"/>
        </w:rPr>
        <w:t> </w:t>
      </w:r>
      <w:r>
        <w:rPr/>
        <w:t>of</w:t>
      </w:r>
      <w:r>
        <w:rPr>
          <w:spacing w:val="-7"/>
        </w:rPr>
        <w:t> </w:t>
      </w:r>
      <w:r>
        <w:rPr/>
        <w:t>BV</w:t>
      </w:r>
      <w:r>
        <w:rPr>
          <w:spacing w:val="-18"/>
        </w:rPr>
        <w:t> </w:t>
      </w:r>
      <w:r>
        <w:rPr/>
        <w:t>and</w:t>
      </w:r>
      <w:r>
        <w:rPr>
          <w:spacing w:val="-7"/>
        </w:rPr>
        <w:t> </w:t>
      </w:r>
      <w:r>
        <w:rPr/>
        <w:t>perform laboratory tests on a sample of vaginal fluid to look for bacteria associated with BV.</w:t>
      </w:r>
    </w:p>
    <w:p>
      <w:pPr>
        <w:pStyle w:val="BodyText"/>
        <w:spacing w:before="70"/>
        <w:ind w:left="400" w:right="869"/>
        <w:jc w:val="both"/>
      </w:pPr>
      <w:r>
        <w:rPr/>
        <w:t>Although BV will sometimes clear up without treatment, all women with symptoms of BV should be treated to avoid complications. Male partners generally do not need to be treated. However, BV may spread between female sex partners.</w:t>
      </w:r>
    </w:p>
    <w:p>
      <w:pPr>
        <w:pStyle w:val="BodyText"/>
        <w:spacing w:line="264" w:lineRule="auto" w:before="104"/>
        <w:ind w:left="400" w:right="751"/>
        <w:jc w:val="both"/>
      </w:pPr>
      <w:r>
        <w:rPr/>
        <w:t>Treatment</w:t>
      </w:r>
      <w:r>
        <w:rPr>
          <w:spacing w:val="-14"/>
        </w:rPr>
        <w:t> </w:t>
      </w:r>
      <w:r>
        <w:rPr/>
        <w:t>is</w:t>
      </w:r>
      <w:r>
        <w:rPr>
          <w:spacing w:val="-6"/>
        </w:rPr>
        <w:t> </w:t>
      </w:r>
      <w:r>
        <w:rPr/>
        <w:t>especially</w:t>
      </w:r>
      <w:r>
        <w:rPr>
          <w:spacing w:val="-6"/>
        </w:rPr>
        <w:t> </w:t>
      </w:r>
      <w:r>
        <w:rPr/>
        <w:t>important</w:t>
      </w:r>
      <w:r>
        <w:rPr>
          <w:spacing w:val="-6"/>
        </w:rPr>
        <w:t> </w:t>
      </w:r>
      <w:r>
        <w:rPr/>
        <w:t>for</w:t>
      </w:r>
      <w:r>
        <w:rPr>
          <w:spacing w:val="-6"/>
        </w:rPr>
        <w:t> </w:t>
      </w:r>
      <w:r>
        <w:rPr/>
        <w:t>pregnant</w:t>
      </w:r>
      <w:r>
        <w:rPr>
          <w:spacing w:val="-6"/>
        </w:rPr>
        <w:t> </w:t>
      </w:r>
      <w:r>
        <w:rPr/>
        <w:t>women.</w:t>
      </w:r>
      <w:r>
        <w:rPr>
          <w:spacing w:val="-18"/>
        </w:rPr>
        <w:t> </w:t>
      </w:r>
      <w:r>
        <w:rPr/>
        <w:t>All</w:t>
      </w:r>
      <w:r>
        <w:rPr>
          <w:spacing w:val="-5"/>
        </w:rPr>
        <w:t> </w:t>
      </w:r>
      <w:r>
        <w:rPr/>
        <w:t>pregnant</w:t>
      </w:r>
      <w:r>
        <w:rPr>
          <w:spacing w:val="-6"/>
        </w:rPr>
        <w:t> </w:t>
      </w:r>
      <w:r>
        <w:rPr/>
        <w:t>women who</w:t>
      </w:r>
      <w:r>
        <w:rPr>
          <w:spacing w:val="-1"/>
        </w:rPr>
        <w:t> </w:t>
      </w:r>
      <w:r>
        <w:rPr/>
        <w:t>have</w:t>
      </w:r>
      <w:r>
        <w:rPr>
          <w:spacing w:val="-2"/>
        </w:rPr>
        <w:t> </w:t>
      </w:r>
      <w:r>
        <w:rPr/>
        <w:t>ever</w:t>
      </w:r>
      <w:r>
        <w:rPr>
          <w:spacing w:val="-1"/>
        </w:rPr>
        <w:t> </w:t>
      </w:r>
      <w:r>
        <w:rPr/>
        <w:t>had</w:t>
      </w:r>
      <w:r>
        <w:rPr>
          <w:spacing w:val="-1"/>
        </w:rPr>
        <w:t> </w:t>
      </w:r>
      <w:r>
        <w:rPr/>
        <w:t>a</w:t>
      </w:r>
      <w:r>
        <w:rPr>
          <w:spacing w:val="-2"/>
        </w:rPr>
        <w:t> </w:t>
      </w:r>
      <w:r>
        <w:rPr/>
        <w:t>premature</w:t>
      </w:r>
      <w:r>
        <w:rPr>
          <w:spacing w:val="-2"/>
        </w:rPr>
        <w:t> </w:t>
      </w:r>
      <w:r>
        <w:rPr/>
        <w:t>delivery</w:t>
      </w:r>
      <w:r>
        <w:rPr>
          <w:spacing w:val="-1"/>
        </w:rPr>
        <w:t> </w:t>
      </w:r>
      <w:r>
        <w:rPr/>
        <w:t>or</w:t>
      </w:r>
      <w:r>
        <w:rPr>
          <w:spacing w:val="-1"/>
        </w:rPr>
        <w:t> </w:t>
      </w:r>
      <w:r>
        <w:rPr/>
        <w:t>low</w:t>
      </w:r>
      <w:r>
        <w:rPr>
          <w:spacing w:val="-1"/>
        </w:rPr>
        <w:t> </w:t>
      </w:r>
      <w:r>
        <w:rPr/>
        <w:t>birth</w:t>
      </w:r>
      <w:r>
        <w:rPr>
          <w:spacing w:val="-1"/>
        </w:rPr>
        <w:t> </w:t>
      </w:r>
      <w:r>
        <w:rPr/>
        <w:t>weight</w:t>
      </w:r>
      <w:r>
        <w:rPr>
          <w:spacing w:val="-1"/>
        </w:rPr>
        <w:t> </w:t>
      </w:r>
      <w:r>
        <w:rPr/>
        <w:t>baby</w:t>
      </w:r>
      <w:r>
        <w:rPr>
          <w:spacing w:val="-1"/>
        </w:rPr>
        <w:t> </w:t>
      </w:r>
      <w:r>
        <w:rPr/>
        <w:t>should</w:t>
      </w:r>
      <w:r>
        <w:rPr>
          <w:spacing w:val="-1"/>
        </w:rPr>
        <w:t> </w:t>
      </w:r>
      <w:r>
        <w:rPr/>
        <w:t>be considered for a BV examination, regardless of symptoms, and should be</w:t>
      </w:r>
    </w:p>
    <w:p>
      <w:pPr>
        <w:spacing w:after="0" w:line="264" w:lineRule="auto"/>
        <w:jc w:val="both"/>
        <w:sectPr>
          <w:pgSz w:w="12240" w:h="15840"/>
          <w:pgMar w:header="0" w:footer="765" w:top="1260" w:bottom="980" w:left="1400" w:right="1180"/>
        </w:sectPr>
      </w:pPr>
    </w:p>
    <w:p>
      <w:pPr>
        <w:pStyle w:val="BodyText"/>
        <w:spacing w:line="264" w:lineRule="auto" w:before="66"/>
        <w:ind w:left="400" w:right="502"/>
      </w:pPr>
      <w:r>
        <w:rPr/>
        <w:t>treated if they have</w:t>
      </w:r>
      <w:r>
        <w:rPr>
          <w:spacing w:val="-1"/>
        </w:rPr>
        <w:t> </w:t>
      </w:r>
      <w:r>
        <w:rPr/>
        <w:t>BV.</w:t>
      </w:r>
      <w:r>
        <w:rPr>
          <w:spacing w:val="-28"/>
        </w:rPr>
        <w:t> </w:t>
      </w:r>
      <w:r>
        <w:rPr/>
        <w:t>All pregnant women who have symptoms of BV should</w:t>
      </w:r>
      <w:r>
        <w:rPr>
          <w:spacing w:val="-4"/>
        </w:rPr>
        <w:t> </w:t>
      </w:r>
      <w:r>
        <w:rPr/>
        <w:t>be</w:t>
      </w:r>
      <w:r>
        <w:rPr>
          <w:spacing w:val="-5"/>
        </w:rPr>
        <w:t> </w:t>
      </w:r>
      <w:r>
        <w:rPr/>
        <w:t>checked</w:t>
      </w:r>
      <w:r>
        <w:rPr>
          <w:spacing w:val="-4"/>
        </w:rPr>
        <w:t> </w:t>
      </w:r>
      <w:r>
        <w:rPr/>
        <w:t>and</w:t>
      </w:r>
      <w:r>
        <w:rPr>
          <w:spacing w:val="-4"/>
        </w:rPr>
        <w:t> </w:t>
      </w:r>
      <w:r>
        <w:rPr/>
        <w:t>treated.</w:t>
      </w:r>
      <w:r>
        <w:rPr>
          <w:spacing w:val="-4"/>
        </w:rPr>
        <w:t> </w:t>
      </w:r>
      <w:r>
        <w:rPr/>
        <w:t>Some</w:t>
      </w:r>
      <w:r>
        <w:rPr>
          <w:spacing w:val="-11"/>
        </w:rPr>
        <w:t> </w:t>
      </w:r>
      <w:r>
        <w:rPr/>
        <w:t>physicians</w:t>
      </w:r>
      <w:r>
        <w:rPr>
          <w:spacing w:val="-9"/>
        </w:rPr>
        <w:t> </w:t>
      </w:r>
      <w:r>
        <w:rPr/>
        <w:t>recommend</w:t>
      </w:r>
      <w:r>
        <w:rPr>
          <w:spacing w:val="-9"/>
        </w:rPr>
        <w:t> </w:t>
      </w:r>
      <w:r>
        <w:rPr/>
        <w:t>that</w:t>
      </w:r>
      <w:r>
        <w:rPr>
          <w:spacing w:val="-9"/>
        </w:rPr>
        <w:t> </w:t>
      </w:r>
      <w:r>
        <w:rPr/>
        <w:t>all</w:t>
      </w:r>
      <w:r>
        <w:rPr>
          <w:spacing w:val="-9"/>
        </w:rPr>
        <w:t> </w:t>
      </w:r>
      <w:r>
        <w:rPr/>
        <w:t>women undergoing a hysterectomy or abortion be treated for BV prior to the procedure, regardless of symptoms, to reduce their risk of developing an </w:t>
      </w:r>
      <w:r>
        <w:rPr>
          <w:spacing w:val="-2"/>
        </w:rPr>
        <w:t>infection.</w:t>
      </w:r>
    </w:p>
    <w:p>
      <w:pPr>
        <w:pStyle w:val="BodyText"/>
        <w:spacing w:before="109"/>
        <w:ind w:left="400" w:right="502"/>
      </w:pPr>
      <w:r>
        <w:rPr/>
        <w:t>BV is treatable with antibiotics prescribed by a health care provider. Two different</w:t>
      </w:r>
      <w:r>
        <w:rPr>
          <w:spacing w:val="-7"/>
        </w:rPr>
        <w:t> </w:t>
      </w:r>
      <w:r>
        <w:rPr/>
        <w:t>antibiotics</w:t>
      </w:r>
      <w:r>
        <w:rPr>
          <w:spacing w:val="-7"/>
        </w:rPr>
        <w:t> </w:t>
      </w:r>
      <w:r>
        <w:rPr/>
        <w:t>are</w:t>
      </w:r>
      <w:r>
        <w:rPr>
          <w:spacing w:val="-8"/>
        </w:rPr>
        <w:t> </w:t>
      </w:r>
      <w:r>
        <w:rPr/>
        <w:t>recommended</w:t>
      </w:r>
      <w:r>
        <w:rPr>
          <w:spacing w:val="-7"/>
        </w:rPr>
        <w:t> </w:t>
      </w:r>
      <w:r>
        <w:rPr/>
        <w:t>as</w:t>
      </w:r>
      <w:r>
        <w:rPr>
          <w:spacing w:val="-7"/>
        </w:rPr>
        <w:t> </w:t>
      </w:r>
      <w:r>
        <w:rPr/>
        <w:t>treatment</w:t>
      </w:r>
      <w:r>
        <w:rPr>
          <w:spacing w:val="-7"/>
        </w:rPr>
        <w:t> </w:t>
      </w:r>
      <w:r>
        <w:rPr/>
        <w:t>for</w:t>
      </w:r>
      <w:r>
        <w:rPr>
          <w:spacing w:val="-7"/>
        </w:rPr>
        <w:t> </w:t>
      </w:r>
      <w:r>
        <w:rPr/>
        <w:t>BV:</w:t>
      </w:r>
      <w:r>
        <w:rPr>
          <w:spacing w:val="-7"/>
        </w:rPr>
        <w:t> </w:t>
      </w:r>
      <w:r>
        <w:rPr/>
        <w:t>metronidazole</w:t>
      </w:r>
      <w:r>
        <w:rPr>
          <w:spacing w:val="-8"/>
        </w:rPr>
        <w:t> </w:t>
      </w:r>
      <w:r>
        <w:rPr/>
        <w:t>or clindamycin. Either can be used with non-pregnant or pregnant women, but the</w:t>
      </w:r>
      <w:r>
        <w:rPr>
          <w:spacing w:val="-1"/>
        </w:rPr>
        <w:t> </w:t>
      </w:r>
      <w:r>
        <w:rPr/>
        <w:t>recommended dosages differ. Women with BV who are HIV-positive should receive the same treatment as those who are HIV-negative.</w:t>
      </w:r>
    </w:p>
    <w:p>
      <w:pPr>
        <w:pStyle w:val="BodyText"/>
        <w:spacing w:before="104"/>
        <w:ind w:left="400" w:right="638"/>
        <w:jc w:val="both"/>
      </w:pPr>
      <w:r>
        <w:rPr/>
        <w:t>BV</w:t>
      </w:r>
      <w:r>
        <w:rPr>
          <w:spacing w:val="-5"/>
        </w:rPr>
        <w:t> </w:t>
      </w:r>
      <w:r>
        <w:rPr/>
        <w:t>can recur after treatment. BV</w:t>
      </w:r>
      <w:r>
        <w:rPr>
          <w:spacing w:val="-5"/>
        </w:rPr>
        <w:t> </w:t>
      </w:r>
      <w:r>
        <w:rPr/>
        <w:t>is not completely understood by scientists, and</w:t>
      </w:r>
      <w:r>
        <w:rPr>
          <w:spacing w:val="-3"/>
        </w:rPr>
        <w:t> </w:t>
      </w:r>
      <w:r>
        <w:rPr/>
        <w:t>the</w:t>
      </w:r>
      <w:r>
        <w:rPr>
          <w:spacing w:val="-4"/>
        </w:rPr>
        <w:t> </w:t>
      </w:r>
      <w:r>
        <w:rPr/>
        <w:t>best</w:t>
      </w:r>
      <w:r>
        <w:rPr>
          <w:spacing w:val="-3"/>
        </w:rPr>
        <w:t> </w:t>
      </w:r>
      <w:r>
        <w:rPr/>
        <w:t>ways</w:t>
      </w:r>
      <w:r>
        <w:rPr>
          <w:spacing w:val="-7"/>
        </w:rPr>
        <w:t> </w:t>
      </w:r>
      <w:r>
        <w:rPr/>
        <w:t>to</w:t>
      </w:r>
      <w:r>
        <w:rPr>
          <w:spacing w:val="-7"/>
        </w:rPr>
        <w:t> </w:t>
      </w:r>
      <w:r>
        <w:rPr/>
        <w:t>prevent</w:t>
      </w:r>
      <w:r>
        <w:rPr>
          <w:spacing w:val="-8"/>
        </w:rPr>
        <w:t> </w:t>
      </w:r>
      <w:r>
        <w:rPr/>
        <w:t>it</w:t>
      </w:r>
      <w:r>
        <w:rPr>
          <w:spacing w:val="-7"/>
        </w:rPr>
        <w:t> </w:t>
      </w:r>
      <w:r>
        <w:rPr/>
        <w:t>are</w:t>
      </w:r>
      <w:r>
        <w:rPr>
          <w:spacing w:val="-8"/>
        </w:rPr>
        <w:t> </w:t>
      </w:r>
      <w:r>
        <w:rPr/>
        <w:t>unknown.</w:t>
      </w:r>
      <w:r>
        <w:rPr>
          <w:spacing w:val="-7"/>
        </w:rPr>
        <w:t> </w:t>
      </w:r>
      <w:r>
        <w:rPr/>
        <w:t>However,</w:t>
      </w:r>
      <w:r>
        <w:rPr>
          <w:spacing w:val="-7"/>
        </w:rPr>
        <w:t> </w:t>
      </w:r>
      <w:r>
        <w:rPr/>
        <w:t>it</w:t>
      </w:r>
      <w:r>
        <w:rPr>
          <w:spacing w:val="-7"/>
        </w:rPr>
        <w:t> </w:t>
      </w:r>
      <w:r>
        <w:rPr/>
        <w:t>is</w:t>
      </w:r>
      <w:r>
        <w:rPr>
          <w:spacing w:val="-7"/>
        </w:rPr>
        <w:t> </w:t>
      </w:r>
      <w:r>
        <w:rPr/>
        <w:t>known</w:t>
      </w:r>
      <w:r>
        <w:rPr>
          <w:spacing w:val="-7"/>
        </w:rPr>
        <w:t> </w:t>
      </w:r>
      <w:r>
        <w:rPr/>
        <w:t>that</w:t>
      </w:r>
      <w:r>
        <w:rPr>
          <w:spacing w:val="-7"/>
        </w:rPr>
        <w:t> </w:t>
      </w:r>
      <w:r>
        <w:rPr/>
        <w:t>BV</w:t>
      </w:r>
      <w:r>
        <w:rPr>
          <w:spacing w:val="-18"/>
        </w:rPr>
        <w:t> </w:t>
      </w:r>
      <w:r>
        <w:rPr/>
        <w:t>is associated with having a new sex partner or having multiple sex partners.</w:t>
      </w:r>
    </w:p>
    <w:p>
      <w:pPr>
        <w:pStyle w:val="BodyText"/>
        <w:spacing w:before="107"/>
        <w:ind w:left="400" w:right="627"/>
        <w:jc w:val="both"/>
      </w:pPr>
      <w:r>
        <w:rPr/>
        <w:t>The</w:t>
      </w:r>
      <w:r>
        <w:rPr>
          <w:spacing w:val="-8"/>
        </w:rPr>
        <w:t> </w:t>
      </w:r>
      <w:r>
        <w:rPr/>
        <w:t>following</w:t>
      </w:r>
      <w:r>
        <w:rPr>
          <w:spacing w:val="-7"/>
        </w:rPr>
        <w:t> </w:t>
      </w:r>
      <w:r>
        <w:rPr/>
        <w:t>basic</w:t>
      </w:r>
      <w:r>
        <w:rPr>
          <w:spacing w:val="-8"/>
        </w:rPr>
        <w:t> </w:t>
      </w:r>
      <w:r>
        <w:rPr/>
        <w:t>prevention</w:t>
      </w:r>
      <w:r>
        <w:rPr>
          <w:spacing w:val="-7"/>
        </w:rPr>
        <w:t> </w:t>
      </w:r>
      <w:r>
        <w:rPr/>
        <w:t>steps</w:t>
      </w:r>
      <w:r>
        <w:rPr>
          <w:spacing w:val="-7"/>
        </w:rPr>
        <w:t> </w:t>
      </w:r>
      <w:r>
        <w:rPr/>
        <w:t>can</w:t>
      </w:r>
      <w:r>
        <w:rPr>
          <w:spacing w:val="-7"/>
        </w:rPr>
        <w:t> </w:t>
      </w:r>
      <w:r>
        <w:rPr/>
        <w:t>help</w:t>
      </w:r>
      <w:r>
        <w:rPr>
          <w:spacing w:val="-7"/>
        </w:rPr>
        <w:t> </w:t>
      </w:r>
      <w:r>
        <w:rPr/>
        <w:t>reduce</w:t>
      </w:r>
      <w:r>
        <w:rPr>
          <w:spacing w:val="-8"/>
        </w:rPr>
        <w:t> </w:t>
      </w:r>
      <w:r>
        <w:rPr/>
        <w:t>the</w:t>
      </w:r>
      <w:r>
        <w:rPr>
          <w:spacing w:val="-8"/>
        </w:rPr>
        <w:t> </w:t>
      </w:r>
      <w:r>
        <w:rPr/>
        <w:t>risk</w:t>
      </w:r>
      <w:r>
        <w:rPr>
          <w:spacing w:val="-7"/>
        </w:rPr>
        <w:t> </w:t>
      </w:r>
      <w:r>
        <w:rPr/>
        <w:t>of</w:t>
      </w:r>
      <w:r>
        <w:rPr>
          <w:spacing w:val="-7"/>
        </w:rPr>
        <w:t> </w:t>
      </w:r>
      <w:r>
        <w:rPr/>
        <w:t>upsetting</w:t>
      </w:r>
      <w:r>
        <w:rPr>
          <w:spacing w:val="-7"/>
        </w:rPr>
        <w:t> </w:t>
      </w:r>
      <w:r>
        <w:rPr/>
        <w:t>the natural balance of bacteria in the vagina and developing BV:</w:t>
      </w:r>
    </w:p>
    <w:p>
      <w:pPr>
        <w:pStyle w:val="ListParagraph"/>
        <w:numPr>
          <w:ilvl w:val="0"/>
          <w:numId w:val="16"/>
        </w:numPr>
        <w:tabs>
          <w:tab w:pos="1118" w:val="left" w:leader="none"/>
        </w:tabs>
        <w:spacing w:line="369" w:lineRule="exact" w:before="0" w:after="0"/>
        <w:ind w:left="1118" w:right="0" w:hanging="358"/>
        <w:jc w:val="left"/>
        <w:rPr>
          <w:sz w:val="28"/>
        </w:rPr>
      </w:pPr>
      <w:r>
        <w:rPr>
          <w:sz w:val="28"/>
        </w:rPr>
        <w:t>Be</w:t>
      </w:r>
      <w:r>
        <w:rPr>
          <w:spacing w:val="-2"/>
          <w:sz w:val="28"/>
        </w:rPr>
        <w:t> abstinent.</w:t>
      </w:r>
    </w:p>
    <w:p>
      <w:pPr>
        <w:pStyle w:val="ListParagraph"/>
        <w:numPr>
          <w:ilvl w:val="0"/>
          <w:numId w:val="16"/>
        </w:numPr>
        <w:tabs>
          <w:tab w:pos="1118" w:val="left" w:leader="none"/>
        </w:tabs>
        <w:spacing w:line="240" w:lineRule="auto" w:before="15" w:after="0"/>
        <w:ind w:left="1118" w:right="0" w:hanging="358"/>
        <w:jc w:val="left"/>
        <w:rPr>
          <w:sz w:val="28"/>
        </w:rPr>
      </w:pPr>
      <w:r>
        <w:rPr>
          <w:sz w:val="28"/>
        </w:rPr>
        <w:t>Limit</w:t>
      </w:r>
      <w:r>
        <w:rPr>
          <w:spacing w:val="-3"/>
          <w:sz w:val="28"/>
        </w:rPr>
        <w:t> </w:t>
      </w:r>
      <w:r>
        <w:rPr>
          <w:sz w:val="28"/>
        </w:rPr>
        <w:t>the</w:t>
      </w:r>
      <w:r>
        <w:rPr>
          <w:spacing w:val="-3"/>
          <w:sz w:val="28"/>
        </w:rPr>
        <w:t> </w:t>
      </w:r>
      <w:r>
        <w:rPr>
          <w:sz w:val="28"/>
        </w:rPr>
        <w:t>number</w:t>
      </w:r>
      <w:r>
        <w:rPr>
          <w:spacing w:val="-1"/>
          <w:sz w:val="28"/>
        </w:rPr>
        <w:t> </w:t>
      </w:r>
      <w:r>
        <w:rPr>
          <w:sz w:val="28"/>
        </w:rPr>
        <w:t>of</w:t>
      </w:r>
      <w:r>
        <w:rPr>
          <w:spacing w:val="-2"/>
          <w:sz w:val="28"/>
        </w:rPr>
        <w:t> </w:t>
      </w:r>
      <w:r>
        <w:rPr>
          <w:sz w:val="28"/>
        </w:rPr>
        <w:t>sex </w:t>
      </w:r>
      <w:r>
        <w:rPr>
          <w:spacing w:val="-2"/>
          <w:sz w:val="28"/>
        </w:rPr>
        <w:t>partners.</w:t>
      </w:r>
    </w:p>
    <w:p>
      <w:pPr>
        <w:pStyle w:val="ListParagraph"/>
        <w:numPr>
          <w:ilvl w:val="0"/>
          <w:numId w:val="16"/>
        </w:numPr>
        <w:tabs>
          <w:tab w:pos="1118" w:val="left" w:leader="none"/>
        </w:tabs>
        <w:spacing w:line="240" w:lineRule="auto" w:before="25" w:after="0"/>
        <w:ind w:left="1118" w:right="0" w:hanging="358"/>
        <w:jc w:val="left"/>
        <w:rPr>
          <w:sz w:val="28"/>
        </w:rPr>
      </w:pPr>
      <w:r>
        <w:rPr>
          <w:sz w:val="28"/>
        </w:rPr>
        <w:t>Do not</w:t>
      </w:r>
      <w:r>
        <w:rPr>
          <w:spacing w:val="-2"/>
          <w:sz w:val="28"/>
        </w:rPr>
        <w:t> douche.</w:t>
      </w:r>
    </w:p>
    <w:p>
      <w:pPr>
        <w:pStyle w:val="ListParagraph"/>
        <w:numPr>
          <w:ilvl w:val="0"/>
          <w:numId w:val="16"/>
        </w:numPr>
        <w:tabs>
          <w:tab w:pos="1118" w:val="left" w:leader="none"/>
          <w:tab w:pos="1120" w:val="left" w:leader="none"/>
        </w:tabs>
        <w:spacing w:line="240" w:lineRule="auto" w:before="15" w:after="0"/>
        <w:ind w:left="1120" w:right="1615" w:hanging="360"/>
        <w:jc w:val="left"/>
        <w:rPr>
          <w:sz w:val="24"/>
        </w:rPr>
      </w:pPr>
      <w:r>
        <w:rPr>
          <w:sz w:val="28"/>
        </w:rPr>
        <w:t>Use</w:t>
      </w:r>
      <w:r>
        <w:rPr>
          <w:spacing w:val="-15"/>
          <w:sz w:val="28"/>
        </w:rPr>
        <w:t> </w:t>
      </w:r>
      <w:r>
        <w:rPr>
          <w:sz w:val="28"/>
        </w:rPr>
        <w:t>all</w:t>
      </w:r>
      <w:r>
        <w:rPr>
          <w:spacing w:val="-13"/>
          <w:sz w:val="28"/>
        </w:rPr>
        <w:t> </w:t>
      </w:r>
      <w:r>
        <w:rPr>
          <w:sz w:val="28"/>
        </w:rPr>
        <w:t>of</w:t>
      </w:r>
      <w:r>
        <w:rPr>
          <w:spacing w:val="-13"/>
          <w:sz w:val="28"/>
        </w:rPr>
        <w:t> </w:t>
      </w:r>
      <w:r>
        <w:rPr>
          <w:sz w:val="28"/>
        </w:rPr>
        <w:t>the</w:t>
      </w:r>
      <w:r>
        <w:rPr>
          <w:spacing w:val="-15"/>
          <w:sz w:val="28"/>
        </w:rPr>
        <w:t> </w:t>
      </w:r>
      <w:r>
        <w:rPr>
          <w:sz w:val="28"/>
        </w:rPr>
        <w:t>medicine</w:t>
      </w:r>
      <w:r>
        <w:rPr>
          <w:spacing w:val="-15"/>
          <w:sz w:val="28"/>
        </w:rPr>
        <w:t> </w:t>
      </w:r>
      <w:r>
        <w:rPr>
          <w:sz w:val="28"/>
        </w:rPr>
        <w:t>prescribed</w:t>
      </w:r>
      <w:r>
        <w:rPr>
          <w:spacing w:val="-13"/>
          <w:sz w:val="28"/>
        </w:rPr>
        <w:t> </w:t>
      </w:r>
      <w:r>
        <w:rPr>
          <w:sz w:val="28"/>
        </w:rPr>
        <w:t>for</w:t>
      </w:r>
      <w:r>
        <w:rPr>
          <w:spacing w:val="-13"/>
          <w:sz w:val="28"/>
        </w:rPr>
        <w:t> </w:t>
      </w:r>
      <w:r>
        <w:rPr>
          <w:sz w:val="28"/>
        </w:rPr>
        <w:t>treatment</w:t>
      </w:r>
      <w:r>
        <w:rPr>
          <w:spacing w:val="-15"/>
          <w:sz w:val="28"/>
        </w:rPr>
        <w:t> </w:t>
      </w:r>
      <w:r>
        <w:rPr>
          <w:sz w:val="28"/>
        </w:rPr>
        <w:t>of</w:t>
      </w:r>
      <w:r>
        <w:rPr>
          <w:spacing w:val="-13"/>
          <w:sz w:val="28"/>
        </w:rPr>
        <w:t> </w:t>
      </w:r>
      <w:r>
        <w:rPr>
          <w:sz w:val="28"/>
        </w:rPr>
        <w:t>BV,</w:t>
      </w:r>
      <w:r>
        <w:rPr>
          <w:spacing w:val="-13"/>
          <w:sz w:val="28"/>
        </w:rPr>
        <w:t> </w:t>
      </w:r>
      <w:r>
        <w:rPr>
          <w:sz w:val="28"/>
        </w:rPr>
        <w:t>even</w:t>
      </w:r>
      <w:r>
        <w:rPr>
          <w:spacing w:val="-13"/>
          <w:sz w:val="28"/>
        </w:rPr>
        <w:t> </w:t>
      </w:r>
      <w:r>
        <w:rPr>
          <w:sz w:val="28"/>
        </w:rPr>
        <w:t>if the signs and symptoms go away</w:t>
      </w:r>
      <w:r>
        <w:rPr>
          <w:sz w:val="24"/>
        </w:rPr>
        <w:t>.</w:t>
      </w:r>
    </w:p>
    <w:p>
      <w:pPr>
        <w:pStyle w:val="Heading2"/>
        <w:spacing w:before="118"/>
        <w:ind w:left="400"/>
      </w:pPr>
      <w:r>
        <w:rPr>
          <w:spacing w:val="-2"/>
        </w:rPr>
        <w:t>Chlamydia</w:t>
      </w:r>
    </w:p>
    <w:p>
      <w:pPr>
        <w:pStyle w:val="BodyText"/>
        <w:spacing w:before="122"/>
        <w:ind w:left="400" w:right="668"/>
      </w:pPr>
      <w:r>
        <w:rPr/>
        <w:t>Chlamydia is a common sexually transmitted disease (STD) caused by the bacterium, Chlamydia trachomatis, which can damage a woman's reproductive</w:t>
      </w:r>
      <w:r>
        <w:rPr>
          <w:spacing w:val="-12"/>
        </w:rPr>
        <w:t> </w:t>
      </w:r>
      <w:r>
        <w:rPr/>
        <w:t>organs.</w:t>
      </w:r>
      <w:r>
        <w:rPr>
          <w:spacing w:val="-10"/>
        </w:rPr>
        <w:t> </w:t>
      </w:r>
      <w:r>
        <w:rPr/>
        <w:t>Even</w:t>
      </w:r>
      <w:r>
        <w:rPr>
          <w:spacing w:val="-10"/>
        </w:rPr>
        <w:t> </w:t>
      </w:r>
      <w:r>
        <w:rPr/>
        <w:t>though</w:t>
      </w:r>
      <w:r>
        <w:rPr>
          <w:spacing w:val="-5"/>
        </w:rPr>
        <w:t> </w:t>
      </w:r>
      <w:r>
        <w:rPr/>
        <w:t>symptoms</w:t>
      </w:r>
      <w:r>
        <w:rPr>
          <w:spacing w:val="-5"/>
        </w:rPr>
        <w:t> </w:t>
      </w:r>
      <w:r>
        <w:rPr/>
        <w:t>of</w:t>
      </w:r>
      <w:r>
        <w:rPr>
          <w:spacing w:val="-5"/>
        </w:rPr>
        <w:t> </w:t>
      </w:r>
      <w:r>
        <w:rPr/>
        <w:t>Chlamydia</w:t>
      </w:r>
      <w:r>
        <w:rPr>
          <w:spacing w:val="-6"/>
        </w:rPr>
        <w:t> </w:t>
      </w:r>
      <w:r>
        <w:rPr/>
        <w:t>are</w:t>
      </w:r>
      <w:r>
        <w:rPr>
          <w:spacing w:val="-6"/>
        </w:rPr>
        <w:t> </w:t>
      </w:r>
      <w:r>
        <w:rPr/>
        <w:t>usually</w:t>
      </w:r>
      <w:r>
        <w:rPr>
          <w:spacing w:val="-5"/>
        </w:rPr>
        <w:t> </w:t>
      </w:r>
      <w:r>
        <w:rPr/>
        <w:t>mild or absent, serious complications that cause irreversible damage, including infertility, can occur "silently" before a woman ever recognizes a problem. Chlamydia also can cause discharge from the penis of an infected man.</w:t>
      </w:r>
    </w:p>
    <w:p>
      <w:pPr>
        <w:pStyle w:val="BodyText"/>
        <w:spacing w:line="237" w:lineRule="auto"/>
        <w:ind w:left="400" w:right="738"/>
      </w:pPr>
      <w:r>
        <w:rPr/>
        <w:t>Chlamydia is the most frequently reported bacterial sexually transmitted disease in the United States. Women are frequently re-infected if their sex partners</w:t>
      </w:r>
      <w:r>
        <w:rPr>
          <w:spacing w:val="-4"/>
        </w:rPr>
        <w:t> </w:t>
      </w:r>
      <w:r>
        <w:rPr/>
        <w:t>are</w:t>
      </w:r>
      <w:r>
        <w:rPr>
          <w:spacing w:val="-5"/>
        </w:rPr>
        <w:t> </w:t>
      </w:r>
      <w:r>
        <w:rPr/>
        <w:t>not</w:t>
      </w:r>
      <w:r>
        <w:rPr>
          <w:spacing w:val="-4"/>
        </w:rPr>
        <w:t> </w:t>
      </w:r>
      <w:r>
        <w:rPr/>
        <w:t>treated.</w:t>
      </w:r>
      <w:r>
        <w:rPr>
          <w:spacing w:val="-4"/>
        </w:rPr>
        <w:t> </w:t>
      </w:r>
      <w:r>
        <w:rPr/>
        <w:t>Chlamydia</w:t>
      </w:r>
      <w:r>
        <w:rPr>
          <w:spacing w:val="-10"/>
        </w:rPr>
        <w:t> </w:t>
      </w:r>
      <w:r>
        <w:rPr/>
        <w:t>can</w:t>
      </w:r>
      <w:r>
        <w:rPr>
          <w:spacing w:val="-7"/>
        </w:rPr>
        <w:t> </w:t>
      </w:r>
      <w:r>
        <w:rPr/>
        <w:t>be</w:t>
      </w:r>
      <w:r>
        <w:rPr>
          <w:spacing w:val="-7"/>
        </w:rPr>
        <w:t> </w:t>
      </w:r>
      <w:r>
        <w:rPr/>
        <w:t>transmitted</w:t>
      </w:r>
      <w:r>
        <w:rPr>
          <w:spacing w:val="-7"/>
        </w:rPr>
        <w:t> </w:t>
      </w:r>
      <w:r>
        <w:rPr/>
        <w:t>during</w:t>
      </w:r>
      <w:r>
        <w:rPr>
          <w:spacing w:val="-7"/>
        </w:rPr>
        <w:t> </w:t>
      </w:r>
      <w:r>
        <w:rPr/>
        <w:t>vaginal,</w:t>
      </w:r>
      <w:r>
        <w:rPr>
          <w:spacing w:val="-6"/>
        </w:rPr>
        <w:t> </w:t>
      </w:r>
      <w:r>
        <w:rPr/>
        <w:t>anal, or oral sex. Chlamydia can also be</w:t>
      </w:r>
      <w:r>
        <w:rPr>
          <w:spacing w:val="-3"/>
        </w:rPr>
        <w:t> </w:t>
      </w:r>
      <w:r>
        <w:rPr/>
        <w:t>passed from an infected mother to her baby during vaginal childbirth.</w:t>
      </w:r>
    </w:p>
    <w:p>
      <w:pPr>
        <w:pStyle w:val="BodyText"/>
        <w:spacing w:before="70"/>
        <w:ind w:left="400" w:right="738"/>
      </w:pPr>
      <w:r>
        <w:rPr/>
        <w:t>Any</w:t>
      </w:r>
      <w:r>
        <w:rPr>
          <w:spacing w:val="-4"/>
        </w:rPr>
        <w:t> </w:t>
      </w:r>
      <w:r>
        <w:rPr/>
        <w:t>sexually</w:t>
      </w:r>
      <w:r>
        <w:rPr>
          <w:spacing w:val="-4"/>
        </w:rPr>
        <w:t> </w:t>
      </w:r>
      <w:r>
        <w:rPr/>
        <w:t>active</w:t>
      </w:r>
      <w:r>
        <w:rPr>
          <w:spacing w:val="-5"/>
        </w:rPr>
        <w:t> </w:t>
      </w:r>
      <w:r>
        <w:rPr/>
        <w:t>person</w:t>
      </w:r>
      <w:r>
        <w:rPr>
          <w:spacing w:val="-4"/>
        </w:rPr>
        <w:t> </w:t>
      </w:r>
      <w:r>
        <w:rPr/>
        <w:t>can</w:t>
      </w:r>
      <w:r>
        <w:rPr>
          <w:spacing w:val="-4"/>
        </w:rPr>
        <w:t> </w:t>
      </w:r>
      <w:r>
        <w:rPr/>
        <w:t>be</w:t>
      </w:r>
      <w:r>
        <w:rPr>
          <w:spacing w:val="-5"/>
        </w:rPr>
        <w:t> </w:t>
      </w:r>
      <w:r>
        <w:rPr/>
        <w:t>infected</w:t>
      </w:r>
      <w:r>
        <w:rPr>
          <w:spacing w:val="-4"/>
        </w:rPr>
        <w:t> </w:t>
      </w:r>
      <w:r>
        <w:rPr/>
        <w:t>with</w:t>
      </w:r>
      <w:r>
        <w:rPr>
          <w:spacing w:val="-4"/>
        </w:rPr>
        <w:t> </w:t>
      </w:r>
      <w:r>
        <w:rPr/>
        <w:t>Chlamydia.</w:t>
      </w:r>
      <w:r>
        <w:rPr>
          <w:spacing w:val="-9"/>
        </w:rPr>
        <w:t> </w:t>
      </w:r>
      <w:r>
        <w:rPr/>
        <w:t>The</w:t>
      </w:r>
      <w:r>
        <w:rPr>
          <w:spacing w:val="-5"/>
        </w:rPr>
        <w:t> </w:t>
      </w:r>
      <w:r>
        <w:rPr/>
        <w:t>greater</w:t>
      </w:r>
      <w:r>
        <w:rPr>
          <w:spacing w:val="-4"/>
        </w:rPr>
        <w:t> </w:t>
      </w:r>
      <w:r>
        <w:rPr/>
        <w:t>the number of sex partners, the greater the risk of infection. Because the cervix (opening to the uterus) of teenage girls and young women is not fully matured and is probably more susceptible to infection, they are at particularly high risk for infection if sexually active. Since Chlamydia can be transmitted by oral or anal sex, men who have sex with men are also at</w:t>
      </w:r>
    </w:p>
    <w:p>
      <w:pPr>
        <w:spacing w:after="0"/>
        <w:sectPr>
          <w:pgSz w:w="12240" w:h="15840"/>
          <w:pgMar w:header="0" w:footer="765" w:top="1260" w:bottom="980" w:left="1400" w:right="1180"/>
        </w:sectPr>
      </w:pPr>
    </w:p>
    <w:p>
      <w:pPr>
        <w:pStyle w:val="BodyText"/>
        <w:spacing w:before="66"/>
        <w:ind w:left="400"/>
      </w:pPr>
      <w:r>
        <w:rPr/>
        <w:t>risk</w:t>
      </w:r>
      <w:r>
        <w:rPr>
          <w:spacing w:val="-1"/>
        </w:rPr>
        <w:t> </w:t>
      </w:r>
      <w:r>
        <w:rPr/>
        <w:t>for Chlamydia</w:t>
      </w:r>
      <w:r>
        <w:rPr>
          <w:spacing w:val="-1"/>
        </w:rPr>
        <w:t> </w:t>
      </w:r>
      <w:r>
        <w:rPr>
          <w:spacing w:val="-2"/>
        </w:rPr>
        <w:t>infection.</w:t>
      </w:r>
    </w:p>
    <w:p>
      <w:pPr>
        <w:pStyle w:val="BodyText"/>
        <w:spacing w:before="87"/>
        <w:ind w:left="400" w:right="502"/>
      </w:pPr>
      <w:r>
        <w:rPr/>
        <w:t>Chlamydia is known as a "silent" disease because about three quarters of infected women and about half of infected men have no symptoms. If symptoms</w:t>
      </w:r>
      <w:r>
        <w:rPr>
          <w:spacing w:val="-5"/>
        </w:rPr>
        <w:t> </w:t>
      </w:r>
      <w:r>
        <w:rPr/>
        <w:t>do</w:t>
      </w:r>
      <w:r>
        <w:rPr>
          <w:spacing w:val="-5"/>
        </w:rPr>
        <w:t> </w:t>
      </w:r>
      <w:r>
        <w:rPr/>
        <w:t>occur,</w:t>
      </w:r>
      <w:r>
        <w:rPr>
          <w:spacing w:val="-5"/>
        </w:rPr>
        <w:t> </w:t>
      </w:r>
      <w:r>
        <w:rPr/>
        <w:t>they</w:t>
      </w:r>
      <w:r>
        <w:rPr>
          <w:spacing w:val="-5"/>
        </w:rPr>
        <w:t> </w:t>
      </w:r>
      <w:r>
        <w:rPr/>
        <w:t>usually</w:t>
      </w:r>
      <w:r>
        <w:rPr>
          <w:spacing w:val="-5"/>
        </w:rPr>
        <w:t> </w:t>
      </w:r>
      <w:r>
        <w:rPr/>
        <w:t>appear</w:t>
      </w:r>
      <w:r>
        <w:rPr>
          <w:spacing w:val="-5"/>
        </w:rPr>
        <w:t> </w:t>
      </w:r>
      <w:r>
        <w:rPr/>
        <w:t>within</w:t>
      </w:r>
      <w:r>
        <w:rPr>
          <w:spacing w:val="-5"/>
        </w:rPr>
        <w:t> </w:t>
      </w:r>
      <w:r>
        <w:rPr/>
        <w:t>1</w:t>
      </w:r>
      <w:r>
        <w:rPr>
          <w:spacing w:val="-5"/>
        </w:rPr>
        <w:t> </w:t>
      </w:r>
      <w:r>
        <w:rPr/>
        <w:t>to</w:t>
      </w:r>
      <w:r>
        <w:rPr>
          <w:spacing w:val="-5"/>
        </w:rPr>
        <w:t> </w:t>
      </w:r>
      <w:r>
        <w:rPr/>
        <w:t>3</w:t>
      </w:r>
      <w:r>
        <w:rPr>
          <w:spacing w:val="-5"/>
        </w:rPr>
        <w:t> </w:t>
      </w:r>
      <w:r>
        <w:rPr/>
        <w:t>weeks</w:t>
      </w:r>
      <w:r>
        <w:rPr>
          <w:spacing w:val="-5"/>
        </w:rPr>
        <w:t> </w:t>
      </w:r>
      <w:r>
        <w:rPr/>
        <w:t>after</w:t>
      </w:r>
      <w:r>
        <w:rPr>
          <w:spacing w:val="-5"/>
        </w:rPr>
        <w:t> </w:t>
      </w:r>
      <w:r>
        <w:rPr/>
        <w:t>exposure.</w:t>
      </w:r>
    </w:p>
    <w:p>
      <w:pPr>
        <w:pStyle w:val="BodyText"/>
        <w:spacing w:before="73"/>
        <w:ind w:left="400" w:right="672"/>
      </w:pPr>
      <w:r>
        <w:rPr/>
        <w:t>In women, the bacteria initially infect the cervix and the urethra (urine canal). Women who have symptoms might have an abnormal vaginal discharge</w:t>
      </w:r>
      <w:r>
        <w:rPr>
          <w:spacing w:val="-5"/>
        </w:rPr>
        <w:t> </w:t>
      </w:r>
      <w:r>
        <w:rPr/>
        <w:t>or</w:t>
      </w:r>
      <w:r>
        <w:rPr>
          <w:spacing w:val="-4"/>
        </w:rPr>
        <w:t> </w:t>
      </w:r>
      <w:r>
        <w:rPr/>
        <w:t>a</w:t>
      </w:r>
      <w:r>
        <w:rPr>
          <w:spacing w:val="-5"/>
        </w:rPr>
        <w:t> </w:t>
      </w:r>
      <w:r>
        <w:rPr/>
        <w:t>burning</w:t>
      </w:r>
      <w:r>
        <w:rPr>
          <w:spacing w:val="-4"/>
        </w:rPr>
        <w:t> </w:t>
      </w:r>
      <w:r>
        <w:rPr/>
        <w:t>sensation</w:t>
      </w:r>
      <w:r>
        <w:rPr>
          <w:spacing w:val="-4"/>
        </w:rPr>
        <w:t> </w:t>
      </w:r>
      <w:r>
        <w:rPr/>
        <w:t>when</w:t>
      </w:r>
      <w:r>
        <w:rPr>
          <w:spacing w:val="-6"/>
        </w:rPr>
        <w:t> </w:t>
      </w:r>
      <w:r>
        <w:rPr/>
        <w:t>urinating.</w:t>
      </w:r>
      <w:r>
        <w:rPr>
          <w:spacing w:val="-17"/>
        </w:rPr>
        <w:t> </w:t>
      </w:r>
      <w:r>
        <w:rPr/>
        <w:t>When</w:t>
      </w:r>
      <w:r>
        <w:rPr>
          <w:spacing w:val="-6"/>
        </w:rPr>
        <w:t> </w:t>
      </w:r>
      <w:r>
        <w:rPr/>
        <w:t>the</w:t>
      </w:r>
      <w:r>
        <w:rPr>
          <w:spacing w:val="-7"/>
        </w:rPr>
        <w:t> </w:t>
      </w:r>
      <w:r>
        <w:rPr/>
        <w:t>infection</w:t>
      </w:r>
      <w:r>
        <w:rPr>
          <w:spacing w:val="-6"/>
        </w:rPr>
        <w:t> </w:t>
      </w:r>
      <w:r>
        <w:rPr/>
        <w:t>spreads from the cervix to the fallopian tubes (tubes that carry fertilized eggs from the ovaries to the uterus), some women still have no signs or symptoms; others</w:t>
      </w:r>
      <w:r>
        <w:rPr>
          <w:spacing w:val="-3"/>
        </w:rPr>
        <w:t> </w:t>
      </w:r>
      <w:r>
        <w:rPr/>
        <w:t>have</w:t>
      </w:r>
      <w:r>
        <w:rPr>
          <w:spacing w:val="-4"/>
        </w:rPr>
        <w:t> </w:t>
      </w:r>
      <w:r>
        <w:rPr/>
        <w:t>lower</w:t>
      </w:r>
      <w:r>
        <w:rPr>
          <w:spacing w:val="-3"/>
        </w:rPr>
        <w:t> </w:t>
      </w:r>
      <w:r>
        <w:rPr/>
        <w:t>abdominal</w:t>
      </w:r>
      <w:r>
        <w:rPr>
          <w:spacing w:val="-3"/>
        </w:rPr>
        <w:t> </w:t>
      </w:r>
      <w:r>
        <w:rPr/>
        <w:t>pain,</w:t>
      </w:r>
      <w:r>
        <w:rPr>
          <w:spacing w:val="-3"/>
        </w:rPr>
        <w:t> </w:t>
      </w:r>
      <w:r>
        <w:rPr/>
        <w:t>low</w:t>
      </w:r>
      <w:r>
        <w:rPr>
          <w:spacing w:val="-3"/>
        </w:rPr>
        <w:t> </w:t>
      </w:r>
      <w:r>
        <w:rPr/>
        <w:t>back</w:t>
      </w:r>
      <w:r>
        <w:rPr>
          <w:spacing w:val="-3"/>
        </w:rPr>
        <w:t> </w:t>
      </w:r>
      <w:r>
        <w:rPr/>
        <w:t>pain,</w:t>
      </w:r>
      <w:r>
        <w:rPr>
          <w:spacing w:val="-3"/>
        </w:rPr>
        <w:t> </w:t>
      </w:r>
      <w:r>
        <w:rPr/>
        <w:t>nausea,</w:t>
      </w:r>
      <w:r>
        <w:rPr>
          <w:spacing w:val="-3"/>
        </w:rPr>
        <w:t> </w:t>
      </w:r>
      <w:r>
        <w:rPr/>
        <w:t>fever,</w:t>
      </w:r>
      <w:r>
        <w:rPr>
          <w:spacing w:val="-3"/>
        </w:rPr>
        <w:t> </w:t>
      </w:r>
      <w:r>
        <w:rPr/>
        <w:t>pain</w:t>
      </w:r>
      <w:r>
        <w:rPr>
          <w:spacing w:val="-3"/>
        </w:rPr>
        <w:t> </w:t>
      </w:r>
      <w:r>
        <w:rPr/>
        <w:t>during intercourse, or bleeding between menstrual periods. Chlamydia infection of the cervix can spread to the rectum.</w:t>
      </w:r>
    </w:p>
    <w:p>
      <w:pPr>
        <w:pStyle w:val="BodyText"/>
        <w:spacing w:before="62"/>
        <w:ind w:left="400" w:right="925"/>
      </w:pPr>
      <w:r>
        <w:rPr/>
        <w:t>Men</w:t>
      </w:r>
      <w:r>
        <w:rPr>
          <w:spacing w:val="-4"/>
        </w:rPr>
        <w:t> </w:t>
      </w:r>
      <w:r>
        <w:rPr/>
        <w:t>with</w:t>
      </w:r>
      <w:r>
        <w:rPr>
          <w:spacing w:val="-4"/>
        </w:rPr>
        <w:t> </w:t>
      </w:r>
      <w:r>
        <w:rPr/>
        <w:t>signs</w:t>
      </w:r>
      <w:r>
        <w:rPr>
          <w:spacing w:val="-4"/>
        </w:rPr>
        <w:t> </w:t>
      </w:r>
      <w:r>
        <w:rPr/>
        <w:t>or</w:t>
      </w:r>
      <w:r>
        <w:rPr>
          <w:spacing w:val="-4"/>
        </w:rPr>
        <w:t> </w:t>
      </w:r>
      <w:r>
        <w:rPr/>
        <w:t>symptoms</w:t>
      </w:r>
      <w:r>
        <w:rPr>
          <w:spacing w:val="-4"/>
        </w:rPr>
        <w:t> </w:t>
      </w:r>
      <w:r>
        <w:rPr/>
        <w:t>might</w:t>
      </w:r>
      <w:r>
        <w:rPr>
          <w:spacing w:val="-4"/>
        </w:rPr>
        <w:t> </w:t>
      </w:r>
      <w:r>
        <w:rPr/>
        <w:t>have</w:t>
      </w:r>
      <w:r>
        <w:rPr>
          <w:spacing w:val="-4"/>
        </w:rPr>
        <w:t> </w:t>
      </w:r>
      <w:r>
        <w:rPr/>
        <w:t>a</w:t>
      </w:r>
      <w:r>
        <w:rPr>
          <w:spacing w:val="-4"/>
        </w:rPr>
        <w:t> </w:t>
      </w:r>
      <w:r>
        <w:rPr/>
        <w:t>discharge</w:t>
      </w:r>
      <w:r>
        <w:rPr>
          <w:spacing w:val="-5"/>
        </w:rPr>
        <w:t> </w:t>
      </w:r>
      <w:r>
        <w:rPr/>
        <w:t>from</w:t>
      </w:r>
      <w:r>
        <w:rPr>
          <w:spacing w:val="-4"/>
        </w:rPr>
        <w:t> </w:t>
      </w:r>
      <w:r>
        <w:rPr/>
        <w:t>their</w:t>
      </w:r>
      <w:r>
        <w:rPr>
          <w:spacing w:val="-4"/>
        </w:rPr>
        <w:t> </w:t>
      </w:r>
      <w:r>
        <w:rPr/>
        <w:t>penis</w:t>
      </w:r>
      <w:r>
        <w:rPr>
          <w:spacing w:val="-4"/>
        </w:rPr>
        <w:t> </w:t>
      </w:r>
      <w:r>
        <w:rPr/>
        <w:t>or</w:t>
      </w:r>
      <w:r>
        <w:rPr>
          <w:spacing w:val="-4"/>
        </w:rPr>
        <w:t> </w:t>
      </w:r>
      <w:r>
        <w:rPr/>
        <w:t>a burning sensation when urinating. Men might also have burning and itching around the</w:t>
      </w:r>
      <w:r>
        <w:rPr>
          <w:spacing w:val="-2"/>
        </w:rPr>
        <w:t> </w:t>
      </w:r>
      <w:r>
        <w:rPr/>
        <w:t>opening of the penis. Pain and swelling in the testicles are uncommon.</w:t>
      </w:r>
    </w:p>
    <w:p>
      <w:pPr>
        <w:pStyle w:val="BodyText"/>
        <w:spacing w:before="71"/>
        <w:ind w:left="400" w:right="658"/>
      </w:pPr>
      <w:r>
        <w:rPr/>
        <w:t>Men or women who have receptive anal intercourse may acquire Chlamydia infection in the rectum, which can cause rectal pain, discharge, or bleeding. Chlamydia can also be found in the throats of women and men having oral sex</w:t>
      </w:r>
      <w:r>
        <w:rPr>
          <w:spacing w:val="-5"/>
        </w:rPr>
        <w:t> </w:t>
      </w:r>
      <w:r>
        <w:rPr/>
        <w:t>with</w:t>
      </w:r>
      <w:r>
        <w:rPr>
          <w:spacing w:val="-5"/>
        </w:rPr>
        <w:t> </w:t>
      </w:r>
      <w:r>
        <w:rPr/>
        <w:t>an</w:t>
      </w:r>
      <w:r>
        <w:rPr>
          <w:spacing w:val="-5"/>
        </w:rPr>
        <w:t> </w:t>
      </w:r>
      <w:r>
        <w:rPr/>
        <w:t>infected</w:t>
      </w:r>
      <w:r>
        <w:rPr>
          <w:spacing w:val="-5"/>
        </w:rPr>
        <w:t> </w:t>
      </w:r>
      <w:r>
        <w:rPr/>
        <w:t>partner.</w:t>
      </w:r>
      <w:r>
        <w:rPr>
          <w:spacing w:val="38"/>
        </w:rPr>
        <w:t> </w:t>
      </w:r>
      <w:r>
        <w:rPr/>
        <w:t>If</w:t>
      </w:r>
      <w:r>
        <w:rPr>
          <w:spacing w:val="-5"/>
        </w:rPr>
        <w:t> </w:t>
      </w:r>
      <w:r>
        <w:rPr/>
        <w:t>untreated,</w:t>
      </w:r>
      <w:r>
        <w:rPr>
          <w:spacing w:val="-5"/>
        </w:rPr>
        <w:t> </w:t>
      </w:r>
      <w:r>
        <w:rPr/>
        <w:t>Chlamydia</w:t>
      </w:r>
      <w:r>
        <w:rPr>
          <w:spacing w:val="-6"/>
        </w:rPr>
        <w:t> </w:t>
      </w:r>
      <w:r>
        <w:rPr/>
        <w:t>infections</w:t>
      </w:r>
      <w:r>
        <w:rPr>
          <w:spacing w:val="-5"/>
        </w:rPr>
        <w:t> </w:t>
      </w:r>
      <w:r>
        <w:rPr/>
        <w:t>can</w:t>
      </w:r>
      <w:r>
        <w:rPr>
          <w:spacing w:val="-5"/>
        </w:rPr>
        <w:t> </w:t>
      </w:r>
      <w:r>
        <w:rPr/>
        <w:t>progress to serious reproductive and other health problems with both short-term and long-term consequences. Like the disease itself, the damage that Chlamydia causes is often "silent."</w:t>
      </w:r>
    </w:p>
    <w:p>
      <w:pPr>
        <w:pStyle w:val="BodyText"/>
        <w:spacing w:before="95"/>
        <w:ind w:left="400" w:right="668"/>
      </w:pPr>
      <w:r>
        <w:rPr/>
        <w:t>In women, untreated infection can spread into the uterus or fallopian tubes and cause pelvic inflammatory disease (PID). This happens in up to 40 percent of women with untreated Chlamydia. PID can cause permanent damage</w:t>
      </w:r>
      <w:r>
        <w:rPr>
          <w:spacing w:val="-1"/>
        </w:rPr>
        <w:t> </w:t>
      </w:r>
      <w:r>
        <w:rPr/>
        <w:t>to the</w:t>
      </w:r>
      <w:r>
        <w:rPr>
          <w:spacing w:val="-1"/>
        </w:rPr>
        <w:t> </w:t>
      </w:r>
      <w:r>
        <w:rPr/>
        <w:t>fallopian tubes, uterus, and surrounding tissues.</w:t>
      </w:r>
      <w:r>
        <w:rPr>
          <w:spacing w:val="-2"/>
        </w:rPr>
        <w:t> </w:t>
      </w:r>
      <w:r>
        <w:rPr/>
        <w:t>The damage can lead to chronic pelvic pain, infertility, and potentially fatal ectopic pregnancy</w:t>
      </w:r>
      <w:r>
        <w:rPr>
          <w:spacing w:val="-8"/>
        </w:rPr>
        <w:t> </w:t>
      </w:r>
      <w:r>
        <w:rPr/>
        <w:t>(pregnancy</w:t>
      </w:r>
      <w:r>
        <w:rPr>
          <w:spacing w:val="-8"/>
        </w:rPr>
        <w:t> </w:t>
      </w:r>
      <w:r>
        <w:rPr/>
        <w:t>outside</w:t>
      </w:r>
      <w:r>
        <w:rPr>
          <w:spacing w:val="-9"/>
        </w:rPr>
        <w:t> </w:t>
      </w:r>
      <w:r>
        <w:rPr/>
        <w:t>the</w:t>
      </w:r>
      <w:r>
        <w:rPr>
          <w:spacing w:val="-9"/>
        </w:rPr>
        <w:t> </w:t>
      </w:r>
      <w:r>
        <w:rPr/>
        <w:t>uterus).</w:t>
      </w:r>
      <w:r>
        <w:rPr>
          <w:spacing w:val="-13"/>
        </w:rPr>
        <w:t> </w:t>
      </w:r>
      <w:r>
        <w:rPr/>
        <w:t>Women</w:t>
      </w:r>
      <w:r>
        <w:rPr>
          <w:spacing w:val="-8"/>
        </w:rPr>
        <w:t> </w:t>
      </w:r>
      <w:r>
        <w:rPr/>
        <w:t>infected</w:t>
      </w:r>
      <w:r>
        <w:rPr>
          <w:spacing w:val="-8"/>
        </w:rPr>
        <w:t> </w:t>
      </w:r>
      <w:r>
        <w:rPr/>
        <w:t>with</w:t>
      </w:r>
      <w:r>
        <w:rPr>
          <w:spacing w:val="-8"/>
        </w:rPr>
        <w:t> </w:t>
      </w:r>
      <w:r>
        <w:rPr/>
        <w:t>Chlamydia are up to five times more likely to become infected with HIV, if exposed.</w:t>
      </w:r>
    </w:p>
    <w:p>
      <w:pPr>
        <w:pStyle w:val="BodyText"/>
        <w:spacing w:before="76"/>
        <w:ind w:left="400" w:right="668"/>
      </w:pPr>
      <w:r>
        <w:rPr/>
        <w:t>To help prevent the serious consequences of Chlamydia, screening at least annually for Chlamydia is recommended for all sexually active women age 25 years and younger.</w:t>
      </w:r>
      <w:r>
        <w:rPr>
          <w:spacing w:val="-24"/>
        </w:rPr>
        <w:t> </w:t>
      </w:r>
      <w:r>
        <w:rPr/>
        <w:t>An annual screening test also is recommended for older</w:t>
      </w:r>
      <w:r>
        <w:rPr>
          <w:spacing w:val="-3"/>
        </w:rPr>
        <w:t> </w:t>
      </w:r>
      <w:r>
        <w:rPr/>
        <w:t>women</w:t>
      </w:r>
      <w:r>
        <w:rPr>
          <w:spacing w:val="-3"/>
        </w:rPr>
        <w:t> </w:t>
      </w:r>
      <w:r>
        <w:rPr/>
        <w:t>with</w:t>
      </w:r>
      <w:r>
        <w:rPr>
          <w:spacing w:val="-3"/>
        </w:rPr>
        <w:t> </w:t>
      </w:r>
      <w:r>
        <w:rPr/>
        <w:t>risk</w:t>
      </w:r>
      <w:r>
        <w:rPr>
          <w:spacing w:val="-3"/>
        </w:rPr>
        <w:t> </w:t>
      </w:r>
      <w:r>
        <w:rPr/>
        <w:t>factors</w:t>
      </w:r>
      <w:r>
        <w:rPr>
          <w:spacing w:val="-3"/>
        </w:rPr>
        <w:t> </w:t>
      </w:r>
      <w:r>
        <w:rPr/>
        <w:t>for</w:t>
      </w:r>
      <w:r>
        <w:rPr>
          <w:spacing w:val="-3"/>
        </w:rPr>
        <w:t> </w:t>
      </w:r>
      <w:r>
        <w:rPr/>
        <w:t>Chlamydia</w:t>
      </w:r>
      <w:r>
        <w:rPr>
          <w:spacing w:val="-10"/>
        </w:rPr>
        <w:t> </w:t>
      </w:r>
      <w:r>
        <w:rPr/>
        <w:t>(a</w:t>
      </w:r>
      <w:r>
        <w:rPr>
          <w:spacing w:val="-8"/>
        </w:rPr>
        <w:t> </w:t>
      </w:r>
      <w:r>
        <w:rPr/>
        <w:t>new</w:t>
      </w:r>
      <w:r>
        <w:rPr>
          <w:spacing w:val="-7"/>
        </w:rPr>
        <w:t> </w:t>
      </w:r>
      <w:r>
        <w:rPr/>
        <w:t>sex</w:t>
      </w:r>
      <w:r>
        <w:rPr>
          <w:spacing w:val="-7"/>
        </w:rPr>
        <w:t> </w:t>
      </w:r>
      <w:r>
        <w:rPr/>
        <w:t>partner</w:t>
      </w:r>
      <w:r>
        <w:rPr>
          <w:spacing w:val="-7"/>
        </w:rPr>
        <w:t> </w:t>
      </w:r>
      <w:r>
        <w:rPr/>
        <w:t>or</w:t>
      </w:r>
      <w:r>
        <w:rPr>
          <w:spacing w:val="-7"/>
        </w:rPr>
        <w:t> </w:t>
      </w:r>
      <w:r>
        <w:rPr/>
        <w:t>multiple sex partners).</w:t>
      </w:r>
      <w:r>
        <w:rPr>
          <w:spacing w:val="-26"/>
        </w:rPr>
        <w:t> </w:t>
      </w:r>
      <w:r>
        <w:rPr/>
        <w:t>All pregnant women should have a screening test for </w:t>
      </w:r>
      <w:r>
        <w:rPr>
          <w:spacing w:val="-2"/>
        </w:rPr>
        <w:t>Chlamydia.</w:t>
      </w:r>
    </w:p>
    <w:p>
      <w:pPr>
        <w:pStyle w:val="BodyText"/>
        <w:spacing w:before="75"/>
        <w:ind w:left="400" w:right="502"/>
      </w:pPr>
      <w:r>
        <w:rPr/>
        <w:t>Complications among men are rare. Infection sometimes spreads to the epididymis</w:t>
      </w:r>
      <w:r>
        <w:rPr>
          <w:spacing w:val="-9"/>
        </w:rPr>
        <w:t> </w:t>
      </w:r>
      <w:r>
        <w:rPr/>
        <w:t>(the</w:t>
      </w:r>
      <w:r>
        <w:rPr>
          <w:spacing w:val="-6"/>
        </w:rPr>
        <w:t> </w:t>
      </w:r>
      <w:r>
        <w:rPr/>
        <w:t>tube</w:t>
      </w:r>
      <w:r>
        <w:rPr>
          <w:spacing w:val="-6"/>
        </w:rPr>
        <w:t> </w:t>
      </w:r>
      <w:r>
        <w:rPr/>
        <w:t>that</w:t>
      </w:r>
      <w:r>
        <w:rPr>
          <w:spacing w:val="-5"/>
        </w:rPr>
        <w:t> </w:t>
      </w:r>
      <w:r>
        <w:rPr/>
        <w:t>carries</w:t>
      </w:r>
      <w:r>
        <w:rPr>
          <w:spacing w:val="-5"/>
        </w:rPr>
        <w:t> </w:t>
      </w:r>
      <w:r>
        <w:rPr/>
        <w:t>sperm</w:t>
      </w:r>
      <w:r>
        <w:rPr>
          <w:spacing w:val="-5"/>
        </w:rPr>
        <w:t> </w:t>
      </w:r>
      <w:r>
        <w:rPr/>
        <w:t>from</w:t>
      </w:r>
      <w:r>
        <w:rPr>
          <w:spacing w:val="-5"/>
        </w:rPr>
        <w:t> </w:t>
      </w:r>
      <w:r>
        <w:rPr/>
        <w:t>the</w:t>
      </w:r>
      <w:r>
        <w:rPr>
          <w:spacing w:val="-6"/>
        </w:rPr>
        <w:t> </w:t>
      </w:r>
      <w:r>
        <w:rPr/>
        <w:t>testis),</w:t>
      </w:r>
      <w:r>
        <w:rPr>
          <w:spacing w:val="-5"/>
        </w:rPr>
        <w:t> </w:t>
      </w:r>
      <w:r>
        <w:rPr/>
        <w:t>causing</w:t>
      </w:r>
      <w:r>
        <w:rPr>
          <w:spacing w:val="-5"/>
        </w:rPr>
        <w:t> </w:t>
      </w:r>
      <w:r>
        <w:rPr/>
        <w:t>pain,</w:t>
      </w:r>
      <w:r>
        <w:rPr>
          <w:spacing w:val="-5"/>
        </w:rPr>
        <w:t> </w:t>
      </w:r>
      <w:r>
        <w:rPr/>
        <w:t>fever, and, rarely, sterility. Rarely,</w:t>
      </w:r>
      <w:r>
        <w:rPr>
          <w:spacing w:val="-5"/>
        </w:rPr>
        <w:t> </w:t>
      </w:r>
      <w:r>
        <w:rPr/>
        <w:t>genital</w:t>
      </w:r>
      <w:r>
        <w:rPr>
          <w:spacing w:val="-5"/>
        </w:rPr>
        <w:t> </w:t>
      </w:r>
      <w:r>
        <w:rPr/>
        <w:t>Chlamydia</w:t>
      </w:r>
      <w:r>
        <w:rPr>
          <w:spacing w:val="-7"/>
        </w:rPr>
        <w:t> </w:t>
      </w:r>
      <w:r>
        <w:rPr/>
        <w:t>infection</w:t>
      </w:r>
      <w:r>
        <w:rPr>
          <w:spacing w:val="-5"/>
        </w:rPr>
        <w:t> </w:t>
      </w:r>
      <w:r>
        <w:rPr/>
        <w:t>can</w:t>
      </w:r>
      <w:r>
        <w:rPr>
          <w:spacing w:val="-5"/>
        </w:rPr>
        <w:t> </w:t>
      </w:r>
      <w:r>
        <w:rPr/>
        <w:t>cause</w:t>
      </w:r>
      <w:r>
        <w:rPr>
          <w:spacing w:val="-6"/>
        </w:rPr>
        <w:t> </w:t>
      </w:r>
      <w:r>
        <w:rPr/>
        <w:t>arthritis that can be accompanied by skin lesions and inflammation of the eye and</w:t>
      </w:r>
    </w:p>
    <w:p>
      <w:pPr>
        <w:spacing w:after="0"/>
        <w:sectPr>
          <w:pgSz w:w="12240" w:h="15840"/>
          <w:pgMar w:header="0" w:footer="765" w:top="1260" w:bottom="980" w:left="1400" w:right="1180"/>
        </w:sectPr>
      </w:pPr>
    </w:p>
    <w:p>
      <w:pPr>
        <w:pStyle w:val="BodyText"/>
        <w:spacing w:before="66"/>
        <w:ind w:left="400"/>
        <w:rPr>
          <w:sz w:val="24"/>
        </w:rPr>
      </w:pPr>
      <w:r>
        <w:rPr/>
        <w:t>urethra</w:t>
      </w:r>
      <w:r>
        <w:rPr>
          <w:spacing w:val="-3"/>
        </w:rPr>
        <w:t> </w:t>
      </w:r>
      <w:r>
        <w:rPr/>
        <w:t>(Reiter's</w:t>
      </w:r>
      <w:r>
        <w:rPr>
          <w:spacing w:val="-2"/>
        </w:rPr>
        <w:t> syndrome)</w:t>
      </w:r>
      <w:r>
        <w:rPr>
          <w:spacing w:val="-2"/>
          <w:sz w:val="24"/>
        </w:rPr>
        <w:t>.</w:t>
      </w:r>
    </w:p>
    <w:p>
      <w:pPr>
        <w:pStyle w:val="Heading2"/>
        <w:spacing w:before="176"/>
        <w:ind w:left="400"/>
      </w:pPr>
      <w:r>
        <w:rPr>
          <w:spacing w:val="-2"/>
        </w:rPr>
        <w:t>Chancroid</w:t>
      </w:r>
    </w:p>
    <w:p>
      <w:pPr>
        <w:pStyle w:val="BodyText"/>
        <w:spacing w:line="268" w:lineRule="auto" w:before="122"/>
        <w:ind w:left="400" w:right="661"/>
        <w:rPr>
          <w:i/>
        </w:rPr>
      </w:pPr>
      <w:r>
        <w:rPr/>
        <w:t>Chancroid</w:t>
      </w:r>
      <w:r>
        <w:rPr>
          <w:spacing w:val="-4"/>
        </w:rPr>
        <w:t> </w:t>
      </w:r>
      <w:r>
        <w:rPr/>
        <w:t>is</w:t>
      </w:r>
      <w:r>
        <w:rPr>
          <w:spacing w:val="-4"/>
        </w:rPr>
        <w:t> </w:t>
      </w:r>
      <w:r>
        <w:rPr/>
        <w:t>caused</w:t>
      </w:r>
      <w:r>
        <w:rPr>
          <w:spacing w:val="-4"/>
        </w:rPr>
        <w:t> </w:t>
      </w:r>
      <w:r>
        <w:rPr/>
        <w:t>by</w:t>
      </w:r>
      <w:r>
        <w:rPr>
          <w:spacing w:val="-4"/>
        </w:rPr>
        <w:t> </w:t>
      </w:r>
      <w:r>
        <w:rPr/>
        <w:t>a</w:t>
      </w:r>
      <w:r>
        <w:rPr>
          <w:spacing w:val="-4"/>
        </w:rPr>
        <w:t> </w:t>
      </w:r>
      <w:r>
        <w:rPr/>
        <w:t>bacterial</w:t>
      </w:r>
      <w:r>
        <w:rPr>
          <w:spacing w:val="-4"/>
        </w:rPr>
        <w:t> </w:t>
      </w:r>
      <w:r>
        <w:rPr/>
        <w:t>infection</w:t>
      </w:r>
      <w:r>
        <w:rPr>
          <w:spacing w:val="-4"/>
        </w:rPr>
        <w:t> </w:t>
      </w:r>
      <w:r>
        <w:rPr/>
        <w:t>that</w:t>
      </w:r>
      <w:r>
        <w:rPr>
          <w:spacing w:val="-4"/>
        </w:rPr>
        <w:t> </w:t>
      </w:r>
      <w:r>
        <w:rPr/>
        <w:t>produces</w:t>
      </w:r>
      <w:r>
        <w:rPr>
          <w:spacing w:val="-4"/>
        </w:rPr>
        <w:t> </w:t>
      </w:r>
      <w:r>
        <w:rPr/>
        <w:t>genital</w:t>
      </w:r>
      <w:r>
        <w:rPr>
          <w:spacing w:val="-4"/>
        </w:rPr>
        <w:t> </w:t>
      </w:r>
      <w:r>
        <w:rPr/>
        <w:t>ulcers.</w:t>
      </w:r>
      <w:r>
        <w:rPr>
          <w:spacing w:val="-4"/>
        </w:rPr>
        <w:t> </w:t>
      </w:r>
      <w:r>
        <w:rPr/>
        <w:t>It</w:t>
      </w:r>
      <w:r>
        <w:rPr>
          <w:spacing w:val="-4"/>
        </w:rPr>
        <w:t> </w:t>
      </w:r>
      <w:r>
        <w:rPr/>
        <w:t>is difficult to diagnose without a specific laboratory test, which most health care providers and laboratories do not have the capability to perform. Large outbreaks may go unrecognized despite a large burden of disease in the community.</w:t>
      </w:r>
      <w:r>
        <w:rPr>
          <w:spacing w:val="-6"/>
        </w:rPr>
        <w:t> </w:t>
      </w:r>
      <w:r>
        <w:rPr/>
        <w:t>The disease causes genital ulcers and is of concern because it may contribute to increased HIV transmission in some communities</w:t>
      </w:r>
      <w:r>
        <w:rPr/>
        <w:t> </w:t>
      </w:r>
      <w:r>
        <w:rPr>
          <w:i/>
        </w:rPr>
        <w:t>(Source: CDC Center for Disease Control).</w:t>
      </w:r>
    </w:p>
    <w:p>
      <w:pPr>
        <w:pStyle w:val="Heading2"/>
        <w:spacing w:before="83"/>
        <w:ind w:left="400"/>
      </w:pPr>
      <w:r>
        <w:rPr>
          <w:color w:val="333333"/>
          <w:spacing w:val="-2"/>
        </w:rPr>
        <w:t>Gonorrhea</w:t>
      </w:r>
    </w:p>
    <w:p>
      <w:pPr>
        <w:pStyle w:val="BodyText"/>
        <w:spacing w:line="266" w:lineRule="auto" w:before="142"/>
        <w:ind w:left="400" w:right="668"/>
      </w:pPr>
      <w:r>
        <w:rPr/>
        <w:t>Gonorrhea is caused by </w:t>
      </w:r>
      <w:r>
        <w:rPr>
          <w:i/>
        </w:rPr>
        <w:t>Neisseria gonorrhoeae</w:t>
      </w:r>
      <w:r>
        <w:rPr/>
        <w:t>, a bacterium that can grow and multiply easily in the warm, moist areas of the reproductive tract, including the cervix (opening to the womb), uterus (womb), and fallopian tubes</w:t>
      </w:r>
      <w:r>
        <w:rPr>
          <w:spacing w:val="-6"/>
        </w:rPr>
        <w:t> </w:t>
      </w:r>
      <w:r>
        <w:rPr/>
        <w:t>(egg</w:t>
      </w:r>
      <w:r>
        <w:rPr>
          <w:spacing w:val="-5"/>
        </w:rPr>
        <w:t> </w:t>
      </w:r>
      <w:r>
        <w:rPr/>
        <w:t>canals)</w:t>
      </w:r>
      <w:r>
        <w:rPr>
          <w:spacing w:val="-5"/>
        </w:rPr>
        <w:t> </w:t>
      </w:r>
      <w:r>
        <w:rPr/>
        <w:t>in</w:t>
      </w:r>
      <w:r>
        <w:rPr>
          <w:spacing w:val="-6"/>
        </w:rPr>
        <w:t> </w:t>
      </w:r>
      <w:r>
        <w:rPr/>
        <w:t>women,</w:t>
      </w:r>
      <w:r>
        <w:rPr>
          <w:spacing w:val="-5"/>
        </w:rPr>
        <w:t> </w:t>
      </w:r>
      <w:r>
        <w:rPr/>
        <w:t>and</w:t>
      </w:r>
      <w:r>
        <w:rPr>
          <w:spacing w:val="-5"/>
        </w:rPr>
        <w:t> </w:t>
      </w:r>
      <w:r>
        <w:rPr/>
        <w:t>in</w:t>
      </w:r>
      <w:r>
        <w:rPr>
          <w:spacing w:val="-6"/>
        </w:rPr>
        <w:t> </w:t>
      </w:r>
      <w:r>
        <w:rPr/>
        <w:t>the</w:t>
      </w:r>
      <w:r>
        <w:rPr>
          <w:spacing w:val="-6"/>
        </w:rPr>
        <w:t> </w:t>
      </w:r>
      <w:r>
        <w:rPr/>
        <w:t>urethra</w:t>
      </w:r>
      <w:r>
        <w:rPr>
          <w:spacing w:val="-4"/>
        </w:rPr>
        <w:t> </w:t>
      </w:r>
      <w:r>
        <w:rPr/>
        <w:t>(urine</w:t>
      </w:r>
      <w:r>
        <w:rPr>
          <w:spacing w:val="-8"/>
        </w:rPr>
        <w:t> </w:t>
      </w:r>
      <w:r>
        <w:rPr/>
        <w:t>canal)</w:t>
      </w:r>
      <w:r>
        <w:rPr>
          <w:spacing w:val="-7"/>
        </w:rPr>
        <w:t> </w:t>
      </w:r>
      <w:r>
        <w:rPr/>
        <w:t>in</w:t>
      </w:r>
      <w:r>
        <w:rPr>
          <w:spacing w:val="-7"/>
        </w:rPr>
        <w:t> </w:t>
      </w:r>
      <w:r>
        <w:rPr/>
        <w:t>women</w:t>
      </w:r>
      <w:r>
        <w:rPr>
          <w:spacing w:val="-7"/>
        </w:rPr>
        <w:t> </w:t>
      </w:r>
      <w:r>
        <w:rPr/>
        <w:t>and men.</w:t>
      </w:r>
      <w:r>
        <w:rPr>
          <w:spacing w:val="-6"/>
        </w:rPr>
        <w:t> </w:t>
      </w:r>
      <w:r>
        <w:rPr/>
        <w:t>The bacterium can also grow in the mouth, throat, eyes, and anus.</w:t>
      </w:r>
    </w:p>
    <w:p>
      <w:pPr>
        <w:pStyle w:val="BodyText"/>
        <w:spacing w:line="268" w:lineRule="auto" w:before="107"/>
        <w:ind w:left="400" w:right="633"/>
      </w:pPr>
      <w:r>
        <w:rPr/>
        <w:t>Detailed national data by city and state are only available for nationally notifiable</w:t>
      </w:r>
      <w:r>
        <w:rPr>
          <w:spacing w:val="-6"/>
        </w:rPr>
        <w:t> </w:t>
      </w:r>
      <w:r>
        <w:rPr/>
        <w:t>STDs.</w:t>
      </w:r>
      <w:r>
        <w:rPr>
          <w:spacing w:val="-18"/>
        </w:rPr>
        <w:t> </w:t>
      </w:r>
      <w:r>
        <w:rPr/>
        <w:t>And</w:t>
      </w:r>
      <w:r>
        <w:rPr>
          <w:spacing w:val="-4"/>
        </w:rPr>
        <w:t> </w:t>
      </w:r>
      <w:r>
        <w:rPr/>
        <w:t>while</w:t>
      </w:r>
      <w:r>
        <w:rPr>
          <w:spacing w:val="-5"/>
        </w:rPr>
        <w:t> </w:t>
      </w:r>
      <w:r>
        <w:rPr/>
        <w:t>Chlamydia</w:t>
      </w:r>
      <w:r>
        <w:rPr>
          <w:spacing w:val="-5"/>
        </w:rPr>
        <w:t> </w:t>
      </w:r>
      <w:r>
        <w:rPr/>
        <w:t>became</w:t>
      </w:r>
      <w:r>
        <w:rPr>
          <w:spacing w:val="-5"/>
        </w:rPr>
        <w:t> </w:t>
      </w:r>
      <w:r>
        <w:rPr/>
        <w:t>nationally</w:t>
      </w:r>
      <w:r>
        <w:rPr>
          <w:spacing w:val="-4"/>
        </w:rPr>
        <w:t> </w:t>
      </w:r>
      <w:r>
        <w:rPr/>
        <w:t>notifiable</w:t>
      </w:r>
      <w:r>
        <w:rPr>
          <w:spacing w:val="-5"/>
        </w:rPr>
        <w:t> </w:t>
      </w:r>
      <w:r>
        <w:rPr/>
        <w:t>in</w:t>
      </w:r>
      <w:r>
        <w:rPr>
          <w:spacing w:val="-4"/>
        </w:rPr>
        <w:t> </w:t>
      </w:r>
      <w:r>
        <w:rPr/>
        <w:t>1995, the data are currently more representative of trends in screening than of trends in disease. Because Chlamydia often has no symptoms, cases are frequently identified only through screening.</w:t>
      </w:r>
      <w:r>
        <w:rPr>
          <w:spacing w:val="-1"/>
        </w:rPr>
        <w:t> </w:t>
      </w:r>
      <w:r>
        <w:rPr/>
        <w:t>Therefore, high rates of Chlamydia and gonorrhea may indicate more effective screening programs and the introduction of more sensitive tests, rather than higher incidence of disease. This section will therefore present the status of gonorrhea and syphilis by city and state. To provide an indication where Chlamydia is currently the most common, data on the percentage of women who tested positive for Chlamydia in family planning clinics also are provided on the overview maps. Other STDs, like genital herpes and HPV</w:t>
      </w:r>
      <w:r>
        <w:rPr>
          <w:spacing w:val="-4"/>
        </w:rPr>
        <w:t> </w:t>
      </w:r>
      <w:r>
        <w:rPr/>
        <w:t>are known to be wide-spread across all states and communities.</w:t>
      </w:r>
    </w:p>
    <w:p>
      <w:pPr>
        <w:pStyle w:val="BodyText"/>
        <w:spacing w:before="7"/>
        <w:rPr>
          <w:sz w:val="21"/>
        </w:rPr>
      </w:pPr>
      <w:r>
        <w:rPr/>
        <mc:AlternateContent>
          <mc:Choice Requires="wps">
            <w:drawing>
              <wp:anchor distT="0" distB="0" distL="0" distR="0" allowOverlap="1" layoutInCell="1" locked="0" behindDoc="1" simplePos="0" relativeHeight="487657984">
                <wp:simplePos x="0" y="0"/>
                <wp:positionH relativeFrom="page">
                  <wp:posOffset>1066800</wp:posOffset>
                </wp:positionH>
                <wp:positionV relativeFrom="paragraph">
                  <wp:posOffset>173024</wp:posOffset>
                </wp:positionV>
                <wp:extent cx="1419225" cy="393700"/>
                <wp:effectExtent l="0" t="0" r="0" b="0"/>
                <wp:wrapTopAndBottom/>
                <wp:docPr id="300" name="Textbox 300"/>
                <wp:cNvGraphicFramePr>
                  <a:graphicFrameLocks/>
                </wp:cNvGraphicFramePr>
                <a:graphic>
                  <a:graphicData uri="http://schemas.microsoft.com/office/word/2010/wordprocessingShape">
                    <wps:wsp>
                      <wps:cNvPr id="300" name="Textbox 300"/>
                      <wps:cNvSpPr txBox="1"/>
                      <wps:spPr>
                        <a:xfrm>
                          <a:off x="0" y="0"/>
                          <a:ext cx="141922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Prevalence</w:t>
                            </w:r>
                            <w:r>
                              <w:rPr>
                                <w:b/>
                                <w:color w:val="374151"/>
                                <w:spacing w:val="-8"/>
                                <w:sz w:val="28"/>
                              </w:rPr>
                              <w:t> </w:t>
                            </w:r>
                            <w:r>
                              <w:rPr>
                                <w:b/>
                                <w:color w:val="374151"/>
                                <w:sz w:val="28"/>
                              </w:rPr>
                              <w:t>of</w:t>
                            </w:r>
                            <w:r>
                              <w:rPr>
                                <w:b/>
                                <w:color w:val="374151"/>
                                <w:spacing w:val="-5"/>
                                <w:sz w:val="28"/>
                              </w:rPr>
                              <w:t> </w:t>
                            </w:r>
                            <w:r>
                              <w:rPr>
                                <w:b/>
                                <w:color w:val="374151"/>
                                <w:spacing w:val="-4"/>
                                <w:sz w:val="28"/>
                              </w:rPr>
                              <w:t>STIs</w:t>
                            </w:r>
                          </w:p>
                        </w:txbxContent>
                      </wps:txbx>
                      <wps:bodyPr wrap="square" lIns="0" tIns="0" rIns="0" bIns="0" rtlCol="0">
                        <a:noAutofit/>
                      </wps:bodyPr>
                    </wps:wsp>
                  </a:graphicData>
                </a:graphic>
              </wp:anchor>
            </w:drawing>
          </mc:Choice>
          <mc:Fallback>
            <w:pict>
              <v:shape style="position:absolute;margin-left:84pt;margin-top:13.623975pt;width:111.75pt;height:31pt;mso-position-horizontal-relative:page;mso-position-vertical-relative:paragraph;z-index:-15658496;mso-wrap-distance-left:0;mso-wrap-distance-right:0" type="#_x0000_t202" id="docshape299" filled="true" fillcolor="#f7f7f8" stroked="false">
                <v:textbox inset="0,0,0,0">
                  <w:txbxContent>
                    <w:p>
                      <w:pPr>
                        <w:spacing w:line="308" w:lineRule="exact" w:before="0"/>
                        <w:ind w:left="0" w:right="-15" w:firstLine="0"/>
                        <w:jc w:val="left"/>
                        <w:rPr>
                          <w:b/>
                          <w:color w:val="000000"/>
                          <w:sz w:val="28"/>
                        </w:rPr>
                      </w:pPr>
                      <w:r>
                        <w:rPr>
                          <w:b/>
                          <w:color w:val="374151"/>
                          <w:sz w:val="28"/>
                        </w:rPr>
                        <w:t>Prevalence</w:t>
                      </w:r>
                      <w:r>
                        <w:rPr>
                          <w:b/>
                          <w:color w:val="374151"/>
                          <w:spacing w:val="-8"/>
                          <w:sz w:val="28"/>
                        </w:rPr>
                        <w:t> </w:t>
                      </w:r>
                      <w:r>
                        <w:rPr>
                          <w:b/>
                          <w:color w:val="374151"/>
                          <w:sz w:val="28"/>
                        </w:rPr>
                        <w:t>of</w:t>
                      </w:r>
                      <w:r>
                        <w:rPr>
                          <w:b/>
                          <w:color w:val="374151"/>
                          <w:spacing w:val="-5"/>
                          <w:sz w:val="28"/>
                        </w:rPr>
                        <w:t> </w:t>
                      </w:r>
                      <w:r>
                        <w:rPr>
                          <w:b/>
                          <w:color w:val="374151"/>
                          <w:spacing w:val="-4"/>
                          <w:sz w:val="28"/>
                        </w:rPr>
                        <w:t>STIs</w:t>
                      </w:r>
                    </w:p>
                  </w:txbxContent>
                </v:textbox>
                <v:fill type="solid"/>
                <w10:wrap type="topAndBottom"/>
              </v:shape>
            </w:pict>
          </mc:Fallback>
        </mc:AlternateContent>
      </w:r>
    </w:p>
    <w:p>
      <w:pPr>
        <w:pStyle w:val="Heading2"/>
        <w:spacing w:line="309" w:lineRule="exact" w:after="12"/>
      </w:pPr>
      <w:r>
        <w:rPr>
          <w:color w:val="374151"/>
          <w:shd w:fill="F7F7F8" w:color="auto" w:val="clear"/>
        </w:rPr>
        <w:t>The</w:t>
      </w:r>
      <w:r>
        <w:rPr>
          <w:color w:val="374151"/>
          <w:spacing w:val="-12"/>
          <w:shd w:fill="F7F7F8" w:color="auto" w:val="clear"/>
        </w:rPr>
        <w:t> </w:t>
      </w:r>
      <w:r>
        <w:rPr>
          <w:color w:val="374151"/>
          <w:shd w:fill="F7F7F8" w:color="auto" w:val="clear"/>
        </w:rPr>
        <w:t>Rising</w:t>
      </w:r>
      <w:r>
        <w:rPr>
          <w:color w:val="374151"/>
          <w:spacing w:val="-4"/>
          <w:shd w:fill="F7F7F8" w:color="auto" w:val="clear"/>
        </w:rPr>
        <w:t> </w:t>
      </w:r>
      <w:r>
        <w:rPr>
          <w:color w:val="374151"/>
          <w:shd w:fill="F7F7F8" w:color="auto" w:val="clear"/>
        </w:rPr>
        <w:t>Incidence</w:t>
      </w:r>
      <w:r>
        <w:rPr>
          <w:color w:val="374151"/>
          <w:spacing w:val="-6"/>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Sexually</w:t>
      </w:r>
      <w:r>
        <w:rPr>
          <w:color w:val="374151"/>
          <w:spacing w:val="-10"/>
          <w:shd w:fill="F7F7F8" w:color="auto" w:val="clear"/>
        </w:rPr>
        <w:t> </w:t>
      </w:r>
      <w:r>
        <w:rPr>
          <w:color w:val="374151"/>
          <w:shd w:fill="F7F7F8" w:color="auto" w:val="clear"/>
        </w:rPr>
        <w:t>Transmitted</w:t>
      </w:r>
      <w:r>
        <w:rPr>
          <w:color w:val="374151"/>
          <w:spacing w:val="-4"/>
          <w:shd w:fill="F7F7F8" w:color="auto" w:val="clear"/>
        </w:rPr>
        <w:t> </w:t>
      </w:r>
      <w:r>
        <w:rPr>
          <w:color w:val="374151"/>
          <w:shd w:fill="F7F7F8" w:color="auto" w:val="clear"/>
        </w:rPr>
        <w:t>Diseases:</w:t>
      </w:r>
      <w:r>
        <w:rPr>
          <w:color w:val="374151"/>
          <w:spacing w:val="-18"/>
          <w:shd w:fill="F7F7F8" w:color="auto" w:val="clear"/>
        </w:rPr>
        <w:t> </w:t>
      </w:r>
      <w:r>
        <w:rPr>
          <w:color w:val="374151"/>
          <w:shd w:fill="F7F7F8" w:color="auto" w:val="clear"/>
        </w:rPr>
        <w:t>A</w:t>
      </w:r>
      <w:r>
        <w:rPr>
          <w:color w:val="374151"/>
          <w:spacing w:val="-17"/>
          <w:shd w:fill="F7F7F8" w:color="auto" w:val="clear"/>
        </w:rPr>
        <w:t> </w:t>
      </w:r>
      <w:r>
        <w:rPr>
          <w:color w:val="374151"/>
          <w:spacing w:val="-2"/>
          <w:shd w:fill="F7F7F8" w:color="auto" w:val="clear"/>
        </w:rPr>
        <w:t>Changing</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273425" cy="393700"/>
                <wp:effectExtent l="0" t="0" r="0" b="0"/>
                <wp:docPr id="301" name="Textbox 301"/>
                <wp:cNvGraphicFramePr>
                  <a:graphicFrameLocks/>
                </wp:cNvGraphicFramePr>
                <a:graphic>
                  <a:graphicData uri="http://schemas.microsoft.com/office/word/2010/wordprocessingShape">
                    <wps:wsp>
                      <wps:cNvPr id="301" name="Textbox 301"/>
                      <wps:cNvSpPr txBox="1"/>
                      <wps:spPr>
                        <a:xfrm>
                          <a:off x="0" y="0"/>
                          <a:ext cx="3273425" cy="393700"/>
                        </a:xfrm>
                        <a:prstGeom prst="rect">
                          <a:avLst/>
                        </a:prstGeom>
                        <a:solidFill>
                          <a:srgbClr val="F7F7F8"/>
                        </a:solidFill>
                      </wps:spPr>
                      <wps:txbx>
                        <w:txbxContent>
                          <w:p>
                            <w:pPr>
                              <w:spacing w:line="308" w:lineRule="exact" w:before="0"/>
                              <w:ind w:left="0" w:right="-15" w:firstLine="0"/>
                              <w:jc w:val="left"/>
                              <w:rPr>
                                <w:b/>
                                <w:color w:val="000000"/>
                                <w:sz w:val="28"/>
                              </w:rPr>
                            </w:pPr>
                            <w:r>
                              <w:rPr>
                                <w:b/>
                                <w:color w:val="374151"/>
                                <w:sz w:val="28"/>
                              </w:rPr>
                              <w:t>Landscape</w:t>
                            </w:r>
                            <w:r>
                              <w:rPr>
                                <w:b/>
                                <w:color w:val="374151"/>
                                <w:spacing w:val="-4"/>
                                <w:sz w:val="28"/>
                              </w:rPr>
                              <w:t> </w:t>
                            </w:r>
                            <w:r>
                              <w:rPr>
                                <w:b/>
                                <w:color w:val="374151"/>
                                <w:sz w:val="28"/>
                              </w:rPr>
                              <w:t>for</w:t>
                            </w:r>
                            <w:r>
                              <w:rPr>
                                <w:b/>
                                <w:color w:val="374151"/>
                                <w:spacing w:val="-7"/>
                                <w:sz w:val="28"/>
                              </w:rPr>
                              <w:t> </w:t>
                            </w:r>
                            <w:r>
                              <w:rPr>
                                <w:b/>
                                <w:color w:val="374151"/>
                                <w:sz w:val="28"/>
                              </w:rPr>
                              <w:t>Mental</w:t>
                            </w:r>
                            <w:r>
                              <w:rPr>
                                <w:b/>
                                <w:color w:val="374151"/>
                                <w:spacing w:val="-2"/>
                                <w:sz w:val="28"/>
                              </w:rPr>
                              <w:t> </w:t>
                            </w:r>
                            <w:r>
                              <w:rPr>
                                <w:b/>
                                <w:color w:val="374151"/>
                                <w:sz w:val="28"/>
                              </w:rPr>
                              <w:t>Health</w:t>
                            </w:r>
                            <w:r>
                              <w:rPr>
                                <w:b/>
                                <w:color w:val="374151"/>
                                <w:spacing w:val="-2"/>
                                <w:sz w:val="28"/>
                              </w:rPr>
                              <w:t> Professionals</w:t>
                            </w:r>
                          </w:p>
                        </w:txbxContent>
                      </wps:txbx>
                      <wps:bodyPr wrap="square" lIns="0" tIns="0" rIns="0" bIns="0" rtlCol="0">
                        <a:noAutofit/>
                      </wps:bodyPr>
                    </wps:wsp>
                  </a:graphicData>
                </a:graphic>
              </wp:inline>
            </w:drawing>
          </mc:Choice>
          <mc:Fallback>
            <w:pict>
              <v:shape style="width:257.75pt;height:31pt;mso-position-horizontal-relative:char;mso-position-vertical-relative:line" type="#_x0000_t202" id="docshape300" filled="true" fillcolor="#f7f7f8" stroked="false">
                <w10:anchorlock/>
                <v:textbox inset="0,0,0,0">
                  <w:txbxContent>
                    <w:p>
                      <w:pPr>
                        <w:spacing w:line="308" w:lineRule="exact" w:before="0"/>
                        <w:ind w:left="0" w:right="-15" w:firstLine="0"/>
                        <w:jc w:val="left"/>
                        <w:rPr>
                          <w:b/>
                          <w:color w:val="000000"/>
                          <w:sz w:val="28"/>
                        </w:rPr>
                      </w:pPr>
                      <w:r>
                        <w:rPr>
                          <w:b/>
                          <w:color w:val="374151"/>
                          <w:sz w:val="28"/>
                        </w:rPr>
                        <w:t>Landscape</w:t>
                      </w:r>
                      <w:r>
                        <w:rPr>
                          <w:b/>
                          <w:color w:val="374151"/>
                          <w:spacing w:val="-4"/>
                          <w:sz w:val="28"/>
                        </w:rPr>
                        <w:t> </w:t>
                      </w:r>
                      <w:r>
                        <w:rPr>
                          <w:b/>
                          <w:color w:val="374151"/>
                          <w:sz w:val="28"/>
                        </w:rPr>
                        <w:t>for</w:t>
                      </w:r>
                      <w:r>
                        <w:rPr>
                          <w:b/>
                          <w:color w:val="374151"/>
                          <w:spacing w:val="-7"/>
                          <w:sz w:val="28"/>
                        </w:rPr>
                        <w:t> </w:t>
                      </w:r>
                      <w:r>
                        <w:rPr>
                          <w:b/>
                          <w:color w:val="374151"/>
                          <w:sz w:val="28"/>
                        </w:rPr>
                        <w:t>Mental</w:t>
                      </w:r>
                      <w:r>
                        <w:rPr>
                          <w:b/>
                          <w:color w:val="374151"/>
                          <w:spacing w:val="-2"/>
                          <w:sz w:val="28"/>
                        </w:rPr>
                        <w:t> </w:t>
                      </w:r>
                      <w:r>
                        <w:rPr>
                          <w:b/>
                          <w:color w:val="374151"/>
                          <w:sz w:val="28"/>
                        </w:rPr>
                        <w:t>Health</w:t>
                      </w:r>
                      <w:r>
                        <w:rPr>
                          <w:b/>
                          <w:color w:val="374151"/>
                          <w:spacing w:val="-2"/>
                          <w:sz w:val="28"/>
                        </w:rPr>
                        <w:t> Professionals</w:t>
                      </w:r>
                    </w:p>
                  </w:txbxContent>
                </v:textbox>
                <v:fill type="solid"/>
              </v:shape>
            </w:pict>
          </mc:Fallback>
        </mc:AlternateContent>
      </w:r>
      <w:r>
        <w:rPr>
          <w:sz w:val="20"/>
        </w:rPr>
      </w:r>
    </w:p>
    <w:p>
      <w:pPr>
        <w:pStyle w:val="BodyText"/>
        <w:spacing w:line="282" w:lineRule="exact"/>
        <w:ind w:left="280"/>
      </w:pPr>
      <w:r>
        <w:rPr>
          <w:color w:val="374151"/>
          <w:shd w:fill="F7F7F8" w:color="auto" w:val="clear"/>
        </w:rPr>
        <w:t>This</w:t>
      </w:r>
      <w:r>
        <w:rPr>
          <w:color w:val="374151"/>
          <w:spacing w:val="-4"/>
          <w:shd w:fill="F7F7F8" w:color="auto" w:val="clear"/>
        </w:rPr>
        <w:t> </w:t>
      </w:r>
      <w:r>
        <w:rPr>
          <w:color w:val="374151"/>
          <w:shd w:fill="F7F7F8" w:color="auto" w:val="clear"/>
        </w:rPr>
        <w:t>section</w:t>
      </w:r>
      <w:r>
        <w:rPr>
          <w:color w:val="374151"/>
          <w:spacing w:val="-1"/>
          <w:shd w:fill="F7F7F8" w:color="auto" w:val="clear"/>
        </w:rPr>
        <w:t> </w:t>
      </w:r>
      <w:r>
        <w:rPr>
          <w:color w:val="374151"/>
          <w:shd w:fill="F7F7F8" w:color="auto" w:val="clear"/>
        </w:rPr>
        <w:t>highlights</w:t>
      </w:r>
      <w:r>
        <w:rPr>
          <w:color w:val="374151"/>
          <w:spacing w:val="-2"/>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global</w:t>
      </w:r>
      <w:r>
        <w:rPr>
          <w:color w:val="374151"/>
          <w:spacing w:val="-1"/>
          <w:shd w:fill="F7F7F8" w:color="auto" w:val="clear"/>
        </w:rPr>
        <w:t> </w:t>
      </w:r>
      <w:r>
        <w:rPr>
          <w:color w:val="374151"/>
          <w:shd w:fill="F7F7F8" w:color="auto" w:val="clear"/>
        </w:rPr>
        <w:t>prevalence</w:t>
      </w:r>
      <w:r>
        <w:rPr>
          <w:color w:val="374151"/>
          <w:spacing w:val="-3"/>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STIs</w:t>
      </w:r>
      <w:r>
        <w:rPr>
          <w:color w:val="374151"/>
          <w:spacing w:val="-1"/>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emphasizes</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pacing w:val="-4"/>
          <w:shd w:fill="F7F7F8" w:color="auto" w:val="clear"/>
        </w:rPr>
        <w:t>need</w:t>
      </w:r>
      <w:r>
        <w:rPr>
          <w:color w:val="374151"/>
          <w:spacing w:val="40"/>
          <w:shd w:fill="F7F7F8" w:color="auto" w:val="clear"/>
        </w:rPr>
        <w:t> </w:t>
      </w:r>
    </w:p>
    <w:p>
      <w:pPr>
        <w:pStyle w:val="BodyText"/>
        <w:spacing w:line="321" w:lineRule="exact"/>
        <w:ind w:left="280"/>
      </w:pPr>
      <w:r>
        <w:rPr>
          <w:color w:val="374151"/>
          <w:shd w:fill="F7F7F8" w:color="auto" w:val="clear"/>
        </w:rPr>
        <w:t>for</w:t>
      </w:r>
      <w:r>
        <w:rPr>
          <w:color w:val="374151"/>
          <w:spacing w:val="-4"/>
          <w:shd w:fill="F7F7F8" w:color="auto" w:val="clear"/>
        </w:rPr>
        <w:t> </w:t>
      </w:r>
      <w:r>
        <w:rPr>
          <w:color w:val="374151"/>
          <w:shd w:fill="F7F7F8" w:color="auto" w:val="clear"/>
        </w:rPr>
        <w:t>increased</w:t>
      </w:r>
      <w:r>
        <w:rPr>
          <w:color w:val="374151"/>
          <w:spacing w:val="-2"/>
          <w:shd w:fill="F7F7F8" w:color="auto" w:val="clear"/>
        </w:rPr>
        <w:t> </w:t>
      </w:r>
      <w:r>
        <w:rPr>
          <w:color w:val="374151"/>
          <w:shd w:fill="F7F7F8" w:color="auto" w:val="clear"/>
        </w:rPr>
        <w:t>awareness</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intervention.</w:t>
      </w:r>
      <w:r>
        <w:rPr>
          <w:color w:val="374151"/>
          <w:spacing w:val="-1"/>
          <w:shd w:fill="F7F7F8" w:color="auto" w:val="clear"/>
        </w:rPr>
        <w:t> </w:t>
      </w:r>
      <w:r>
        <w:rPr>
          <w:color w:val="374151"/>
          <w:shd w:fill="F7F7F8" w:color="auto" w:val="clear"/>
        </w:rPr>
        <w:t>It</w:t>
      </w:r>
      <w:r>
        <w:rPr>
          <w:color w:val="374151"/>
          <w:spacing w:val="-2"/>
          <w:shd w:fill="F7F7F8" w:color="auto" w:val="clear"/>
        </w:rPr>
        <w:t> </w:t>
      </w:r>
      <w:r>
        <w:rPr>
          <w:color w:val="374151"/>
          <w:shd w:fill="F7F7F8" w:color="auto" w:val="clear"/>
        </w:rPr>
        <w:t>examines</w:t>
      </w:r>
      <w:r>
        <w:rPr>
          <w:color w:val="374151"/>
          <w:spacing w:val="-2"/>
          <w:shd w:fill="F7F7F8" w:color="auto" w:val="clear"/>
        </w:rPr>
        <w:t> </w:t>
      </w:r>
      <w:r>
        <w:rPr>
          <w:color w:val="374151"/>
          <w:shd w:fill="F7F7F8" w:color="auto" w:val="clear"/>
        </w:rPr>
        <w:t>the</w:t>
      </w:r>
      <w:r>
        <w:rPr>
          <w:color w:val="374151"/>
          <w:spacing w:val="-2"/>
          <w:shd w:fill="F7F7F8" w:color="auto" w:val="clear"/>
        </w:rPr>
        <w:t> epidemiological</w:t>
      </w:r>
      <w:r>
        <w:rPr>
          <w:color w:val="374151"/>
          <w:spacing w:val="40"/>
          <w:shd w:fill="F7F7F8" w:color="auto" w:val="clear"/>
        </w:rPr>
        <w:t> </w:t>
      </w:r>
    </w:p>
    <w:p>
      <w:pPr>
        <w:spacing w:after="0" w:line="321" w:lineRule="exact"/>
        <w:sectPr>
          <w:pgSz w:w="12240" w:h="15840"/>
          <w:pgMar w:header="0" w:footer="765" w:top="126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59008">
                <wp:simplePos x="0" y="0"/>
                <wp:positionH relativeFrom="page">
                  <wp:posOffset>1066800</wp:posOffset>
                </wp:positionH>
                <wp:positionV relativeFrom="paragraph">
                  <wp:posOffset>251357</wp:posOffset>
                </wp:positionV>
                <wp:extent cx="4464050" cy="393700"/>
                <wp:effectExtent l="0" t="0" r="0" b="0"/>
                <wp:wrapTopAndBottom/>
                <wp:docPr id="302" name="Textbox 302"/>
                <wp:cNvGraphicFramePr>
                  <a:graphicFrameLocks/>
                </wp:cNvGraphicFramePr>
                <a:graphic>
                  <a:graphicData uri="http://schemas.microsoft.com/office/word/2010/wordprocessingShape">
                    <wps:wsp>
                      <wps:cNvPr id="302" name="Textbox 302"/>
                      <wps:cNvSpPr txBox="1"/>
                      <wps:spPr>
                        <a:xfrm>
                          <a:off x="0" y="0"/>
                          <a:ext cx="4464050" cy="393700"/>
                        </a:xfrm>
                        <a:prstGeom prst="rect">
                          <a:avLst/>
                        </a:prstGeom>
                        <a:solidFill>
                          <a:srgbClr val="F7F7F8"/>
                        </a:solidFill>
                      </wps:spPr>
                      <wps:txbx>
                        <w:txbxContent>
                          <w:p>
                            <w:pPr>
                              <w:pStyle w:val="BodyText"/>
                              <w:spacing w:line="308" w:lineRule="exact"/>
                              <w:ind w:right="-15"/>
                              <w:rPr>
                                <w:color w:val="000000"/>
                              </w:rPr>
                            </w:pPr>
                            <w:r>
                              <w:rPr>
                                <w:color w:val="374151"/>
                              </w:rPr>
                              <w:t>gonorrhea,</w:t>
                            </w:r>
                            <w:r>
                              <w:rPr>
                                <w:color w:val="374151"/>
                                <w:spacing w:val="-4"/>
                              </w:rPr>
                              <w:t> </w:t>
                            </w:r>
                            <w:r>
                              <w:rPr>
                                <w:color w:val="374151"/>
                              </w:rPr>
                              <w:t>syphilis,</w:t>
                            </w:r>
                            <w:r>
                              <w:rPr>
                                <w:color w:val="374151"/>
                                <w:spacing w:val="-2"/>
                              </w:rPr>
                              <w:t> </w:t>
                            </w:r>
                            <w:r>
                              <w:rPr>
                                <w:color w:val="374151"/>
                              </w:rPr>
                              <w:t>herpes,</w:t>
                            </w:r>
                            <w:r>
                              <w:rPr>
                                <w:color w:val="374151"/>
                                <w:spacing w:val="-1"/>
                              </w:rPr>
                              <w:t> </w:t>
                            </w:r>
                            <w:r>
                              <w:rPr>
                                <w:color w:val="374151"/>
                              </w:rPr>
                              <w:t>and</w:t>
                            </w:r>
                            <w:r>
                              <w:rPr>
                                <w:color w:val="374151"/>
                                <w:spacing w:val="-2"/>
                              </w:rPr>
                              <w:t> </w:t>
                            </w:r>
                            <w:r>
                              <w:rPr>
                                <w:color w:val="374151"/>
                              </w:rPr>
                              <w:t>human</w:t>
                            </w:r>
                            <w:r>
                              <w:rPr>
                                <w:color w:val="374151"/>
                                <w:spacing w:val="-2"/>
                              </w:rPr>
                              <w:t> </w:t>
                            </w:r>
                            <w:r>
                              <w:rPr>
                                <w:color w:val="374151"/>
                              </w:rPr>
                              <w:t>papillomavirus</w:t>
                            </w:r>
                            <w:r>
                              <w:rPr>
                                <w:color w:val="374151"/>
                                <w:spacing w:val="-1"/>
                              </w:rPr>
                              <w:t> </w:t>
                            </w:r>
                            <w:r>
                              <w:rPr>
                                <w:color w:val="374151"/>
                                <w:spacing w:val="-2"/>
                              </w:rPr>
                              <w:t>(HPV).</w:t>
                            </w:r>
                          </w:p>
                        </w:txbxContent>
                      </wps:txbx>
                      <wps:bodyPr wrap="square" lIns="0" tIns="0" rIns="0" bIns="0" rtlCol="0">
                        <a:noAutofit/>
                      </wps:bodyPr>
                    </wps:wsp>
                  </a:graphicData>
                </a:graphic>
              </wp:anchor>
            </w:drawing>
          </mc:Choice>
          <mc:Fallback>
            <w:pict>
              <v:shape style="position:absolute;margin-left:84pt;margin-top:19.791931pt;width:351.5pt;height:31pt;mso-position-horizontal-relative:page;mso-position-vertical-relative:paragraph;z-index:-15657472;mso-wrap-distance-left:0;mso-wrap-distance-right:0" type="#_x0000_t202" id="docshape301" filled="true" fillcolor="#f7f7f8" stroked="false">
                <v:textbox inset="0,0,0,0">
                  <w:txbxContent>
                    <w:p>
                      <w:pPr>
                        <w:pStyle w:val="BodyText"/>
                        <w:spacing w:line="308" w:lineRule="exact"/>
                        <w:ind w:right="-15"/>
                        <w:rPr>
                          <w:color w:val="000000"/>
                        </w:rPr>
                      </w:pPr>
                      <w:r>
                        <w:rPr>
                          <w:color w:val="374151"/>
                        </w:rPr>
                        <w:t>gonorrhea,</w:t>
                      </w:r>
                      <w:r>
                        <w:rPr>
                          <w:color w:val="374151"/>
                          <w:spacing w:val="-4"/>
                        </w:rPr>
                        <w:t> </w:t>
                      </w:r>
                      <w:r>
                        <w:rPr>
                          <w:color w:val="374151"/>
                        </w:rPr>
                        <w:t>syphilis,</w:t>
                      </w:r>
                      <w:r>
                        <w:rPr>
                          <w:color w:val="374151"/>
                          <w:spacing w:val="-2"/>
                        </w:rPr>
                        <w:t> </w:t>
                      </w:r>
                      <w:r>
                        <w:rPr>
                          <w:color w:val="374151"/>
                        </w:rPr>
                        <w:t>herpes,</w:t>
                      </w:r>
                      <w:r>
                        <w:rPr>
                          <w:color w:val="374151"/>
                          <w:spacing w:val="-1"/>
                        </w:rPr>
                        <w:t> </w:t>
                      </w:r>
                      <w:r>
                        <w:rPr>
                          <w:color w:val="374151"/>
                        </w:rPr>
                        <w:t>and</w:t>
                      </w:r>
                      <w:r>
                        <w:rPr>
                          <w:color w:val="374151"/>
                          <w:spacing w:val="-2"/>
                        </w:rPr>
                        <w:t> </w:t>
                      </w:r>
                      <w:r>
                        <w:rPr>
                          <w:color w:val="374151"/>
                        </w:rPr>
                        <w:t>human</w:t>
                      </w:r>
                      <w:r>
                        <w:rPr>
                          <w:color w:val="374151"/>
                          <w:spacing w:val="-2"/>
                        </w:rPr>
                        <w:t> </w:t>
                      </w:r>
                      <w:r>
                        <w:rPr>
                          <w:color w:val="374151"/>
                        </w:rPr>
                        <w:t>papillomavirus</w:t>
                      </w:r>
                      <w:r>
                        <w:rPr>
                          <w:color w:val="374151"/>
                          <w:spacing w:val="-1"/>
                        </w:rPr>
                        <w:t> </w:t>
                      </w:r>
                      <w:r>
                        <w:rPr>
                          <w:color w:val="374151"/>
                          <w:spacing w:val="-2"/>
                        </w:rPr>
                        <w:t>(HPV).</w:t>
                      </w:r>
                    </w:p>
                  </w:txbxContent>
                </v:textbox>
                <v:fill type="solid"/>
                <w10:wrap type="topAndBottom"/>
              </v:shape>
            </w:pict>
          </mc:Fallback>
        </mc:AlternateContent>
      </w:r>
      <w:r>
        <w:rPr>
          <w:color w:val="374151"/>
          <w:shd w:fill="F7F7F8" w:color="auto" w:val="clear"/>
        </w:rPr>
        <w:t>trends</w:t>
      </w:r>
      <w:r>
        <w:rPr>
          <w:color w:val="374151"/>
          <w:spacing w:val="-4"/>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various</w:t>
      </w:r>
      <w:r>
        <w:rPr>
          <w:color w:val="374151"/>
          <w:spacing w:val="-1"/>
          <w:shd w:fill="F7F7F8" w:color="auto" w:val="clear"/>
        </w:rPr>
        <w:t> </w:t>
      </w:r>
      <w:r>
        <w:rPr>
          <w:color w:val="374151"/>
          <w:shd w:fill="F7F7F8" w:color="auto" w:val="clear"/>
        </w:rPr>
        <w:t>STIs,</w:t>
      </w:r>
      <w:r>
        <w:rPr>
          <w:color w:val="374151"/>
          <w:spacing w:val="-1"/>
          <w:shd w:fill="F7F7F8" w:color="auto" w:val="clear"/>
        </w:rPr>
        <w:t> </w:t>
      </w:r>
      <w:r>
        <w:rPr>
          <w:color w:val="374151"/>
          <w:shd w:fill="F7F7F8" w:color="auto" w:val="clear"/>
        </w:rPr>
        <w:t>including</w:t>
      </w:r>
      <w:r>
        <w:rPr>
          <w:color w:val="374151"/>
          <w:spacing w:val="-1"/>
          <w:shd w:fill="F7F7F8" w:color="auto" w:val="clear"/>
        </w:rPr>
        <w:t> </w:t>
      </w:r>
      <w:r>
        <w:rPr>
          <w:color w:val="374151"/>
          <w:shd w:fill="F7F7F8" w:color="auto" w:val="clear"/>
        </w:rPr>
        <w:t>but</w:t>
      </w:r>
      <w:r>
        <w:rPr>
          <w:color w:val="374151"/>
          <w:spacing w:val="-2"/>
          <w:shd w:fill="F7F7F8" w:color="auto" w:val="clear"/>
        </w:rPr>
        <w:t> </w:t>
      </w:r>
      <w:r>
        <w:rPr>
          <w:color w:val="374151"/>
          <w:shd w:fill="F7F7F8" w:color="auto" w:val="clear"/>
        </w:rPr>
        <w:t>not</w:t>
      </w:r>
      <w:r>
        <w:rPr>
          <w:color w:val="374151"/>
          <w:spacing w:val="-1"/>
          <w:shd w:fill="F7F7F8" w:color="auto" w:val="clear"/>
        </w:rPr>
        <w:t> </w:t>
      </w:r>
      <w:r>
        <w:rPr>
          <w:color w:val="374151"/>
          <w:shd w:fill="F7F7F8" w:color="auto" w:val="clear"/>
        </w:rPr>
        <w:t>limited</w:t>
      </w:r>
      <w:r>
        <w:rPr>
          <w:color w:val="374151"/>
          <w:spacing w:val="-1"/>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HIV/AIDS,</w:t>
      </w:r>
      <w:r>
        <w:rPr>
          <w:color w:val="374151"/>
          <w:spacing w:val="-1"/>
          <w:shd w:fill="F7F7F8" w:color="auto" w:val="clear"/>
        </w:rPr>
        <w:t> </w:t>
      </w:r>
      <w:r>
        <w:rPr>
          <w:color w:val="374151"/>
          <w:spacing w:val="-2"/>
          <w:shd w:fill="F7F7F8" w:color="auto" w:val="clear"/>
        </w:rPr>
        <w:t>chlamydia,</w:t>
      </w:r>
      <w:r>
        <w:rPr>
          <w:color w:val="374151"/>
          <w:spacing w:val="40"/>
          <w:shd w:fill="F7F7F8" w:color="auto" w:val="clear"/>
        </w:rPr>
        <w:t> </w:t>
      </w:r>
    </w:p>
    <w:p>
      <w:pPr>
        <w:pStyle w:val="BodyText"/>
        <w:spacing w:line="237" w:lineRule="auto" w:after="16"/>
        <w:ind w:left="280" w:right="498"/>
      </w:pPr>
      <w:r>
        <w:rPr>
          <w:color w:val="374151"/>
          <w:shd w:fill="F7F7F8" w:color="auto" w:val="clear"/>
        </w:rPr>
        <w:t>Sexually transmitted diseases (STDs) continue to pose significant challenges </w:t>
      </w:r>
      <w:r>
        <w:rPr>
          <w:color w:val="374151"/>
        </w:rPr>
        <w:t> </w:t>
      </w:r>
      <w:r>
        <w:rPr>
          <w:color w:val="374151"/>
          <w:shd w:fill="F7F7F8" w:color="auto" w:val="clear"/>
        </w:rPr>
        <w:t>to global public</w:t>
      </w:r>
      <w:r>
        <w:rPr>
          <w:color w:val="374151"/>
          <w:spacing w:val="-1"/>
          <w:shd w:fill="F7F7F8" w:color="auto" w:val="clear"/>
        </w:rPr>
        <w:t> </w:t>
      </w:r>
      <w:r>
        <w:rPr>
          <w:color w:val="374151"/>
          <w:shd w:fill="F7F7F8" w:color="auto" w:val="clear"/>
        </w:rPr>
        <w:t>health, with high incidence</w:t>
      </w:r>
      <w:r>
        <w:rPr>
          <w:color w:val="374151"/>
          <w:spacing w:val="-1"/>
          <w:shd w:fill="F7F7F8" w:color="auto" w:val="clear"/>
        </w:rPr>
        <w:t> </w:t>
      </w:r>
      <w:r>
        <w:rPr>
          <w:color w:val="374151"/>
          <w:shd w:fill="F7F7F8" w:color="auto" w:val="clear"/>
        </w:rPr>
        <w:t>rates observed across most parts of</w:t>
      </w:r>
      <w:r>
        <w:rPr>
          <w:color w:val="374151"/>
        </w:rPr>
        <w:t> </w:t>
      </w:r>
      <w:r>
        <w:rPr>
          <w:color w:val="374151"/>
          <w:shd w:fill="F7F7F8" w:color="auto" w:val="clear"/>
        </w:rPr>
        <w:t>the world. In recent years, shifting sexual beliefs and the widespread use of </w:t>
      </w:r>
      <w:r>
        <w:rPr>
          <w:color w:val="374151"/>
        </w:rPr>
        <w:t> </w:t>
      </w:r>
      <w:r>
        <w:rPr>
          <w:color w:val="374151"/>
          <w:shd w:fill="F7F7F8" w:color="auto" w:val="clear"/>
        </w:rPr>
        <w:t>oral contraceptives have led to profound changes in traditional sexual </w:t>
      </w:r>
      <w:r>
        <w:rPr>
          <w:color w:val="374151"/>
        </w:rPr>
        <w:t> </w:t>
      </w:r>
      <w:r>
        <w:rPr>
          <w:color w:val="374151"/>
          <w:shd w:fill="F7F7F8" w:color="auto" w:val="clear"/>
        </w:rPr>
        <w:t>restraints, particularly for women. Furthermore, the emergence of drug-</w:t>
      </w:r>
      <w:r>
        <w:rPr>
          <w:color w:val="374151"/>
        </w:rPr>
        <w:t> </w:t>
      </w:r>
      <w:r>
        <w:rPr>
          <w:color w:val="374151"/>
          <w:shd w:fill="F7F7F8" w:color="auto" w:val="clear"/>
        </w:rPr>
        <w:t>resistant bacteria, such as penicillin-resistant gonococci, has made the </w:t>
      </w:r>
      <w:r>
        <w:rPr>
          <w:color w:val="374151"/>
        </w:rPr>
        <w:t> </w:t>
      </w:r>
      <w:r>
        <w:rPr>
          <w:color w:val="374151"/>
          <w:shd w:fill="F7F7F8" w:color="auto" w:val="clear"/>
        </w:rPr>
        <w:t>treatment of certain STDs more complex and challenging. Mental health </w:t>
      </w:r>
      <w:r>
        <w:rPr>
          <w:color w:val="374151"/>
        </w:rPr>
        <w:t> </w:t>
      </w:r>
      <w:r>
        <w:rPr>
          <w:color w:val="374151"/>
          <w:shd w:fill="F7F7F8" w:color="auto" w:val="clear"/>
        </w:rPr>
        <w:t>professionals</w:t>
      </w:r>
      <w:r>
        <w:rPr>
          <w:color w:val="374151"/>
          <w:spacing w:val="-4"/>
          <w:shd w:fill="F7F7F8" w:color="auto" w:val="clear"/>
        </w:rPr>
        <w:t> </w:t>
      </w:r>
      <w:r>
        <w:rPr>
          <w:color w:val="374151"/>
          <w:shd w:fill="F7F7F8" w:color="auto" w:val="clear"/>
        </w:rPr>
        <w:t>play</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hd w:fill="F7F7F8" w:color="auto" w:val="clear"/>
        </w:rPr>
        <w:t>crucial</w:t>
      </w:r>
      <w:r>
        <w:rPr>
          <w:color w:val="374151"/>
          <w:spacing w:val="-4"/>
          <w:shd w:fill="F7F7F8" w:color="auto" w:val="clear"/>
        </w:rPr>
        <w:t> </w:t>
      </w:r>
      <w:r>
        <w:rPr>
          <w:color w:val="374151"/>
          <w:shd w:fill="F7F7F8" w:color="auto" w:val="clear"/>
        </w:rPr>
        <w:t>role</w:t>
      </w:r>
      <w:r>
        <w:rPr>
          <w:color w:val="374151"/>
          <w:spacing w:val="-5"/>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addressing</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psychological</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emotional</w:t>
      </w:r>
      <w:r>
        <w:rPr>
          <w:color w:val="374151"/>
          <w:spacing w:val="-12"/>
          <w:shd w:fill="F7F7F8" w:color="auto" w:val="clear"/>
        </w:rPr>
        <w:t> </w:t>
      </w:r>
      <w:r>
        <w:rPr>
          <w:color w:val="374151"/>
          <w:spacing w:val="-12"/>
        </w:rPr>
        <w:t> </w:t>
      </w:r>
      <w:r>
        <w:rPr>
          <w:color w:val="374151"/>
          <w:shd w:fill="F7F7F8" w:color="auto" w:val="clear"/>
        </w:rPr>
        <w:t>impacts of STDs, as well as promoting preventive strategies and effective </w:t>
      </w:r>
      <w:r>
        <w:rPr>
          <w:color w:val="374151"/>
        </w:rPr>
        <w:t> </w:t>
      </w:r>
      <w:r>
        <w:rPr>
          <w:color w:val="374151"/>
          <w:shd w:fill="F7F7F8" w:color="auto" w:val="clear"/>
        </w:rPr>
        <w:t>treatment. In this article, we will explore the evolving landscape of STDs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562475" cy="393700"/>
                <wp:effectExtent l="0" t="0" r="0" b="0"/>
                <wp:docPr id="303" name="Textbox 303"/>
                <wp:cNvGraphicFramePr>
                  <a:graphicFrameLocks/>
                </wp:cNvGraphicFramePr>
                <a:graphic>
                  <a:graphicData uri="http://schemas.microsoft.com/office/word/2010/wordprocessingShape">
                    <wps:wsp>
                      <wps:cNvPr id="303" name="Textbox 303"/>
                      <wps:cNvSpPr txBox="1"/>
                      <wps:spPr>
                        <a:xfrm>
                          <a:off x="0" y="0"/>
                          <a:ext cx="4562475" cy="393700"/>
                        </a:xfrm>
                        <a:prstGeom prst="rect">
                          <a:avLst/>
                        </a:prstGeom>
                        <a:solidFill>
                          <a:srgbClr val="F7F7F8"/>
                        </a:solidFill>
                      </wps:spPr>
                      <wps:txbx>
                        <w:txbxContent>
                          <w:p>
                            <w:pPr>
                              <w:pStyle w:val="BodyText"/>
                              <w:spacing w:line="308" w:lineRule="exact"/>
                              <w:ind w:right="-15"/>
                              <w:rPr>
                                <w:color w:val="000000"/>
                              </w:rPr>
                            </w:pPr>
                            <w:r>
                              <w:rPr>
                                <w:color w:val="374151"/>
                              </w:rPr>
                              <w:t>highlight</w:t>
                            </w:r>
                            <w:r>
                              <w:rPr>
                                <w:color w:val="374151"/>
                                <w:spacing w:val="-2"/>
                              </w:rPr>
                              <w:t> </w:t>
                            </w:r>
                            <w:r>
                              <w:rPr>
                                <w:color w:val="374151"/>
                              </w:rPr>
                              <w:t>the</w:t>
                            </w:r>
                            <w:r>
                              <w:rPr>
                                <w:color w:val="374151"/>
                                <w:spacing w:val="-3"/>
                              </w:rPr>
                              <w:t> </w:t>
                            </w:r>
                            <w:r>
                              <w:rPr>
                                <w:color w:val="374151"/>
                              </w:rPr>
                              <w:t>key</w:t>
                            </w:r>
                            <w:r>
                              <w:rPr>
                                <w:color w:val="374151"/>
                                <w:spacing w:val="-2"/>
                              </w:rPr>
                              <w:t> </w:t>
                            </w:r>
                            <w:r>
                              <w:rPr>
                                <w:color w:val="374151"/>
                              </w:rPr>
                              <w:t>considerations</w:t>
                            </w:r>
                            <w:r>
                              <w:rPr>
                                <w:color w:val="374151"/>
                                <w:spacing w:val="-1"/>
                              </w:rPr>
                              <w:t> </w:t>
                            </w:r>
                            <w:r>
                              <w:rPr>
                                <w:color w:val="374151"/>
                              </w:rPr>
                              <w:t>for</w:t>
                            </w:r>
                            <w:r>
                              <w:rPr>
                                <w:color w:val="374151"/>
                                <w:spacing w:val="-2"/>
                              </w:rPr>
                              <w:t> </w:t>
                            </w:r>
                            <w:r>
                              <w:rPr>
                                <w:color w:val="374151"/>
                              </w:rPr>
                              <w:t>mental</w:t>
                            </w:r>
                            <w:r>
                              <w:rPr>
                                <w:color w:val="374151"/>
                                <w:spacing w:val="-2"/>
                              </w:rPr>
                              <w:t> </w:t>
                            </w:r>
                            <w:r>
                              <w:rPr>
                                <w:color w:val="374151"/>
                              </w:rPr>
                              <w:t>health</w:t>
                            </w:r>
                            <w:r>
                              <w:rPr>
                                <w:color w:val="374151"/>
                                <w:spacing w:val="-1"/>
                              </w:rPr>
                              <w:t> </w:t>
                            </w:r>
                            <w:r>
                              <w:rPr>
                                <w:color w:val="374151"/>
                                <w:spacing w:val="-2"/>
                              </w:rPr>
                              <w:t>professionals.</w:t>
                            </w:r>
                          </w:p>
                        </w:txbxContent>
                      </wps:txbx>
                      <wps:bodyPr wrap="square" lIns="0" tIns="0" rIns="0" bIns="0" rtlCol="0">
                        <a:noAutofit/>
                      </wps:bodyPr>
                    </wps:wsp>
                  </a:graphicData>
                </a:graphic>
              </wp:inline>
            </w:drawing>
          </mc:Choice>
          <mc:Fallback>
            <w:pict>
              <v:shape style="width:359.25pt;height:31pt;mso-position-horizontal-relative:char;mso-position-vertical-relative:line" type="#_x0000_t202" id="docshape302" filled="true" fillcolor="#f7f7f8" stroked="false">
                <w10:anchorlock/>
                <v:textbox inset="0,0,0,0">
                  <w:txbxContent>
                    <w:p>
                      <w:pPr>
                        <w:pStyle w:val="BodyText"/>
                        <w:spacing w:line="308" w:lineRule="exact"/>
                        <w:ind w:right="-15"/>
                        <w:rPr>
                          <w:color w:val="000000"/>
                        </w:rPr>
                      </w:pPr>
                      <w:r>
                        <w:rPr>
                          <w:color w:val="374151"/>
                        </w:rPr>
                        <w:t>highlight</w:t>
                      </w:r>
                      <w:r>
                        <w:rPr>
                          <w:color w:val="374151"/>
                          <w:spacing w:val="-2"/>
                        </w:rPr>
                        <w:t> </w:t>
                      </w:r>
                      <w:r>
                        <w:rPr>
                          <w:color w:val="374151"/>
                        </w:rPr>
                        <w:t>the</w:t>
                      </w:r>
                      <w:r>
                        <w:rPr>
                          <w:color w:val="374151"/>
                          <w:spacing w:val="-3"/>
                        </w:rPr>
                        <w:t> </w:t>
                      </w:r>
                      <w:r>
                        <w:rPr>
                          <w:color w:val="374151"/>
                        </w:rPr>
                        <w:t>key</w:t>
                      </w:r>
                      <w:r>
                        <w:rPr>
                          <w:color w:val="374151"/>
                          <w:spacing w:val="-2"/>
                        </w:rPr>
                        <w:t> </w:t>
                      </w:r>
                      <w:r>
                        <w:rPr>
                          <w:color w:val="374151"/>
                        </w:rPr>
                        <w:t>considerations</w:t>
                      </w:r>
                      <w:r>
                        <w:rPr>
                          <w:color w:val="374151"/>
                          <w:spacing w:val="-1"/>
                        </w:rPr>
                        <w:t> </w:t>
                      </w:r>
                      <w:r>
                        <w:rPr>
                          <w:color w:val="374151"/>
                        </w:rPr>
                        <w:t>for</w:t>
                      </w:r>
                      <w:r>
                        <w:rPr>
                          <w:color w:val="374151"/>
                          <w:spacing w:val="-2"/>
                        </w:rPr>
                        <w:t> </w:t>
                      </w:r>
                      <w:r>
                        <w:rPr>
                          <w:color w:val="374151"/>
                        </w:rPr>
                        <w:t>mental</w:t>
                      </w:r>
                      <w:r>
                        <w:rPr>
                          <w:color w:val="374151"/>
                          <w:spacing w:val="-2"/>
                        </w:rPr>
                        <w:t> </w:t>
                      </w:r>
                      <w:r>
                        <w:rPr>
                          <w:color w:val="374151"/>
                        </w:rPr>
                        <w:t>health</w:t>
                      </w:r>
                      <w:r>
                        <w:rPr>
                          <w:color w:val="374151"/>
                          <w:spacing w:val="-1"/>
                        </w:rPr>
                        <w:t> </w:t>
                      </w:r>
                      <w:r>
                        <w:rPr>
                          <w:color w:val="374151"/>
                          <w:spacing w:val="-2"/>
                        </w:rPr>
                        <w:t>professionals.</w:t>
                      </w:r>
                    </w:p>
                  </w:txbxContent>
                </v:textbox>
                <v:fill type="solid"/>
              </v:shape>
            </w:pict>
          </mc:Fallback>
        </mc:AlternateContent>
      </w:r>
      <w:r>
        <w:rPr>
          <w:sz w:val="20"/>
        </w:rPr>
      </w:r>
    </w:p>
    <w:p>
      <w:pPr>
        <w:pStyle w:val="BodyText"/>
        <w:spacing w:line="282" w:lineRule="exact"/>
        <w:ind w:left="280"/>
      </w:pPr>
      <w:r>
        <w:rPr>
          <w:color w:val="374151"/>
          <w:shd w:fill="F7F7F8" w:color="auto" w:val="clear"/>
        </w:rPr>
        <w:t>One</w:t>
      </w:r>
      <w:r>
        <w:rPr>
          <w:color w:val="374151"/>
          <w:spacing w:val="-2"/>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primary</w:t>
      </w:r>
      <w:r>
        <w:rPr>
          <w:color w:val="374151"/>
          <w:spacing w:val="-1"/>
          <w:shd w:fill="F7F7F8" w:color="auto" w:val="clear"/>
        </w:rPr>
        <w:t> </w:t>
      </w:r>
      <w:r>
        <w:rPr>
          <w:color w:val="374151"/>
          <w:shd w:fill="F7F7F8" w:color="auto" w:val="clear"/>
        </w:rPr>
        <w:t>factors contributing</w:t>
      </w:r>
      <w:r>
        <w:rPr>
          <w:color w:val="374151"/>
          <w:spacing w:val="-1"/>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high incidence</w:t>
      </w:r>
      <w:r>
        <w:rPr>
          <w:color w:val="374151"/>
          <w:spacing w:val="-2"/>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STDs</w:t>
      </w:r>
      <w:r>
        <w:rPr>
          <w:color w:val="374151"/>
          <w:spacing w:val="-1"/>
          <w:shd w:fill="F7F7F8" w:color="auto" w:val="clear"/>
        </w:rPr>
        <w:t> </w:t>
      </w:r>
      <w:r>
        <w:rPr>
          <w:color w:val="374151"/>
          <w:shd w:fill="F7F7F8" w:color="auto" w:val="clear"/>
        </w:rPr>
        <w:t>is </w:t>
      </w:r>
      <w:r>
        <w:rPr>
          <w:color w:val="374151"/>
          <w:spacing w:val="-5"/>
          <w:shd w:fill="F7F7F8" w:color="auto" w:val="clear"/>
        </w:rPr>
        <w:t>the</w:t>
      </w:r>
      <w:r>
        <w:rPr>
          <w:color w:val="374151"/>
          <w:spacing w:val="40"/>
          <w:shd w:fill="F7F7F8" w:color="auto" w:val="clear"/>
        </w:rPr>
        <w:t> </w:t>
      </w:r>
    </w:p>
    <w:p>
      <w:pPr>
        <w:pStyle w:val="BodyText"/>
        <w:spacing w:after="3"/>
        <w:ind w:left="280" w:right="544"/>
      </w:pPr>
      <w:r>
        <w:rPr>
          <w:color w:val="374151"/>
          <w:shd w:fill="F7F7F8" w:color="auto" w:val="clear"/>
        </w:rPr>
        <w:t>transformation of sexual beliefs and practices. In many societies, there has </w:t>
      </w:r>
      <w:r>
        <w:rPr>
          <w:color w:val="374151"/>
        </w:rPr>
        <w:t> </w:t>
      </w:r>
      <w:r>
        <w:rPr>
          <w:color w:val="374151"/>
          <w:shd w:fill="F7F7F8" w:color="auto" w:val="clear"/>
        </w:rPr>
        <w:t>been a gradual shift away from traditional sexual restraints, leading to </w:t>
      </w:r>
      <w:r>
        <w:rPr>
          <w:color w:val="374151"/>
        </w:rPr>
        <w:t> </w:t>
      </w:r>
      <w:r>
        <w:rPr>
          <w:color w:val="374151"/>
          <w:shd w:fill="F7F7F8" w:color="auto" w:val="clear"/>
        </w:rPr>
        <w:t>increased</w:t>
      </w:r>
      <w:r>
        <w:rPr>
          <w:color w:val="374151"/>
          <w:spacing w:val="-3"/>
          <w:shd w:fill="F7F7F8" w:color="auto" w:val="clear"/>
        </w:rPr>
        <w:t> </w:t>
      </w:r>
      <w:r>
        <w:rPr>
          <w:color w:val="374151"/>
          <w:shd w:fill="F7F7F8" w:color="auto" w:val="clear"/>
        </w:rPr>
        <w:t>sexual</w:t>
      </w:r>
      <w:r>
        <w:rPr>
          <w:color w:val="374151"/>
          <w:spacing w:val="-3"/>
          <w:shd w:fill="F7F7F8" w:color="auto" w:val="clear"/>
        </w:rPr>
        <w:t> </w:t>
      </w:r>
      <w:r>
        <w:rPr>
          <w:color w:val="374151"/>
          <w:shd w:fill="F7F7F8" w:color="auto" w:val="clear"/>
        </w:rPr>
        <w:t>activity</w:t>
      </w:r>
      <w:r>
        <w:rPr>
          <w:color w:val="374151"/>
          <w:spacing w:val="-3"/>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greater</w:t>
      </w:r>
      <w:r>
        <w:rPr>
          <w:color w:val="374151"/>
          <w:spacing w:val="-3"/>
          <w:shd w:fill="F7F7F8" w:color="auto" w:val="clear"/>
        </w:rPr>
        <w:t> </w:t>
      </w:r>
      <w:r>
        <w:rPr>
          <w:color w:val="374151"/>
          <w:shd w:fill="F7F7F8" w:color="auto" w:val="clear"/>
        </w:rPr>
        <w:t>number</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partners.</w:t>
      </w:r>
      <w:r>
        <w:rPr>
          <w:color w:val="374151"/>
          <w:spacing w:val="-9"/>
          <w:shd w:fill="F7F7F8" w:color="auto" w:val="clear"/>
        </w:rPr>
        <w:t> </w:t>
      </w:r>
      <w:r>
        <w:rPr>
          <w:color w:val="374151"/>
          <w:shd w:fill="F7F7F8" w:color="auto" w:val="clear"/>
        </w:rPr>
        <w:t>This</w:t>
      </w:r>
      <w:r>
        <w:rPr>
          <w:color w:val="374151"/>
          <w:spacing w:val="-3"/>
          <w:shd w:fill="F7F7F8" w:color="auto" w:val="clear"/>
        </w:rPr>
        <w:t> </w:t>
      </w:r>
      <w:r>
        <w:rPr>
          <w:color w:val="374151"/>
          <w:shd w:fill="F7F7F8" w:color="auto" w:val="clear"/>
        </w:rPr>
        <w:t>change,</w:t>
      </w:r>
      <w:r>
        <w:rPr>
          <w:color w:val="374151"/>
          <w:spacing w:val="-13"/>
          <w:shd w:fill="F7F7F8" w:color="auto" w:val="clear"/>
        </w:rPr>
        <w:t> </w:t>
      </w:r>
      <w:r>
        <w:rPr>
          <w:color w:val="374151"/>
          <w:spacing w:val="-13"/>
        </w:rPr>
        <w:t> </w:t>
      </w:r>
      <w:r>
        <w:rPr>
          <w:color w:val="374151"/>
          <w:shd w:fill="F7F7F8" w:color="auto" w:val="clear"/>
        </w:rPr>
        <w:t>coupled with limited awareness about safe sexual practices and a lack of </w:t>
      </w:r>
      <w:r>
        <w:rPr>
          <w:color w:val="374151"/>
        </w:rPr>
        <w:t> </w:t>
      </w:r>
      <w:r>
        <w:rPr>
          <w:color w:val="374151"/>
          <w:shd w:fill="F7F7F8" w:color="auto" w:val="clear"/>
        </w:rPr>
        <w:t>comprehensive sex education, has resulted in a higher risk of contracting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1353820" cy="393700"/>
                <wp:effectExtent l="0" t="0" r="0" b="0"/>
                <wp:docPr id="304" name="Textbox 304"/>
                <wp:cNvGraphicFramePr>
                  <a:graphicFrameLocks/>
                </wp:cNvGraphicFramePr>
                <a:graphic>
                  <a:graphicData uri="http://schemas.microsoft.com/office/word/2010/wordprocessingShape">
                    <wps:wsp>
                      <wps:cNvPr id="304" name="Textbox 304"/>
                      <wps:cNvSpPr txBox="1"/>
                      <wps:spPr>
                        <a:xfrm>
                          <a:off x="0" y="0"/>
                          <a:ext cx="1353820" cy="393700"/>
                        </a:xfrm>
                        <a:prstGeom prst="rect">
                          <a:avLst/>
                        </a:prstGeom>
                        <a:solidFill>
                          <a:srgbClr val="F7F7F8"/>
                        </a:solidFill>
                      </wps:spPr>
                      <wps:txbx>
                        <w:txbxContent>
                          <w:p>
                            <w:pPr>
                              <w:pStyle w:val="BodyText"/>
                              <w:spacing w:line="308" w:lineRule="exact"/>
                              <w:rPr>
                                <w:color w:val="000000"/>
                              </w:rPr>
                            </w:pPr>
                            <w:r>
                              <w:rPr>
                                <w:color w:val="374151"/>
                              </w:rPr>
                              <w:t>transmitting</w:t>
                            </w:r>
                            <w:r>
                              <w:rPr>
                                <w:color w:val="374151"/>
                                <w:spacing w:val="-4"/>
                              </w:rPr>
                              <w:t> </w:t>
                            </w:r>
                            <w:r>
                              <w:rPr>
                                <w:color w:val="374151"/>
                                <w:spacing w:val="-2"/>
                              </w:rPr>
                              <w:t>STDs.</w:t>
                            </w:r>
                          </w:p>
                        </w:txbxContent>
                      </wps:txbx>
                      <wps:bodyPr wrap="square" lIns="0" tIns="0" rIns="0" bIns="0" rtlCol="0">
                        <a:noAutofit/>
                      </wps:bodyPr>
                    </wps:wsp>
                  </a:graphicData>
                </a:graphic>
              </wp:inline>
            </w:drawing>
          </mc:Choice>
          <mc:Fallback>
            <w:pict>
              <v:shape style="width:106.6pt;height:31pt;mso-position-horizontal-relative:char;mso-position-vertical-relative:line" type="#_x0000_t202" id="docshape303" filled="true" fillcolor="#f7f7f8" stroked="false">
                <w10:anchorlock/>
                <v:textbox inset="0,0,0,0">
                  <w:txbxContent>
                    <w:p>
                      <w:pPr>
                        <w:pStyle w:val="BodyText"/>
                        <w:spacing w:line="308" w:lineRule="exact"/>
                        <w:rPr>
                          <w:color w:val="000000"/>
                        </w:rPr>
                      </w:pPr>
                      <w:r>
                        <w:rPr>
                          <w:color w:val="374151"/>
                        </w:rPr>
                        <w:t>transmitting</w:t>
                      </w:r>
                      <w:r>
                        <w:rPr>
                          <w:color w:val="374151"/>
                          <w:spacing w:val="-4"/>
                        </w:rPr>
                        <w:t> </w:t>
                      </w:r>
                      <w:r>
                        <w:rPr>
                          <w:color w:val="374151"/>
                          <w:spacing w:val="-2"/>
                        </w:rPr>
                        <w:t>STDs.</w:t>
                      </w:r>
                    </w:p>
                  </w:txbxContent>
                </v:textbox>
                <v:fill type="solid"/>
              </v:shape>
            </w:pict>
          </mc:Fallback>
        </mc:AlternateContent>
      </w:r>
      <w:r>
        <w:rPr>
          <w:sz w:val="20"/>
        </w:rPr>
      </w:r>
    </w:p>
    <w:p>
      <w:pPr>
        <w:pStyle w:val="BodyText"/>
        <w:spacing w:line="282" w:lineRule="exact"/>
        <w:ind w:left="280"/>
      </w:pPr>
      <w:r>
        <w:rPr>
          <w:color w:val="374151"/>
          <w:shd w:fill="F7F7F8" w:color="auto" w:val="clear"/>
        </w:rPr>
        <w:t>The</w:t>
      </w:r>
      <w:r>
        <w:rPr>
          <w:color w:val="374151"/>
          <w:spacing w:val="-3"/>
          <w:shd w:fill="F7F7F8" w:color="auto" w:val="clear"/>
        </w:rPr>
        <w:t> </w:t>
      </w:r>
      <w:r>
        <w:rPr>
          <w:color w:val="374151"/>
          <w:shd w:fill="F7F7F8" w:color="auto" w:val="clear"/>
        </w:rPr>
        <w:t>empowerment</w:t>
      </w:r>
      <w:r>
        <w:rPr>
          <w:color w:val="374151"/>
          <w:spacing w:val="-2"/>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women</w:t>
      </w:r>
      <w:r>
        <w:rPr>
          <w:color w:val="374151"/>
          <w:spacing w:val="-1"/>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availability</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oral</w:t>
      </w:r>
      <w:r>
        <w:rPr>
          <w:color w:val="374151"/>
          <w:spacing w:val="-2"/>
          <w:shd w:fill="F7F7F8" w:color="auto" w:val="clear"/>
        </w:rPr>
        <w:t> </w:t>
      </w:r>
      <w:r>
        <w:rPr>
          <w:color w:val="374151"/>
          <w:shd w:fill="F7F7F8" w:color="auto" w:val="clear"/>
        </w:rPr>
        <w:t>contraceptives</w:t>
      </w:r>
      <w:r>
        <w:rPr>
          <w:color w:val="374151"/>
          <w:spacing w:val="-1"/>
          <w:shd w:fill="F7F7F8" w:color="auto" w:val="clear"/>
        </w:rPr>
        <w:t> </w:t>
      </w:r>
      <w:r>
        <w:rPr>
          <w:color w:val="374151"/>
          <w:spacing w:val="-4"/>
          <w:shd w:fill="F7F7F8" w:color="auto" w:val="clear"/>
        </w:rPr>
        <w:t>have</w:t>
      </w:r>
      <w:r>
        <w:rPr>
          <w:color w:val="374151"/>
          <w:spacing w:val="40"/>
          <w:shd w:fill="F7F7F8" w:color="auto" w:val="clear"/>
        </w:rPr>
        <w:t> </w:t>
      </w:r>
    </w:p>
    <w:p>
      <w:pPr>
        <w:pStyle w:val="BodyText"/>
        <w:ind w:left="280" w:right="502"/>
      </w:pPr>
      <w:r>
        <w:rPr>
          <w:color w:val="374151"/>
          <w:shd w:fill="F7F7F8" w:color="auto" w:val="clear"/>
        </w:rPr>
        <w:t>significantly impacted sexual behavior and STD rates. The accessibility and </w:t>
      </w:r>
      <w:r>
        <w:rPr>
          <w:color w:val="374151"/>
        </w:rPr>
        <w:t> </w:t>
      </w:r>
      <w:r>
        <w:rPr>
          <w:color w:val="374151"/>
          <w:shd w:fill="F7F7F8" w:color="auto" w:val="clear"/>
        </w:rPr>
        <w:t>effectiveness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contraception</w:t>
      </w:r>
      <w:r>
        <w:rPr>
          <w:color w:val="374151"/>
          <w:spacing w:val="-4"/>
          <w:shd w:fill="F7F7F8" w:color="auto" w:val="clear"/>
        </w:rPr>
        <w:t> </w:t>
      </w:r>
      <w:r>
        <w:rPr>
          <w:color w:val="374151"/>
          <w:shd w:fill="F7F7F8" w:color="auto" w:val="clear"/>
        </w:rPr>
        <w:t>have</w:t>
      </w:r>
      <w:r>
        <w:rPr>
          <w:color w:val="374151"/>
          <w:spacing w:val="-5"/>
          <w:shd w:fill="F7F7F8" w:color="auto" w:val="clear"/>
        </w:rPr>
        <w:t> </w:t>
      </w:r>
      <w:r>
        <w:rPr>
          <w:color w:val="374151"/>
          <w:shd w:fill="F7F7F8" w:color="auto" w:val="clear"/>
        </w:rPr>
        <w:t>allowed</w:t>
      </w:r>
      <w:r>
        <w:rPr>
          <w:color w:val="374151"/>
          <w:spacing w:val="-4"/>
          <w:shd w:fill="F7F7F8" w:color="auto" w:val="clear"/>
        </w:rPr>
        <w:t> </w:t>
      </w:r>
      <w:r>
        <w:rPr>
          <w:color w:val="374151"/>
          <w:shd w:fill="F7F7F8" w:color="auto" w:val="clear"/>
        </w:rPr>
        <w:t>women</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exercise</w:t>
      </w:r>
      <w:r>
        <w:rPr>
          <w:color w:val="374151"/>
          <w:spacing w:val="-5"/>
          <w:shd w:fill="F7F7F8" w:color="auto" w:val="clear"/>
        </w:rPr>
        <w:t> </w:t>
      </w:r>
      <w:r>
        <w:rPr>
          <w:color w:val="374151"/>
          <w:shd w:fill="F7F7F8" w:color="auto" w:val="clear"/>
        </w:rPr>
        <w:t>greater</w:t>
      </w:r>
      <w:r>
        <w:rPr>
          <w:color w:val="374151"/>
          <w:spacing w:val="-4"/>
          <w:shd w:fill="F7F7F8" w:color="auto" w:val="clear"/>
        </w:rPr>
        <w:t> </w:t>
      </w:r>
      <w:r>
        <w:rPr>
          <w:color w:val="374151"/>
          <w:shd w:fill="F7F7F8" w:color="auto" w:val="clear"/>
        </w:rPr>
        <w:t>control</w:t>
      </w:r>
      <w:r>
        <w:rPr>
          <w:color w:val="374151"/>
          <w:spacing w:val="-5"/>
          <w:shd w:fill="F7F7F8" w:color="auto" w:val="clear"/>
        </w:rPr>
        <w:t> </w:t>
      </w:r>
      <w:r>
        <w:rPr>
          <w:color w:val="374151"/>
          <w:spacing w:val="-5"/>
        </w:rPr>
        <w:t> </w:t>
      </w:r>
      <w:r>
        <w:rPr>
          <w:color w:val="374151"/>
          <w:shd w:fill="F7F7F8" w:color="auto" w:val="clear"/>
        </w:rPr>
        <w:t>over their reproductive choices, leading to increased sexual freedom. While </w:t>
      </w:r>
      <w:r>
        <w:rPr>
          <w:color w:val="374151"/>
        </w:rPr>
        <w:t> </w:t>
      </w:r>
      <w:r>
        <w:rPr>
          <w:color w:val="374151"/>
          <w:shd w:fill="F7F7F8" w:color="auto" w:val="clear"/>
        </w:rPr>
        <w:t>empowering, this shift has also brought about new challenges, as women may </w:t>
      </w:r>
      <w:r>
        <w:rPr>
          <w:color w:val="374151"/>
        </w:rPr>
        <w:t> </w:t>
      </w:r>
      <w:r>
        <w:rPr>
          <w:color w:val="374151"/>
          <w:shd w:fill="F7F7F8" w:color="auto" w:val="clear"/>
        </w:rPr>
        <w:t>engage</w:t>
      </w:r>
      <w:r>
        <w:rPr>
          <w:color w:val="374151"/>
          <w:spacing w:val="-2"/>
          <w:shd w:fill="F7F7F8" w:color="auto" w:val="clear"/>
        </w:rPr>
        <w:t> </w:t>
      </w:r>
      <w:r>
        <w:rPr>
          <w:color w:val="374151"/>
          <w:shd w:fill="F7F7F8" w:color="auto" w:val="clear"/>
        </w:rPr>
        <w:t>in</w:t>
      </w:r>
      <w:r>
        <w:rPr>
          <w:color w:val="374151"/>
          <w:spacing w:val="-1"/>
          <w:shd w:fill="F7F7F8" w:color="auto" w:val="clear"/>
        </w:rPr>
        <w:t> </w:t>
      </w:r>
      <w:r>
        <w:rPr>
          <w:color w:val="374151"/>
          <w:shd w:fill="F7F7F8" w:color="auto" w:val="clear"/>
        </w:rPr>
        <w:t>sexual</w:t>
      </w:r>
      <w:r>
        <w:rPr>
          <w:color w:val="374151"/>
          <w:spacing w:val="-1"/>
          <w:shd w:fill="F7F7F8" w:color="auto" w:val="clear"/>
        </w:rPr>
        <w:t> </w:t>
      </w:r>
      <w:r>
        <w:rPr>
          <w:color w:val="374151"/>
          <w:shd w:fill="F7F7F8" w:color="auto" w:val="clear"/>
        </w:rPr>
        <w:t>relationships</w:t>
      </w:r>
      <w:r>
        <w:rPr>
          <w:color w:val="374151"/>
          <w:spacing w:val="-1"/>
          <w:shd w:fill="F7F7F8" w:color="auto" w:val="clear"/>
        </w:rPr>
        <w:t> </w:t>
      </w:r>
      <w:r>
        <w:rPr>
          <w:color w:val="374151"/>
          <w:shd w:fill="F7F7F8" w:color="auto" w:val="clear"/>
        </w:rPr>
        <w:t>without</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sole</w:t>
      </w:r>
      <w:r>
        <w:rPr>
          <w:color w:val="374151"/>
          <w:spacing w:val="-2"/>
          <w:shd w:fill="F7F7F8" w:color="auto" w:val="clear"/>
        </w:rPr>
        <w:t> </w:t>
      </w:r>
      <w:r>
        <w:rPr>
          <w:color w:val="374151"/>
          <w:shd w:fill="F7F7F8" w:color="auto" w:val="clear"/>
        </w:rPr>
        <w:t>purpose</w:t>
      </w:r>
      <w:r>
        <w:rPr>
          <w:color w:val="374151"/>
          <w:spacing w:val="-2"/>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procreation.</w:t>
      </w:r>
      <w:r>
        <w:rPr>
          <w:color w:val="374151"/>
          <w:spacing w:val="-1"/>
          <w:shd w:fill="F7F7F8" w:color="auto" w:val="clear"/>
        </w:rPr>
        <w:t> </w:t>
      </w:r>
      <w:r>
        <w:rPr>
          <w:color w:val="374151"/>
          <w:shd w:fill="F7F7F8" w:color="auto" w:val="clear"/>
        </w:rPr>
        <w:t>Mental</w:t>
      </w:r>
      <w:r>
        <w:rPr>
          <w:color w:val="374151"/>
          <w:spacing w:val="-2"/>
          <w:shd w:fill="F7F7F8" w:color="auto" w:val="clear"/>
        </w:rPr>
        <w:t> </w:t>
      </w:r>
      <w:r>
        <w:rPr>
          <w:color w:val="374151"/>
          <w:spacing w:val="-2"/>
        </w:rPr>
        <w:t> </w:t>
      </w:r>
      <w:r>
        <w:rPr>
          <w:color w:val="374151"/>
          <w:shd w:fill="F7F7F8" w:color="auto" w:val="clear"/>
        </w:rPr>
        <w:t>health professionals must recognize the potential emotional consequences and </w:t>
      </w:r>
      <w:r>
        <w:rPr>
          <w:color w:val="374151"/>
        </w:rPr>
        <w:t> </w:t>
      </w:r>
      <w:r>
        <w:rPr>
          <w:color w:val="374151"/>
          <w:shd w:fill="F7F7F8" w:color="auto" w:val="clear"/>
        </w:rPr>
        <w:t>provide support and guidance to women navigating these changes,</w:t>
      </w:r>
      <w:r>
        <w:rPr>
          <w:color w:val="374151"/>
          <w:spacing w:val="40"/>
          <w:shd w:fill="F7F7F8" w:color="auto" w:val="clear"/>
        </w:rPr>
        <w:t> </w:t>
      </w:r>
    </w:p>
    <w:p>
      <w:pPr>
        <w:pStyle w:val="BodyText"/>
        <w:rPr>
          <w:sz w:val="20"/>
        </w:rPr>
      </w:pPr>
    </w:p>
    <w:p>
      <w:pPr>
        <w:pStyle w:val="BodyText"/>
        <w:spacing w:before="11"/>
        <w:rPr>
          <w:sz w:val="24"/>
        </w:rPr>
      </w:pPr>
    </w:p>
    <w:p>
      <w:pPr>
        <w:pStyle w:val="BodyText"/>
        <w:spacing w:before="88"/>
        <w:ind w:left="280" w:right="502"/>
      </w:pPr>
      <w:r>
        <w:rPr/>
        <mc:AlternateContent>
          <mc:Choice Requires="wps">
            <w:drawing>
              <wp:anchor distT="0" distB="0" distL="0" distR="0" allowOverlap="1" layoutInCell="1" locked="0" behindDoc="0" simplePos="0" relativeHeight="15801344">
                <wp:simplePos x="0" y="0"/>
                <wp:positionH relativeFrom="page">
                  <wp:posOffset>1066800</wp:posOffset>
                </wp:positionH>
                <wp:positionV relativeFrom="paragraph">
                  <wp:posOffset>-329014</wp:posOffset>
                </wp:positionV>
                <wp:extent cx="5495290" cy="3937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5495290" cy="393700"/>
                        </a:xfrm>
                        <a:prstGeom prst="rect">
                          <a:avLst/>
                        </a:prstGeom>
                        <a:solidFill>
                          <a:srgbClr val="F7F7F8"/>
                        </a:solidFill>
                      </wps:spPr>
                      <wps:txbx>
                        <w:txbxContent>
                          <w:p>
                            <w:pPr>
                              <w:pStyle w:val="BodyText"/>
                              <w:spacing w:line="308" w:lineRule="exact"/>
                              <w:ind w:right="-15"/>
                              <w:rPr>
                                <w:color w:val="000000"/>
                              </w:rPr>
                            </w:pPr>
                            <w:r>
                              <w:rPr>
                                <w:color w:val="374151"/>
                              </w:rPr>
                              <w:t>emphasizing</w:t>
                            </w:r>
                            <w:r>
                              <w:rPr>
                                <w:color w:val="374151"/>
                                <w:spacing w:val="-2"/>
                              </w:rPr>
                              <w:t> </w:t>
                            </w:r>
                            <w:r>
                              <w:rPr>
                                <w:color w:val="374151"/>
                              </w:rPr>
                              <w:t>the</w:t>
                            </w:r>
                            <w:r>
                              <w:rPr>
                                <w:color w:val="374151"/>
                                <w:spacing w:val="-2"/>
                              </w:rPr>
                              <w:t> </w:t>
                            </w:r>
                            <w:r>
                              <w:rPr>
                                <w:color w:val="374151"/>
                              </w:rPr>
                              <w:t>importance</w:t>
                            </w:r>
                            <w:r>
                              <w:rPr>
                                <w:color w:val="374151"/>
                                <w:spacing w:val="-2"/>
                              </w:rPr>
                              <w:t> </w:t>
                            </w:r>
                            <w:r>
                              <w:rPr>
                                <w:color w:val="374151"/>
                              </w:rPr>
                              <w:t>of</w:t>
                            </w:r>
                            <w:r>
                              <w:rPr>
                                <w:color w:val="374151"/>
                                <w:spacing w:val="-2"/>
                              </w:rPr>
                              <w:t> </w:t>
                            </w:r>
                            <w:r>
                              <w:rPr>
                                <w:color w:val="374151"/>
                              </w:rPr>
                              <w:t>regular</w:t>
                            </w:r>
                            <w:r>
                              <w:rPr>
                                <w:color w:val="374151"/>
                                <w:spacing w:val="-1"/>
                              </w:rPr>
                              <w:t> </w:t>
                            </w:r>
                            <w:r>
                              <w:rPr>
                                <w:color w:val="374151"/>
                              </w:rPr>
                              <w:t>STD</w:t>
                            </w:r>
                            <w:r>
                              <w:rPr>
                                <w:color w:val="374151"/>
                                <w:spacing w:val="-1"/>
                              </w:rPr>
                              <w:t> </w:t>
                            </w:r>
                            <w:r>
                              <w:rPr>
                                <w:color w:val="374151"/>
                              </w:rPr>
                              <w:t>testing</w:t>
                            </w:r>
                            <w:r>
                              <w:rPr>
                                <w:color w:val="374151"/>
                                <w:spacing w:val="-2"/>
                              </w:rPr>
                              <w:t> </w:t>
                            </w:r>
                            <w:r>
                              <w:rPr>
                                <w:color w:val="374151"/>
                              </w:rPr>
                              <w:t>and</w:t>
                            </w:r>
                            <w:r>
                              <w:rPr>
                                <w:color w:val="374151"/>
                                <w:spacing w:val="-1"/>
                              </w:rPr>
                              <w:t> </w:t>
                            </w:r>
                            <w:r>
                              <w:rPr>
                                <w:color w:val="374151"/>
                              </w:rPr>
                              <w:t>safe</w:t>
                            </w:r>
                            <w:r>
                              <w:rPr>
                                <w:color w:val="374151"/>
                                <w:spacing w:val="-2"/>
                              </w:rPr>
                              <w:t> </w:t>
                            </w:r>
                            <w:r>
                              <w:rPr>
                                <w:color w:val="374151"/>
                              </w:rPr>
                              <w:t>sexual</w:t>
                            </w:r>
                            <w:r>
                              <w:rPr>
                                <w:color w:val="374151"/>
                                <w:spacing w:val="-1"/>
                              </w:rPr>
                              <w:t> </w:t>
                            </w:r>
                            <w:r>
                              <w:rPr>
                                <w:color w:val="374151"/>
                                <w:spacing w:val="-2"/>
                              </w:rPr>
                              <w:t>practices.</w:t>
                            </w:r>
                          </w:p>
                        </w:txbxContent>
                      </wps:txbx>
                      <wps:bodyPr wrap="square" lIns="0" tIns="0" rIns="0" bIns="0" rtlCol="0">
                        <a:noAutofit/>
                      </wps:bodyPr>
                    </wps:wsp>
                  </a:graphicData>
                </a:graphic>
              </wp:anchor>
            </w:drawing>
          </mc:Choice>
          <mc:Fallback>
            <w:pict>
              <v:shape style="position:absolute;margin-left:84pt;margin-top:-25.906687pt;width:432.7pt;height:31pt;mso-position-horizontal-relative:page;mso-position-vertical-relative:paragraph;z-index:15801344" type="#_x0000_t202" id="docshape304" filled="true" fillcolor="#f7f7f8" stroked="false">
                <v:textbox inset="0,0,0,0">
                  <w:txbxContent>
                    <w:p>
                      <w:pPr>
                        <w:pStyle w:val="BodyText"/>
                        <w:spacing w:line="308" w:lineRule="exact"/>
                        <w:ind w:right="-15"/>
                        <w:rPr>
                          <w:color w:val="000000"/>
                        </w:rPr>
                      </w:pPr>
                      <w:r>
                        <w:rPr>
                          <w:color w:val="374151"/>
                        </w:rPr>
                        <w:t>emphasizing</w:t>
                      </w:r>
                      <w:r>
                        <w:rPr>
                          <w:color w:val="374151"/>
                          <w:spacing w:val="-2"/>
                        </w:rPr>
                        <w:t> </w:t>
                      </w:r>
                      <w:r>
                        <w:rPr>
                          <w:color w:val="374151"/>
                        </w:rPr>
                        <w:t>the</w:t>
                      </w:r>
                      <w:r>
                        <w:rPr>
                          <w:color w:val="374151"/>
                          <w:spacing w:val="-2"/>
                        </w:rPr>
                        <w:t> </w:t>
                      </w:r>
                      <w:r>
                        <w:rPr>
                          <w:color w:val="374151"/>
                        </w:rPr>
                        <w:t>importance</w:t>
                      </w:r>
                      <w:r>
                        <w:rPr>
                          <w:color w:val="374151"/>
                          <w:spacing w:val="-2"/>
                        </w:rPr>
                        <w:t> </w:t>
                      </w:r>
                      <w:r>
                        <w:rPr>
                          <w:color w:val="374151"/>
                        </w:rPr>
                        <w:t>of</w:t>
                      </w:r>
                      <w:r>
                        <w:rPr>
                          <w:color w:val="374151"/>
                          <w:spacing w:val="-2"/>
                        </w:rPr>
                        <w:t> </w:t>
                      </w:r>
                      <w:r>
                        <w:rPr>
                          <w:color w:val="374151"/>
                        </w:rPr>
                        <w:t>regular</w:t>
                      </w:r>
                      <w:r>
                        <w:rPr>
                          <w:color w:val="374151"/>
                          <w:spacing w:val="-1"/>
                        </w:rPr>
                        <w:t> </w:t>
                      </w:r>
                      <w:r>
                        <w:rPr>
                          <w:color w:val="374151"/>
                        </w:rPr>
                        <w:t>STD</w:t>
                      </w:r>
                      <w:r>
                        <w:rPr>
                          <w:color w:val="374151"/>
                          <w:spacing w:val="-1"/>
                        </w:rPr>
                        <w:t> </w:t>
                      </w:r>
                      <w:r>
                        <w:rPr>
                          <w:color w:val="374151"/>
                        </w:rPr>
                        <w:t>testing</w:t>
                      </w:r>
                      <w:r>
                        <w:rPr>
                          <w:color w:val="374151"/>
                          <w:spacing w:val="-2"/>
                        </w:rPr>
                        <w:t> </w:t>
                      </w:r>
                      <w:r>
                        <w:rPr>
                          <w:color w:val="374151"/>
                        </w:rPr>
                        <w:t>and</w:t>
                      </w:r>
                      <w:r>
                        <w:rPr>
                          <w:color w:val="374151"/>
                          <w:spacing w:val="-1"/>
                        </w:rPr>
                        <w:t> </w:t>
                      </w:r>
                      <w:r>
                        <w:rPr>
                          <w:color w:val="374151"/>
                        </w:rPr>
                        <w:t>safe</w:t>
                      </w:r>
                      <w:r>
                        <w:rPr>
                          <w:color w:val="374151"/>
                          <w:spacing w:val="-2"/>
                        </w:rPr>
                        <w:t> </w:t>
                      </w:r>
                      <w:r>
                        <w:rPr>
                          <w:color w:val="374151"/>
                        </w:rPr>
                        <w:t>sexual</w:t>
                      </w:r>
                      <w:r>
                        <w:rPr>
                          <w:color w:val="374151"/>
                          <w:spacing w:val="-1"/>
                        </w:rPr>
                        <w:t> </w:t>
                      </w:r>
                      <w:r>
                        <w:rPr>
                          <w:color w:val="374151"/>
                          <w:spacing w:val="-2"/>
                        </w:rPr>
                        <w:t>practices.</w:t>
                      </w:r>
                    </w:p>
                  </w:txbxContent>
                </v:textbox>
                <v:fill type="solid"/>
                <w10:wrap type="none"/>
              </v:shape>
            </w:pict>
          </mc:Fallback>
        </mc:AlternateContent>
      </w:r>
      <w:r>
        <w:rPr>
          <w:color w:val="374151"/>
          <w:shd w:fill="F7F7F8" w:color="auto" w:val="clear"/>
        </w:rPr>
        <w:t>Another critical concern in the realm of STDs is the emergence of drug-</w:t>
      </w:r>
      <w:r>
        <w:rPr>
          <w:color w:val="374151"/>
        </w:rPr>
        <w:t> </w:t>
      </w:r>
      <w:r>
        <w:rPr>
          <w:color w:val="374151"/>
          <w:shd w:fill="F7F7F8" w:color="auto" w:val="clear"/>
        </w:rPr>
        <w:t>resistant bacteria. The overuse and misuse of antibiotics, combined with </w:t>
      </w:r>
      <w:r>
        <w:rPr>
          <w:color w:val="374151"/>
        </w:rPr>
        <w:t> </w:t>
      </w:r>
      <w:r>
        <w:rPr>
          <w:color w:val="374151"/>
          <w:shd w:fill="F7F7F8" w:color="auto" w:val="clear"/>
        </w:rPr>
        <w:t>inadequate</w:t>
      </w:r>
      <w:r>
        <w:rPr>
          <w:color w:val="374151"/>
          <w:spacing w:val="-5"/>
          <w:shd w:fill="F7F7F8" w:color="auto" w:val="clear"/>
        </w:rPr>
        <w:t> </w:t>
      </w:r>
      <w:r>
        <w:rPr>
          <w:color w:val="374151"/>
          <w:shd w:fill="F7F7F8" w:color="auto" w:val="clear"/>
        </w:rPr>
        <w:t>treatment</w:t>
      </w:r>
      <w:r>
        <w:rPr>
          <w:color w:val="374151"/>
          <w:spacing w:val="-4"/>
          <w:shd w:fill="F7F7F8" w:color="auto" w:val="clear"/>
        </w:rPr>
        <w:t> </w:t>
      </w:r>
      <w:r>
        <w:rPr>
          <w:color w:val="374151"/>
          <w:shd w:fill="F7F7F8" w:color="auto" w:val="clear"/>
        </w:rPr>
        <w:t>adherence,</w:t>
      </w:r>
      <w:r>
        <w:rPr>
          <w:color w:val="374151"/>
          <w:spacing w:val="-4"/>
          <w:shd w:fill="F7F7F8" w:color="auto" w:val="clear"/>
        </w:rPr>
        <w:t> </w:t>
      </w:r>
      <w:r>
        <w:rPr>
          <w:color w:val="374151"/>
          <w:shd w:fill="F7F7F8" w:color="auto" w:val="clear"/>
        </w:rPr>
        <w:t>have</w:t>
      </w:r>
      <w:r>
        <w:rPr>
          <w:color w:val="374151"/>
          <w:spacing w:val="-5"/>
          <w:shd w:fill="F7F7F8" w:color="auto" w:val="clear"/>
        </w:rPr>
        <w:t> </w:t>
      </w:r>
      <w:r>
        <w:rPr>
          <w:color w:val="374151"/>
          <w:shd w:fill="F7F7F8" w:color="auto" w:val="clear"/>
        </w:rPr>
        <w:t>contributed</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development</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drug-</w:t>
      </w:r>
      <w:r>
        <w:rPr>
          <w:color w:val="374151"/>
        </w:rPr>
        <w:t> </w:t>
      </w:r>
      <w:r>
        <w:rPr>
          <w:color w:val="374151"/>
          <w:shd w:fill="F7F7F8" w:color="auto" w:val="clear"/>
        </w:rPr>
        <w:t>resistant strains of STDs. For example, penicillin-resistant gonococci have </w:t>
      </w:r>
      <w:r>
        <w:rPr>
          <w:color w:val="374151"/>
        </w:rPr>
        <w:t> </w:t>
      </w:r>
      <w:r>
        <w:rPr>
          <w:color w:val="374151"/>
          <w:shd w:fill="F7F7F8" w:color="auto" w:val="clear"/>
        </w:rPr>
        <w:t>become more prevalent, rendering standard treatment protocols ineffective.</w:t>
      </w:r>
      <w:r>
        <w:rPr>
          <w:color w:val="374151"/>
          <w:spacing w:val="40"/>
          <w:shd w:fill="F7F7F8" w:color="auto" w:val="clear"/>
        </w:rPr>
        <w:t> </w:t>
      </w:r>
    </w:p>
    <w:p>
      <w:pPr>
        <w:pStyle w:val="BodyText"/>
        <w:spacing w:line="237" w:lineRule="auto"/>
        <w:ind w:left="280" w:right="502"/>
      </w:pPr>
      <w:r>
        <w:rPr>
          <w:color w:val="374151"/>
          <w:shd w:fill="F7F7F8" w:color="auto" w:val="clear"/>
        </w:rPr>
        <w:t>Mental</w:t>
      </w:r>
      <w:r>
        <w:rPr>
          <w:color w:val="374151"/>
          <w:spacing w:val="-3"/>
          <w:shd w:fill="F7F7F8" w:color="auto" w:val="clear"/>
        </w:rPr>
        <w:t> </w:t>
      </w:r>
      <w:r>
        <w:rPr>
          <w:color w:val="374151"/>
          <w:shd w:fill="F7F7F8" w:color="auto" w:val="clear"/>
        </w:rPr>
        <w:t>health</w:t>
      </w:r>
      <w:r>
        <w:rPr>
          <w:color w:val="374151"/>
          <w:spacing w:val="-3"/>
          <w:shd w:fill="F7F7F8" w:color="auto" w:val="clear"/>
        </w:rPr>
        <w:t> </w:t>
      </w:r>
      <w:r>
        <w:rPr>
          <w:color w:val="374151"/>
          <w:shd w:fill="F7F7F8" w:color="auto" w:val="clear"/>
        </w:rPr>
        <w:t>professionals</w:t>
      </w:r>
      <w:r>
        <w:rPr>
          <w:color w:val="374151"/>
          <w:spacing w:val="-3"/>
          <w:shd w:fill="F7F7F8" w:color="auto" w:val="clear"/>
        </w:rPr>
        <w:t> </w:t>
      </w:r>
      <w:r>
        <w:rPr>
          <w:color w:val="374151"/>
          <w:shd w:fill="F7F7F8" w:color="auto" w:val="clear"/>
        </w:rPr>
        <w:t>need</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be</w:t>
      </w:r>
      <w:r>
        <w:rPr>
          <w:color w:val="374151"/>
          <w:spacing w:val="-4"/>
          <w:shd w:fill="F7F7F8" w:color="auto" w:val="clear"/>
        </w:rPr>
        <w:t> </w:t>
      </w:r>
      <w:r>
        <w:rPr>
          <w:color w:val="374151"/>
          <w:shd w:fill="F7F7F8" w:color="auto" w:val="clear"/>
        </w:rPr>
        <w:t>aware</w:t>
      </w:r>
      <w:r>
        <w:rPr>
          <w:color w:val="374151"/>
          <w:spacing w:val="-4"/>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these</w:t>
      </w:r>
      <w:r>
        <w:rPr>
          <w:color w:val="374151"/>
          <w:spacing w:val="-4"/>
          <w:shd w:fill="F7F7F8" w:color="auto" w:val="clear"/>
        </w:rPr>
        <w:t> </w:t>
      </w:r>
      <w:r>
        <w:rPr>
          <w:color w:val="374151"/>
          <w:shd w:fill="F7F7F8" w:color="auto" w:val="clear"/>
        </w:rPr>
        <w:t>challenges,</w:t>
      </w:r>
      <w:r>
        <w:rPr>
          <w:color w:val="374151"/>
          <w:spacing w:val="-3"/>
          <w:shd w:fill="F7F7F8" w:color="auto" w:val="clear"/>
        </w:rPr>
        <w:t> </w:t>
      </w:r>
      <w:r>
        <w:rPr>
          <w:color w:val="374151"/>
          <w:shd w:fill="F7F7F8" w:color="auto" w:val="clear"/>
        </w:rPr>
        <w:t>as</w:t>
      </w:r>
      <w:r>
        <w:rPr>
          <w:color w:val="374151"/>
          <w:spacing w:val="-3"/>
          <w:shd w:fill="F7F7F8" w:color="auto" w:val="clear"/>
        </w:rPr>
        <w:t> </w:t>
      </w:r>
      <w:r>
        <w:rPr>
          <w:color w:val="374151"/>
          <w:shd w:fill="F7F7F8" w:color="auto" w:val="clear"/>
        </w:rPr>
        <w:t>they</w:t>
      </w:r>
      <w:r>
        <w:rPr>
          <w:color w:val="374151"/>
          <w:spacing w:val="-3"/>
          <w:shd w:fill="F7F7F8" w:color="auto" w:val="clear"/>
        </w:rPr>
        <w:t> </w:t>
      </w:r>
      <w:r>
        <w:rPr>
          <w:color w:val="374151"/>
          <w:shd w:fill="F7F7F8" w:color="auto" w:val="clear"/>
        </w:rPr>
        <w:t>may</w:t>
      </w:r>
      <w:r>
        <w:rPr>
          <w:color w:val="374151"/>
          <w:spacing w:val="-4"/>
          <w:shd w:fill="F7F7F8" w:color="auto" w:val="clear"/>
        </w:rPr>
        <w:t> </w:t>
      </w:r>
      <w:r>
        <w:rPr>
          <w:color w:val="374151"/>
          <w:spacing w:val="-4"/>
        </w:rPr>
        <w:t> </w:t>
      </w:r>
      <w:r>
        <w:rPr>
          <w:color w:val="374151"/>
          <w:shd w:fill="F7F7F8" w:color="auto" w:val="clear"/>
        </w:rPr>
        <w:t>impact treatment outcomes and patient well-being. Collaborative efforts </w:t>
      </w:r>
      <w:r>
        <w:rPr>
          <w:color w:val="374151"/>
        </w:rPr>
        <w:t> </w:t>
      </w:r>
      <w:r>
        <w:rPr>
          <w:color w:val="374151"/>
          <w:shd w:fill="F7F7F8" w:color="auto" w:val="clear"/>
        </w:rPr>
        <w:t>between mental health professionals and medical practitioners are crucial in</w:t>
      </w:r>
      <w:r>
        <w:rPr>
          <w:color w:val="374151"/>
          <w:spacing w:val="40"/>
          <w:shd w:fill="F7F7F8" w:color="auto" w:val="clear"/>
        </w:rPr>
        <w:t> </w:t>
      </w:r>
    </w:p>
    <w:p>
      <w:pPr>
        <w:spacing w:after="0" w:line="237" w:lineRule="auto"/>
        <w:sectPr>
          <w:pgSz w:w="12240" w:h="15840"/>
          <w:pgMar w:header="0" w:footer="765" w:top="1260" w:bottom="980" w:left="1400" w:right="1180"/>
        </w:sectPr>
      </w:pPr>
    </w:p>
    <w:p>
      <w:pPr>
        <w:pStyle w:val="BodyText"/>
        <w:spacing w:before="66"/>
        <w:ind w:left="280"/>
      </w:pPr>
      <w:r>
        <w:rPr/>
        <mc:AlternateContent>
          <mc:Choice Requires="wps">
            <w:drawing>
              <wp:anchor distT="0" distB="0" distL="0" distR="0" allowOverlap="1" layoutInCell="1" locked="0" behindDoc="1" simplePos="0" relativeHeight="487661056">
                <wp:simplePos x="0" y="0"/>
                <wp:positionH relativeFrom="page">
                  <wp:posOffset>1066800</wp:posOffset>
                </wp:positionH>
                <wp:positionV relativeFrom="paragraph">
                  <wp:posOffset>251357</wp:posOffset>
                </wp:positionV>
                <wp:extent cx="3935729" cy="393700"/>
                <wp:effectExtent l="0" t="0" r="0" b="0"/>
                <wp:wrapTopAndBottom/>
                <wp:docPr id="306" name="Textbox 306"/>
                <wp:cNvGraphicFramePr>
                  <a:graphicFrameLocks/>
                </wp:cNvGraphicFramePr>
                <a:graphic>
                  <a:graphicData uri="http://schemas.microsoft.com/office/word/2010/wordprocessingShape">
                    <wps:wsp>
                      <wps:cNvPr id="306" name="Textbox 306"/>
                      <wps:cNvSpPr txBox="1"/>
                      <wps:spPr>
                        <a:xfrm>
                          <a:off x="0" y="0"/>
                          <a:ext cx="3935729" cy="393700"/>
                        </a:xfrm>
                        <a:prstGeom prst="rect">
                          <a:avLst/>
                        </a:prstGeom>
                        <a:solidFill>
                          <a:srgbClr val="F7F7F8"/>
                        </a:solidFill>
                      </wps:spPr>
                      <wps:txbx>
                        <w:txbxContent>
                          <w:p>
                            <w:pPr>
                              <w:pStyle w:val="BodyText"/>
                              <w:spacing w:line="308" w:lineRule="exact"/>
                              <w:ind w:right="-15"/>
                              <w:rPr>
                                <w:color w:val="000000"/>
                              </w:rPr>
                            </w:pPr>
                            <w:r>
                              <w:rPr>
                                <w:color w:val="374151"/>
                              </w:rPr>
                              <w:t>well</w:t>
                            </w:r>
                            <w:r>
                              <w:rPr>
                                <w:color w:val="374151"/>
                                <w:spacing w:val="-1"/>
                              </w:rPr>
                              <w:t> </w:t>
                            </w:r>
                            <w:r>
                              <w:rPr>
                                <w:color w:val="374151"/>
                              </w:rPr>
                              <w:t>as</w:t>
                            </w:r>
                            <w:r>
                              <w:rPr>
                                <w:color w:val="374151"/>
                                <w:spacing w:val="-1"/>
                              </w:rPr>
                              <w:t> </w:t>
                            </w:r>
                            <w:r>
                              <w:rPr>
                                <w:color w:val="374151"/>
                              </w:rPr>
                              <w:t>providing appropriate</w:t>
                            </w:r>
                            <w:r>
                              <w:rPr>
                                <w:color w:val="374151"/>
                                <w:spacing w:val="-2"/>
                              </w:rPr>
                              <w:t> </w:t>
                            </w:r>
                            <w:r>
                              <w:rPr>
                                <w:color w:val="374151"/>
                              </w:rPr>
                              <w:t>support</w:t>
                            </w:r>
                            <w:r>
                              <w:rPr>
                                <w:color w:val="374151"/>
                                <w:spacing w:val="-1"/>
                              </w:rPr>
                              <w:t> </w:t>
                            </w:r>
                            <w:r>
                              <w:rPr>
                                <w:color w:val="374151"/>
                              </w:rPr>
                              <w:t>during </w:t>
                            </w:r>
                            <w:r>
                              <w:rPr>
                                <w:color w:val="374151"/>
                                <w:spacing w:val="-2"/>
                              </w:rPr>
                              <w:t>treatment.</w:t>
                            </w:r>
                          </w:p>
                        </w:txbxContent>
                      </wps:txbx>
                      <wps:bodyPr wrap="square" lIns="0" tIns="0" rIns="0" bIns="0" rtlCol="0">
                        <a:noAutofit/>
                      </wps:bodyPr>
                    </wps:wsp>
                  </a:graphicData>
                </a:graphic>
              </wp:anchor>
            </w:drawing>
          </mc:Choice>
          <mc:Fallback>
            <w:pict>
              <v:shape style="position:absolute;margin-left:84pt;margin-top:19.791931pt;width:309.9pt;height:31pt;mso-position-horizontal-relative:page;mso-position-vertical-relative:paragraph;z-index:-15655424;mso-wrap-distance-left:0;mso-wrap-distance-right:0" type="#_x0000_t202" id="docshape305" filled="true" fillcolor="#f7f7f8" stroked="false">
                <v:textbox inset="0,0,0,0">
                  <w:txbxContent>
                    <w:p>
                      <w:pPr>
                        <w:pStyle w:val="BodyText"/>
                        <w:spacing w:line="308" w:lineRule="exact"/>
                        <w:ind w:right="-15"/>
                        <w:rPr>
                          <w:color w:val="000000"/>
                        </w:rPr>
                      </w:pPr>
                      <w:r>
                        <w:rPr>
                          <w:color w:val="374151"/>
                        </w:rPr>
                        <w:t>well</w:t>
                      </w:r>
                      <w:r>
                        <w:rPr>
                          <w:color w:val="374151"/>
                          <w:spacing w:val="-1"/>
                        </w:rPr>
                        <w:t> </w:t>
                      </w:r>
                      <w:r>
                        <w:rPr>
                          <w:color w:val="374151"/>
                        </w:rPr>
                        <w:t>as</w:t>
                      </w:r>
                      <w:r>
                        <w:rPr>
                          <w:color w:val="374151"/>
                          <w:spacing w:val="-1"/>
                        </w:rPr>
                        <w:t> </w:t>
                      </w:r>
                      <w:r>
                        <w:rPr>
                          <w:color w:val="374151"/>
                        </w:rPr>
                        <w:t>providing appropriate</w:t>
                      </w:r>
                      <w:r>
                        <w:rPr>
                          <w:color w:val="374151"/>
                          <w:spacing w:val="-2"/>
                        </w:rPr>
                        <w:t> </w:t>
                      </w:r>
                      <w:r>
                        <w:rPr>
                          <w:color w:val="374151"/>
                        </w:rPr>
                        <w:t>support</w:t>
                      </w:r>
                      <w:r>
                        <w:rPr>
                          <w:color w:val="374151"/>
                          <w:spacing w:val="-1"/>
                        </w:rPr>
                        <w:t> </w:t>
                      </w:r>
                      <w:r>
                        <w:rPr>
                          <w:color w:val="374151"/>
                        </w:rPr>
                        <w:t>during </w:t>
                      </w:r>
                      <w:r>
                        <w:rPr>
                          <w:color w:val="374151"/>
                          <w:spacing w:val="-2"/>
                        </w:rPr>
                        <w:t>treatment.</w:t>
                      </w:r>
                    </w:p>
                  </w:txbxContent>
                </v:textbox>
                <v:fill type="solid"/>
                <w10:wrap type="topAndBottom"/>
              </v:shape>
            </w:pict>
          </mc:Fallback>
        </mc:AlternateContent>
      </w:r>
      <w:r>
        <w:rPr>
          <w:color w:val="374151"/>
          <w:shd w:fill="F7F7F8" w:color="auto" w:val="clear"/>
        </w:rPr>
        <w:t>addressing</w:t>
      </w:r>
      <w:r>
        <w:rPr>
          <w:color w:val="374151"/>
          <w:spacing w:val="-5"/>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psychological</w:t>
      </w:r>
      <w:r>
        <w:rPr>
          <w:color w:val="374151"/>
          <w:spacing w:val="-2"/>
          <w:shd w:fill="F7F7F8" w:color="auto" w:val="clear"/>
        </w:rPr>
        <w:t> </w:t>
      </w:r>
      <w:r>
        <w:rPr>
          <w:color w:val="374151"/>
          <w:shd w:fill="F7F7F8" w:color="auto" w:val="clear"/>
        </w:rPr>
        <w:t>effects</w:t>
      </w:r>
      <w:r>
        <w:rPr>
          <w:color w:val="374151"/>
          <w:spacing w:val="-3"/>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prolonged</w:t>
      </w:r>
      <w:r>
        <w:rPr>
          <w:color w:val="374151"/>
          <w:spacing w:val="-3"/>
          <w:shd w:fill="F7F7F8" w:color="auto" w:val="clear"/>
        </w:rPr>
        <w:t> </w:t>
      </w:r>
      <w:r>
        <w:rPr>
          <w:color w:val="374151"/>
          <w:shd w:fill="F7F7F8" w:color="auto" w:val="clear"/>
        </w:rPr>
        <w:t>or</w:t>
      </w:r>
      <w:r>
        <w:rPr>
          <w:color w:val="374151"/>
          <w:spacing w:val="-2"/>
          <w:shd w:fill="F7F7F8" w:color="auto" w:val="clear"/>
        </w:rPr>
        <w:t> </w:t>
      </w:r>
      <w:r>
        <w:rPr>
          <w:color w:val="374151"/>
          <w:shd w:fill="F7F7F8" w:color="auto" w:val="clear"/>
        </w:rPr>
        <w:t>recurrent</w:t>
      </w:r>
      <w:r>
        <w:rPr>
          <w:color w:val="374151"/>
          <w:spacing w:val="-3"/>
          <w:shd w:fill="F7F7F8" w:color="auto" w:val="clear"/>
        </w:rPr>
        <w:t> </w:t>
      </w:r>
      <w:r>
        <w:rPr>
          <w:color w:val="374151"/>
          <w:shd w:fill="F7F7F8" w:color="auto" w:val="clear"/>
        </w:rPr>
        <w:t>infections,</w:t>
      </w:r>
      <w:r>
        <w:rPr>
          <w:color w:val="374151"/>
          <w:spacing w:val="-2"/>
          <w:shd w:fill="F7F7F8" w:color="auto" w:val="clear"/>
        </w:rPr>
        <w:t> </w:t>
      </w:r>
      <w:r>
        <w:rPr>
          <w:color w:val="374151"/>
          <w:spacing w:val="-5"/>
          <w:shd w:fill="F7F7F8" w:color="auto" w:val="clear"/>
        </w:rPr>
        <w:t>as</w:t>
      </w:r>
      <w:r>
        <w:rPr>
          <w:color w:val="374151"/>
          <w:spacing w:val="40"/>
          <w:shd w:fill="F7F7F8" w:color="auto" w:val="clear"/>
        </w:rPr>
        <w:t> </w:t>
      </w:r>
    </w:p>
    <w:p>
      <w:pPr>
        <w:pStyle w:val="BodyText"/>
        <w:spacing w:line="237" w:lineRule="auto"/>
        <w:ind w:left="280" w:right="502"/>
      </w:pPr>
      <w:r>
        <w:rPr>
          <w:color w:val="374151"/>
          <w:shd w:fill="F7F7F8" w:color="auto" w:val="clear"/>
        </w:rPr>
        <w:t>STDs</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have</w:t>
      </w:r>
      <w:r>
        <w:rPr>
          <w:color w:val="374151"/>
          <w:spacing w:val="-5"/>
          <w:shd w:fill="F7F7F8" w:color="auto" w:val="clear"/>
        </w:rPr>
        <w:t> </w:t>
      </w:r>
      <w:r>
        <w:rPr>
          <w:color w:val="374151"/>
          <w:shd w:fill="F7F7F8" w:color="auto" w:val="clear"/>
        </w:rPr>
        <w:t>profound</w:t>
      </w:r>
      <w:r>
        <w:rPr>
          <w:color w:val="374151"/>
          <w:spacing w:val="-4"/>
          <w:shd w:fill="F7F7F8" w:color="auto" w:val="clear"/>
        </w:rPr>
        <w:t> </w:t>
      </w:r>
      <w:r>
        <w:rPr>
          <w:color w:val="374151"/>
          <w:shd w:fill="F7F7F8" w:color="auto" w:val="clear"/>
        </w:rPr>
        <w:t>psychological</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emotional</w:t>
      </w:r>
      <w:r>
        <w:rPr>
          <w:color w:val="374151"/>
          <w:spacing w:val="-4"/>
          <w:shd w:fill="F7F7F8" w:color="auto" w:val="clear"/>
        </w:rPr>
        <w:t> </w:t>
      </w:r>
      <w:r>
        <w:rPr>
          <w:color w:val="374151"/>
          <w:shd w:fill="F7F7F8" w:color="auto" w:val="clear"/>
        </w:rPr>
        <w:t>impacts</w:t>
      </w:r>
      <w:r>
        <w:rPr>
          <w:color w:val="374151"/>
          <w:spacing w:val="-4"/>
          <w:shd w:fill="F7F7F8" w:color="auto" w:val="clear"/>
        </w:rPr>
        <w:t> </w:t>
      </w:r>
      <w:r>
        <w:rPr>
          <w:color w:val="374151"/>
          <w:shd w:fill="F7F7F8" w:color="auto" w:val="clear"/>
        </w:rPr>
        <w:t>on</w:t>
      </w:r>
      <w:r>
        <w:rPr>
          <w:color w:val="374151"/>
          <w:spacing w:val="-4"/>
          <w:shd w:fill="F7F7F8" w:color="auto" w:val="clear"/>
        </w:rPr>
        <w:t> </w:t>
      </w:r>
      <w:r>
        <w:rPr>
          <w:color w:val="374151"/>
          <w:shd w:fill="F7F7F8" w:color="auto" w:val="clear"/>
        </w:rPr>
        <w:t>individuals.</w:t>
      </w:r>
      <w:r>
        <w:rPr>
          <w:color w:val="374151"/>
          <w:spacing w:val="-10"/>
          <w:shd w:fill="F7F7F8" w:color="auto" w:val="clear"/>
        </w:rPr>
        <w:t> </w:t>
      </w:r>
      <w:r>
        <w:rPr>
          <w:color w:val="374151"/>
          <w:spacing w:val="-10"/>
        </w:rPr>
        <w:t> </w:t>
      </w:r>
      <w:r>
        <w:rPr>
          <w:color w:val="374151"/>
          <w:shd w:fill="F7F7F8" w:color="auto" w:val="clear"/>
        </w:rPr>
        <w:t>The stigma and shame associated with these infections can lead to feelings of </w:t>
      </w:r>
      <w:r>
        <w:rPr>
          <w:color w:val="374151"/>
        </w:rPr>
        <w:t> </w:t>
      </w:r>
      <w:r>
        <w:rPr>
          <w:color w:val="374151"/>
          <w:shd w:fill="F7F7F8" w:color="auto" w:val="clear"/>
        </w:rPr>
        <w:t>guilt,</w:t>
      </w:r>
      <w:r>
        <w:rPr>
          <w:color w:val="374151"/>
          <w:spacing w:val="-5"/>
          <w:shd w:fill="F7F7F8" w:color="auto" w:val="clear"/>
        </w:rPr>
        <w:t> </w:t>
      </w:r>
      <w:r>
        <w:rPr>
          <w:color w:val="374151"/>
          <w:shd w:fill="F7F7F8" w:color="auto" w:val="clear"/>
        </w:rPr>
        <w:t>anxiety,</w:t>
      </w:r>
      <w:r>
        <w:rPr>
          <w:color w:val="374151"/>
          <w:spacing w:val="-5"/>
          <w:shd w:fill="F7F7F8" w:color="auto" w:val="clear"/>
        </w:rPr>
        <w:t> </w:t>
      </w:r>
      <w:r>
        <w:rPr>
          <w:color w:val="374151"/>
          <w:shd w:fill="F7F7F8" w:color="auto" w:val="clear"/>
        </w:rPr>
        <w:t>depression,</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social</w:t>
      </w:r>
      <w:r>
        <w:rPr>
          <w:color w:val="374151"/>
          <w:spacing w:val="-5"/>
          <w:shd w:fill="F7F7F8" w:color="auto" w:val="clear"/>
        </w:rPr>
        <w:t> </w:t>
      </w:r>
      <w:r>
        <w:rPr>
          <w:color w:val="374151"/>
          <w:shd w:fill="F7F7F8" w:color="auto" w:val="clear"/>
        </w:rPr>
        <w:t>isolation.</w:t>
      </w:r>
      <w:r>
        <w:rPr>
          <w:color w:val="374151"/>
          <w:spacing w:val="-5"/>
          <w:shd w:fill="F7F7F8" w:color="auto" w:val="clear"/>
        </w:rPr>
        <w:t> </w:t>
      </w:r>
      <w:r>
        <w:rPr>
          <w:color w:val="374151"/>
          <w:shd w:fill="F7F7F8" w:color="auto" w:val="clear"/>
        </w:rPr>
        <w:t>Mental</w:t>
      </w:r>
      <w:r>
        <w:rPr>
          <w:color w:val="374151"/>
          <w:spacing w:val="-5"/>
          <w:shd w:fill="F7F7F8" w:color="auto" w:val="clear"/>
        </w:rPr>
        <w:t> </w:t>
      </w:r>
      <w:r>
        <w:rPr>
          <w:color w:val="374151"/>
          <w:shd w:fill="F7F7F8" w:color="auto" w:val="clear"/>
        </w:rPr>
        <w:t>health</w:t>
      </w:r>
      <w:r>
        <w:rPr>
          <w:color w:val="374151"/>
          <w:spacing w:val="-5"/>
          <w:shd w:fill="F7F7F8" w:color="auto" w:val="clear"/>
        </w:rPr>
        <w:t> </w:t>
      </w:r>
      <w:r>
        <w:rPr>
          <w:color w:val="374151"/>
          <w:shd w:fill="F7F7F8" w:color="auto" w:val="clear"/>
        </w:rPr>
        <w:t>professionals</w:t>
      </w:r>
      <w:r>
        <w:rPr>
          <w:color w:val="374151"/>
          <w:spacing w:val="-5"/>
          <w:shd w:fill="F7F7F8" w:color="auto" w:val="clear"/>
        </w:rPr>
        <w:t> </w:t>
      </w:r>
      <w:r>
        <w:rPr>
          <w:color w:val="374151"/>
          <w:shd w:fill="F7F7F8" w:color="auto" w:val="clear"/>
        </w:rPr>
        <w:t>are</w:t>
      </w:r>
      <w:r>
        <w:rPr>
          <w:color w:val="374151"/>
          <w:spacing w:val="-6"/>
          <w:shd w:fill="F7F7F8" w:color="auto" w:val="clear"/>
        </w:rPr>
        <w:t> </w:t>
      </w:r>
      <w:r>
        <w:rPr>
          <w:color w:val="374151"/>
          <w:spacing w:val="-6"/>
        </w:rPr>
        <w:t> </w:t>
      </w:r>
      <w:r>
        <w:rPr>
          <w:color w:val="374151"/>
          <w:shd w:fill="F7F7F8" w:color="auto" w:val="clear"/>
        </w:rPr>
        <w:t>instrumental in addressing these consequences, providing a safe and non-</w:t>
      </w:r>
      <w:r>
        <w:rPr>
          <w:color w:val="374151"/>
        </w:rPr>
        <w:t> </w:t>
      </w:r>
      <w:r>
        <w:rPr>
          <w:color w:val="374151"/>
          <w:shd w:fill="F7F7F8" w:color="auto" w:val="clear"/>
        </w:rPr>
        <w:t>judgmental space for individuals to express their concerns and emotions.</w:t>
      </w:r>
      <w:r>
        <w:rPr>
          <w:color w:val="374151"/>
          <w:spacing w:val="40"/>
          <w:shd w:fill="F7F7F8" w:color="auto" w:val="clear"/>
        </w:rPr>
        <w:t> </w:t>
      </w:r>
    </w:p>
    <w:p>
      <w:pPr>
        <w:pStyle w:val="BodyText"/>
        <w:spacing w:after="6"/>
        <w:ind w:left="280" w:right="502"/>
      </w:pPr>
      <w:r>
        <w:rPr>
          <w:color w:val="374151"/>
          <w:shd w:fill="F7F7F8" w:color="auto" w:val="clear"/>
        </w:rPr>
        <w:t>Through therapeutic interventions, mental health professionals can help </w:t>
      </w:r>
      <w:r>
        <w:rPr>
          <w:color w:val="374151"/>
        </w:rPr>
        <w:t> </w:t>
      </w:r>
      <w:r>
        <w:rPr>
          <w:color w:val="374151"/>
          <w:shd w:fill="F7F7F8" w:color="auto" w:val="clear"/>
        </w:rPr>
        <w:t>individuals</w:t>
      </w:r>
      <w:r>
        <w:rPr>
          <w:color w:val="374151"/>
          <w:spacing w:val="-4"/>
          <w:shd w:fill="F7F7F8" w:color="auto" w:val="clear"/>
        </w:rPr>
        <w:t> </w:t>
      </w:r>
      <w:r>
        <w:rPr>
          <w:color w:val="374151"/>
          <w:shd w:fill="F7F7F8" w:color="auto" w:val="clear"/>
        </w:rPr>
        <w:t>cope</w:t>
      </w:r>
      <w:r>
        <w:rPr>
          <w:color w:val="374151"/>
          <w:spacing w:val="-2"/>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emotional</w:t>
      </w:r>
      <w:r>
        <w:rPr>
          <w:color w:val="374151"/>
          <w:spacing w:val="-1"/>
          <w:shd w:fill="F7F7F8" w:color="auto" w:val="clear"/>
        </w:rPr>
        <w:t> </w:t>
      </w:r>
      <w:r>
        <w:rPr>
          <w:color w:val="374151"/>
          <w:shd w:fill="F7F7F8" w:color="auto" w:val="clear"/>
        </w:rPr>
        <w:t>distress</w:t>
      </w:r>
      <w:r>
        <w:rPr>
          <w:color w:val="374151"/>
          <w:spacing w:val="-1"/>
          <w:shd w:fill="F7F7F8" w:color="auto" w:val="clear"/>
        </w:rPr>
        <w:t> </w:t>
      </w:r>
      <w:r>
        <w:rPr>
          <w:color w:val="374151"/>
          <w:shd w:fill="F7F7F8" w:color="auto" w:val="clear"/>
        </w:rPr>
        <w:t>associated</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STDs,</w:t>
      </w:r>
      <w:r>
        <w:rPr>
          <w:color w:val="374151"/>
          <w:spacing w:val="-1"/>
          <w:shd w:fill="F7F7F8" w:color="auto" w:val="clear"/>
        </w:rPr>
        <w:t> </w:t>
      </w:r>
      <w:r>
        <w:rPr>
          <w:color w:val="374151"/>
          <w:spacing w:val="-2"/>
          <w:shd w:fill="F7F7F8" w:color="auto" w:val="clear"/>
        </w:rPr>
        <w:t>develop</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675505" cy="393700"/>
                <wp:effectExtent l="0" t="0" r="0" b="0"/>
                <wp:docPr id="307" name="Textbox 307"/>
                <wp:cNvGraphicFramePr>
                  <a:graphicFrameLocks/>
                </wp:cNvGraphicFramePr>
                <a:graphic>
                  <a:graphicData uri="http://schemas.microsoft.com/office/word/2010/wordprocessingShape">
                    <wps:wsp>
                      <wps:cNvPr id="307" name="Textbox 307"/>
                      <wps:cNvSpPr txBox="1"/>
                      <wps:spPr>
                        <a:xfrm>
                          <a:off x="0" y="0"/>
                          <a:ext cx="4675505" cy="393700"/>
                        </a:xfrm>
                        <a:prstGeom prst="rect">
                          <a:avLst/>
                        </a:prstGeom>
                        <a:solidFill>
                          <a:srgbClr val="F7F7F8"/>
                        </a:solidFill>
                      </wps:spPr>
                      <wps:txbx>
                        <w:txbxContent>
                          <w:p>
                            <w:pPr>
                              <w:pStyle w:val="BodyText"/>
                              <w:spacing w:line="308" w:lineRule="exact"/>
                              <w:ind w:right="-15"/>
                              <w:rPr>
                                <w:color w:val="000000"/>
                              </w:rPr>
                            </w:pPr>
                            <w:r>
                              <w:rPr>
                                <w:color w:val="374151"/>
                              </w:rPr>
                              <w:t>healthy</w:t>
                            </w:r>
                            <w:r>
                              <w:rPr>
                                <w:color w:val="374151"/>
                                <w:spacing w:val="-4"/>
                              </w:rPr>
                              <w:t> </w:t>
                            </w:r>
                            <w:r>
                              <w:rPr>
                                <w:color w:val="374151"/>
                              </w:rPr>
                              <w:t>coping</w:t>
                            </w:r>
                            <w:r>
                              <w:rPr>
                                <w:color w:val="374151"/>
                                <w:spacing w:val="-2"/>
                              </w:rPr>
                              <w:t> </w:t>
                            </w:r>
                            <w:r>
                              <w:rPr>
                                <w:color w:val="374151"/>
                              </w:rPr>
                              <w:t>strategies,</w:t>
                            </w:r>
                            <w:r>
                              <w:rPr>
                                <w:color w:val="374151"/>
                                <w:spacing w:val="-2"/>
                              </w:rPr>
                              <w:t> </w:t>
                            </w:r>
                            <w:r>
                              <w:rPr>
                                <w:color w:val="374151"/>
                              </w:rPr>
                              <w:t>and</w:t>
                            </w:r>
                            <w:r>
                              <w:rPr>
                                <w:color w:val="374151"/>
                                <w:spacing w:val="-1"/>
                              </w:rPr>
                              <w:t> </w:t>
                            </w:r>
                            <w:r>
                              <w:rPr>
                                <w:color w:val="374151"/>
                              </w:rPr>
                              <w:t>promote</w:t>
                            </w:r>
                            <w:r>
                              <w:rPr>
                                <w:color w:val="374151"/>
                                <w:spacing w:val="-3"/>
                              </w:rPr>
                              <w:t> </w:t>
                            </w:r>
                            <w:r>
                              <w:rPr>
                                <w:color w:val="374151"/>
                              </w:rPr>
                              <w:t>self-esteem</w:t>
                            </w:r>
                            <w:r>
                              <w:rPr>
                                <w:color w:val="374151"/>
                                <w:spacing w:val="-2"/>
                              </w:rPr>
                              <w:t> </w:t>
                            </w:r>
                            <w:r>
                              <w:rPr>
                                <w:color w:val="374151"/>
                              </w:rPr>
                              <w:t>and</w:t>
                            </w:r>
                            <w:r>
                              <w:rPr>
                                <w:color w:val="374151"/>
                                <w:spacing w:val="-1"/>
                              </w:rPr>
                              <w:t> </w:t>
                            </w:r>
                            <w:r>
                              <w:rPr>
                                <w:color w:val="374151"/>
                                <w:spacing w:val="-2"/>
                              </w:rPr>
                              <w:t>resilience.</w:t>
                            </w:r>
                          </w:p>
                        </w:txbxContent>
                      </wps:txbx>
                      <wps:bodyPr wrap="square" lIns="0" tIns="0" rIns="0" bIns="0" rtlCol="0">
                        <a:noAutofit/>
                      </wps:bodyPr>
                    </wps:wsp>
                  </a:graphicData>
                </a:graphic>
              </wp:inline>
            </w:drawing>
          </mc:Choice>
          <mc:Fallback>
            <w:pict>
              <v:shape style="width:368.15pt;height:31pt;mso-position-horizontal-relative:char;mso-position-vertical-relative:line" type="#_x0000_t202" id="docshape306" filled="true" fillcolor="#f7f7f8" stroked="false">
                <w10:anchorlock/>
                <v:textbox inset="0,0,0,0">
                  <w:txbxContent>
                    <w:p>
                      <w:pPr>
                        <w:pStyle w:val="BodyText"/>
                        <w:spacing w:line="308" w:lineRule="exact"/>
                        <w:ind w:right="-15"/>
                        <w:rPr>
                          <w:color w:val="000000"/>
                        </w:rPr>
                      </w:pPr>
                      <w:r>
                        <w:rPr>
                          <w:color w:val="374151"/>
                        </w:rPr>
                        <w:t>healthy</w:t>
                      </w:r>
                      <w:r>
                        <w:rPr>
                          <w:color w:val="374151"/>
                          <w:spacing w:val="-4"/>
                        </w:rPr>
                        <w:t> </w:t>
                      </w:r>
                      <w:r>
                        <w:rPr>
                          <w:color w:val="374151"/>
                        </w:rPr>
                        <w:t>coping</w:t>
                      </w:r>
                      <w:r>
                        <w:rPr>
                          <w:color w:val="374151"/>
                          <w:spacing w:val="-2"/>
                        </w:rPr>
                        <w:t> </w:t>
                      </w:r>
                      <w:r>
                        <w:rPr>
                          <w:color w:val="374151"/>
                        </w:rPr>
                        <w:t>strategies,</w:t>
                      </w:r>
                      <w:r>
                        <w:rPr>
                          <w:color w:val="374151"/>
                          <w:spacing w:val="-2"/>
                        </w:rPr>
                        <w:t> </w:t>
                      </w:r>
                      <w:r>
                        <w:rPr>
                          <w:color w:val="374151"/>
                        </w:rPr>
                        <w:t>and</w:t>
                      </w:r>
                      <w:r>
                        <w:rPr>
                          <w:color w:val="374151"/>
                          <w:spacing w:val="-1"/>
                        </w:rPr>
                        <w:t> </w:t>
                      </w:r>
                      <w:r>
                        <w:rPr>
                          <w:color w:val="374151"/>
                        </w:rPr>
                        <w:t>promote</w:t>
                      </w:r>
                      <w:r>
                        <w:rPr>
                          <w:color w:val="374151"/>
                          <w:spacing w:val="-3"/>
                        </w:rPr>
                        <w:t> </w:t>
                      </w:r>
                      <w:r>
                        <w:rPr>
                          <w:color w:val="374151"/>
                        </w:rPr>
                        <w:t>self-esteem</w:t>
                      </w:r>
                      <w:r>
                        <w:rPr>
                          <w:color w:val="374151"/>
                          <w:spacing w:val="-2"/>
                        </w:rPr>
                        <w:t> </w:t>
                      </w:r>
                      <w:r>
                        <w:rPr>
                          <w:color w:val="374151"/>
                        </w:rPr>
                        <w:t>and</w:t>
                      </w:r>
                      <w:r>
                        <w:rPr>
                          <w:color w:val="374151"/>
                          <w:spacing w:val="-1"/>
                        </w:rPr>
                        <w:t> </w:t>
                      </w:r>
                      <w:r>
                        <w:rPr>
                          <w:color w:val="374151"/>
                          <w:spacing w:val="-2"/>
                        </w:rPr>
                        <w:t>resilience.</w:t>
                      </w:r>
                    </w:p>
                  </w:txbxContent>
                </v:textbox>
                <v:fill type="solid"/>
              </v:shape>
            </w:pict>
          </mc:Fallback>
        </mc:AlternateContent>
      </w:r>
      <w:r>
        <w:rPr>
          <w:sz w:val="20"/>
        </w:rPr>
      </w:r>
    </w:p>
    <w:p>
      <w:pPr>
        <w:pStyle w:val="BodyText"/>
        <w:spacing w:line="282" w:lineRule="exact"/>
        <w:ind w:left="280"/>
      </w:pPr>
      <w:r>
        <w:rPr>
          <w:color w:val="374151"/>
          <w:shd w:fill="F7F7F8" w:color="auto" w:val="clear"/>
        </w:rPr>
        <w:t>To</w:t>
      </w:r>
      <w:r>
        <w:rPr>
          <w:color w:val="374151"/>
          <w:spacing w:val="-6"/>
          <w:shd w:fill="F7F7F8" w:color="auto" w:val="clear"/>
        </w:rPr>
        <w:t> </w:t>
      </w:r>
      <w:r>
        <w:rPr>
          <w:color w:val="374151"/>
          <w:shd w:fill="F7F7F8" w:color="auto" w:val="clear"/>
        </w:rPr>
        <w:t>combat</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rising</w:t>
      </w:r>
      <w:r>
        <w:rPr>
          <w:color w:val="374151"/>
          <w:spacing w:val="-3"/>
          <w:shd w:fill="F7F7F8" w:color="auto" w:val="clear"/>
        </w:rPr>
        <w:t> </w:t>
      </w:r>
      <w:r>
        <w:rPr>
          <w:color w:val="374151"/>
          <w:shd w:fill="F7F7F8" w:color="auto" w:val="clear"/>
        </w:rPr>
        <w:t>incidence</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STDs,</w:t>
      </w:r>
      <w:r>
        <w:rPr>
          <w:color w:val="374151"/>
          <w:spacing w:val="-3"/>
          <w:shd w:fill="F7F7F8" w:color="auto" w:val="clear"/>
        </w:rPr>
        <w:t> </w:t>
      </w:r>
      <w:r>
        <w:rPr>
          <w:color w:val="374151"/>
          <w:shd w:fill="F7F7F8" w:color="auto" w:val="clear"/>
        </w:rPr>
        <w:t>mental</w:t>
      </w:r>
      <w:r>
        <w:rPr>
          <w:color w:val="374151"/>
          <w:spacing w:val="-3"/>
          <w:shd w:fill="F7F7F8" w:color="auto" w:val="clear"/>
        </w:rPr>
        <w:t> </w:t>
      </w:r>
      <w:r>
        <w:rPr>
          <w:color w:val="374151"/>
          <w:shd w:fill="F7F7F8" w:color="auto" w:val="clear"/>
        </w:rPr>
        <w:t>health</w:t>
      </w:r>
      <w:r>
        <w:rPr>
          <w:color w:val="374151"/>
          <w:spacing w:val="-3"/>
          <w:shd w:fill="F7F7F8" w:color="auto" w:val="clear"/>
        </w:rPr>
        <w:t> </w:t>
      </w:r>
      <w:r>
        <w:rPr>
          <w:color w:val="374151"/>
          <w:shd w:fill="F7F7F8" w:color="auto" w:val="clear"/>
        </w:rPr>
        <w:t>professionals</w:t>
      </w:r>
      <w:r>
        <w:rPr>
          <w:color w:val="374151"/>
          <w:spacing w:val="-3"/>
          <w:shd w:fill="F7F7F8" w:color="auto" w:val="clear"/>
        </w:rPr>
        <w:t> </w:t>
      </w:r>
      <w:r>
        <w:rPr>
          <w:color w:val="374151"/>
          <w:spacing w:val="-2"/>
          <w:shd w:fill="F7F7F8" w:color="auto" w:val="clear"/>
        </w:rPr>
        <w:t>should</w:t>
      </w:r>
      <w:r>
        <w:rPr>
          <w:color w:val="374151"/>
          <w:spacing w:val="40"/>
          <w:shd w:fill="F7F7F8" w:color="auto" w:val="clear"/>
        </w:rPr>
        <w:t> </w:t>
      </w:r>
    </w:p>
    <w:p>
      <w:pPr>
        <w:pStyle w:val="BodyText"/>
        <w:ind w:left="280" w:right="668"/>
      </w:pPr>
      <w:r>
        <w:rPr>
          <w:color w:val="374151"/>
          <w:shd w:fill="F7F7F8" w:color="auto" w:val="clear"/>
        </w:rPr>
        <w:t>actively engage in preventive efforts and comprehensive sex education. </w:t>
      </w:r>
      <w:r>
        <w:rPr>
          <w:color w:val="374151"/>
        </w:rPr>
        <w:t> </w:t>
      </w:r>
      <w:r>
        <w:rPr>
          <w:color w:val="374151"/>
          <w:shd w:fill="F7F7F8" w:color="auto" w:val="clear"/>
        </w:rPr>
        <w:t>Promoting</w:t>
      </w:r>
      <w:r>
        <w:rPr>
          <w:color w:val="374151"/>
          <w:spacing w:val="-4"/>
          <w:shd w:fill="F7F7F8" w:color="auto" w:val="clear"/>
        </w:rPr>
        <w:t> </w:t>
      </w:r>
      <w:r>
        <w:rPr>
          <w:color w:val="374151"/>
          <w:shd w:fill="F7F7F8" w:color="auto" w:val="clear"/>
        </w:rPr>
        <w:t>safe</w:t>
      </w:r>
      <w:r>
        <w:rPr>
          <w:color w:val="374151"/>
          <w:spacing w:val="-5"/>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practices,</w:t>
      </w:r>
      <w:r>
        <w:rPr>
          <w:color w:val="374151"/>
          <w:spacing w:val="-4"/>
          <w:shd w:fill="F7F7F8" w:color="auto" w:val="clear"/>
        </w:rPr>
        <w:t> </w:t>
      </w:r>
      <w:r>
        <w:rPr>
          <w:color w:val="374151"/>
          <w:shd w:fill="F7F7F8" w:color="auto" w:val="clear"/>
        </w:rPr>
        <w:t>regular</w:t>
      </w:r>
      <w:r>
        <w:rPr>
          <w:color w:val="374151"/>
          <w:spacing w:val="-4"/>
          <w:shd w:fill="F7F7F8" w:color="auto" w:val="clear"/>
        </w:rPr>
        <w:t> </w:t>
      </w:r>
      <w:r>
        <w:rPr>
          <w:color w:val="374151"/>
          <w:shd w:fill="F7F7F8" w:color="auto" w:val="clear"/>
        </w:rPr>
        <w:t>testing,</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open</w:t>
      </w:r>
      <w:r>
        <w:rPr>
          <w:color w:val="374151"/>
          <w:spacing w:val="-4"/>
          <w:shd w:fill="F7F7F8" w:color="auto" w:val="clear"/>
        </w:rPr>
        <w:t> </w:t>
      </w:r>
      <w:r>
        <w:rPr>
          <w:color w:val="374151"/>
          <w:shd w:fill="F7F7F8" w:color="auto" w:val="clear"/>
        </w:rPr>
        <w:t>communication</w:t>
      </w:r>
      <w:r>
        <w:rPr>
          <w:color w:val="374151"/>
          <w:spacing w:val="-5"/>
          <w:shd w:fill="F7F7F8" w:color="auto" w:val="clear"/>
        </w:rPr>
        <w:t> </w:t>
      </w:r>
      <w:r>
        <w:rPr>
          <w:color w:val="374151"/>
          <w:spacing w:val="-5"/>
        </w:rPr>
        <w:t> </w:t>
      </w:r>
      <w:r>
        <w:rPr>
          <w:color w:val="374151"/>
          <w:shd w:fill="F7F7F8" w:color="auto" w:val="clear"/>
        </w:rPr>
        <w:t>about sexual health can significantly reduce the transmission of STDs.</w:t>
      </w:r>
      <w:r>
        <w:rPr>
          <w:color w:val="374151"/>
          <w:spacing w:val="40"/>
          <w:shd w:fill="F7F7F8" w:color="auto" w:val="clear"/>
        </w:rPr>
        <w:t> </w:t>
      </w:r>
    </w:p>
    <w:p>
      <w:pPr>
        <w:pStyle w:val="BodyText"/>
        <w:spacing w:line="237" w:lineRule="auto"/>
        <w:ind w:left="280" w:right="519"/>
      </w:pPr>
      <w:r>
        <w:rPr/>
        <mc:AlternateContent>
          <mc:Choice Requires="wps">
            <w:drawing>
              <wp:anchor distT="0" distB="0" distL="0" distR="0" allowOverlap="1" layoutInCell="1" locked="0" behindDoc="1" simplePos="0" relativeHeight="487662080">
                <wp:simplePos x="0" y="0"/>
                <wp:positionH relativeFrom="page">
                  <wp:posOffset>1066800</wp:posOffset>
                </wp:positionH>
                <wp:positionV relativeFrom="paragraph">
                  <wp:posOffset>615028</wp:posOffset>
                </wp:positionV>
                <wp:extent cx="3432175" cy="393700"/>
                <wp:effectExtent l="0" t="0" r="0" b="0"/>
                <wp:wrapTopAndBottom/>
                <wp:docPr id="308" name="Textbox 308"/>
                <wp:cNvGraphicFramePr>
                  <a:graphicFrameLocks/>
                </wp:cNvGraphicFramePr>
                <a:graphic>
                  <a:graphicData uri="http://schemas.microsoft.com/office/word/2010/wordprocessingShape">
                    <wps:wsp>
                      <wps:cNvPr id="308" name="Textbox 308"/>
                      <wps:cNvSpPr txBox="1"/>
                      <wps:spPr>
                        <a:xfrm>
                          <a:off x="0" y="0"/>
                          <a:ext cx="3432175" cy="393700"/>
                        </a:xfrm>
                        <a:prstGeom prst="rect">
                          <a:avLst/>
                        </a:prstGeom>
                        <a:solidFill>
                          <a:srgbClr val="F7F7F8"/>
                        </a:solidFill>
                      </wps:spPr>
                      <wps:txbx>
                        <w:txbxContent>
                          <w:p>
                            <w:pPr>
                              <w:pStyle w:val="BodyText"/>
                              <w:spacing w:line="308" w:lineRule="exact"/>
                              <w:ind w:right="-15"/>
                              <w:rPr>
                                <w:color w:val="000000"/>
                              </w:rPr>
                            </w:pPr>
                            <w:r>
                              <w:rPr>
                                <w:color w:val="374151"/>
                              </w:rPr>
                              <w:t>of</w:t>
                            </w:r>
                            <w:r>
                              <w:rPr>
                                <w:color w:val="374151"/>
                                <w:spacing w:val="-1"/>
                              </w:rPr>
                              <w:t> </w:t>
                            </w:r>
                            <w:r>
                              <w:rPr>
                                <w:color w:val="374151"/>
                              </w:rPr>
                              <w:t>STDs</w:t>
                            </w:r>
                            <w:r>
                              <w:rPr>
                                <w:color w:val="374151"/>
                                <w:spacing w:val="-1"/>
                              </w:rPr>
                              <w:t> </w:t>
                            </w:r>
                            <w:r>
                              <w:rPr>
                                <w:color w:val="374151"/>
                              </w:rPr>
                              <w:t>and</w:t>
                            </w:r>
                            <w:r>
                              <w:rPr>
                                <w:color w:val="374151"/>
                                <w:spacing w:val="-1"/>
                              </w:rPr>
                              <w:t> </w:t>
                            </w:r>
                            <w:r>
                              <w:rPr>
                                <w:color w:val="374151"/>
                              </w:rPr>
                              <w:t>improving</w:t>
                            </w:r>
                            <w:r>
                              <w:rPr>
                                <w:color w:val="374151"/>
                                <w:spacing w:val="-1"/>
                              </w:rPr>
                              <w:t> </w:t>
                            </w:r>
                            <w:r>
                              <w:rPr>
                                <w:color w:val="374151"/>
                              </w:rPr>
                              <w:t>sexual</w:t>
                            </w:r>
                            <w:r>
                              <w:rPr>
                                <w:color w:val="374151"/>
                                <w:spacing w:val="-1"/>
                              </w:rPr>
                              <w:t> </w:t>
                            </w:r>
                            <w:r>
                              <w:rPr>
                                <w:color w:val="374151"/>
                              </w:rPr>
                              <w:t>health</w:t>
                            </w:r>
                            <w:r>
                              <w:rPr>
                                <w:color w:val="374151"/>
                                <w:spacing w:val="-1"/>
                              </w:rPr>
                              <w:t> </w:t>
                            </w:r>
                            <w:r>
                              <w:rPr>
                                <w:color w:val="374151"/>
                                <w:spacing w:val="-2"/>
                              </w:rPr>
                              <w:t>outcomes.</w:t>
                            </w:r>
                          </w:p>
                        </w:txbxContent>
                      </wps:txbx>
                      <wps:bodyPr wrap="square" lIns="0" tIns="0" rIns="0" bIns="0" rtlCol="0">
                        <a:noAutofit/>
                      </wps:bodyPr>
                    </wps:wsp>
                  </a:graphicData>
                </a:graphic>
              </wp:anchor>
            </w:drawing>
          </mc:Choice>
          <mc:Fallback>
            <w:pict>
              <v:shape style="position:absolute;margin-left:84pt;margin-top:48.427452pt;width:270.25pt;height:31pt;mso-position-horizontal-relative:page;mso-position-vertical-relative:paragraph;z-index:-15654400;mso-wrap-distance-left:0;mso-wrap-distance-right:0" type="#_x0000_t202" id="docshape307" filled="true" fillcolor="#f7f7f8" stroked="false">
                <v:textbox inset="0,0,0,0">
                  <w:txbxContent>
                    <w:p>
                      <w:pPr>
                        <w:pStyle w:val="BodyText"/>
                        <w:spacing w:line="308" w:lineRule="exact"/>
                        <w:ind w:right="-15"/>
                        <w:rPr>
                          <w:color w:val="000000"/>
                        </w:rPr>
                      </w:pPr>
                      <w:r>
                        <w:rPr>
                          <w:color w:val="374151"/>
                        </w:rPr>
                        <w:t>of</w:t>
                      </w:r>
                      <w:r>
                        <w:rPr>
                          <w:color w:val="374151"/>
                          <w:spacing w:val="-1"/>
                        </w:rPr>
                        <w:t> </w:t>
                      </w:r>
                      <w:r>
                        <w:rPr>
                          <w:color w:val="374151"/>
                        </w:rPr>
                        <w:t>STDs</w:t>
                      </w:r>
                      <w:r>
                        <w:rPr>
                          <w:color w:val="374151"/>
                          <w:spacing w:val="-1"/>
                        </w:rPr>
                        <w:t> </w:t>
                      </w:r>
                      <w:r>
                        <w:rPr>
                          <w:color w:val="374151"/>
                        </w:rPr>
                        <w:t>and</w:t>
                      </w:r>
                      <w:r>
                        <w:rPr>
                          <w:color w:val="374151"/>
                          <w:spacing w:val="-1"/>
                        </w:rPr>
                        <w:t> </w:t>
                      </w:r>
                      <w:r>
                        <w:rPr>
                          <w:color w:val="374151"/>
                        </w:rPr>
                        <w:t>improving</w:t>
                      </w:r>
                      <w:r>
                        <w:rPr>
                          <w:color w:val="374151"/>
                          <w:spacing w:val="-1"/>
                        </w:rPr>
                        <w:t> </w:t>
                      </w:r>
                      <w:r>
                        <w:rPr>
                          <w:color w:val="374151"/>
                        </w:rPr>
                        <w:t>sexual</w:t>
                      </w:r>
                      <w:r>
                        <w:rPr>
                          <w:color w:val="374151"/>
                          <w:spacing w:val="-1"/>
                        </w:rPr>
                        <w:t> </w:t>
                      </w:r>
                      <w:r>
                        <w:rPr>
                          <w:color w:val="374151"/>
                        </w:rPr>
                        <w:t>health</w:t>
                      </w:r>
                      <w:r>
                        <w:rPr>
                          <w:color w:val="374151"/>
                          <w:spacing w:val="-1"/>
                        </w:rPr>
                        <w:t> </w:t>
                      </w:r>
                      <w:r>
                        <w:rPr>
                          <w:color w:val="374151"/>
                          <w:spacing w:val="-2"/>
                        </w:rPr>
                        <w:t>outcomes.</w:t>
                      </w:r>
                    </w:p>
                  </w:txbxContent>
                </v:textbox>
                <v:fill type="solid"/>
                <w10:wrap type="topAndBottom"/>
              </v:shape>
            </w:pict>
          </mc:Fallback>
        </mc:AlternateContent>
      </w:r>
      <w:r>
        <w:rPr>
          <w:color w:val="374151"/>
          <w:shd w:fill="F7F7F8" w:color="auto" w:val="clear"/>
        </w:rPr>
        <w:t>Collaborating with healthcare providers, educators, and community </w:t>
      </w:r>
      <w:r>
        <w:rPr>
          <w:color w:val="374151"/>
        </w:rPr>
        <w:t> </w:t>
      </w:r>
      <w:r>
        <w:rPr>
          <w:color w:val="374151"/>
          <w:shd w:fill="F7F7F8" w:color="auto" w:val="clear"/>
        </w:rPr>
        <w:t>organizations, mental health professionals can play a vital role in designing </w:t>
      </w:r>
      <w:r>
        <w:rPr>
          <w:color w:val="374151"/>
        </w:rPr>
        <w:t> </w:t>
      </w:r>
      <w:r>
        <w:rPr>
          <w:color w:val="374151"/>
          <w:shd w:fill="F7F7F8" w:color="auto" w:val="clear"/>
        </w:rPr>
        <w:t>and</w:t>
      </w:r>
      <w:r>
        <w:rPr>
          <w:color w:val="374151"/>
          <w:spacing w:val="-5"/>
          <w:shd w:fill="F7F7F8" w:color="auto" w:val="clear"/>
        </w:rPr>
        <w:t> </w:t>
      </w:r>
      <w:r>
        <w:rPr>
          <w:color w:val="374151"/>
          <w:shd w:fill="F7F7F8" w:color="auto" w:val="clear"/>
        </w:rPr>
        <w:t>implementing</w:t>
      </w:r>
      <w:r>
        <w:rPr>
          <w:color w:val="374151"/>
          <w:spacing w:val="-5"/>
          <w:shd w:fill="F7F7F8" w:color="auto" w:val="clear"/>
        </w:rPr>
        <w:t> </w:t>
      </w:r>
      <w:r>
        <w:rPr>
          <w:color w:val="374151"/>
          <w:shd w:fill="F7F7F8" w:color="auto" w:val="clear"/>
        </w:rPr>
        <w:t>evidence-based</w:t>
      </w:r>
      <w:r>
        <w:rPr>
          <w:color w:val="374151"/>
          <w:spacing w:val="-5"/>
          <w:shd w:fill="F7F7F8" w:color="auto" w:val="clear"/>
        </w:rPr>
        <w:t> </w:t>
      </w:r>
      <w:r>
        <w:rPr>
          <w:color w:val="374151"/>
          <w:shd w:fill="F7F7F8" w:color="auto" w:val="clear"/>
        </w:rPr>
        <w:t>interventions</w:t>
      </w:r>
      <w:r>
        <w:rPr>
          <w:color w:val="374151"/>
          <w:spacing w:val="-5"/>
          <w:shd w:fill="F7F7F8" w:color="auto" w:val="clear"/>
        </w:rPr>
        <w:t> </w:t>
      </w:r>
      <w:r>
        <w:rPr>
          <w:color w:val="374151"/>
          <w:shd w:fill="F7F7F8" w:color="auto" w:val="clear"/>
        </w:rPr>
        <w:t>aimed</w:t>
      </w:r>
      <w:r>
        <w:rPr>
          <w:color w:val="374151"/>
          <w:spacing w:val="-5"/>
          <w:shd w:fill="F7F7F8" w:color="auto" w:val="clear"/>
        </w:rPr>
        <w:t> </w:t>
      </w:r>
      <w:r>
        <w:rPr>
          <w:color w:val="374151"/>
          <w:shd w:fill="F7F7F8" w:color="auto" w:val="clear"/>
        </w:rPr>
        <w:t>at</w:t>
      </w:r>
      <w:r>
        <w:rPr>
          <w:color w:val="374151"/>
          <w:spacing w:val="-5"/>
          <w:shd w:fill="F7F7F8" w:color="auto" w:val="clear"/>
        </w:rPr>
        <w:t> </w:t>
      </w:r>
      <w:r>
        <w:rPr>
          <w:color w:val="374151"/>
          <w:shd w:fill="F7F7F8" w:color="auto" w:val="clear"/>
        </w:rPr>
        <w:t>preventing</w:t>
      </w:r>
      <w:r>
        <w:rPr>
          <w:color w:val="374151"/>
          <w:spacing w:val="-5"/>
          <w:shd w:fill="F7F7F8" w:color="auto" w:val="clear"/>
        </w:rPr>
        <w:t> </w:t>
      </w:r>
      <w:r>
        <w:rPr>
          <w:color w:val="374151"/>
          <w:shd w:fill="F7F7F8" w:color="auto" w:val="clear"/>
        </w:rPr>
        <w:t>the</w:t>
      </w:r>
      <w:r>
        <w:rPr>
          <w:color w:val="374151"/>
          <w:spacing w:val="-6"/>
          <w:shd w:fill="F7F7F8" w:color="auto" w:val="clear"/>
        </w:rPr>
        <w:t> </w:t>
      </w:r>
      <w:r>
        <w:rPr>
          <w:color w:val="374151"/>
          <w:shd w:fill="F7F7F8" w:color="auto" w:val="clear"/>
        </w:rPr>
        <w:t>spread</w:t>
      </w:r>
    </w:p>
    <w:p>
      <w:pPr>
        <w:pStyle w:val="BodyText"/>
        <w:spacing w:line="237" w:lineRule="auto"/>
        <w:ind w:left="280" w:right="513"/>
      </w:pPr>
      <w:r>
        <w:rPr>
          <w:color w:val="374151"/>
          <w:shd w:fill="F7F7F8" w:color="auto" w:val="clear"/>
        </w:rPr>
        <w:t>The incidence of sexually transmitted diseases remains high worldwide, </w:t>
      </w:r>
      <w:r>
        <w:rPr>
          <w:color w:val="374151"/>
        </w:rPr>
        <w:t> </w:t>
      </w:r>
      <w:r>
        <w:rPr>
          <w:color w:val="374151"/>
          <w:shd w:fill="F7F7F8" w:color="auto" w:val="clear"/>
        </w:rPr>
        <w:t>posing substantial challenges for global public health. The convergence of </w:t>
      </w:r>
      <w:r>
        <w:rPr>
          <w:color w:val="374151"/>
        </w:rPr>
        <w:t> </w:t>
      </w:r>
      <w:r>
        <w:rPr>
          <w:color w:val="374151"/>
          <w:shd w:fill="F7F7F8" w:color="auto" w:val="clear"/>
        </w:rPr>
        <w:t>shifting sexual beliefs, increased contraceptive use, and the rise of drug-</w:t>
      </w:r>
      <w:r>
        <w:rPr>
          <w:color w:val="374151"/>
        </w:rPr>
        <w:t> </w:t>
      </w:r>
      <w:r>
        <w:rPr>
          <w:color w:val="374151"/>
          <w:shd w:fill="F7F7F8" w:color="auto" w:val="clear"/>
        </w:rPr>
        <w:t>resistant bacteria has transformed the landscape of STDs. Mental health </w:t>
      </w:r>
      <w:r>
        <w:rPr>
          <w:color w:val="374151"/>
        </w:rPr>
        <w:t> </w:t>
      </w:r>
      <w:r>
        <w:rPr>
          <w:color w:val="374151"/>
          <w:shd w:fill="F7F7F8" w:color="auto" w:val="clear"/>
        </w:rPr>
        <w:t>professionals</w:t>
      </w:r>
      <w:r>
        <w:rPr>
          <w:color w:val="374151"/>
          <w:spacing w:val="-4"/>
          <w:shd w:fill="F7F7F8" w:color="auto" w:val="clear"/>
        </w:rPr>
        <w:t> </w:t>
      </w:r>
      <w:r>
        <w:rPr>
          <w:color w:val="374151"/>
          <w:shd w:fill="F7F7F8" w:color="auto" w:val="clear"/>
        </w:rPr>
        <w:t>have</w:t>
      </w:r>
      <w:r>
        <w:rPr>
          <w:color w:val="374151"/>
          <w:spacing w:val="-5"/>
          <w:shd w:fill="F7F7F8" w:color="auto" w:val="clear"/>
        </w:rPr>
        <w:t> </w:t>
      </w:r>
      <w:r>
        <w:rPr>
          <w:color w:val="374151"/>
          <w:shd w:fill="F7F7F8" w:color="auto" w:val="clear"/>
        </w:rPr>
        <w:t>a</w:t>
      </w:r>
      <w:r>
        <w:rPr>
          <w:color w:val="374151"/>
          <w:spacing w:val="-5"/>
          <w:shd w:fill="F7F7F8" w:color="auto" w:val="clear"/>
        </w:rPr>
        <w:t> </w:t>
      </w:r>
      <w:r>
        <w:rPr>
          <w:color w:val="374151"/>
          <w:shd w:fill="F7F7F8" w:color="auto" w:val="clear"/>
        </w:rPr>
        <w:t>crucial</w:t>
      </w:r>
      <w:r>
        <w:rPr>
          <w:color w:val="374151"/>
          <w:spacing w:val="-4"/>
          <w:shd w:fill="F7F7F8" w:color="auto" w:val="clear"/>
        </w:rPr>
        <w:t> </w:t>
      </w:r>
      <w:r>
        <w:rPr>
          <w:color w:val="374151"/>
          <w:shd w:fill="F7F7F8" w:color="auto" w:val="clear"/>
        </w:rPr>
        <w:t>role</w:t>
      </w:r>
      <w:r>
        <w:rPr>
          <w:color w:val="374151"/>
          <w:spacing w:val="-5"/>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addressing</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psychological</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emotional</w:t>
      </w:r>
      <w:r>
        <w:rPr>
          <w:color w:val="374151"/>
        </w:rPr>
        <w:t> </w:t>
      </w:r>
      <w:r>
        <w:rPr>
          <w:color w:val="374151"/>
          <w:shd w:fill="F7F7F8" w:color="auto" w:val="clear"/>
        </w:rPr>
        <w:t>impacts of STDs, promoting preventive strategies.</w:t>
      </w:r>
    </w:p>
    <w:p>
      <w:pPr>
        <w:pStyle w:val="BodyText"/>
        <w:spacing w:before="5"/>
        <w:rPr>
          <w:sz w:val="27"/>
        </w:rPr>
      </w:pPr>
    </w:p>
    <w:p>
      <w:pPr>
        <w:pStyle w:val="Heading2"/>
        <w:spacing w:before="1"/>
      </w:pPr>
      <w:r>
        <w:rPr>
          <w:color w:val="374151"/>
        </w:rPr>
        <w:t>Pathology</w:t>
      </w:r>
      <w:r>
        <w:rPr>
          <w:color w:val="374151"/>
          <w:spacing w:val="-9"/>
        </w:rPr>
        <w:t> </w:t>
      </w:r>
      <w:r>
        <w:rPr>
          <w:color w:val="374151"/>
        </w:rPr>
        <w:t>of</w:t>
      </w:r>
      <w:r>
        <w:rPr>
          <w:color w:val="374151"/>
          <w:spacing w:val="-7"/>
        </w:rPr>
        <w:t> </w:t>
      </w:r>
      <w:r>
        <w:rPr>
          <w:color w:val="374151"/>
        </w:rPr>
        <w:t>Sexually</w:t>
      </w:r>
      <w:r>
        <w:rPr>
          <w:color w:val="374151"/>
          <w:spacing w:val="-11"/>
        </w:rPr>
        <w:t> </w:t>
      </w:r>
      <w:r>
        <w:rPr>
          <w:color w:val="374151"/>
        </w:rPr>
        <w:t>Transmitted</w:t>
      </w:r>
      <w:r>
        <w:rPr>
          <w:color w:val="374151"/>
          <w:spacing w:val="-7"/>
        </w:rPr>
        <w:t> </w:t>
      </w:r>
      <w:r>
        <w:rPr>
          <w:color w:val="374151"/>
        </w:rPr>
        <w:t>Infections</w:t>
      </w:r>
      <w:r>
        <w:rPr>
          <w:color w:val="374151"/>
          <w:spacing w:val="-6"/>
        </w:rPr>
        <w:t> </w:t>
      </w:r>
      <w:r>
        <w:rPr>
          <w:color w:val="374151"/>
          <w:spacing w:val="-2"/>
        </w:rPr>
        <w:t>(STIs)</w:t>
      </w:r>
    </w:p>
    <w:p>
      <w:pPr>
        <w:pStyle w:val="BodyText"/>
        <w:spacing w:before="10"/>
        <w:rPr>
          <w:b/>
          <w:sz w:val="25"/>
        </w:rPr>
      </w:pPr>
    </w:p>
    <w:p>
      <w:pPr>
        <w:pStyle w:val="BodyText"/>
        <w:ind w:left="280" w:right="502"/>
      </w:pPr>
      <w:r>
        <w:rPr>
          <w:color w:val="374151"/>
          <w:shd w:fill="F7F7F8" w:color="auto" w:val="clear"/>
        </w:rPr>
        <w:t>A</w:t>
      </w:r>
      <w:r>
        <w:rPr>
          <w:color w:val="374151"/>
          <w:spacing w:val="-18"/>
          <w:shd w:fill="F7F7F8" w:color="auto" w:val="clear"/>
        </w:rPr>
        <w:t> </w:t>
      </w:r>
      <w:r>
        <w:rPr>
          <w:color w:val="374151"/>
          <w:shd w:fill="F7F7F8" w:color="auto" w:val="clear"/>
        </w:rPr>
        <w:t>comprehensive</w:t>
      </w:r>
      <w:r>
        <w:rPr>
          <w:color w:val="374151"/>
          <w:spacing w:val="-5"/>
          <w:shd w:fill="F7F7F8" w:color="auto" w:val="clear"/>
        </w:rPr>
        <w:t> </w:t>
      </w:r>
      <w:r>
        <w:rPr>
          <w:color w:val="374151"/>
          <w:shd w:fill="F7F7F8" w:color="auto" w:val="clear"/>
        </w:rPr>
        <w:t>understanding</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pathology</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STIs</w:t>
      </w:r>
      <w:r>
        <w:rPr>
          <w:color w:val="374151"/>
          <w:spacing w:val="-3"/>
          <w:shd w:fill="F7F7F8" w:color="auto" w:val="clear"/>
        </w:rPr>
        <w:t> </w:t>
      </w:r>
      <w:r>
        <w:rPr>
          <w:color w:val="374151"/>
          <w:shd w:fill="F7F7F8" w:color="auto" w:val="clear"/>
        </w:rPr>
        <w:t>is</w:t>
      </w:r>
      <w:r>
        <w:rPr>
          <w:color w:val="374151"/>
          <w:spacing w:val="-3"/>
          <w:shd w:fill="F7F7F8" w:color="auto" w:val="clear"/>
        </w:rPr>
        <w:t> </w:t>
      </w:r>
      <w:r>
        <w:rPr>
          <w:color w:val="374151"/>
          <w:shd w:fill="F7F7F8" w:color="auto" w:val="clear"/>
        </w:rPr>
        <w:t>crucial</w:t>
      </w:r>
      <w:r>
        <w:rPr>
          <w:color w:val="374151"/>
          <w:spacing w:val="-3"/>
          <w:shd w:fill="F7F7F8" w:color="auto" w:val="clear"/>
        </w:rPr>
        <w:t> </w:t>
      </w:r>
      <w:r>
        <w:rPr>
          <w:color w:val="374151"/>
          <w:shd w:fill="F7F7F8" w:color="auto" w:val="clear"/>
        </w:rPr>
        <w:t>for</w:t>
      </w:r>
      <w:r>
        <w:rPr>
          <w:color w:val="374151"/>
          <w:spacing w:val="-3"/>
          <w:shd w:fill="F7F7F8" w:color="auto" w:val="clear"/>
        </w:rPr>
        <w:t> </w:t>
      </w:r>
      <w:r>
        <w:rPr>
          <w:color w:val="374151"/>
          <w:shd w:fill="F7F7F8" w:color="auto" w:val="clear"/>
        </w:rPr>
        <w:t>mental</w:t>
      </w:r>
      <w:r>
        <w:rPr>
          <w:color w:val="374151"/>
          <w:spacing w:val="-4"/>
          <w:shd w:fill="F7F7F8" w:color="auto" w:val="clear"/>
        </w:rPr>
        <w:t> </w:t>
      </w:r>
      <w:r>
        <w:rPr>
          <w:color w:val="374151"/>
          <w:spacing w:val="-4"/>
        </w:rPr>
        <w:t> </w:t>
      </w:r>
      <w:r>
        <w:rPr>
          <w:color w:val="374151"/>
          <w:shd w:fill="F7F7F8" w:color="auto" w:val="clear"/>
        </w:rPr>
        <w:t>health and social work professionals. This section delves into the biological </w:t>
      </w:r>
      <w:r>
        <w:rPr>
          <w:color w:val="374151"/>
        </w:rPr>
        <w:t> </w:t>
      </w:r>
      <w:r>
        <w:rPr>
          <w:color w:val="374151"/>
          <w:shd w:fill="F7F7F8" w:color="auto" w:val="clear"/>
        </w:rPr>
        <w:t>mechanisms of common STIs, including their impact on physical and mental </w:t>
      </w:r>
      <w:r>
        <w:rPr>
          <w:color w:val="374151"/>
        </w:rPr>
        <w:t> </w:t>
      </w:r>
      <w:r>
        <w:rPr>
          <w:color w:val="374151"/>
          <w:shd w:fill="F7F7F8" w:color="auto" w:val="clear"/>
        </w:rPr>
        <w:t>health. It discusses the potential long-term complications associated with </w:t>
      </w:r>
      <w:r>
        <w:rPr>
          <w:color w:val="374151"/>
        </w:rPr>
        <w:t> </w:t>
      </w:r>
      <w:r>
        <w:rPr>
          <w:color w:val="374151"/>
          <w:shd w:fill="F7F7F8" w:color="auto" w:val="clear"/>
        </w:rPr>
        <w:t>untreated or recurrent infections.</w:t>
      </w:r>
    </w:p>
    <w:p>
      <w:pPr>
        <w:pStyle w:val="BodyText"/>
        <w:rPr>
          <w:sz w:val="27"/>
        </w:rPr>
      </w:pPr>
    </w:p>
    <w:p>
      <w:pPr>
        <w:pStyle w:val="BodyText"/>
        <w:ind w:left="280" w:right="502"/>
      </w:pPr>
      <w:r>
        <w:rPr>
          <w:color w:val="374151"/>
          <w:shd w:fill="F7F7F8" w:color="auto" w:val="clear"/>
        </w:rPr>
        <w:t>Sexually Transmitted Infections (STIs) can be transmitted through various </w:t>
      </w:r>
      <w:r>
        <w:rPr>
          <w:color w:val="374151"/>
        </w:rPr>
        <w:t> </w:t>
      </w:r>
      <w:r>
        <w:rPr>
          <w:color w:val="374151"/>
          <w:shd w:fill="F7F7F8" w:color="auto" w:val="clear"/>
        </w:rPr>
        <w:t>routes, with the mucous membranes of the penis, vulva, rectum, and urinary </w:t>
      </w:r>
      <w:r>
        <w:rPr>
          <w:color w:val="374151"/>
        </w:rPr>
        <w:t> </w:t>
      </w:r>
      <w:r>
        <w:rPr>
          <w:color w:val="374151"/>
          <w:shd w:fill="F7F7F8" w:color="auto" w:val="clear"/>
        </w:rPr>
        <w:t>tract</w:t>
      </w:r>
      <w:r>
        <w:rPr>
          <w:color w:val="374151"/>
          <w:spacing w:val="-4"/>
          <w:shd w:fill="F7F7F8" w:color="auto" w:val="clear"/>
        </w:rPr>
        <w:t> </w:t>
      </w:r>
      <w:r>
        <w:rPr>
          <w:color w:val="374151"/>
          <w:shd w:fill="F7F7F8" w:color="auto" w:val="clear"/>
        </w:rPr>
        <w:t>being</w:t>
      </w:r>
      <w:r>
        <w:rPr>
          <w:color w:val="374151"/>
          <w:spacing w:val="-3"/>
          <w:shd w:fill="F7F7F8" w:color="auto" w:val="clear"/>
        </w:rPr>
        <w:t> </w:t>
      </w:r>
      <w:r>
        <w:rPr>
          <w:color w:val="374151"/>
          <w:shd w:fill="F7F7F8" w:color="auto" w:val="clear"/>
        </w:rPr>
        <w:t>more</w:t>
      </w:r>
      <w:r>
        <w:rPr>
          <w:color w:val="374151"/>
          <w:spacing w:val="-4"/>
          <w:shd w:fill="F7F7F8" w:color="auto" w:val="clear"/>
        </w:rPr>
        <w:t> </w:t>
      </w:r>
      <w:r>
        <w:rPr>
          <w:color w:val="374151"/>
          <w:shd w:fill="F7F7F8" w:color="auto" w:val="clear"/>
        </w:rPr>
        <w:t>susceptible</w:t>
      </w:r>
      <w:r>
        <w:rPr>
          <w:color w:val="374151"/>
          <w:spacing w:val="-4"/>
          <w:shd w:fill="F7F7F8" w:color="auto" w:val="clear"/>
        </w:rPr>
        <w:t> </w:t>
      </w:r>
      <w:r>
        <w:rPr>
          <w:color w:val="374151"/>
          <w:shd w:fill="F7F7F8" w:color="auto" w:val="clear"/>
        </w:rPr>
        <w:t>than</w:t>
      </w:r>
      <w:r>
        <w:rPr>
          <w:color w:val="374151"/>
          <w:spacing w:val="-3"/>
          <w:shd w:fill="F7F7F8" w:color="auto" w:val="clear"/>
        </w:rPr>
        <w:t> </w:t>
      </w:r>
      <w:r>
        <w:rPr>
          <w:color w:val="374151"/>
          <w:shd w:fill="F7F7F8" w:color="auto" w:val="clear"/>
        </w:rPr>
        <w:t>other</w:t>
      </w:r>
      <w:r>
        <w:rPr>
          <w:color w:val="374151"/>
          <w:spacing w:val="-3"/>
          <w:shd w:fill="F7F7F8" w:color="auto" w:val="clear"/>
        </w:rPr>
        <w:t> </w:t>
      </w:r>
      <w:r>
        <w:rPr>
          <w:color w:val="374151"/>
          <w:shd w:fill="F7F7F8" w:color="auto" w:val="clear"/>
        </w:rPr>
        <w:t>areas</w:t>
      </w:r>
      <w:r>
        <w:rPr>
          <w:color w:val="374151"/>
          <w:spacing w:val="-3"/>
          <w:shd w:fill="F7F7F8" w:color="auto" w:val="clear"/>
        </w:rPr>
        <w:t> </w:t>
      </w:r>
      <w:r>
        <w:rPr>
          <w:color w:val="374151"/>
          <w:shd w:fill="F7F7F8" w:color="auto" w:val="clear"/>
        </w:rPr>
        <w:t>like</w:t>
      </w:r>
      <w:r>
        <w:rPr>
          <w:color w:val="374151"/>
          <w:spacing w:val="-4"/>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mouth,</w:t>
      </w:r>
      <w:r>
        <w:rPr>
          <w:color w:val="374151"/>
          <w:spacing w:val="-3"/>
          <w:shd w:fill="F7F7F8" w:color="auto" w:val="clear"/>
        </w:rPr>
        <w:t> </w:t>
      </w:r>
      <w:r>
        <w:rPr>
          <w:color w:val="374151"/>
          <w:shd w:fill="F7F7F8" w:color="auto" w:val="clear"/>
        </w:rPr>
        <w:t>throat,</w:t>
      </w:r>
      <w:r>
        <w:rPr>
          <w:color w:val="374151"/>
          <w:spacing w:val="-3"/>
          <w:shd w:fill="F7F7F8" w:color="auto" w:val="clear"/>
        </w:rPr>
        <w:t> </w:t>
      </w:r>
      <w:r>
        <w:rPr>
          <w:color w:val="374151"/>
          <w:shd w:fill="F7F7F8" w:color="auto" w:val="clear"/>
        </w:rPr>
        <w:t>respiratory</w:t>
      </w:r>
      <w:r>
        <w:rPr>
          <w:color w:val="374151"/>
          <w:spacing w:val="-18"/>
          <w:shd w:fill="F7F7F8" w:color="auto" w:val="clear"/>
        </w:rPr>
        <w:t> </w:t>
      </w:r>
      <w:r>
        <w:rPr>
          <w:color w:val="374151"/>
          <w:spacing w:val="-18"/>
        </w:rPr>
        <w:t> </w:t>
      </w:r>
      <w:r>
        <w:rPr>
          <w:color w:val="374151"/>
          <w:shd w:fill="F7F7F8" w:color="auto" w:val="clear"/>
        </w:rPr>
        <w:t>tract,</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eyes.</w:t>
      </w:r>
      <w:r>
        <w:rPr>
          <w:color w:val="374151"/>
          <w:spacing w:val="-3"/>
          <w:shd w:fill="F7F7F8" w:color="auto" w:val="clear"/>
        </w:rPr>
        <w:t> </w:t>
      </w:r>
      <w:r>
        <w:rPr>
          <w:color w:val="374151"/>
          <w:shd w:fill="F7F7F8" w:color="auto" w:val="clear"/>
        </w:rPr>
        <w:t>Pathogens</w:t>
      </w:r>
      <w:r>
        <w:rPr>
          <w:color w:val="374151"/>
          <w:spacing w:val="-3"/>
          <w:shd w:fill="F7F7F8" w:color="auto" w:val="clear"/>
        </w:rPr>
        <w:t> </w:t>
      </w:r>
      <w:r>
        <w:rPr>
          <w:color w:val="374151"/>
          <w:shd w:fill="F7F7F8" w:color="auto" w:val="clear"/>
        </w:rPr>
        <w:t>can</w:t>
      </w:r>
      <w:r>
        <w:rPr>
          <w:color w:val="374151"/>
          <w:spacing w:val="-3"/>
          <w:shd w:fill="F7F7F8" w:color="auto" w:val="clear"/>
        </w:rPr>
        <w:t> </w:t>
      </w:r>
      <w:r>
        <w:rPr>
          <w:color w:val="374151"/>
          <w:shd w:fill="F7F7F8" w:color="auto" w:val="clear"/>
        </w:rPr>
        <w:t>permeate</w:t>
      </w:r>
      <w:r>
        <w:rPr>
          <w:color w:val="374151"/>
          <w:spacing w:val="-4"/>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body</w:t>
      </w:r>
      <w:r>
        <w:rPr>
          <w:color w:val="374151"/>
          <w:spacing w:val="-3"/>
          <w:shd w:fill="F7F7F8" w:color="auto" w:val="clear"/>
        </w:rPr>
        <w:t> </w:t>
      </w:r>
      <w:r>
        <w:rPr>
          <w:color w:val="374151"/>
          <w:shd w:fill="F7F7F8" w:color="auto" w:val="clear"/>
        </w:rPr>
        <w:t>through</w:t>
      </w:r>
      <w:r>
        <w:rPr>
          <w:color w:val="374151"/>
          <w:spacing w:val="-3"/>
          <w:shd w:fill="F7F7F8" w:color="auto" w:val="clear"/>
        </w:rPr>
        <w:t> </w:t>
      </w:r>
      <w:r>
        <w:rPr>
          <w:color w:val="374151"/>
          <w:shd w:fill="F7F7F8" w:color="auto" w:val="clear"/>
        </w:rPr>
        <w:t>these</w:t>
      </w:r>
      <w:r>
        <w:rPr>
          <w:color w:val="374151"/>
          <w:spacing w:val="-4"/>
          <w:shd w:fill="F7F7F8" w:color="auto" w:val="clear"/>
        </w:rPr>
        <w:t> </w:t>
      </w:r>
      <w:r>
        <w:rPr>
          <w:color w:val="374151"/>
          <w:shd w:fill="F7F7F8" w:color="auto" w:val="clear"/>
        </w:rPr>
        <w:t>membranes,</w:t>
      </w:r>
      <w:r>
        <w:rPr>
          <w:color w:val="374151"/>
          <w:spacing w:val="-3"/>
          <w:shd w:fill="F7F7F8" w:color="auto" w:val="clear"/>
        </w:rPr>
        <w:t> </w:t>
      </w:r>
      <w:r>
        <w:rPr>
          <w:color w:val="374151"/>
          <w:shd w:fill="F7F7F8" w:color="auto" w:val="clear"/>
        </w:rPr>
        <w:t>as</w:t>
      </w:r>
      <w:r>
        <w:rPr>
          <w:color w:val="374151"/>
          <w:spacing w:val="-11"/>
          <w:shd w:fill="F7F7F8" w:color="auto" w:val="clear"/>
        </w:rPr>
        <w:t> </w:t>
      </w:r>
      <w:r>
        <w:rPr>
          <w:color w:val="374151"/>
          <w:spacing w:val="-11"/>
        </w:rPr>
        <w:t> </w:t>
      </w:r>
      <w:r>
        <w:rPr>
          <w:color w:val="374151"/>
          <w:shd w:fill="F7F7F8" w:color="auto" w:val="clear"/>
        </w:rPr>
        <w:t>well as through breaks or abrasions in the skin, including minor ones. During </w:t>
      </w:r>
      <w:r>
        <w:rPr>
          <w:color w:val="374151"/>
        </w:rPr>
        <w:t> </w:t>
      </w:r>
      <w:r>
        <w:rPr>
          <w:color w:val="374151"/>
          <w:shd w:fill="F7F7F8" w:color="auto" w:val="clear"/>
        </w:rPr>
        <w:t>penetrative sex, the friction on the penis shaft makes it particularly vulnerable</w:t>
      </w:r>
      <w:r>
        <w:rPr>
          <w:color w:val="374151"/>
          <w:spacing w:val="40"/>
          <w:shd w:fill="F7F7F8" w:color="auto" w:val="clear"/>
        </w:rPr>
        <w:t> </w:t>
      </w:r>
    </w:p>
    <w:p>
      <w:pPr>
        <w:spacing w:after="0"/>
        <w:sectPr>
          <w:pgSz w:w="12240" w:h="15840"/>
          <w:pgMar w:header="0" w:footer="765" w:top="1260" w:bottom="980" w:left="1400" w:right="1180"/>
        </w:sectPr>
      </w:pPr>
    </w:p>
    <w:p>
      <w:pPr>
        <w:pStyle w:val="BodyText"/>
        <w:spacing w:before="66"/>
        <w:ind w:left="280" w:right="502"/>
      </w:pPr>
      <w:r>
        <w:rPr/>
        <mc:AlternateContent>
          <mc:Choice Requires="wps">
            <w:drawing>
              <wp:anchor distT="0" distB="0" distL="0" distR="0" allowOverlap="1" layoutInCell="1" locked="0" behindDoc="1" simplePos="0" relativeHeight="487662592">
                <wp:simplePos x="0" y="0"/>
                <wp:positionH relativeFrom="page">
                  <wp:posOffset>1066800</wp:posOffset>
                </wp:positionH>
                <wp:positionV relativeFrom="paragraph">
                  <wp:posOffset>660314</wp:posOffset>
                </wp:positionV>
                <wp:extent cx="4147185" cy="393700"/>
                <wp:effectExtent l="0" t="0" r="0" b="0"/>
                <wp:wrapTopAndBottom/>
                <wp:docPr id="309" name="Textbox 309"/>
                <wp:cNvGraphicFramePr>
                  <a:graphicFrameLocks/>
                </wp:cNvGraphicFramePr>
                <a:graphic>
                  <a:graphicData uri="http://schemas.microsoft.com/office/word/2010/wordprocessingShape">
                    <wps:wsp>
                      <wps:cNvPr id="309" name="Textbox 309"/>
                      <wps:cNvSpPr txBox="1"/>
                      <wps:spPr>
                        <a:xfrm>
                          <a:off x="0" y="0"/>
                          <a:ext cx="4147185" cy="393700"/>
                        </a:xfrm>
                        <a:prstGeom prst="rect">
                          <a:avLst/>
                        </a:prstGeom>
                        <a:solidFill>
                          <a:srgbClr val="F7F7F8"/>
                        </a:solidFill>
                      </wps:spPr>
                      <wps:txbx>
                        <w:txbxContent>
                          <w:p>
                            <w:pPr>
                              <w:pStyle w:val="BodyText"/>
                              <w:spacing w:line="308" w:lineRule="exact"/>
                              <w:rPr>
                                <w:color w:val="000000"/>
                              </w:rPr>
                            </w:pPr>
                            <w:r>
                              <w:rPr>
                                <w:color w:val="374151"/>
                              </w:rPr>
                              <w:t>cause</w:t>
                            </w:r>
                            <w:r>
                              <w:rPr>
                                <w:color w:val="374151"/>
                                <w:spacing w:val="-3"/>
                              </w:rPr>
                              <w:t> </w:t>
                            </w:r>
                            <w:r>
                              <w:rPr>
                                <w:color w:val="374151"/>
                              </w:rPr>
                              <w:t>infection</w:t>
                            </w:r>
                            <w:r>
                              <w:rPr>
                                <w:color w:val="374151"/>
                                <w:spacing w:val="-2"/>
                              </w:rPr>
                              <w:t> </w:t>
                            </w:r>
                            <w:r>
                              <w:rPr>
                                <w:color w:val="374151"/>
                              </w:rPr>
                              <w:t>varies</w:t>
                            </w:r>
                            <w:r>
                              <w:rPr>
                                <w:color w:val="374151"/>
                                <w:spacing w:val="-1"/>
                              </w:rPr>
                              <w:t> </w:t>
                            </w:r>
                            <w:r>
                              <w:rPr>
                                <w:color w:val="374151"/>
                              </w:rPr>
                              <w:t>depending</w:t>
                            </w:r>
                            <w:r>
                              <w:rPr>
                                <w:color w:val="374151"/>
                                <w:spacing w:val="-2"/>
                              </w:rPr>
                              <w:t> </w:t>
                            </w:r>
                            <w:r>
                              <w:rPr>
                                <w:color w:val="374151"/>
                              </w:rPr>
                              <w:t>on</w:t>
                            </w:r>
                            <w:r>
                              <w:rPr>
                                <w:color w:val="374151"/>
                                <w:spacing w:val="-1"/>
                              </w:rPr>
                              <w:t> </w:t>
                            </w:r>
                            <w:r>
                              <w:rPr>
                                <w:color w:val="374151"/>
                              </w:rPr>
                              <w:t>the</w:t>
                            </w:r>
                            <w:r>
                              <w:rPr>
                                <w:color w:val="374151"/>
                                <w:spacing w:val="-3"/>
                              </w:rPr>
                              <w:t> </w:t>
                            </w:r>
                            <w:r>
                              <w:rPr>
                                <w:color w:val="374151"/>
                              </w:rPr>
                              <w:t>specific</w:t>
                            </w:r>
                            <w:r>
                              <w:rPr>
                                <w:color w:val="374151"/>
                                <w:spacing w:val="-2"/>
                              </w:rPr>
                              <w:t> pathogen</w:t>
                            </w:r>
                          </w:p>
                        </w:txbxContent>
                      </wps:txbx>
                      <wps:bodyPr wrap="square" lIns="0" tIns="0" rIns="0" bIns="0" rtlCol="0">
                        <a:noAutofit/>
                      </wps:bodyPr>
                    </wps:wsp>
                  </a:graphicData>
                </a:graphic>
              </wp:anchor>
            </w:drawing>
          </mc:Choice>
          <mc:Fallback>
            <w:pict>
              <v:shape style="position:absolute;margin-left:84pt;margin-top:51.993298pt;width:326.55pt;height:31pt;mso-position-horizontal-relative:page;mso-position-vertical-relative:paragraph;z-index:-15653888;mso-wrap-distance-left:0;mso-wrap-distance-right:0" type="#_x0000_t202" id="docshape308" filled="true" fillcolor="#f7f7f8" stroked="false">
                <v:textbox inset="0,0,0,0">
                  <w:txbxContent>
                    <w:p>
                      <w:pPr>
                        <w:pStyle w:val="BodyText"/>
                        <w:spacing w:line="308" w:lineRule="exact"/>
                        <w:rPr>
                          <w:color w:val="000000"/>
                        </w:rPr>
                      </w:pPr>
                      <w:r>
                        <w:rPr>
                          <w:color w:val="374151"/>
                        </w:rPr>
                        <w:t>cause</w:t>
                      </w:r>
                      <w:r>
                        <w:rPr>
                          <w:color w:val="374151"/>
                          <w:spacing w:val="-3"/>
                        </w:rPr>
                        <w:t> </w:t>
                      </w:r>
                      <w:r>
                        <w:rPr>
                          <w:color w:val="374151"/>
                        </w:rPr>
                        <w:t>infection</w:t>
                      </w:r>
                      <w:r>
                        <w:rPr>
                          <w:color w:val="374151"/>
                          <w:spacing w:val="-2"/>
                        </w:rPr>
                        <w:t> </w:t>
                      </w:r>
                      <w:r>
                        <w:rPr>
                          <w:color w:val="374151"/>
                        </w:rPr>
                        <w:t>varies</w:t>
                      </w:r>
                      <w:r>
                        <w:rPr>
                          <w:color w:val="374151"/>
                          <w:spacing w:val="-1"/>
                        </w:rPr>
                        <w:t> </w:t>
                      </w:r>
                      <w:r>
                        <w:rPr>
                          <w:color w:val="374151"/>
                        </w:rPr>
                        <w:t>depending</w:t>
                      </w:r>
                      <w:r>
                        <w:rPr>
                          <w:color w:val="374151"/>
                          <w:spacing w:val="-2"/>
                        </w:rPr>
                        <w:t> </w:t>
                      </w:r>
                      <w:r>
                        <w:rPr>
                          <w:color w:val="374151"/>
                        </w:rPr>
                        <w:t>on</w:t>
                      </w:r>
                      <w:r>
                        <w:rPr>
                          <w:color w:val="374151"/>
                          <w:spacing w:val="-1"/>
                        </w:rPr>
                        <w:t> </w:t>
                      </w:r>
                      <w:r>
                        <w:rPr>
                          <w:color w:val="374151"/>
                        </w:rPr>
                        <w:t>the</w:t>
                      </w:r>
                      <w:r>
                        <w:rPr>
                          <w:color w:val="374151"/>
                          <w:spacing w:val="-3"/>
                        </w:rPr>
                        <w:t> </w:t>
                      </w:r>
                      <w:r>
                        <w:rPr>
                          <w:color w:val="374151"/>
                        </w:rPr>
                        <w:t>specific</w:t>
                      </w:r>
                      <w:r>
                        <w:rPr>
                          <w:color w:val="374151"/>
                          <w:spacing w:val="-2"/>
                        </w:rPr>
                        <w:t> pathogen</w:t>
                      </w:r>
                    </w:p>
                  </w:txbxContent>
                </v:textbox>
                <v:fill type="solid"/>
                <w10:wrap type="topAndBottom"/>
              </v:shape>
            </w:pict>
          </mc:Fallback>
        </mc:AlternateContent>
      </w:r>
      <w:r>
        <w:rPr>
          <w:color w:val="374151"/>
          <w:shd w:fill="F7F7F8" w:color="auto" w:val="clear"/>
        </w:rPr>
        <w:t>to infection.</w:t>
      </w:r>
      <w:r>
        <w:rPr>
          <w:color w:val="374151"/>
          <w:spacing w:val="-2"/>
          <w:shd w:fill="F7F7F8" w:color="auto" w:val="clear"/>
        </w:rPr>
        <w:t> </w:t>
      </w:r>
      <w:r>
        <w:rPr>
          <w:color w:val="374151"/>
          <w:shd w:fill="F7F7F8" w:color="auto" w:val="clear"/>
        </w:rPr>
        <w:t>The main sources of infection, in ascending order, are venereal </w:t>
      </w:r>
      <w:r>
        <w:rPr>
          <w:color w:val="374151"/>
        </w:rPr>
        <w:t> </w:t>
      </w:r>
      <w:r>
        <w:rPr>
          <w:color w:val="374151"/>
          <w:shd w:fill="F7F7F8" w:color="auto" w:val="clear"/>
        </w:rPr>
        <w:t>fluids,</w:t>
      </w:r>
      <w:r>
        <w:rPr>
          <w:color w:val="374151"/>
          <w:spacing w:val="-4"/>
          <w:shd w:fill="F7F7F8" w:color="auto" w:val="clear"/>
        </w:rPr>
        <w:t> </w:t>
      </w:r>
      <w:r>
        <w:rPr>
          <w:color w:val="374151"/>
          <w:shd w:fill="F7F7F8" w:color="auto" w:val="clear"/>
        </w:rPr>
        <w:t>saliva,</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mucosal</w:t>
      </w:r>
      <w:r>
        <w:rPr>
          <w:color w:val="374151"/>
          <w:spacing w:val="-4"/>
          <w:shd w:fill="F7F7F8" w:color="auto" w:val="clear"/>
        </w:rPr>
        <w:t> </w:t>
      </w:r>
      <w:r>
        <w:rPr>
          <w:color w:val="374151"/>
          <w:shd w:fill="F7F7F8" w:color="auto" w:val="clear"/>
        </w:rPr>
        <w:t>or</w:t>
      </w:r>
      <w:r>
        <w:rPr>
          <w:color w:val="374151"/>
          <w:spacing w:val="-4"/>
          <w:shd w:fill="F7F7F8" w:color="auto" w:val="clear"/>
        </w:rPr>
        <w:t> </w:t>
      </w:r>
      <w:r>
        <w:rPr>
          <w:color w:val="374151"/>
          <w:shd w:fill="F7F7F8" w:color="auto" w:val="clear"/>
        </w:rPr>
        <w:t>skin</w:t>
      </w:r>
      <w:r>
        <w:rPr>
          <w:color w:val="374151"/>
          <w:spacing w:val="-4"/>
          <w:shd w:fill="F7F7F8" w:color="auto" w:val="clear"/>
        </w:rPr>
        <w:t> </w:t>
      </w:r>
      <w:r>
        <w:rPr>
          <w:color w:val="374151"/>
          <w:shd w:fill="F7F7F8" w:color="auto" w:val="clear"/>
        </w:rPr>
        <w:t>contact,</w:t>
      </w:r>
      <w:r>
        <w:rPr>
          <w:color w:val="374151"/>
          <w:spacing w:val="-4"/>
          <w:shd w:fill="F7F7F8" w:color="auto" w:val="clear"/>
        </w:rPr>
        <w:t> </w:t>
      </w:r>
      <w:r>
        <w:rPr>
          <w:color w:val="374151"/>
          <w:shd w:fill="F7F7F8" w:color="auto" w:val="clear"/>
        </w:rPr>
        <w:t>with</w:t>
      </w:r>
      <w:r>
        <w:rPr>
          <w:color w:val="374151"/>
          <w:spacing w:val="-4"/>
          <w:shd w:fill="F7F7F8" w:color="auto" w:val="clear"/>
        </w:rPr>
        <w:t> </w:t>
      </w:r>
      <w:r>
        <w:rPr>
          <w:color w:val="374151"/>
          <w:shd w:fill="F7F7F8" w:color="auto" w:val="clear"/>
        </w:rPr>
        <w:t>infections</w:t>
      </w:r>
      <w:r>
        <w:rPr>
          <w:color w:val="374151"/>
          <w:spacing w:val="-4"/>
          <w:shd w:fill="F7F7F8" w:color="auto" w:val="clear"/>
        </w:rPr>
        <w:t> </w:t>
      </w:r>
      <w:r>
        <w:rPr>
          <w:color w:val="374151"/>
          <w:shd w:fill="F7F7F8" w:color="auto" w:val="clear"/>
        </w:rPr>
        <w:t>possibly</w:t>
      </w:r>
      <w:r>
        <w:rPr>
          <w:color w:val="374151"/>
          <w:spacing w:val="-4"/>
          <w:shd w:fill="F7F7F8" w:color="auto" w:val="clear"/>
        </w:rPr>
        <w:t> </w:t>
      </w:r>
      <w:r>
        <w:rPr>
          <w:color w:val="374151"/>
          <w:shd w:fill="F7F7F8" w:color="auto" w:val="clear"/>
        </w:rPr>
        <w:t>transmitted</w:t>
      </w:r>
      <w:r>
        <w:rPr>
          <w:color w:val="374151"/>
        </w:rPr>
        <w:t> </w:t>
      </w:r>
      <w:r>
        <w:rPr>
          <w:color w:val="374151"/>
          <w:shd w:fill="F7F7F8" w:color="auto" w:val="clear"/>
        </w:rPr>
        <w:t>through feces, urine, and sweat as well. The amount of pathogen required to</w:t>
      </w:r>
      <w:r>
        <w:rPr>
          <w:color w:val="374151"/>
          <w:spacing w:val="40"/>
          <w:shd w:fill="F7F7F8" w:color="auto" w:val="clear"/>
        </w:rPr>
        <w:t> </w:t>
      </w:r>
    </w:p>
    <w:p>
      <w:pPr>
        <w:pStyle w:val="BodyText"/>
        <w:spacing w:line="237" w:lineRule="auto" w:after="4"/>
        <w:ind w:left="280" w:right="502"/>
      </w:pPr>
      <w:r>
        <w:rPr>
          <w:color w:val="374151"/>
          <w:shd w:fill="F7F7F8" w:color="auto" w:val="clear"/>
        </w:rPr>
        <w:t>The</w:t>
      </w:r>
      <w:r>
        <w:rPr>
          <w:color w:val="374151"/>
          <w:spacing w:val="-1"/>
          <w:shd w:fill="F7F7F8" w:color="auto" w:val="clear"/>
        </w:rPr>
        <w:t> </w:t>
      </w:r>
      <w:r>
        <w:rPr>
          <w:color w:val="374151"/>
          <w:shd w:fill="F7F7F8" w:color="auto" w:val="clear"/>
        </w:rPr>
        <w:t>probability of transmitting infections through sexual intercourse</w:t>
      </w:r>
      <w:r>
        <w:rPr>
          <w:color w:val="374151"/>
          <w:spacing w:val="-1"/>
          <w:shd w:fill="F7F7F8" w:color="auto" w:val="clear"/>
        </w:rPr>
        <w:t> </w:t>
      </w:r>
      <w:r>
        <w:rPr>
          <w:color w:val="374151"/>
          <w:shd w:fill="F7F7F8" w:color="auto" w:val="clear"/>
        </w:rPr>
        <w:t>is higher</w:t>
      </w:r>
      <w:r>
        <w:rPr>
          <w:color w:val="374151"/>
          <w:spacing w:val="-1"/>
          <w:shd w:fill="F7F7F8" w:color="auto" w:val="clear"/>
        </w:rPr>
        <w:t> </w:t>
      </w:r>
      <w:r>
        <w:rPr>
          <w:color w:val="374151"/>
          <w:spacing w:val="-1"/>
        </w:rPr>
        <w:t> </w:t>
      </w:r>
      <w:r>
        <w:rPr>
          <w:color w:val="374151"/>
          <w:shd w:fill="F7F7F8" w:color="auto" w:val="clear"/>
        </w:rPr>
        <w:t>compared to more casual means like touching and hugging. Mucous </w:t>
      </w:r>
      <w:r>
        <w:rPr>
          <w:color w:val="374151"/>
        </w:rPr>
        <w:t> </w:t>
      </w:r>
      <w:r>
        <w:rPr>
          <w:color w:val="374151"/>
          <w:shd w:fill="F7F7F8" w:color="auto" w:val="clear"/>
        </w:rPr>
        <w:t>membranes</w:t>
      </w:r>
      <w:r>
        <w:rPr>
          <w:color w:val="374151"/>
          <w:spacing w:val="-3"/>
          <w:shd w:fill="F7F7F8" w:color="auto" w:val="clear"/>
        </w:rPr>
        <w:t> </w:t>
      </w:r>
      <w:r>
        <w:rPr>
          <w:color w:val="374151"/>
          <w:shd w:fill="F7F7F8" w:color="auto" w:val="clear"/>
        </w:rPr>
        <w:t>are</w:t>
      </w:r>
      <w:r>
        <w:rPr>
          <w:color w:val="374151"/>
          <w:spacing w:val="-4"/>
          <w:shd w:fill="F7F7F8" w:color="auto" w:val="clear"/>
        </w:rPr>
        <w:t> </w:t>
      </w:r>
      <w:r>
        <w:rPr>
          <w:color w:val="374151"/>
          <w:shd w:fill="F7F7F8" w:color="auto" w:val="clear"/>
        </w:rPr>
        <w:t>present</w:t>
      </w:r>
      <w:r>
        <w:rPr>
          <w:color w:val="374151"/>
          <w:spacing w:val="-3"/>
          <w:shd w:fill="F7F7F8" w:color="auto" w:val="clear"/>
        </w:rPr>
        <w:t> </w:t>
      </w:r>
      <w:r>
        <w:rPr>
          <w:color w:val="374151"/>
          <w:shd w:fill="F7F7F8" w:color="auto" w:val="clear"/>
        </w:rPr>
        <w:t>in</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mouth</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genitals,</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many</w:t>
      </w:r>
      <w:r>
        <w:rPr>
          <w:color w:val="374151"/>
          <w:spacing w:val="-3"/>
          <w:shd w:fill="F7F7F8" w:color="auto" w:val="clear"/>
        </w:rPr>
        <w:t> </w:t>
      </w:r>
      <w:r>
        <w:rPr>
          <w:color w:val="374151"/>
          <w:shd w:fill="F7F7F8" w:color="auto" w:val="clear"/>
        </w:rPr>
        <w:t>STIs</w:t>
      </w:r>
      <w:r>
        <w:rPr>
          <w:color w:val="374151"/>
          <w:spacing w:val="-3"/>
          <w:shd w:fill="F7F7F8" w:color="auto" w:val="clear"/>
        </w:rPr>
        <w:t> </w:t>
      </w:r>
      <w:r>
        <w:rPr>
          <w:color w:val="374151"/>
          <w:shd w:fill="F7F7F8" w:color="auto" w:val="clear"/>
        </w:rPr>
        <w:t>can</w:t>
      </w:r>
      <w:r>
        <w:rPr>
          <w:color w:val="374151"/>
          <w:spacing w:val="-3"/>
          <w:shd w:fill="F7F7F8" w:color="auto" w:val="clear"/>
        </w:rPr>
        <w:t> </w:t>
      </w:r>
      <w:r>
        <w:rPr>
          <w:color w:val="374151"/>
          <w:shd w:fill="F7F7F8" w:color="auto" w:val="clear"/>
        </w:rPr>
        <w:t>be</w:t>
      </w:r>
      <w:r>
        <w:rPr>
          <w:color w:val="374151"/>
          <w:spacing w:val="-4"/>
          <w:shd w:fill="F7F7F8" w:color="auto" w:val="clear"/>
        </w:rPr>
        <w:t> </w:t>
      </w:r>
      <w:r>
        <w:rPr>
          <w:color w:val="374151"/>
          <w:shd w:fill="F7F7F8" w:color="auto" w:val="clear"/>
        </w:rPr>
        <w:t>more</w:t>
      </w:r>
      <w:r>
        <w:rPr>
          <w:color w:val="374151"/>
          <w:spacing w:val="-4"/>
          <w:shd w:fill="F7F7F8" w:color="auto" w:val="clear"/>
        </w:rPr>
        <w:t> </w:t>
      </w:r>
      <w:r>
        <w:rPr>
          <w:color w:val="374151"/>
          <w:spacing w:val="-4"/>
        </w:rPr>
        <w:t> </w:t>
      </w:r>
      <w:r>
        <w:rPr>
          <w:color w:val="374151"/>
          <w:shd w:fill="F7F7F8" w:color="auto" w:val="clear"/>
        </w:rPr>
        <w:t>easily transmitted through oral sex than through deep kissing. Genital fluids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450715" cy="393700"/>
                <wp:effectExtent l="0" t="0" r="0" b="0"/>
                <wp:docPr id="310" name="Textbox 310"/>
                <wp:cNvGraphicFramePr>
                  <a:graphicFrameLocks/>
                </wp:cNvGraphicFramePr>
                <a:graphic>
                  <a:graphicData uri="http://schemas.microsoft.com/office/word/2010/wordprocessingShape">
                    <wps:wsp>
                      <wps:cNvPr id="310" name="Textbox 310"/>
                      <wps:cNvSpPr txBox="1"/>
                      <wps:spPr>
                        <a:xfrm>
                          <a:off x="0" y="0"/>
                          <a:ext cx="4450715" cy="393700"/>
                        </a:xfrm>
                        <a:prstGeom prst="rect">
                          <a:avLst/>
                        </a:prstGeom>
                        <a:solidFill>
                          <a:srgbClr val="F7F7F8"/>
                        </a:solidFill>
                      </wps:spPr>
                      <wps:txbx>
                        <w:txbxContent>
                          <w:p>
                            <w:pPr>
                              <w:pStyle w:val="BodyText"/>
                              <w:spacing w:line="308" w:lineRule="exact"/>
                              <w:ind w:right="-15"/>
                              <w:rPr>
                                <w:color w:val="000000"/>
                              </w:rPr>
                            </w:pPr>
                            <w:r>
                              <w:rPr>
                                <w:color w:val="374151"/>
                              </w:rPr>
                              <w:t>contain</w:t>
                            </w:r>
                            <w:r>
                              <w:rPr>
                                <w:color w:val="374151"/>
                                <w:spacing w:val="-4"/>
                              </w:rPr>
                              <w:t> </w:t>
                            </w:r>
                            <w:r>
                              <w:rPr>
                                <w:color w:val="374151"/>
                              </w:rPr>
                              <w:t>a</w:t>
                            </w:r>
                            <w:r>
                              <w:rPr>
                                <w:color w:val="374151"/>
                                <w:spacing w:val="-2"/>
                              </w:rPr>
                              <w:t> </w:t>
                            </w:r>
                            <w:r>
                              <w:rPr>
                                <w:color w:val="374151"/>
                              </w:rPr>
                              <w:t>higher</w:t>
                            </w:r>
                            <w:r>
                              <w:rPr>
                                <w:color w:val="374151"/>
                                <w:spacing w:val="-1"/>
                              </w:rPr>
                              <w:t> </w:t>
                            </w:r>
                            <w:r>
                              <w:rPr>
                                <w:color w:val="374151"/>
                              </w:rPr>
                              <w:t>pathogen</w:t>
                            </w:r>
                            <w:r>
                              <w:rPr>
                                <w:color w:val="374151"/>
                                <w:spacing w:val="-1"/>
                              </w:rPr>
                              <w:t> </w:t>
                            </w:r>
                            <w:r>
                              <w:rPr>
                                <w:color w:val="374151"/>
                              </w:rPr>
                              <w:t>content</w:t>
                            </w:r>
                            <w:r>
                              <w:rPr>
                                <w:color w:val="374151"/>
                                <w:spacing w:val="-2"/>
                              </w:rPr>
                              <w:t> </w:t>
                            </w:r>
                            <w:r>
                              <w:rPr>
                                <w:color w:val="374151"/>
                              </w:rPr>
                              <w:t>for</w:t>
                            </w:r>
                            <w:r>
                              <w:rPr>
                                <w:color w:val="374151"/>
                                <w:spacing w:val="-1"/>
                              </w:rPr>
                              <w:t> </w:t>
                            </w:r>
                            <w:r>
                              <w:rPr>
                                <w:color w:val="374151"/>
                              </w:rPr>
                              <w:t>HIV</w:t>
                            </w:r>
                            <w:r>
                              <w:rPr>
                                <w:color w:val="374151"/>
                                <w:spacing w:val="-7"/>
                              </w:rPr>
                              <w:t> </w:t>
                            </w:r>
                            <w:r>
                              <w:rPr>
                                <w:color w:val="374151"/>
                              </w:rPr>
                              <w:t>compared</w:t>
                            </w:r>
                            <w:r>
                              <w:rPr>
                                <w:color w:val="374151"/>
                                <w:spacing w:val="-1"/>
                              </w:rPr>
                              <w:t> </w:t>
                            </w:r>
                            <w:r>
                              <w:rPr>
                                <w:color w:val="374151"/>
                              </w:rPr>
                              <w:t>to</w:t>
                            </w:r>
                            <w:r>
                              <w:rPr>
                                <w:color w:val="374151"/>
                                <w:spacing w:val="-1"/>
                              </w:rPr>
                              <w:t> </w:t>
                            </w:r>
                            <w:r>
                              <w:rPr>
                                <w:color w:val="374151"/>
                                <w:spacing w:val="-2"/>
                              </w:rPr>
                              <w:t>saliva.</w:t>
                            </w:r>
                          </w:p>
                        </w:txbxContent>
                      </wps:txbx>
                      <wps:bodyPr wrap="square" lIns="0" tIns="0" rIns="0" bIns="0" rtlCol="0">
                        <a:noAutofit/>
                      </wps:bodyPr>
                    </wps:wsp>
                  </a:graphicData>
                </a:graphic>
              </wp:inline>
            </w:drawing>
          </mc:Choice>
          <mc:Fallback>
            <w:pict>
              <v:shape style="width:350.45pt;height:31pt;mso-position-horizontal-relative:char;mso-position-vertical-relative:line" type="#_x0000_t202" id="docshape309" filled="true" fillcolor="#f7f7f8" stroked="false">
                <w10:anchorlock/>
                <v:textbox inset="0,0,0,0">
                  <w:txbxContent>
                    <w:p>
                      <w:pPr>
                        <w:pStyle w:val="BodyText"/>
                        <w:spacing w:line="308" w:lineRule="exact"/>
                        <w:ind w:right="-15"/>
                        <w:rPr>
                          <w:color w:val="000000"/>
                        </w:rPr>
                      </w:pPr>
                      <w:r>
                        <w:rPr>
                          <w:color w:val="374151"/>
                        </w:rPr>
                        <w:t>contain</w:t>
                      </w:r>
                      <w:r>
                        <w:rPr>
                          <w:color w:val="374151"/>
                          <w:spacing w:val="-4"/>
                        </w:rPr>
                        <w:t> </w:t>
                      </w:r>
                      <w:r>
                        <w:rPr>
                          <w:color w:val="374151"/>
                        </w:rPr>
                        <w:t>a</w:t>
                      </w:r>
                      <w:r>
                        <w:rPr>
                          <w:color w:val="374151"/>
                          <w:spacing w:val="-2"/>
                        </w:rPr>
                        <w:t> </w:t>
                      </w:r>
                      <w:r>
                        <w:rPr>
                          <w:color w:val="374151"/>
                        </w:rPr>
                        <w:t>higher</w:t>
                      </w:r>
                      <w:r>
                        <w:rPr>
                          <w:color w:val="374151"/>
                          <w:spacing w:val="-1"/>
                        </w:rPr>
                        <w:t> </w:t>
                      </w:r>
                      <w:r>
                        <w:rPr>
                          <w:color w:val="374151"/>
                        </w:rPr>
                        <w:t>pathogen</w:t>
                      </w:r>
                      <w:r>
                        <w:rPr>
                          <w:color w:val="374151"/>
                          <w:spacing w:val="-1"/>
                        </w:rPr>
                        <w:t> </w:t>
                      </w:r>
                      <w:r>
                        <w:rPr>
                          <w:color w:val="374151"/>
                        </w:rPr>
                        <w:t>content</w:t>
                      </w:r>
                      <w:r>
                        <w:rPr>
                          <w:color w:val="374151"/>
                          <w:spacing w:val="-2"/>
                        </w:rPr>
                        <w:t> </w:t>
                      </w:r>
                      <w:r>
                        <w:rPr>
                          <w:color w:val="374151"/>
                        </w:rPr>
                        <w:t>for</w:t>
                      </w:r>
                      <w:r>
                        <w:rPr>
                          <w:color w:val="374151"/>
                          <w:spacing w:val="-1"/>
                        </w:rPr>
                        <w:t> </w:t>
                      </w:r>
                      <w:r>
                        <w:rPr>
                          <w:color w:val="374151"/>
                        </w:rPr>
                        <w:t>HIV</w:t>
                      </w:r>
                      <w:r>
                        <w:rPr>
                          <w:color w:val="374151"/>
                          <w:spacing w:val="-7"/>
                        </w:rPr>
                        <w:t> </w:t>
                      </w:r>
                      <w:r>
                        <w:rPr>
                          <w:color w:val="374151"/>
                        </w:rPr>
                        <w:t>compared</w:t>
                      </w:r>
                      <w:r>
                        <w:rPr>
                          <w:color w:val="374151"/>
                          <w:spacing w:val="-1"/>
                        </w:rPr>
                        <w:t> </w:t>
                      </w:r>
                      <w:r>
                        <w:rPr>
                          <w:color w:val="374151"/>
                        </w:rPr>
                        <w:t>to</w:t>
                      </w:r>
                      <w:r>
                        <w:rPr>
                          <w:color w:val="374151"/>
                          <w:spacing w:val="-1"/>
                        </w:rPr>
                        <w:t> </w:t>
                      </w:r>
                      <w:r>
                        <w:rPr>
                          <w:color w:val="374151"/>
                          <w:spacing w:val="-2"/>
                        </w:rPr>
                        <w:t>saliva.</w:t>
                      </w:r>
                    </w:p>
                  </w:txbxContent>
                </v:textbox>
                <v:fill type="solid"/>
              </v:shape>
            </w:pict>
          </mc:Fallback>
        </mc:AlternateContent>
      </w:r>
      <w:r>
        <w:rPr>
          <w:sz w:val="20"/>
        </w:rPr>
      </w:r>
    </w:p>
    <w:p>
      <w:pPr>
        <w:pStyle w:val="BodyText"/>
        <w:spacing w:line="282" w:lineRule="exact"/>
        <w:ind w:left="280"/>
      </w:pPr>
      <w:r>
        <w:rPr>
          <w:color w:val="374151"/>
          <w:shd w:fill="F7F7F8" w:color="auto" w:val="clear"/>
        </w:rPr>
        <w:t>Certain</w:t>
      </w:r>
      <w:r>
        <w:rPr>
          <w:color w:val="374151"/>
          <w:spacing w:val="-2"/>
          <w:shd w:fill="F7F7F8" w:color="auto" w:val="clear"/>
        </w:rPr>
        <w:t> </w:t>
      </w:r>
      <w:r>
        <w:rPr>
          <w:color w:val="374151"/>
          <w:shd w:fill="F7F7F8" w:color="auto" w:val="clear"/>
        </w:rPr>
        <w:t>STIs</w:t>
      </w:r>
      <w:r>
        <w:rPr>
          <w:color w:val="374151"/>
          <w:spacing w:val="-1"/>
          <w:shd w:fill="F7F7F8" w:color="auto" w:val="clear"/>
        </w:rPr>
        <w:t> </w:t>
      </w:r>
      <w:r>
        <w:rPr>
          <w:color w:val="374151"/>
          <w:shd w:fill="F7F7F8" w:color="auto" w:val="clear"/>
        </w:rPr>
        <w:t>can</w:t>
      </w:r>
      <w:r>
        <w:rPr>
          <w:color w:val="374151"/>
          <w:spacing w:val="-2"/>
          <w:shd w:fill="F7F7F8" w:color="auto" w:val="clear"/>
        </w:rPr>
        <w:t> </w:t>
      </w:r>
      <w:r>
        <w:rPr>
          <w:color w:val="374151"/>
          <w:shd w:fill="F7F7F8" w:color="auto" w:val="clear"/>
        </w:rPr>
        <w:t>also</w:t>
      </w:r>
      <w:r>
        <w:rPr>
          <w:color w:val="374151"/>
          <w:spacing w:val="-1"/>
          <w:shd w:fill="F7F7F8" w:color="auto" w:val="clear"/>
        </w:rPr>
        <w:t> </w:t>
      </w:r>
      <w:r>
        <w:rPr>
          <w:color w:val="374151"/>
          <w:shd w:fill="F7F7F8" w:color="auto" w:val="clear"/>
        </w:rPr>
        <w:t>be</w:t>
      </w:r>
      <w:r>
        <w:rPr>
          <w:color w:val="374151"/>
          <w:spacing w:val="-3"/>
          <w:shd w:fill="F7F7F8" w:color="auto" w:val="clear"/>
        </w:rPr>
        <w:t> </w:t>
      </w:r>
      <w:r>
        <w:rPr>
          <w:color w:val="374151"/>
          <w:shd w:fill="F7F7F8" w:color="auto" w:val="clear"/>
        </w:rPr>
        <w:t>transmitted</w:t>
      </w:r>
      <w:r>
        <w:rPr>
          <w:color w:val="374151"/>
          <w:spacing w:val="-1"/>
          <w:shd w:fill="F7F7F8" w:color="auto" w:val="clear"/>
        </w:rPr>
        <w:t> </w:t>
      </w:r>
      <w:r>
        <w:rPr>
          <w:color w:val="374151"/>
          <w:shd w:fill="F7F7F8" w:color="auto" w:val="clear"/>
        </w:rPr>
        <w:t>through</w:t>
      </w:r>
      <w:r>
        <w:rPr>
          <w:color w:val="374151"/>
          <w:spacing w:val="-2"/>
          <w:shd w:fill="F7F7F8" w:color="auto" w:val="clear"/>
        </w:rPr>
        <w:t> </w:t>
      </w:r>
      <w:r>
        <w:rPr>
          <w:color w:val="374151"/>
          <w:shd w:fill="F7F7F8" w:color="auto" w:val="clear"/>
        </w:rPr>
        <w:t>direct</w:t>
      </w:r>
      <w:r>
        <w:rPr>
          <w:color w:val="374151"/>
          <w:spacing w:val="-1"/>
          <w:shd w:fill="F7F7F8" w:color="auto" w:val="clear"/>
        </w:rPr>
        <w:t> </w:t>
      </w:r>
      <w:r>
        <w:rPr>
          <w:color w:val="374151"/>
          <w:shd w:fill="F7F7F8" w:color="auto" w:val="clear"/>
        </w:rPr>
        <w:t>skin</w:t>
      </w:r>
      <w:r>
        <w:rPr>
          <w:color w:val="374151"/>
          <w:spacing w:val="-2"/>
          <w:shd w:fill="F7F7F8" w:color="auto" w:val="clear"/>
        </w:rPr>
        <w:t> </w:t>
      </w:r>
      <w:r>
        <w:rPr>
          <w:color w:val="374151"/>
          <w:shd w:fill="F7F7F8" w:color="auto" w:val="clear"/>
        </w:rPr>
        <w:t>contact,</w:t>
      </w:r>
      <w:r>
        <w:rPr>
          <w:color w:val="374151"/>
          <w:spacing w:val="-1"/>
          <w:shd w:fill="F7F7F8" w:color="auto" w:val="clear"/>
        </w:rPr>
        <w:t> </w:t>
      </w:r>
      <w:r>
        <w:rPr>
          <w:color w:val="374151"/>
          <w:shd w:fill="F7F7F8" w:color="auto" w:val="clear"/>
        </w:rPr>
        <w:t>such</w:t>
      </w:r>
      <w:r>
        <w:rPr>
          <w:color w:val="374151"/>
          <w:spacing w:val="-1"/>
          <w:shd w:fill="F7F7F8" w:color="auto" w:val="clear"/>
        </w:rPr>
        <w:t> </w:t>
      </w:r>
      <w:r>
        <w:rPr>
          <w:color w:val="374151"/>
          <w:spacing w:val="-5"/>
          <w:shd w:fill="F7F7F8" w:color="auto" w:val="clear"/>
        </w:rPr>
        <w:t>as</w:t>
      </w:r>
      <w:r>
        <w:rPr>
          <w:color w:val="374151"/>
          <w:spacing w:val="40"/>
          <w:shd w:fill="F7F7F8" w:color="auto" w:val="clear"/>
        </w:rPr>
        <w:t> </w:t>
      </w:r>
    </w:p>
    <w:p>
      <w:pPr>
        <w:pStyle w:val="BodyText"/>
        <w:spacing w:after="7"/>
        <w:ind w:left="280" w:right="502"/>
      </w:pPr>
      <w:r>
        <w:rPr>
          <w:color w:val="374151"/>
          <w:shd w:fill="F7F7F8" w:color="auto" w:val="clear"/>
        </w:rPr>
        <w:t>herpes simplex and HPV. Some infections can be transmitted even in the </w:t>
      </w:r>
      <w:r>
        <w:rPr>
          <w:color w:val="374151"/>
        </w:rPr>
        <w:t> </w:t>
      </w:r>
      <w:r>
        <w:rPr>
          <w:color w:val="374151"/>
          <w:shd w:fill="F7F7F8" w:color="auto" w:val="clear"/>
        </w:rPr>
        <w:t>absence</w:t>
      </w:r>
      <w:r>
        <w:rPr>
          <w:color w:val="374151"/>
          <w:spacing w:val="-5"/>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symptoms.</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instance,</w:t>
      </w:r>
      <w:r>
        <w:rPr>
          <w:color w:val="374151"/>
          <w:spacing w:val="-4"/>
          <w:shd w:fill="F7F7F8" w:color="auto" w:val="clear"/>
        </w:rPr>
        <w:t> </w:t>
      </w:r>
      <w:r>
        <w:rPr>
          <w:color w:val="374151"/>
          <w:shd w:fill="F7F7F8" w:color="auto" w:val="clear"/>
        </w:rPr>
        <w:t>herpes</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hd w:fill="F7F7F8" w:color="auto" w:val="clear"/>
        </w:rPr>
        <w:t>more</w:t>
      </w:r>
      <w:r>
        <w:rPr>
          <w:color w:val="374151"/>
          <w:spacing w:val="-5"/>
          <w:shd w:fill="F7F7F8" w:color="auto" w:val="clear"/>
        </w:rPr>
        <w:t> </w:t>
      </w:r>
      <w:r>
        <w:rPr>
          <w:color w:val="374151"/>
          <w:shd w:fill="F7F7F8" w:color="auto" w:val="clear"/>
        </w:rPr>
        <w:t>transmittable</w:t>
      </w:r>
      <w:r>
        <w:rPr>
          <w:color w:val="374151"/>
          <w:spacing w:val="-5"/>
          <w:shd w:fill="F7F7F8" w:color="auto" w:val="clear"/>
        </w:rPr>
        <w:t> </w:t>
      </w:r>
      <w:r>
        <w:rPr>
          <w:color w:val="374151"/>
          <w:shd w:fill="F7F7F8" w:color="auto" w:val="clear"/>
        </w:rPr>
        <w:t>when</w:t>
      </w:r>
      <w:r>
        <w:rPr>
          <w:color w:val="374151"/>
          <w:spacing w:val="-4"/>
          <w:shd w:fill="F7F7F8" w:color="auto" w:val="clear"/>
        </w:rPr>
        <w:t> </w:t>
      </w:r>
      <w:r>
        <w:rPr>
          <w:color w:val="374151"/>
          <w:shd w:fill="F7F7F8" w:color="auto" w:val="clear"/>
        </w:rPr>
        <w:t>blisters</w:t>
      </w:r>
      <w:r>
        <w:rPr>
          <w:color w:val="374151"/>
          <w:spacing w:val="-5"/>
          <w:shd w:fill="F7F7F8" w:color="auto" w:val="clear"/>
        </w:rPr>
        <w:t> </w:t>
      </w:r>
      <w:r>
        <w:rPr>
          <w:color w:val="374151"/>
          <w:spacing w:val="-5"/>
        </w:rPr>
        <w:t> </w:t>
      </w:r>
      <w:r>
        <w:rPr>
          <w:color w:val="374151"/>
          <w:shd w:fill="F7F7F8" w:color="auto" w:val="clear"/>
        </w:rPr>
        <w:t>are</w:t>
      </w:r>
      <w:r>
        <w:rPr>
          <w:color w:val="374151"/>
          <w:spacing w:val="-5"/>
          <w:shd w:fill="F7F7F8" w:color="auto" w:val="clear"/>
        </w:rPr>
        <w:t> </w:t>
      </w:r>
      <w:r>
        <w:rPr>
          <w:color w:val="374151"/>
          <w:shd w:fill="F7F7F8" w:color="auto" w:val="clear"/>
        </w:rPr>
        <w:t>present.</w:t>
      </w:r>
      <w:r>
        <w:rPr>
          <w:color w:val="374151"/>
          <w:spacing w:val="-4"/>
          <w:shd w:fill="F7F7F8" w:color="auto" w:val="clear"/>
        </w:rPr>
        <w:t> </w:t>
      </w:r>
      <w:r>
        <w:rPr>
          <w:color w:val="374151"/>
          <w:shd w:fill="F7F7F8" w:color="auto" w:val="clear"/>
        </w:rPr>
        <w:t>However,</w:t>
      </w:r>
      <w:r>
        <w:rPr>
          <w:color w:val="374151"/>
          <w:spacing w:val="-4"/>
          <w:shd w:fill="F7F7F8" w:color="auto" w:val="clear"/>
        </w:rPr>
        <w:t> </w:t>
      </w:r>
      <w:r>
        <w:rPr>
          <w:color w:val="374151"/>
          <w:shd w:fill="F7F7F8" w:color="auto" w:val="clear"/>
        </w:rPr>
        <w:t>HIV</w:t>
      </w:r>
      <w:r>
        <w:rPr>
          <w:color w:val="374151"/>
          <w:spacing w:val="-10"/>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be</w:t>
      </w:r>
      <w:r>
        <w:rPr>
          <w:color w:val="374151"/>
          <w:spacing w:val="-5"/>
          <w:shd w:fill="F7F7F8" w:color="auto" w:val="clear"/>
        </w:rPr>
        <w:t> </w:t>
      </w:r>
      <w:r>
        <w:rPr>
          <w:color w:val="374151"/>
          <w:shd w:fill="F7F7F8" w:color="auto" w:val="clear"/>
        </w:rPr>
        <w:t>transmitted</w:t>
      </w:r>
      <w:r>
        <w:rPr>
          <w:color w:val="374151"/>
          <w:spacing w:val="-4"/>
          <w:shd w:fill="F7F7F8" w:color="auto" w:val="clear"/>
        </w:rPr>
        <w:t> </w:t>
      </w:r>
      <w:r>
        <w:rPr>
          <w:color w:val="374151"/>
          <w:shd w:fill="F7F7F8" w:color="auto" w:val="clear"/>
        </w:rPr>
        <w:t>at</w:t>
      </w:r>
      <w:r>
        <w:rPr>
          <w:color w:val="374151"/>
          <w:spacing w:val="-4"/>
          <w:shd w:fill="F7F7F8" w:color="auto" w:val="clear"/>
        </w:rPr>
        <w:t> </w:t>
      </w:r>
      <w:r>
        <w:rPr>
          <w:color w:val="374151"/>
          <w:shd w:fill="F7F7F8" w:color="auto" w:val="clear"/>
        </w:rPr>
        <w:t>any</w:t>
      </w:r>
      <w:r>
        <w:rPr>
          <w:color w:val="374151"/>
          <w:spacing w:val="-4"/>
          <w:shd w:fill="F7F7F8" w:color="auto" w:val="clear"/>
        </w:rPr>
        <w:t> </w:t>
      </w:r>
      <w:r>
        <w:rPr>
          <w:color w:val="374151"/>
          <w:shd w:fill="F7F7F8" w:color="auto" w:val="clear"/>
        </w:rPr>
        <w:t>time,</w:t>
      </w:r>
      <w:r>
        <w:rPr>
          <w:color w:val="374151"/>
          <w:spacing w:val="-4"/>
          <w:shd w:fill="F7F7F8" w:color="auto" w:val="clear"/>
        </w:rPr>
        <w:t> </w:t>
      </w:r>
      <w:r>
        <w:rPr>
          <w:color w:val="374151"/>
          <w:shd w:fill="F7F7F8" w:color="auto" w:val="clear"/>
        </w:rPr>
        <w:t>even</w:t>
      </w:r>
      <w:r>
        <w:rPr>
          <w:color w:val="374151"/>
          <w:spacing w:val="-4"/>
          <w:shd w:fill="F7F7F8" w:color="auto" w:val="clear"/>
        </w:rPr>
        <w:t> </w:t>
      </w:r>
      <w:r>
        <w:rPr>
          <w:color w:val="374151"/>
          <w:shd w:fill="F7F7F8" w:color="auto" w:val="clear"/>
        </w:rPr>
        <w:t>without</w:t>
      </w:r>
      <w:r>
        <w:rPr>
          <w:color w:val="374151"/>
          <w:spacing w:val="-4"/>
          <w:shd w:fill="F7F7F8" w:color="auto" w:val="clear"/>
        </w:rPr>
        <w:t> </w:t>
      </w:r>
      <w:r>
        <w:rPr>
          <w:color w:val="374151"/>
          <w:shd w:fill="F7F7F8" w:color="auto" w:val="clear"/>
        </w:rPr>
        <w:t>visible</w:t>
      </w:r>
    </w:p>
    <w:p>
      <w:pPr>
        <w:pStyle w:val="BodyText"/>
        <w:ind w:left="280"/>
        <w:rPr>
          <w:sz w:val="20"/>
        </w:rPr>
      </w:pPr>
      <w:r>
        <w:rPr>
          <w:sz w:val="20"/>
        </w:rPr>
        <mc:AlternateContent>
          <mc:Choice Requires="wps">
            <w:drawing>
              <wp:inline distT="0" distB="0" distL="0" distR="0">
                <wp:extent cx="775970" cy="393700"/>
                <wp:effectExtent l="0" t="0" r="0" b="0"/>
                <wp:docPr id="311" name="Textbox 311"/>
                <wp:cNvGraphicFramePr>
                  <a:graphicFrameLocks/>
                </wp:cNvGraphicFramePr>
                <a:graphic>
                  <a:graphicData uri="http://schemas.microsoft.com/office/word/2010/wordprocessingShape">
                    <wps:wsp>
                      <wps:cNvPr id="311" name="Textbox 311"/>
                      <wps:cNvSpPr txBox="1"/>
                      <wps:spPr>
                        <a:xfrm>
                          <a:off x="0" y="0"/>
                          <a:ext cx="775970" cy="393700"/>
                        </a:xfrm>
                        <a:prstGeom prst="rect">
                          <a:avLst/>
                        </a:prstGeom>
                        <a:solidFill>
                          <a:srgbClr val="F7F7F8"/>
                        </a:solidFill>
                      </wps:spPr>
                      <wps:txbx>
                        <w:txbxContent>
                          <w:p>
                            <w:pPr>
                              <w:pStyle w:val="BodyText"/>
                              <w:spacing w:line="308" w:lineRule="exact"/>
                              <w:rPr>
                                <w:color w:val="000000"/>
                              </w:rPr>
                            </w:pPr>
                            <w:r>
                              <w:rPr>
                                <w:color w:val="374151"/>
                                <w:spacing w:val="-2"/>
                              </w:rPr>
                              <w:t>symptoms</w:t>
                            </w:r>
                          </w:p>
                        </w:txbxContent>
                      </wps:txbx>
                      <wps:bodyPr wrap="square" lIns="0" tIns="0" rIns="0" bIns="0" rtlCol="0">
                        <a:noAutofit/>
                      </wps:bodyPr>
                    </wps:wsp>
                  </a:graphicData>
                </a:graphic>
              </wp:inline>
            </w:drawing>
          </mc:Choice>
          <mc:Fallback>
            <w:pict>
              <v:shape style="width:61.1pt;height:31pt;mso-position-horizontal-relative:char;mso-position-vertical-relative:line" type="#_x0000_t202" id="docshape310" filled="true" fillcolor="#f7f7f8" stroked="false">
                <w10:anchorlock/>
                <v:textbox inset="0,0,0,0">
                  <w:txbxContent>
                    <w:p>
                      <w:pPr>
                        <w:pStyle w:val="BodyText"/>
                        <w:spacing w:line="308" w:lineRule="exact"/>
                        <w:rPr>
                          <w:color w:val="000000"/>
                        </w:rPr>
                      </w:pPr>
                      <w:r>
                        <w:rPr>
                          <w:color w:val="374151"/>
                          <w:spacing w:val="-2"/>
                        </w:rPr>
                        <w:t>symptoms</w:t>
                      </w:r>
                    </w:p>
                  </w:txbxContent>
                </v:textbox>
                <v:fill type="solid"/>
              </v:shape>
            </w:pict>
          </mc:Fallback>
        </mc:AlternateContent>
      </w:r>
      <w:r>
        <w:rPr>
          <w:sz w:val="20"/>
        </w:rPr>
      </w:r>
    </w:p>
    <w:p>
      <w:pPr>
        <w:pStyle w:val="BodyText"/>
        <w:spacing w:line="282" w:lineRule="exact"/>
        <w:ind w:left="280"/>
      </w:pPr>
      <w:r>
        <w:rPr>
          <w:color w:val="374151"/>
          <w:shd w:fill="F7F7F8" w:color="auto" w:val="clear"/>
        </w:rPr>
        <w:t>Sexually</w:t>
      </w:r>
      <w:r>
        <w:rPr>
          <w:color w:val="374151"/>
          <w:spacing w:val="-4"/>
          <w:shd w:fill="F7F7F8" w:color="auto" w:val="clear"/>
        </w:rPr>
        <w:t> </w:t>
      </w:r>
      <w:r>
        <w:rPr>
          <w:color w:val="374151"/>
          <w:shd w:fill="F7F7F8" w:color="auto" w:val="clear"/>
        </w:rPr>
        <w:t>transmitted</w:t>
      </w:r>
      <w:r>
        <w:rPr>
          <w:color w:val="374151"/>
          <w:spacing w:val="-3"/>
          <w:shd w:fill="F7F7F8" w:color="auto" w:val="clear"/>
        </w:rPr>
        <w:t> </w:t>
      </w:r>
      <w:r>
        <w:rPr>
          <w:color w:val="374151"/>
          <w:shd w:fill="F7F7F8" w:color="auto" w:val="clear"/>
        </w:rPr>
        <w:t>diseases</w:t>
      </w:r>
      <w:r>
        <w:rPr>
          <w:color w:val="374151"/>
          <w:spacing w:val="-2"/>
          <w:shd w:fill="F7F7F8" w:color="auto" w:val="clear"/>
        </w:rPr>
        <w:t> </w:t>
      </w:r>
      <w:r>
        <w:rPr>
          <w:color w:val="374151"/>
          <w:shd w:fill="F7F7F8" w:color="auto" w:val="clear"/>
        </w:rPr>
        <w:t>are</w:t>
      </w:r>
      <w:r>
        <w:rPr>
          <w:color w:val="374151"/>
          <w:spacing w:val="-2"/>
          <w:shd w:fill="F7F7F8" w:color="auto" w:val="clear"/>
        </w:rPr>
        <w:t> </w:t>
      </w:r>
      <w:r>
        <w:rPr>
          <w:color w:val="374151"/>
          <w:shd w:fill="F7F7F8" w:color="auto" w:val="clear"/>
        </w:rPr>
        <w:t>transmitted</w:t>
      </w:r>
      <w:r>
        <w:rPr>
          <w:color w:val="374151"/>
          <w:spacing w:val="-2"/>
          <w:shd w:fill="F7F7F8" w:color="auto" w:val="clear"/>
        </w:rPr>
        <w:t> </w:t>
      </w:r>
      <w:r>
        <w:rPr>
          <w:color w:val="374151"/>
          <w:shd w:fill="F7F7F8" w:color="auto" w:val="clear"/>
        </w:rPr>
        <w:t>through</w:t>
      </w:r>
      <w:r>
        <w:rPr>
          <w:color w:val="374151"/>
          <w:spacing w:val="-3"/>
          <w:shd w:fill="F7F7F8" w:color="auto" w:val="clear"/>
        </w:rPr>
        <w:t> </w:t>
      </w:r>
      <w:r>
        <w:rPr>
          <w:color w:val="374151"/>
          <w:shd w:fill="F7F7F8" w:color="auto" w:val="clear"/>
        </w:rPr>
        <w:t>specific</w:t>
      </w:r>
      <w:r>
        <w:rPr>
          <w:color w:val="374151"/>
          <w:spacing w:val="-2"/>
          <w:shd w:fill="F7F7F8" w:color="auto" w:val="clear"/>
        </w:rPr>
        <w:t> </w:t>
      </w:r>
      <w:r>
        <w:rPr>
          <w:color w:val="374151"/>
          <w:shd w:fill="F7F7F8" w:color="auto" w:val="clear"/>
        </w:rPr>
        <w:t>sexual</w:t>
      </w:r>
      <w:r>
        <w:rPr>
          <w:color w:val="374151"/>
          <w:spacing w:val="-2"/>
          <w:shd w:fill="F7F7F8" w:color="auto" w:val="clear"/>
        </w:rPr>
        <w:t> activities</w:t>
      </w:r>
      <w:r>
        <w:rPr>
          <w:color w:val="374151"/>
          <w:spacing w:val="40"/>
          <w:shd w:fill="F7F7F8" w:color="auto" w:val="clear"/>
        </w:rPr>
        <w:t> </w:t>
      </w:r>
    </w:p>
    <w:p>
      <w:pPr>
        <w:pStyle w:val="BodyText"/>
        <w:ind w:left="280" w:right="502"/>
      </w:pPr>
      <w:r>
        <w:rPr>
          <w:color w:val="374151"/>
          <w:shd w:fill="F7F7F8" w:color="auto" w:val="clear"/>
        </w:rPr>
        <w:t>but are not caused directly by those activities. Bacteria, fungi, protozoa, or </w:t>
      </w:r>
      <w:r>
        <w:rPr>
          <w:color w:val="374151"/>
        </w:rPr>
        <w:t> </w:t>
      </w:r>
      <w:r>
        <w:rPr>
          <w:color w:val="374151"/>
          <w:shd w:fill="F7F7F8" w:color="auto" w:val="clear"/>
        </w:rPr>
        <w:t>viruses</w:t>
      </w:r>
      <w:r>
        <w:rPr>
          <w:color w:val="374151"/>
          <w:spacing w:val="-6"/>
          <w:shd w:fill="F7F7F8" w:color="auto" w:val="clear"/>
        </w:rPr>
        <w:t> </w:t>
      </w:r>
      <w:r>
        <w:rPr>
          <w:color w:val="374151"/>
          <w:shd w:fill="F7F7F8" w:color="auto" w:val="clear"/>
        </w:rPr>
        <w:t>are</w:t>
      </w:r>
      <w:r>
        <w:rPr>
          <w:color w:val="374151"/>
          <w:spacing w:val="-7"/>
          <w:shd w:fill="F7F7F8" w:color="auto" w:val="clear"/>
        </w:rPr>
        <w:t> </w:t>
      </w:r>
      <w:r>
        <w:rPr>
          <w:color w:val="374151"/>
          <w:shd w:fill="F7F7F8" w:color="auto" w:val="clear"/>
        </w:rPr>
        <w:t>the</w:t>
      </w:r>
      <w:r>
        <w:rPr>
          <w:color w:val="374151"/>
          <w:spacing w:val="-7"/>
          <w:shd w:fill="F7F7F8" w:color="auto" w:val="clear"/>
        </w:rPr>
        <w:t> </w:t>
      </w:r>
      <w:r>
        <w:rPr>
          <w:color w:val="374151"/>
          <w:shd w:fill="F7F7F8" w:color="auto" w:val="clear"/>
        </w:rPr>
        <w:t>causative</w:t>
      </w:r>
      <w:r>
        <w:rPr>
          <w:color w:val="374151"/>
          <w:spacing w:val="-7"/>
          <w:shd w:fill="F7F7F8" w:color="auto" w:val="clear"/>
        </w:rPr>
        <w:t> </w:t>
      </w:r>
      <w:r>
        <w:rPr>
          <w:color w:val="374151"/>
          <w:shd w:fill="F7F7F8" w:color="auto" w:val="clear"/>
        </w:rPr>
        <w:t>agents.</w:t>
      </w:r>
      <w:r>
        <w:rPr>
          <w:color w:val="374151"/>
          <w:spacing w:val="-6"/>
          <w:shd w:fill="F7F7F8" w:color="auto" w:val="clear"/>
        </w:rPr>
        <w:t> </w:t>
      </w:r>
      <w:r>
        <w:rPr>
          <w:color w:val="374151"/>
          <w:shd w:fill="F7F7F8" w:color="auto" w:val="clear"/>
        </w:rPr>
        <w:t>Some</w:t>
      </w:r>
      <w:r>
        <w:rPr>
          <w:color w:val="374151"/>
          <w:spacing w:val="-7"/>
          <w:shd w:fill="F7F7F8" w:color="auto" w:val="clear"/>
        </w:rPr>
        <w:t> </w:t>
      </w:r>
      <w:r>
        <w:rPr>
          <w:color w:val="374151"/>
          <w:shd w:fill="F7F7F8" w:color="auto" w:val="clear"/>
        </w:rPr>
        <w:t>STDs,</w:t>
      </w:r>
      <w:r>
        <w:rPr>
          <w:color w:val="374151"/>
          <w:spacing w:val="-6"/>
          <w:shd w:fill="F7F7F8" w:color="auto" w:val="clear"/>
        </w:rPr>
        <w:t> </w:t>
      </w:r>
      <w:r>
        <w:rPr>
          <w:color w:val="374151"/>
          <w:shd w:fill="F7F7F8" w:color="auto" w:val="clear"/>
        </w:rPr>
        <w:t>like</w:t>
      </w:r>
      <w:r>
        <w:rPr>
          <w:color w:val="374151"/>
          <w:spacing w:val="-7"/>
          <w:shd w:fill="F7F7F8" w:color="auto" w:val="clear"/>
        </w:rPr>
        <w:t> </w:t>
      </w:r>
      <w:r>
        <w:rPr>
          <w:color w:val="374151"/>
          <w:shd w:fill="F7F7F8" w:color="auto" w:val="clear"/>
        </w:rPr>
        <w:t>HIV,</w:t>
      </w:r>
      <w:r>
        <w:rPr>
          <w:color w:val="374151"/>
          <w:spacing w:val="-6"/>
          <w:shd w:fill="F7F7F8" w:color="auto" w:val="clear"/>
        </w:rPr>
        <w:t> </w:t>
      </w:r>
      <w:r>
        <w:rPr>
          <w:color w:val="374151"/>
          <w:shd w:fill="F7F7F8" w:color="auto" w:val="clear"/>
        </w:rPr>
        <w:t>can</w:t>
      </w:r>
      <w:r>
        <w:rPr>
          <w:color w:val="374151"/>
          <w:spacing w:val="-6"/>
          <w:shd w:fill="F7F7F8" w:color="auto" w:val="clear"/>
        </w:rPr>
        <w:t> </w:t>
      </w:r>
      <w:r>
        <w:rPr>
          <w:color w:val="374151"/>
          <w:shd w:fill="F7F7F8" w:color="auto" w:val="clear"/>
        </w:rPr>
        <w:t>also</w:t>
      </w:r>
      <w:r>
        <w:rPr>
          <w:color w:val="374151"/>
          <w:spacing w:val="-6"/>
          <w:shd w:fill="F7F7F8" w:color="auto" w:val="clear"/>
        </w:rPr>
        <w:t> </w:t>
      </w:r>
      <w:r>
        <w:rPr>
          <w:color w:val="374151"/>
          <w:shd w:fill="F7F7F8" w:color="auto" w:val="clear"/>
        </w:rPr>
        <w:t>be</w:t>
      </w:r>
      <w:r>
        <w:rPr>
          <w:color w:val="374151"/>
          <w:spacing w:val="-7"/>
          <w:shd w:fill="F7F7F8" w:color="auto" w:val="clear"/>
        </w:rPr>
        <w:t> </w:t>
      </w:r>
      <w:r>
        <w:rPr>
          <w:color w:val="374151"/>
          <w:shd w:fill="F7F7F8" w:color="auto" w:val="clear"/>
        </w:rPr>
        <w:t>transmitted</w:t>
      </w:r>
      <w:r>
        <w:rPr>
          <w:color w:val="374151"/>
          <w:spacing w:val="-6"/>
          <w:shd w:fill="F7F7F8" w:color="auto" w:val="clear"/>
        </w:rPr>
        <w:t> </w:t>
      </w:r>
      <w:r>
        <w:rPr>
          <w:color w:val="374151"/>
          <w:spacing w:val="-6"/>
        </w:rPr>
        <w:t> </w:t>
      </w:r>
      <w:r>
        <w:rPr>
          <w:color w:val="374151"/>
          <w:shd w:fill="F7F7F8" w:color="auto" w:val="clear"/>
        </w:rPr>
        <w:t>from mother to child during pregnancy or breastfeeding. Both giving and </w:t>
      </w:r>
      <w:r>
        <w:rPr>
          <w:color w:val="374151"/>
        </w:rPr>
        <w:t> </w:t>
      </w:r>
      <w:r>
        <w:rPr>
          <w:color w:val="374151"/>
          <w:shd w:fill="F7F7F8" w:color="auto" w:val="clear"/>
        </w:rPr>
        <w:t>receiving sexual activities carry risks, with receiving having a higher risk.</w:t>
      </w:r>
      <w:r>
        <w:rPr>
          <w:color w:val="374151"/>
          <w:spacing w:val="40"/>
          <w:shd w:fill="F7F7F8" w:color="auto" w:val="clear"/>
        </w:rPr>
        <w:t> </w:t>
      </w:r>
    </w:p>
    <w:p>
      <w:pPr>
        <w:pStyle w:val="BodyText"/>
        <w:spacing w:line="237" w:lineRule="auto"/>
        <w:ind w:left="280" w:right="502"/>
      </w:pPr>
      <w:r>
        <w:rPr>
          <w:color w:val="374151"/>
          <w:shd w:fill="F7F7F8" w:color="auto" w:val="clear"/>
        </w:rPr>
        <w:t>Engaging</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safer</w:t>
      </w:r>
      <w:r>
        <w:rPr>
          <w:color w:val="374151"/>
          <w:spacing w:val="-4"/>
          <w:shd w:fill="F7F7F8" w:color="auto" w:val="clear"/>
        </w:rPr>
        <w:t> </w:t>
      </w:r>
      <w:r>
        <w:rPr>
          <w:color w:val="374151"/>
          <w:shd w:fill="F7F7F8" w:color="auto" w:val="clear"/>
        </w:rPr>
        <w:t>sex</w:t>
      </w:r>
      <w:r>
        <w:rPr>
          <w:color w:val="374151"/>
          <w:spacing w:val="-4"/>
          <w:shd w:fill="F7F7F8" w:color="auto" w:val="clear"/>
        </w:rPr>
        <w:t> </w:t>
      </w:r>
      <w:r>
        <w:rPr>
          <w:color w:val="374151"/>
          <w:shd w:fill="F7F7F8" w:color="auto" w:val="clear"/>
        </w:rPr>
        <w:t>practices,</w:t>
      </w:r>
      <w:r>
        <w:rPr>
          <w:color w:val="374151"/>
          <w:spacing w:val="-4"/>
          <w:shd w:fill="F7F7F8" w:color="auto" w:val="clear"/>
        </w:rPr>
        <w:t> </w:t>
      </w:r>
      <w:r>
        <w:rPr>
          <w:color w:val="374151"/>
          <w:shd w:fill="F7F7F8" w:color="auto" w:val="clear"/>
        </w:rPr>
        <w:t>such</w:t>
      </w:r>
      <w:r>
        <w:rPr>
          <w:color w:val="374151"/>
          <w:spacing w:val="-4"/>
          <w:shd w:fill="F7F7F8" w:color="auto" w:val="clear"/>
        </w:rPr>
        <w:t> </w:t>
      </w:r>
      <w:r>
        <w:rPr>
          <w:color w:val="374151"/>
          <w:shd w:fill="F7F7F8" w:color="auto" w:val="clear"/>
        </w:rPr>
        <w:t>as</w:t>
      </w:r>
      <w:r>
        <w:rPr>
          <w:color w:val="374151"/>
          <w:spacing w:val="-4"/>
          <w:shd w:fill="F7F7F8" w:color="auto" w:val="clear"/>
        </w:rPr>
        <w:t> </w:t>
      </w:r>
      <w:r>
        <w:rPr>
          <w:color w:val="374151"/>
          <w:shd w:fill="F7F7F8" w:color="auto" w:val="clear"/>
        </w:rPr>
        <w:t>using</w:t>
      </w:r>
      <w:r>
        <w:rPr>
          <w:color w:val="374151"/>
          <w:spacing w:val="-4"/>
          <w:shd w:fill="F7F7F8" w:color="auto" w:val="clear"/>
        </w:rPr>
        <w:t> </w:t>
      </w:r>
      <w:r>
        <w:rPr>
          <w:color w:val="374151"/>
          <w:shd w:fill="F7F7F8" w:color="auto" w:val="clear"/>
        </w:rPr>
        <w:t>condoms,</w:t>
      </w:r>
      <w:r>
        <w:rPr>
          <w:color w:val="374151"/>
          <w:spacing w:val="-4"/>
          <w:shd w:fill="F7F7F8" w:color="auto" w:val="clear"/>
        </w:rPr>
        <w:t> </w:t>
      </w:r>
      <w:r>
        <w:rPr>
          <w:color w:val="374151"/>
          <w:shd w:fill="F7F7F8" w:color="auto" w:val="clear"/>
        </w:rPr>
        <w:t>is</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most</w:t>
      </w:r>
      <w:r>
        <w:rPr>
          <w:color w:val="374151"/>
          <w:spacing w:val="-4"/>
          <w:shd w:fill="F7F7F8" w:color="auto" w:val="clear"/>
        </w:rPr>
        <w:t> </w:t>
      </w:r>
      <w:r>
        <w:rPr>
          <w:color w:val="374151"/>
          <w:shd w:fill="F7F7F8" w:color="auto" w:val="clear"/>
        </w:rPr>
        <w:t>effective</w:t>
      </w:r>
      <w:r>
        <w:rPr>
          <w:color w:val="374151"/>
          <w:spacing w:val="-5"/>
          <w:shd w:fill="F7F7F8" w:color="auto" w:val="clear"/>
        </w:rPr>
        <w:t> </w:t>
      </w:r>
      <w:r>
        <w:rPr>
          <w:color w:val="374151"/>
          <w:spacing w:val="-5"/>
        </w:rPr>
        <w:t> </w:t>
      </w:r>
      <w:r>
        <w:rPr>
          <w:color w:val="374151"/>
          <w:shd w:fill="F7F7F8" w:color="auto" w:val="clear"/>
        </w:rPr>
        <w:t>way to reduce the risk of contracting sexually transmitted diseases.</w:t>
      </w:r>
      <w:r>
        <w:rPr>
          <w:color w:val="374151"/>
          <w:spacing w:val="40"/>
          <w:shd w:fill="F7F7F8" w:color="auto" w:val="clear"/>
        </w:rPr>
        <w:t> </w:t>
      </w:r>
    </w:p>
    <w:p>
      <w:pPr>
        <w:pStyle w:val="BodyText"/>
        <w:spacing w:after="4"/>
        <w:ind w:left="280" w:right="668"/>
      </w:pPr>
      <w:r>
        <w:rPr>
          <w:color w:val="374151"/>
          <w:shd w:fill="F7F7F8" w:color="auto" w:val="clear"/>
        </w:rPr>
        <w:t>Additionally,</w:t>
      </w:r>
      <w:r>
        <w:rPr>
          <w:color w:val="374151"/>
          <w:spacing w:val="-6"/>
          <w:shd w:fill="F7F7F8" w:color="auto" w:val="clear"/>
        </w:rPr>
        <w:t> </w:t>
      </w:r>
      <w:r>
        <w:rPr>
          <w:color w:val="374151"/>
          <w:shd w:fill="F7F7F8" w:color="auto" w:val="clear"/>
        </w:rPr>
        <w:t>transmission</w:t>
      </w:r>
      <w:r>
        <w:rPr>
          <w:color w:val="374151"/>
          <w:spacing w:val="-6"/>
          <w:shd w:fill="F7F7F8" w:color="auto" w:val="clear"/>
        </w:rPr>
        <w:t> </w:t>
      </w:r>
      <w:r>
        <w:rPr>
          <w:color w:val="374151"/>
          <w:shd w:fill="F7F7F8" w:color="auto" w:val="clear"/>
        </w:rPr>
        <w:t>can</w:t>
      </w:r>
      <w:r>
        <w:rPr>
          <w:color w:val="374151"/>
          <w:spacing w:val="-6"/>
          <w:shd w:fill="F7F7F8" w:color="auto" w:val="clear"/>
        </w:rPr>
        <w:t> </w:t>
      </w:r>
      <w:r>
        <w:rPr>
          <w:color w:val="374151"/>
          <w:shd w:fill="F7F7F8" w:color="auto" w:val="clear"/>
        </w:rPr>
        <w:t>occur</w:t>
      </w:r>
      <w:r>
        <w:rPr>
          <w:color w:val="374151"/>
          <w:spacing w:val="-6"/>
          <w:shd w:fill="F7F7F8" w:color="auto" w:val="clear"/>
        </w:rPr>
        <w:t> </w:t>
      </w:r>
      <w:r>
        <w:rPr>
          <w:color w:val="374151"/>
          <w:shd w:fill="F7F7F8" w:color="auto" w:val="clear"/>
        </w:rPr>
        <w:t>through</w:t>
      </w:r>
      <w:r>
        <w:rPr>
          <w:color w:val="374151"/>
          <w:spacing w:val="-6"/>
          <w:shd w:fill="F7F7F8" w:color="auto" w:val="clear"/>
        </w:rPr>
        <w:t> </w:t>
      </w:r>
      <w:r>
        <w:rPr>
          <w:color w:val="374151"/>
          <w:shd w:fill="F7F7F8" w:color="auto" w:val="clear"/>
        </w:rPr>
        <w:t>the</w:t>
      </w:r>
      <w:r>
        <w:rPr>
          <w:color w:val="374151"/>
          <w:spacing w:val="-7"/>
          <w:shd w:fill="F7F7F8" w:color="auto" w:val="clear"/>
        </w:rPr>
        <w:t> </w:t>
      </w:r>
      <w:r>
        <w:rPr>
          <w:color w:val="374151"/>
          <w:shd w:fill="F7F7F8" w:color="auto" w:val="clear"/>
        </w:rPr>
        <w:t>transfer</w:t>
      </w:r>
      <w:r>
        <w:rPr>
          <w:color w:val="374151"/>
          <w:spacing w:val="-6"/>
          <w:shd w:fill="F7F7F8" w:color="auto" w:val="clear"/>
        </w:rPr>
        <w:t> </w:t>
      </w:r>
      <w:r>
        <w:rPr>
          <w:color w:val="374151"/>
          <w:shd w:fill="F7F7F8" w:color="auto" w:val="clear"/>
        </w:rPr>
        <w:t>of</w:t>
      </w:r>
      <w:r>
        <w:rPr>
          <w:color w:val="374151"/>
          <w:spacing w:val="-6"/>
          <w:shd w:fill="F7F7F8" w:color="auto" w:val="clear"/>
        </w:rPr>
        <w:t> </w:t>
      </w:r>
      <w:r>
        <w:rPr>
          <w:color w:val="374151"/>
          <w:shd w:fill="F7F7F8" w:color="auto" w:val="clear"/>
        </w:rPr>
        <w:t>bodily</w:t>
      </w:r>
      <w:r>
        <w:rPr>
          <w:color w:val="374151"/>
          <w:spacing w:val="-6"/>
          <w:shd w:fill="F7F7F8" w:color="auto" w:val="clear"/>
        </w:rPr>
        <w:t> </w:t>
      </w:r>
      <w:r>
        <w:rPr>
          <w:color w:val="374151"/>
          <w:shd w:fill="F7F7F8" w:color="auto" w:val="clear"/>
        </w:rPr>
        <w:t>fluids</w:t>
      </w:r>
      <w:r>
        <w:rPr>
          <w:color w:val="374151"/>
          <w:spacing w:val="-7"/>
          <w:shd w:fill="F7F7F8" w:color="auto" w:val="clear"/>
        </w:rPr>
        <w:t> </w:t>
      </w:r>
      <w:r>
        <w:rPr>
          <w:color w:val="374151"/>
          <w:spacing w:val="-7"/>
        </w:rPr>
        <w:t> </w:t>
      </w:r>
      <w:r>
        <w:rPr>
          <w:color w:val="374151"/>
          <w:shd w:fill="F7F7F8" w:color="auto" w:val="clear"/>
        </w:rPr>
        <w:t>during activities like blood transfusions, sharing injection needles,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735965" cy="393700"/>
                <wp:effectExtent l="0" t="0" r="0" b="0"/>
                <wp:docPr id="312" name="Textbox 312"/>
                <wp:cNvGraphicFramePr>
                  <a:graphicFrameLocks/>
                </wp:cNvGraphicFramePr>
                <a:graphic>
                  <a:graphicData uri="http://schemas.microsoft.com/office/word/2010/wordprocessingShape">
                    <wps:wsp>
                      <wps:cNvPr id="312" name="Textbox 312"/>
                      <wps:cNvSpPr txBox="1"/>
                      <wps:spPr>
                        <a:xfrm>
                          <a:off x="0" y="0"/>
                          <a:ext cx="735965" cy="393700"/>
                        </a:xfrm>
                        <a:prstGeom prst="rect">
                          <a:avLst/>
                        </a:prstGeom>
                        <a:solidFill>
                          <a:srgbClr val="F7F7F8"/>
                        </a:solidFill>
                      </wps:spPr>
                      <wps:txbx>
                        <w:txbxContent>
                          <w:p>
                            <w:pPr>
                              <w:pStyle w:val="BodyText"/>
                              <w:spacing w:line="308" w:lineRule="exact"/>
                              <w:ind w:right="-15"/>
                              <w:rPr>
                                <w:color w:val="000000"/>
                              </w:rPr>
                            </w:pPr>
                            <w:r>
                              <w:rPr>
                                <w:color w:val="374151"/>
                                <w:spacing w:val="-2"/>
                              </w:rPr>
                              <w:t>childbirth.</w:t>
                            </w:r>
                          </w:p>
                        </w:txbxContent>
                      </wps:txbx>
                      <wps:bodyPr wrap="square" lIns="0" tIns="0" rIns="0" bIns="0" rtlCol="0">
                        <a:noAutofit/>
                      </wps:bodyPr>
                    </wps:wsp>
                  </a:graphicData>
                </a:graphic>
              </wp:inline>
            </w:drawing>
          </mc:Choice>
          <mc:Fallback>
            <w:pict>
              <v:shape style="width:57.95pt;height:31pt;mso-position-horizontal-relative:char;mso-position-vertical-relative:line" type="#_x0000_t202" id="docshape311" filled="true" fillcolor="#f7f7f8" stroked="false">
                <w10:anchorlock/>
                <v:textbox inset="0,0,0,0">
                  <w:txbxContent>
                    <w:p>
                      <w:pPr>
                        <w:pStyle w:val="BodyText"/>
                        <w:spacing w:line="308" w:lineRule="exact"/>
                        <w:ind w:right="-15"/>
                        <w:rPr>
                          <w:color w:val="000000"/>
                        </w:rPr>
                      </w:pPr>
                      <w:r>
                        <w:rPr>
                          <w:color w:val="374151"/>
                          <w:spacing w:val="-2"/>
                        </w:rPr>
                        <w:t>childbirth.</w:t>
                      </w:r>
                    </w:p>
                  </w:txbxContent>
                </v:textbox>
                <v:fill type="solid"/>
              </v:shape>
            </w:pict>
          </mc:Fallback>
        </mc:AlternateContent>
      </w:r>
      <w:r>
        <w:rPr>
          <w:sz w:val="20"/>
        </w:rPr>
      </w:r>
    </w:p>
    <w:p>
      <w:pPr>
        <w:pStyle w:val="BodyText"/>
        <w:spacing w:line="282" w:lineRule="exact"/>
        <w:ind w:left="280"/>
      </w:pPr>
      <w:r>
        <w:rPr>
          <w:color w:val="374151"/>
          <w:shd w:fill="F7F7F8" w:color="auto" w:val="clear"/>
        </w:rPr>
        <w:t>Certain</w:t>
      </w:r>
      <w:r>
        <w:rPr>
          <w:color w:val="374151"/>
          <w:spacing w:val="-2"/>
          <w:shd w:fill="F7F7F8" w:color="auto" w:val="clear"/>
        </w:rPr>
        <w:t> </w:t>
      </w:r>
      <w:r>
        <w:rPr>
          <w:color w:val="374151"/>
          <w:shd w:fill="F7F7F8" w:color="auto" w:val="clear"/>
        </w:rPr>
        <w:t>groups,</w:t>
      </w:r>
      <w:r>
        <w:rPr>
          <w:color w:val="374151"/>
          <w:spacing w:val="-2"/>
          <w:shd w:fill="F7F7F8" w:color="auto" w:val="clear"/>
        </w:rPr>
        <w:t> </w:t>
      </w:r>
      <w:r>
        <w:rPr>
          <w:color w:val="374151"/>
          <w:shd w:fill="F7F7F8" w:color="auto" w:val="clear"/>
        </w:rPr>
        <w:t>such</w:t>
      </w:r>
      <w:r>
        <w:rPr>
          <w:color w:val="374151"/>
          <w:spacing w:val="-2"/>
          <w:shd w:fill="F7F7F8" w:color="auto" w:val="clear"/>
        </w:rPr>
        <w:t> </w:t>
      </w:r>
      <w:r>
        <w:rPr>
          <w:color w:val="374151"/>
          <w:shd w:fill="F7F7F8" w:color="auto" w:val="clear"/>
        </w:rPr>
        <w:t>as</w:t>
      </w:r>
      <w:r>
        <w:rPr>
          <w:color w:val="374151"/>
          <w:spacing w:val="-3"/>
          <w:shd w:fill="F7F7F8" w:color="auto" w:val="clear"/>
        </w:rPr>
        <w:t> </w:t>
      </w:r>
      <w:r>
        <w:rPr>
          <w:color w:val="374151"/>
          <w:shd w:fill="F7F7F8" w:color="auto" w:val="clear"/>
        </w:rPr>
        <w:t>medical</w:t>
      </w:r>
      <w:r>
        <w:rPr>
          <w:color w:val="374151"/>
          <w:spacing w:val="-2"/>
          <w:shd w:fill="F7F7F8" w:color="auto" w:val="clear"/>
        </w:rPr>
        <w:t> </w:t>
      </w:r>
      <w:r>
        <w:rPr>
          <w:color w:val="374151"/>
          <w:shd w:fill="F7F7F8" w:color="auto" w:val="clear"/>
        </w:rPr>
        <w:t>workers,</w:t>
      </w:r>
      <w:r>
        <w:rPr>
          <w:color w:val="374151"/>
          <w:spacing w:val="-2"/>
          <w:shd w:fill="F7F7F8" w:color="auto" w:val="clear"/>
        </w:rPr>
        <w:t> </w:t>
      </w:r>
      <w:r>
        <w:rPr>
          <w:color w:val="374151"/>
          <w:shd w:fill="F7F7F8" w:color="auto" w:val="clear"/>
        </w:rPr>
        <w:t>hemophiliacs,</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drug</w:t>
      </w:r>
      <w:r>
        <w:rPr>
          <w:color w:val="374151"/>
          <w:spacing w:val="-2"/>
          <w:shd w:fill="F7F7F8" w:color="auto" w:val="clear"/>
        </w:rPr>
        <w:t> </w:t>
      </w:r>
      <w:r>
        <w:rPr>
          <w:color w:val="374151"/>
          <w:shd w:fill="F7F7F8" w:color="auto" w:val="clear"/>
        </w:rPr>
        <w:t>users,</w:t>
      </w:r>
      <w:r>
        <w:rPr>
          <w:color w:val="374151"/>
          <w:spacing w:val="-2"/>
          <w:shd w:fill="F7F7F8" w:color="auto" w:val="clear"/>
        </w:rPr>
        <w:t> </w:t>
      </w:r>
      <w:r>
        <w:rPr>
          <w:color w:val="374151"/>
          <w:shd w:fill="F7F7F8" w:color="auto" w:val="clear"/>
        </w:rPr>
        <w:t>are</w:t>
      </w:r>
      <w:r>
        <w:rPr>
          <w:color w:val="374151"/>
          <w:spacing w:val="-2"/>
          <w:shd w:fill="F7F7F8" w:color="auto" w:val="clear"/>
        </w:rPr>
        <w:t> </w:t>
      </w:r>
      <w:r>
        <w:rPr>
          <w:color w:val="374151"/>
          <w:spacing w:val="-5"/>
          <w:shd w:fill="F7F7F8" w:color="auto" w:val="clear"/>
        </w:rPr>
        <w:t>at</w:t>
      </w:r>
      <w:r>
        <w:rPr>
          <w:color w:val="374151"/>
          <w:spacing w:val="40"/>
          <w:shd w:fill="F7F7F8" w:color="auto" w:val="clear"/>
        </w:rPr>
        <w:t> </w:t>
      </w:r>
    </w:p>
    <w:p>
      <w:pPr>
        <w:pStyle w:val="BodyText"/>
        <w:spacing w:line="321" w:lineRule="exact"/>
        <w:ind w:left="280"/>
      </w:pPr>
      <w:r>
        <w:rPr/>
        <mc:AlternateContent>
          <mc:Choice Requires="wps">
            <w:drawing>
              <wp:anchor distT="0" distB="0" distL="0" distR="0" allowOverlap="1" layoutInCell="1" locked="0" behindDoc="1" simplePos="0" relativeHeight="487664640">
                <wp:simplePos x="0" y="0"/>
                <wp:positionH relativeFrom="page">
                  <wp:posOffset>1066800</wp:posOffset>
                </wp:positionH>
                <wp:positionV relativeFrom="paragraph">
                  <wp:posOffset>208906</wp:posOffset>
                </wp:positionV>
                <wp:extent cx="457200" cy="20320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457200" cy="203200"/>
                        </a:xfrm>
                        <a:custGeom>
                          <a:avLst/>
                          <a:gdLst/>
                          <a:ahLst/>
                          <a:cxnLst/>
                          <a:rect l="l" t="t" r="r" b="b"/>
                          <a:pathLst>
                            <a:path w="457200" h="203200">
                              <a:moveTo>
                                <a:pt x="457200" y="0"/>
                              </a:moveTo>
                              <a:lnTo>
                                <a:pt x="0" y="0"/>
                              </a:lnTo>
                              <a:lnTo>
                                <a:pt x="0" y="203200"/>
                              </a:lnTo>
                              <a:lnTo>
                                <a:pt x="457200" y="203200"/>
                              </a:lnTo>
                              <a:lnTo>
                                <a:pt x="457200" y="0"/>
                              </a:lnTo>
                              <a:close/>
                            </a:path>
                          </a:pathLst>
                        </a:custGeom>
                        <a:solidFill>
                          <a:srgbClr val="F7F7F8"/>
                        </a:solidFill>
                      </wps:spPr>
                      <wps:bodyPr wrap="square" lIns="0" tIns="0" rIns="0" bIns="0" rtlCol="0">
                        <a:prstTxWarp prst="textNoShape">
                          <a:avLst/>
                        </a:prstTxWarp>
                        <a:noAutofit/>
                      </wps:bodyPr>
                    </wps:wsp>
                  </a:graphicData>
                </a:graphic>
              </wp:anchor>
            </w:drawing>
          </mc:Choice>
          <mc:Fallback>
            <w:pict>
              <v:rect style="position:absolute;margin-left:84pt;margin-top:16.449308pt;width:36pt;height:16pt;mso-position-horizontal-relative:page;mso-position-vertical-relative:paragraph;z-index:-15651840;mso-wrap-distance-left:0;mso-wrap-distance-right:0" id="docshape312" filled="true" fillcolor="#f7f7f8" stroked="false">
                <v:fill type="solid"/>
                <w10:wrap type="topAndBottom"/>
              </v:rect>
            </w:pict>
          </mc:Fallback>
        </mc:AlternateContent>
      </w:r>
      <w:r>
        <w:rPr>
          <w:color w:val="374151"/>
          <w:shd w:fill="F7F7F8" w:color="auto" w:val="clear"/>
        </w:rPr>
        <w:t>a</w:t>
      </w:r>
      <w:r>
        <w:rPr>
          <w:color w:val="374151"/>
          <w:spacing w:val="-4"/>
          <w:shd w:fill="F7F7F8" w:color="auto" w:val="clear"/>
        </w:rPr>
        <w:t> </w:t>
      </w:r>
      <w:r>
        <w:rPr>
          <w:color w:val="374151"/>
          <w:shd w:fill="F7F7F8" w:color="auto" w:val="clear"/>
        </w:rPr>
        <w:t>higher</w:t>
      </w:r>
      <w:r>
        <w:rPr>
          <w:color w:val="374151"/>
          <w:spacing w:val="-1"/>
          <w:shd w:fill="F7F7F8" w:color="auto" w:val="clear"/>
        </w:rPr>
        <w:t> </w:t>
      </w:r>
      <w:r>
        <w:rPr>
          <w:color w:val="374151"/>
          <w:shd w:fill="F7F7F8" w:color="auto" w:val="clear"/>
        </w:rPr>
        <w:t>risk</w:t>
      </w:r>
      <w:r>
        <w:rPr>
          <w:color w:val="374151"/>
          <w:spacing w:val="-1"/>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exposure</w:t>
      </w:r>
      <w:r>
        <w:rPr>
          <w:color w:val="374151"/>
          <w:spacing w:val="-2"/>
          <w:shd w:fill="F7F7F8" w:color="auto" w:val="clear"/>
        </w:rPr>
        <w:t> </w:t>
      </w:r>
      <w:r>
        <w:rPr>
          <w:color w:val="374151"/>
          <w:shd w:fill="F7F7F8" w:color="auto" w:val="clear"/>
        </w:rPr>
        <w:t>to </w:t>
      </w:r>
      <w:r>
        <w:rPr>
          <w:color w:val="374151"/>
          <w:spacing w:val="-4"/>
          <w:shd w:fill="F7F7F8" w:color="auto" w:val="clear"/>
        </w:rPr>
        <w:t>STIs.</w:t>
      </w:r>
    </w:p>
    <w:p>
      <w:pPr>
        <w:pStyle w:val="Heading2"/>
      </w:pPr>
      <w:r>
        <w:rPr>
          <w:color w:val="374151"/>
          <w:shd w:fill="F7F7F8" w:color="auto" w:val="clear"/>
        </w:rPr>
        <w:t>Prevention</w:t>
      </w:r>
      <w:r>
        <w:rPr>
          <w:color w:val="374151"/>
          <w:spacing w:val="-10"/>
          <w:shd w:fill="F7F7F8" w:color="auto" w:val="clear"/>
        </w:rPr>
        <w:t> </w:t>
      </w:r>
      <w:r>
        <w:rPr>
          <w:color w:val="374151"/>
          <w:spacing w:val="-2"/>
          <w:shd w:fill="F7F7F8" w:color="auto" w:val="clear"/>
        </w:rPr>
        <w:t>Strategies</w:t>
      </w:r>
    </w:p>
    <w:p>
      <w:pPr>
        <w:pStyle w:val="BodyText"/>
        <w:spacing w:before="9"/>
        <w:rPr>
          <w:b/>
          <w:sz w:val="26"/>
        </w:rPr>
      </w:pPr>
    </w:p>
    <w:p>
      <w:pPr>
        <w:pStyle w:val="BodyText"/>
        <w:ind w:left="280" w:right="529"/>
      </w:pPr>
      <w:r>
        <w:rPr>
          <w:color w:val="374151"/>
          <w:shd w:fill="F7F7F8" w:color="auto" w:val="clear"/>
        </w:rPr>
        <w:t>Prevention plays a vital role in combating STIs. This section explores </w:t>
      </w:r>
      <w:r>
        <w:rPr>
          <w:color w:val="374151"/>
        </w:rPr>
        <w:t> </w:t>
      </w:r>
      <w:r>
        <w:rPr>
          <w:color w:val="374151"/>
          <w:shd w:fill="F7F7F8" w:color="auto" w:val="clear"/>
        </w:rPr>
        <w:t>evidence-based prevention strategies, including education, condom use, </w:t>
      </w:r>
      <w:r>
        <w:rPr>
          <w:color w:val="374151"/>
        </w:rPr>
        <w:t> </w:t>
      </w:r>
      <w:r>
        <w:rPr>
          <w:color w:val="374151"/>
          <w:shd w:fill="F7F7F8" w:color="auto" w:val="clear"/>
        </w:rPr>
        <w:t>vaccination,</w:t>
      </w:r>
      <w:r>
        <w:rPr>
          <w:color w:val="374151"/>
          <w:spacing w:val="-4"/>
          <w:shd w:fill="F7F7F8" w:color="auto" w:val="clear"/>
        </w:rPr>
        <w:t> </w:t>
      </w:r>
      <w:r>
        <w:rPr>
          <w:color w:val="374151"/>
          <w:shd w:fill="F7F7F8" w:color="auto" w:val="clear"/>
        </w:rPr>
        <w:t>routine</w:t>
      </w:r>
      <w:r>
        <w:rPr>
          <w:color w:val="374151"/>
          <w:spacing w:val="-5"/>
          <w:shd w:fill="F7F7F8" w:color="auto" w:val="clear"/>
        </w:rPr>
        <w:t> </w:t>
      </w:r>
      <w:r>
        <w:rPr>
          <w:color w:val="374151"/>
          <w:shd w:fill="F7F7F8" w:color="auto" w:val="clear"/>
        </w:rPr>
        <w:t>screening,</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behavioral</w:t>
      </w:r>
      <w:r>
        <w:rPr>
          <w:color w:val="374151"/>
          <w:spacing w:val="-4"/>
          <w:shd w:fill="F7F7F8" w:color="auto" w:val="clear"/>
        </w:rPr>
        <w:t> </w:t>
      </w:r>
      <w:r>
        <w:rPr>
          <w:color w:val="374151"/>
          <w:shd w:fill="F7F7F8" w:color="auto" w:val="clear"/>
        </w:rPr>
        <w:t>interventions.</w:t>
      </w:r>
      <w:r>
        <w:rPr>
          <w:color w:val="374151"/>
          <w:spacing w:val="-4"/>
          <w:shd w:fill="F7F7F8" w:color="auto" w:val="clear"/>
        </w:rPr>
        <w:t> </w:t>
      </w:r>
      <w:r>
        <w:rPr>
          <w:color w:val="374151"/>
          <w:shd w:fill="F7F7F8" w:color="auto" w:val="clear"/>
        </w:rPr>
        <w:t>It</w:t>
      </w:r>
      <w:r>
        <w:rPr>
          <w:color w:val="374151"/>
          <w:spacing w:val="-4"/>
          <w:shd w:fill="F7F7F8" w:color="auto" w:val="clear"/>
        </w:rPr>
        <w:t> </w:t>
      </w:r>
      <w:r>
        <w:rPr>
          <w:color w:val="374151"/>
          <w:shd w:fill="F7F7F8" w:color="auto" w:val="clear"/>
        </w:rPr>
        <w:t>emphasizes</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pacing w:val="-5"/>
        </w:rPr>
        <w:t> </w:t>
      </w:r>
      <w:r>
        <w:rPr>
          <w:color w:val="374151"/>
          <w:shd w:fill="F7F7F8" w:color="auto" w:val="clear"/>
        </w:rPr>
        <w:t>importance of holistic approaches that address the biological, psychological, </w:t>
      </w:r>
      <w:r>
        <w:rPr>
          <w:color w:val="374151"/>
        </w:rPr>
        <w:t> </w:t>
      </w:r>
      <w:r>
        <w:rPr>
          <w:color w:val="374151"/>
          <w:shd w:fill="F7F7F8" w:color="auto" w:val="clear"/>
        </w:rPr>
        <w:t>and social factors contributing to STI transmission.</w:t>
      </w:r>
    </w:p>
    <w:p>
      <w:pPr>
        <w:pStyle w:val="BodyText"/>
        <w:spacing w:before="11"/>
        <w:rPr>
          <w:sz w:val="26"/>
        </w:rPr>
      </w:pPr>
    </w:p>
    <w:p>
      <w:pPr>
        <w:pStyle w:val="BodyText"/>
        <w:ind w:left="280" w:right="502"/>
      </w:pPr>
      <w:r>
        <w:rPr>
          <w:color w:val="374151"/>
          <w:shd w:fill="F7F7F8" w:color="auto" w:val="clear"/>
        </w:rPr>
        <w:t>Vaccines have played a significant role in protecting against certain viral </w:t>
      </w:r>
      <w:r>
        <w:rPr>
          <w:color w:val="374151"/>
        </w:rPr>
        <w:t> </w:t>
      </w:r>
      <w:r>
        <w:rPr>
          <w:color w:val="374151"/>
          <w:shd w:fill="F7F7F8" w:color="auto" w:val="clear"/>
        </w:rPr>
        <w:t>sexually transmitted infections (STIs). For instance, vaccines have been </w:t>
      </w:r>
      <w:r>
        <w:rPr>
          <w:color w:val="374151"/>
        </w:rPr>
        <w:t> </w:t>
      </w:r>
      <w:r>
        <w:rPr>
          <w:color w:val="374151"/>
          <w:shd w:fill="F7F7F8" w:color="auto" w:val="clear"/>
        </w:rPr>
        <w:t>developed to prevent Hepatitis B and some types of Human Papillomavirus</w:t>
      </w:r>
      <w:r>
        <w:rPr>
          <w:color w:val="374151"/>
          <w:spacing w:val="40"/>
          <w:shd w:fill="F7F7F8" w:color="auto" w:val="clear"/>
        </w:rPr>
        <w:t> </w:t>
      </w:r>
    </w:p>
    <w:p>
      <w:pPr>
        <w:spacing w:after="0"/>
        <w:sectPr>
          <w:pgSz w:w="12240" w:h="15840"/>
          <w:pgMar w:header="0" w:footer="765" w:top="1260" w:bottom="980" w:left="1400" w:right="1180"/>
        </w:sectPr>
      </w:pPr>
    </w:p>
    <w:p>
      <w:pPr>
        <w:pStyle w:val="BodyText"/>
        <w:spacing w:before="66"/>
        <w:ind w:left="280" w:right="668"/>
      </w:pPr>
      <w:r>
        <w:rPr>
          <w:color w:val="374151"/>
          <w:shd w:fill="F7F7F8" w:color="auto" w:val="clear"/>
        </w:rPr>
        <w:t>(HPV) infections. Hepatitis B is a viral infection that can be transmitted </w:t>
      </w:r>
      <w:r>
        <w:rPr>
          <w:color w:val="374151"/>
        </w:rPr>
        <w:t> </w:t>
      </w:r>
      <w:r>
        <w:rPr>
          <w:color w:val="374151"/>
          <w:shd w:fill="F7F7F8" w:color="auto" w:val="clear"/>
        </w:rPr>
        <w:t>through</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contact,</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Hepatitis</w:t>
      </w:r>
      <w:r>
        <w:rPr>
          <w:color w:val="374151"/>
          <w:spacing w:val="-4"/>
          <w:shd w:fill="F7F7F8" w:color="auto" w:val="clear"/>
        </w:rPr>
        <w:t> </w:t>
      </w:r>
      <w:r>
        <w:rPr>
          <w:color w:val="374151"/>
          <w:shd w:fill="F7F7F8" w:color="auto" w:val="clear"/>
        </w:rPr>
        <w:t>B</w:t>
      </w:r>
      <w:r>
        <w:rPr>
          <w:color w:val="374151"/>
          <w:spacing w:val="-4"/>
          <w:shd w:fill="F7F7F8" w:color="auto" w:val="clear"/>
        </w:rPr>
        <w:t> </w:t>
      </w:r>
      <w:r>
        <w:rPr>
          <w:color w:val="374151"/>
          <w:shd w:fill="F7F7F8" w:color="auto" w:val="clear"/>
        </w:rPr>
        <w:t>vaccine</w:t>
      </w:r>
      <w:r>
        <w:rPr>
          <w:color w:val="374151"/>
          <w:spacing w:val="-5"/>
          <w:shd w:fill="F7F7F8" w:color="auto" w:val="clear"/>
        </w:rPr>
        <w:t> </w:t>
      </w:r>
      <w:r>
        <w:rPr>
          <w:color w:val="374151"/>
          <w:shd w:fill="F7F7F8" w:color="auto" w:val="clear"/>
        </w:rPr>
        <w:t>has</w:t>
      </w:r>
      <w:r>
        <w:rPr>
          <w:color w:val="374151"/>
          <w:spacing w:val="-4"/>
          <w:shd w:fill="F7F7F8" w:color="auto" w:val="clear"/>
        </w:rPr>
        <w:t> </w:t>
      </w:r>
      <w:r>
        <w:rPr>
          <w:color w:val="374151"/>
          <w:shd w:fill="F7F7F8" w:color="auto" w:val="clear"/>
        </w:rPr>
        <w:t>been</w:t>
      </w:r>
      <w:r>
        <w:rPr>
          <w:color w:val="374151"/>
          <w:spacing w:val="-4"/>
          <w:shd w:fill="F7F7F8" w:color="auto" w:val="clear"/>
        </w:rPr>
        <w:t> </w:t>
      </w:r>
      <w:r>
        <w:rPr>
          <w:color w:val="374151"/>
          <w:shd w:fill="F7F7F8" w:color="auto" w:val="clear"/>
        </w:rPr>
        <w:t>proven</w:t>
      </w:r>
      <w:r>
        <w:rPr>
          <w:color w:val="374151"/>
          <w:spacing w:val="-4"/>
          <w:shd w:fill="F7F7F8" w:color="auto" w:val="clear"/>
        </w:rPr>
        <w:t> </w:t>
      </w:r>
      <w:r>
        <w:rPr>
          <w:color w:val="374151"/>
          <w:shd w:fill="F7F7F8" w:color="auto" w:val="clear"/>
        </w:rPr>
        <w:t>effective</w:t>
      </w:r>
      <w:r>
        <w:rPr>
          <w:color w:val="374151"/>
          <w:spacing w:val="-5"/>
          <w:shd w:fill="F7F7F8" w:color="auto" w:val="clear"/>
        </w:rPr>
        <w:t> </w:t>
      </w:r>
      <w:r>
        <w:rPr>
          <w:color w:val="374151"/>
          <w:spacing w:val="-5"/>
        </w:rPr>
        <w:t> </w:t>
      </w:r>
      <w:r>
        <w:rPr>
          <w:color w:val="374151"/>
          <w:shd w:fill="F7F7F8" w:color="auto" w:val="clear"/>
        </w:rPr>
        <w:t>in preventing the transmission of the virus.</w:t>
      </w:r>
    </w:p>
    <w:p>
      <w:pPr>
        <w:pStyle w:val="BodyText"/>
        <w:spacing w:line="237" w:lineRule="auto"/>
        <w:ind w:left="280" w:right="502"/>
      </w:pPr>
      <w:r>
        <w:rPr/>
        <mc:AlternateContent>
          <mc:Choice Requires="wps">
            <w:drawing>
              <wp:anchor distT="0" distB="0" distL="0" distR="0" allowOverlap="1" layoutInCell="1" locked="0" behindDoc="1" simplePos="0" relativeHeight="487665152">
                <wp:simplePos x="0" y="0"/>
                <wp:positionH relativeFrom="page">
                  <wp:posOffset>1066800</wp:posOffset>
                </wp:positionH>
                <wp:positionV relativeFrom="paragraph">
                  <wp:posOffset>816725</wp:posOffset>
                </wp:positionV>
                <wp:extent cx="4496435" cy="393700"/>
                <wp:effectExtent l="0" t="0" r="0" b="0"/>
                <wp:wrapTopAndBottom/>
                <wp:docPr id="314" name="Textbox 314"/>
                <wp:cNvGraphicFramePr>
                  <a:graphicFrameLocks/>
                </wp:cNvGraphicFramePr>
                <a:graphic>
                  <a:graphicData uri="http://schemas.microsoft.com/office/word/2010/wordprocessingShape">
                    <wps:wsp>
                      <wps:cNvPr id="314" name="Textbox 314"/>
                      <wps:cNvSpPr txBox="1"/>
                      <wps:spPr>
                        <a:xfrm>
                          <a:off x="0" y="0"/>
                          <a:ext cx="4496435" cy="393700"/>
                        </a:xfrm>
                        <a:prstGeom prst="rect">
                          <a:avLst/>
                        </a:prstGeom>
                        <a:solidFill>
                          <a:srgbClr val="F7F7F8"/>
                        </a:solidFill>
                      </wps:spPr>
                      <wps:txbx>
                        <w:txbxContent>
                          <w:p>
                            <w:pPr>
                              <w:pStyle w:val="BodyText"/>
                              <w:spacing w:line="308" w:lineRule="exact"/>
                              <w:ind w:right="-15"/>
                              <w:rPr>
                                <w:color w:val="000000"/>
                              </w:rPr>
                            </w:pPr>
                            <w:r>
                              <w:rPr>
                                <w:color w:val="374151"/>
                              </w:rPr>
                              <w:t>effective</w:t>
                            </w:r>
                            <w:r>
                              <w:rPr>
                                <w:color w:val="374151"/>
                                <w:spacing w:val="-6"/>
                              </w:rPr>
                              <w:t> </w:t>
                            </w:r>
                            <w:r>
                              <w:rPr>
                                <w:color w:val="374151"/>
                              </w:rPr>
                              <w:t>in</w:t>
                            </w:r>
                            <w:r>
                              <w:rPr>
                                <w:color w:val="374151"/>
                                <w:spacing w:val="-3"/>
                              </w:rPr>
                              <w:t> </w:t>
                            </w:r>
                            <w:r>
                              <w:rPr>
                                <w:color w:val="374151"/>
                              </w:rPr>
                              <w:t>preventing</w:t>
                            </w:r>
                            <w:r>
                              <w:rPr>
                                <w:color w:val="374151"/>
                                <w:spacing w:val="-3"/>
                              </w:rPr>
                              <w:t> </w:t>
                            </w:r>
                            <w:r>
                              <w:rPr>
                                <w:color w:val="374151"/>
                              </w:rPr>
                              <w:t>HPV</w:t>
                            </w:r>
                            <w:r>
                              <w:rPr>
                                <w:color w:val="374151"/>
                                <w:spacing w:val="-9"/>
                              </w:rPr>
                              <w:t> </w:t>
                            </w:r>
                            <w:r>
                              <w:rPr>
                                <w:color w:val="374151"/>
                              </w:rPr>
                              <w:t>infections</w:t>
                            </w:r>
                            <w:r>
                              <w:rPr>
                                <w:color w:val="374151"/>
                                <w:spacing w:val="-3"/>
                              </w:rPr>
                              <w:t> </w:t>
                            </w:r>
                            <w:r>
                              <w:rPr>
                                <w:color w:val="374151"/>
                              </w:rPr>
                              <w:t>and</w:t>
                            </w:r>
                            <w:r>
                              <w:rPr>
                                <w:color w:val="374151"/>
                                <w:spacing w:val="-3"/>
                              </w:rPr>
                              <w:t> </w:t>
                            </w:r>
                            <w:r>
                              <w:rPr>
                                <w:color w:val="374151"/>
                              </w:rPr>
                              <w:t>associated</w:t>
                            </w:r>
                            <w:r>
                              <w:rPr>
                                <w:color w:val="374151"/>
                                <w:spacing w:val="-2"/>
                              </w:rPr>
                              <w:t> diseases.</w:t>
                            </w:r>
                          </w:p>
                        </w:txbxContent>
                      </wps:txbx>
                      <wps:bodyPr wrap="square" lIns="0" tIns="0" rIns="0" bIns="0" rtlCol="0">
                        <a:noAutofit/>
                      </wps:bodyPr>
                    </wps:wsp>
                  </a:graphicData>
                </a:graphic>
              </wp:anchor>
            </w:drawing>
          </mc:Choice>
          <mc:Fallback>
            <w:pict>
              <v:shape style="position:absolute;margin-left:84pt;margin-top:64.309082pt;width:354.05pt;height:31pt;mso-position-horizontal-relative:page;mso-position-vertical-relative:paragraph;z-index:-15651328;mso-wrap-distance-left:0;mso-wrap-distance-right:0" type="#_x0000_t202" id="docshape313" filled="true" fillcolor="#f7f7f8" stroked="false">
                <v:textbox inset="0,0,0,0">
                  <w:txbxContent>
                    <w:p>
                      <w:pPr>
                        <w:pStyle w:val="BodyText"/>
                        <w:spacing w:line="308" w:lineRule="exact"/>
                        <w:ind w:right="-15"/>
                        <w:rPr>
                          <w:color w:val="000000"/>
                        </w:rPr>
                      </w:pPr>
                      <w:r>
                        <w:rPr>
                          <w:color w:val="374151"/>
                        </w:rPr>
                        <w:t>effective</w:t>
                      </w:r>
                      <w:r>
                        <w:rPr>
                          <w:color w:val="374151"/>
                          <w:spacing w:val="-6"/>
                        </w:rPr>
                        <w:t> </w:t>
                      </w:r>
                      <w:r>
                        <w:rPr>
                          <w:color w:val="374151"/>
                        </w:rPr>
                        <w:t>in</w:t>
                      </w:r>
                      <w:r>
                        <w:rPr>
                          <w:color w:val="374151"/>
                          <w:spacing w:val="-3"/>
                        </w:rPr>
                        <w:t> </w:t>
                      </w:r>
                      <w:r>
                        <w:rPr>
                          <w:color w:val="374151"/>
                        </w:rPr>
                        <w:t>preventing</w:t>
                      </w:r>
                      <w:r>
                        <w:rPr>
                          <w:color w:val="374151"/>
                          <w:spacing w:val="-3"/>
                        </w:rPr>
                        <w:t> </w:t>
                      </w:r>
                      <w:r>
                        <w:rPr>
                          <w:color w:val="374151"/>
                        </w:rPr>
                        <w:t>HPV</w:t>
                      </w:r>
                      <w:r>
                        <w:rPr>
                          <w:color w:val="374151"/>
                          <w:spacing w:val="-9"/>
                        </w:rPr>
                        <w:t> </w:t>
                      </w:r>
                      <w:r>
                        <w:rPr>
                          <w:color w:val="374151"/>
                        </w:rPr>
                        <w:t>infections</w:t>
                      </w:r>
                      <w:r>
                        <w:rPr>
                          <w:color w:val="374151"/>
                          <w:spacing w:val="-3"/>
                        </w:rPr>
                        <w:t> </w:t>
                      </w:r>
                      <w:r>
                        <w:rPr>
                          <w:color w:val="374151"/>
                        </w:rPr>
                        <w:t>and</w:t>
                      </w:r>
                      <w:r>
                        <w:rPr>
                          <w:color w:val="374151"/>
                          <w:spacing w:val="-3"/>
                        </w:rPr>
                        <w:t> </w:t>
                      </w:r>
                      <w:r>
                        <w:rPr>
                          <w:color w:val="374151"/>
                        </w:rPr>
                        <w:t>associated</w:t>
                      </w:r>
                      <w:r>
                        <w:rPr>
                          <w:color w:val="374151"/>
                          <w:spacing w:val="-2"/>
                        </w:rPr>
                        <w:t> diseases.</w:t>
                      </w:r>
                    </w:p>
                  </w:txbxContent>
                </v:textbox>
                <v:fill type="solid"/>
                <w10:wrap type="topAndBottom"/>
              </v:shape>
            </w:pict>
          </mc:Fallback>
        </mc:AlternateContent>
      </w:r>
      <w:r>
        <w:rPr>
          <w:color w:val="374151"/>
          <w:shd w:fill="F7F7F8" w:color="auto" w:val="clear"/>
        </w:rPr>
        <w:t>Similarly, certain strains of HPV, which is a common STI, can be prevented </w:t>
      </w:r>
      <w:r>
        <w:rPr>
          <w:color w:val="374151"/>
        </w:rPr>
        <w:t> </w:t>
      </w:r>
      <w:r>
        <w:rPr>
          <w:color w:val="374151"/>
          <w:shd w:fill="F7F7F8" w:color="auto" w:val="clear"/>
        </w:rPr>
        <w:t>through vaccination. HPV vaccines are designed to protect against the high-</w:t>
      </w:r>
      <w:r>
        <w:rPr>
          <w:color w:val="374151"/>
        </w:rPr>
        <w:t> </w:t>
      </w:r>
      <w:r>
        <w:rPr>
          <w:color w:val="374151"/>
          <w:shd w:fill="F7F7F8" w:color="auto" w:val="clear"/>
        </w:rPr>
        <w:t>risk</w:t>
      </w:r>
      <w:r>
        <w:rPr>
          <w:color w:val="374151"/>
          <w:spacing w:val="-3"/>
          <w:shd w:fill="F7F7F8" w:color="auto" w:val="clear"/>
        </w:rPr>
        <w:t> </w:t>
      </w:r>
      <w:r>
        <w:rPr>
          <w:color w:val="374151"/>
          <w:shd w:fill="F7F7F8" w:color="auto" w:val="clear"/>
        </w:rPr>
        <w:t>strains</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virus</w:t>
      </w:r>
      <w:r>
        <w:rPr>
          <w:color w:val="374151"/>
          <w:spacing w:val="-3"/>
          <w:shd w:fill="F7F7F8" w:color="auto" w:val="clear"/>
        </w:rPr>
        <w:t> </w:t>
      </w:r>
      <w:r>
        <w:rPr>
          <w:color w:val="374151"/>
          <w:shd w:fill="F7F7F8" w:color="auto" w:val="clear"/>
        </w:rPr>
        <w:t>that</w:t>
      </w:r>
      <w:r>
        <w:rPr>
          <w:color w:val="374151"/>
          <w:spacing w:val="-3"/>
          <w:shd w:fill="F7F7F8" w:color="auto" w:val="clear"/>
        </w:rPr>
        <w:t> </w:t>
      </w:r>
      <w:r>
        <w:rPr>
          <w:color w:val="374151"/>
          <w:shd w:fill="F7F7F8" w:color="auto" w:val="clear"/>
        </w:rPr>
        <w:t>can</w:t>
      </w:r>
      <w:r>
        <w:rPr>
          <w:color w:val="374151"/>
          <w:spacing w:val="-3"/>
          <w:shd w:fill="F7F7F8" w:color="auto" w:val="clear"/>
        </w:rPr>
        <w:t> </w:t>
      </w:r>
      <w:r>
        <w:rPr>
          <w:color w:val="374151"/>
          <w:shd w:fill="F7F7F8" w:color="auto" w:val="clear"/>
        </w:rPr>
        <w:t>cause</w:t>
      </w:r>
      <w:r>
        <w:rPr>
          <w:color w:val="374151"/>
          <w:spacing w:val="-4"/>
          <w:shd w:fill="F7F7F8" w:color="auto" w:val="clear"/>
        </w:rPr>
        <w:t> </w:t>
      </w:r>
      <w:r>
        <w:rPr>
          <w:color w:val="374151"/>
          <w:shd w:fill="F7F7F8" w:color="auto" w:val="clear"/>
        </w:rPr>
        <w:t>cervical</w:t>
      </w:r>
      <w:r>
        <w:rPr>
          <w:color w:val="374151"/>
          <w:spacing w:val="-3"/>
          <w:shd w:fill="F7F7F8" w:color="auto" w:val="clear"/>
        </w:rPr>
        <w:t> </w:t>
      </w:r>
      <w:r>
        <w:rPr>
          <w:color w:val="374151"/>
          <w:shd w:fill="F7F7F8" w:color="auto" w:val="clear"/>
        </w:rPr>
        <w:t>cancer,</w:t>
      </w:r>
      <w:r>
        <w:rPr>
          <w:color w:val="374151"/>
          <w:spacing w:val="-3"/>
          <w:shd w:fill="F7F7F8" w:color="auto" w:val="clear"/>
        </w:rPr>
        <w:t> </w:t>
      </w:r>
      <w:r>
        <w:rPr>
          <w:color w:val="374151"/>
          <w:shd w:fill="F7F7F8" w:color="auto" w:val="clear"/>
        </w:rPr>
        <w:t>as</w:t>
      </w:r>
      <w:r>
        <w:rPr>
          <w:color w:val="374151"/>
          <w:spacing w:val="-3"/>
          <w:shd w:fill="F7F7F8" w:color="auto" w:val="clear"/>
        </w:rPr>
        <w:t> </w:t>
      </w:r>
      <w:r>
        <w:rPr>
          <w:color w:val="374151"/>
          <w:shd w:fill="F7F7F8" w:color="auto" w:val="clear"/>
        </w:rPr>
        <w:t>well</w:t>
      </w:r>
      <w:r>
        <w:rPr>
          <w:color w:val="374151"/>
          <w:spacing w:val="-3"/>
          <w:shd w:fill="F7F7F8" w:color="auto" w:val="clear"/>
        </w:rPr>
        <w:t> </w:t>
      </w:r>
      <w:r>
        <w:rPr>
          <w:color w:val="374151"/>
          <w:shd w:fill="F7F7F8" w:color="auto" w:val="clear"/>
        </w:rPr>
        <w:t>as</w:t>
      </w:r>
      <w:r>
        <w:rPr>
          <w:color w:val="374151"/>
          <w:spacing w:val="-3"/>
          <w:shd w:fill="F7F7F8" w:color="auto" w:val="clear"/>
        </w:rPr>
        <w:t> </w:t>
      </w:r>
      <w:r>
        <w:rPr>
          <w:color w:val="374151"/>
          <w:shd w:fill="F7F7F8" w:color="auto" w:val="clear"/>
        </w:rPr>
        <w:t>other</w:t>
      </w:r>
      <w:r>
        <w:rPr>
          <w:color w:val="374151"/>
          <w:spacing w:val="-3"/>
          <w:shd w:fill="F7F7F8" w:color="auto" w:val="clear"/>
        </w:rPr>
        <w:t> </w:t>
      </w:r>
      <w:r>
        <w:rPr>
          <w:color w:val="374151"/>
          <w:shd w:fill="F7F7F8" w:color="auto" w:val="clear"/>
        </w:rPr>
        <w:t>types</w:t>
      </w:r>
      <w:r>
        <w:rPr>
          <w:color w:val="374151"/>
          <w:spacing w:val="-3"/>
          <w:shd w:fill="F7F7F8" w:color="auto" w:val="clear"/>
        </w:rPr>
        <w:t> </w:t>
      </w:r>
      <w:r>
        <w:rPr>
          <w:color w:val="374151"/>
          <w:shd w:fill="F7F7F8" w:color="auto" w:val="clear"/>
        </w:rPr>
        <w:t>of</w:t>
      </w:r>
      <w:r>
        <w:rPr>
          <w:color w:val="374151"/>
          <w:spacing w:val="-4"/>
          <w:shd w:fill="F7F7F8" w:color="auto" w:val="clear"/>
        </w:rPr>
        <w:t> </w:t>
      </w:r>
      <w:r>
        <w:rPr>
          <w:color w:val="374151"/>
          <w:spacing w:val="-4"/>
        </w:rPr>
        <w:t> </w:t>
      </w:r>
      <w:r>
        <w:rPr>
          <w:color w:val="374151"/>
          <w:shd w:fill="F7F7F8" w:color="auto" w:val="clear"/>
        </w:rPr>
        <w:t>cancer and genital warts. These vaccines have been shown to be highly</w:t>
      </w:r>
      <w:r>
        <w:rPr>
          <w:color w:val="374151"/>
          <w:spacing w:val="40"/>
          <w:shd w:fill="F7F7F8" w:color="auto" w:val="clear"/>
        </w:rPr>
        <w:t> </w:t>
      </w:r>
    </w:p>
    <w:p>
      <w:pPr>
        <w:pStyle w:val="BodyText"/>
        <w:spacing w:line="237" w:lineRule="auto" w:after="10"/>
        <w:ind w:left="280" w:right="517"/>
      </w:pPr>
      <w:r>
        <w:rPr>
          <w:color w:val="374151"/>
          <w:shd w:fill="F7F7F8" w:color="auto" w:val="clear"/>
        </w:rPr>
        <w:t>While vaccines provide protection against specific viral STIs, the most </w:t>
      </w:r>
      <w:r>
        <w:rPr>
          <w:color w:val="374151"/>
        </w:rPr>
        <w:t> </w:t>
      </w:r>
      <w:r>
        <w:rPr>
          <w:color w:val="374151"/>
          <w:shd w:fill="F7F7F8" w:color="auto" w:val="clear"/>
        </w:rPr>
        <w:t>effective way to prevent contracting an STI is to avoid coming into contact </w:t>
      </w:r>
      <w:r>
        <w:rPr>
          <w:color w:val="374151"/>
        </w:rPr>
        <w:t> </w:t>
      </w:r>
      <w:r>
        <w:rPr>
          <w:color w:val="374151"/>
          <w:shd w:fill="F7F7F8" w:color="auto" w:val="clear"/>
        </w:rPr>
        <w:t>with bodily parts or fluids that can lead to transmission. It is important to note</w:t>
      </w:r>
      <w:r>
        <w:rPr>
          <w:color w:val="374151"/>
          <w:spacing w:val="-1"/>
          <w:shd w:fill="F7F7F8" w:color="auto" w:val="clear"/>
        </w:rPr>
        <w:t> </w:t>
      </w:r>
      <w:r>
        <w:rPr>
          <w:color w:val="374151"/>
          <w:spacing w:val="-1"/>
        </w:rPr>
        <w:t> </w:t>
      </w:r>
      <w:r>
        <w:rPr>
          <w:color w:val="374151"/>
          <w:shd w:fill="F7F7F8" w:color="auto" w:val="clear"/>
        </w:rPr>
        <w:t>that</w:t>
      </w:r>
      <w:r>
        <w:rPr>
          <w:color w:val="374151"/>
          <w:spacing w:val="-2"/>
          <w:shd w:fill="F7F7F8" w:color="auto" w:val="clear"/>
        </w:rPr>
        <w:t> </w:t>
      </w:r>
      <w:r>
        <w:rPr>
          <w:color w:val="374151"/>
          <w:shd w:fill="F7F7F8" w:color="auto" w:val="clear"/>
        </w:rPr>
        <w:t>complete</w:t>
      </w:r>
      <w:r>
        <w:rPr>
          <w:color w:val="374151"/>
          <w:spacing w:val="-2"/>
          <w:shd w:fill="F7F7F8" w:color="auto" w:val="clear"/>
        </w:rPr>
        <w:t> </w:t>
      </w:r>
      <w:r>
        <w:rPr>
          <w:color w:val="374151"/>
          <w:shd w:fill="F7F7F8" w:color="auto" w:val="clear"/>
        </w:rPr>
        <w:t>abstinence</w:t>
      </w:r>
      <w:r>
        <w:rPr>
          <w:color w:val="374151"/>
          <w:spacing w:val="-3"/>
          <w:shd w:fill="F7F7F8" w:color="auto" w:val="clear"/>
        </w:rPr>
        <w:t> </w:t>
      </w:r>
      <w:r>
        <w:rPr>
          <w:color w:val="374151"/>
          <w:shd w:fill="F7F7F8" w:color="auto" w:val="clear"/>
        </w:rPr>
        <w:t>from</w:t>
      </w:r>
      <w:r>
        <w:rPr>
          <w:color w:val="374151"/>
          <w:spacing w:val="-1"/>
          <w:shd w:fill="F7F7F8" w:color="auto" w:val="clear"/>
        </w:rPr>
        <w:t> </w:t>
      </w:r>
      <w:r>
        <w:rPr>
          <w:color w:val="374151"/>
          <w:shd w:fill="F7F7F8" w:color="auto" w:val="clear"/>
        </w:rPr>
        <w:t>sexual</w:t>
      </w:r>
      <w:r>
        <w:rPr>
          <w:color w:val="374151"/>
          <w:spacing w:val="-2"/>
          <w:shd w:fill="F7F7F8" w:color="auto" w:val="clear"/>
        </w:rPr>
        <w:t> </w:t>
      </w:r>
      <w:r>
        <w:rPr>
          <w:color w:val="374151"/>
          <w:shd w:fill="F7F7F8" w:color="auto" w:val="clear"/>
        </w:rPr>
        <w:t>contact</w:t>
      </w:r>
      <w:r>
        <w:rPr>
          <w:color w:val="374151"/>
          <w:spacing w:val="-1"/>
          <w:shd w:fill="F7F7F8" w:color="auto" w:val="clear"/>
        </w:rPr>
        <w:t> </w:t>
      </w:r>
      <w:r>
        <w:rPr>
          <w:color w:val="374151"/>
          <w:shd w:fill="F7F7F8" w:color="auto" w:val="clear"/>
        </w:rPr>
        <w:t>provides</w:t>
      </w:r>
      <w:r>
        <w:rPr>
          <w:color w:val="374151"/>
          <w:spacing w:val="-2"/>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highest</w:t>
      </w:r>
      <w:r>
        <w:rPr>
          <w:color w:val="374151"/>
          <w:spacing w:val="-2"/>
          <w:shd w:fill="F7F7F8" w:color="auto" w:val="clear"/>
        </w:rPr>
        <w:t> </w:t>
      </w:r>
      <w:r>
        <w:rPr>
          <w:color w:val="374151"/>
          <w:shd w:fill="F7F7F8" w:color="auto" w:val="clear"/>
        </w:rPr>
        <w:t>level</w:t>
      </w:r>
      <w:r>
        <w:rPr>
          <w:color w:val="374151"/>
          <w:spacing w:val="-1"/>
          <w:shd w:fill="F7F7F8" w:color="auto" w:val="clear"/>
        </w:rPr>
        <w:t> </w:t>
      </w:r>
      <w:r>
        <w:rPr>
          <w:color w:val="374151"/>
          <w:shd w:fill="F7F7F8" w:color="auto" w:val="clear"/>
        </w:rPr>
        <w:t>of</w:t>
      </w:r>
      <w:r>
        <w:rPr>
          <w:color w:val="374151"/>
          <w:spacing w:val="-1"/>
          <w:shd w:fill="F7F7F8" w:color="auto" w:val="clear"/>
        </w:rPr>
        <w:t> </w:t>
      </w:r>
      <w:r>
        <w:rPr>
          <w:color w:val="374151"/>
          <w:spacing w:val="-4"/>
          <w:shd w:fill="F7F7F8" w:color="auto" w:val="clear"/>
        </w:rPr>
        <w:t>risk</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716280" cy="393700"/>
                <wp:effectExtent l="0" t="0" r="0" b="0"/>
                <wp:docPr id="315" name="Textbox 315"/>
                <wp:cNvGraphicFramePr>
                  <a:graphicFrameLocks/>
                </wp:cNvGraphicFramePr>
                <a:graphic>
                  <a:graphicData uri="http://schemas.microsoft.com/office/word/2010/wordprocessingShape">
                    <wps:wsp>
                      <wps:cNvPr id="315" name="Textbox 315"/>
                      <wps:cNvSpPr txBox="1"/>
                      <wps:spPr>
                        <a:xfrm>
                          <a:off x="0" y="0"/>
                          <a:ext cx="716280" cy="393700"/>
                        </a:xfrm>
                        <a:prstGeom prst="rect">
                          <a:avLst/>
                        </a:prstGeom>
                        <a:solidFill>
                          <a:srgbClr val="F7F7F8"/>
                        </a:solidFill>
                      </wps:spPr>
                      <wps:txbx>
                        <w:txbxContent>
                          <w:p>
                            <w:pPr>
                              <w:pStyle w:val="BodyText"/>
                              <w:spacing w:line="308" w:lineRule="exact"/>
                              <w:ind w:right="-15"/>
                              <w:rPr>
                                <w:color w:val="000000"/>
                              </w:rPr>
                            </w:pPr>
                            <w:r>
                              <w:rPr>
                                <w:color w:val="374151"/>
                                <w:spacing w:val="-2"/>
                              </w:rPr>
                              <w:t>reduction.</w:t>
                            </w:r>
                          </w:p>
                        </w:txbxContent>
                      </wps:txbx>
                      <wps:bodyPr wrap="square" lIns="0" tIns="0" rIns="0" bIns="0" rtlCol="0">
                        <a:noAutofit/>
                      </wps:bodyPr>
                    </wps:wsp>
                  </a:graphicData>
                </a:graphic>
              </wp:inline>
            </w:drawing>
          </mc:Choice>
          <mc:Fallback>
            <w:pict>
              <v:shape style="width:56.4pt;height:31pt;mso-position-horizontal-relative:char;mso-position-vertical-relative:line" type="#_x0000_t202" id="docshape314" filled="true" fillcolor="#f7f7f8" stroked="false">
                <w10:anchorlock/>
                <v:textbox inset="0,0,0,0">
                  <w:txbxContent>
                    <w:p>
                      <w:pPr>
                        <w:pStyle w:val="BodyText"/>
                        <w:spacing w:line="308" w:lineRule="exact"/>
                        <w:ind w:right="-15"/>
                        <w:rPr>
                          <w:color w:val="000000"/>
                        </w:rPr>
                      </w:pPr>
                      <w:r>
                        <w:rPr>
                          <w:color w:val="374151"/>
                          <w:spacing w:val="-2"/>
                        </w:rPr>
                        <w:t>reduction.</w:t>
                      </w:r>
                    </w:p>
                  </w:txbxContent>
                </v:textbox>
                <v:fill type="solid"/>
              </v:shape>
            </w:pict>
          </mc:Fallback>
        </mc:AlternateContent>
      </w:r>
      <w:r>
        <w:rPr>
          <w:sz w:val="20"/>
        </w:rPr>
      </w:r>
    </w:p>
    <w:p>
      <w:pPr>
        <w:pStyle w:val="BodyText"/>
        <w:spacing w:line="282" w:lineRule="exact"/>
        <w:ind w:left="280"/>
      </w:pPr>
      <w:r>
        <w:rPr>
          <w:color w:val="374151"/>
          <w:shd w:fill="F7F7F8" w:color="auto" w:val="clear"/>
        </w:rPr>
        <w:t>However,</w:t>
      </w:r>
      <w:r>
        <w:rPr>
          <w:color w:val="374151"/>
          <w:spacing w:val="-5"/>
          <w:shd w:fill="F7F7F8" w:color="auto" w:val="clear"/>
        </w:rPr>
        <w:t> </w:t>
      </w:r>
      <w:r>
        <w:rPr>
          <w:color w:val="374151"/>
          <w:shd w:fill="F7F7F8" w:color="auto" w:val="clear"/>
        </w:rPr>
        <w:t>for</w:t>
      </w:r>
      <w:r>
        <w:rPr>
          <w:color w:val="374151"/>
          <w:spacing w:val="-2"/>
          <w:shd w:fill="F7F7F8" w:color="auto" w:val="clear"/>
        </w:rPr>
        <w:t> </w:t>
      </w:r>
      <w:r>
        <w:rPr>
          <w:color w:val="374151"/>
          <w:shd w:fill="F7F7F8" w:color="auto" w:val="clear"/>
        </w:rPr>
        <w:t>individuals</w:t>
      </w:r>
      <w:r>
        <w:rPr>
          <w:color w:val="374151"/>
          <w:spacing w:val="-2"/>
          <w:shd w:fill="F7F7F8" w:color="auto" w:val="clear"/>
        </w:rPr>
        <w:t> </w:t>
      </w:r>
      <w:r>
        <w:rPr>
          <w:color w:val="374151"/>
          <w:shd w:fill="F7F7F8" w:color="auto" w:val="clear"/>
        </w:rPr>
        <w:t>who</w:t>
      </w:r>
      <w:r>
        <w:rPr>
          <w:color w:val="374151"/>
          <w:spacing w:val="-3"/>
          <w:shd w:fill="F7F7F8" w:color="auto" w:val="clear"/>
        </w:rPr>
        <w:t> </w:t>
      </w:r>
      <w:r>
        <w:rPr>
          <w:color w:val="374151"/>
          <w:shd w:fill="F7F7F8" w:color="auto" w:val="clear"/>
        </w:rPr>
        <w:t>are</w:t>
      </w:r>
      <w:r>
        <w:rPr>
          <w:color w:val="374151"/>
          <w:spacing w:val="-3"/>
          <w:shd w:fill="F7F7F8" w:color="auto" w:val="clear"/>
        </w:rPr>
        <w:t> </w:t>
      </w:r>
      <w:r>
        <w:rPr>
          <w:color w:val="374151"/>
          <w:shd w:fill="F7F7F8" w:color="auto" w:val="clear"/>
        </w:rPr>
        <w:t>sexually</w:t>
      </w:r>
      <w:r>
        <w:rPr>
          <w:color w:val="374151"/>
          <w:spacing w:val="-2"/>
          <w:shd w:fill="F7F7F8" w:color="auto" w:val="clear"/>
        </w:rPr>
        <w:t> </w:t>
      </w:r>
      <w:r>
        <w:rPr>
          <w:color w:val="374151"/>
          <w:shd w:fill="F7F7F8" w:color="auto" w:val="clear"/>
        </w:rPr>
        <w:t>active,</w:t>
      </w:r>
      <w:r>
        <w:rPr>
          <w:color w:val="374151"/>
          <w:spacing w:val="-2"/>
          <w:shd w:fill="F7F7F8" w:color="auto" w:val="clear"/>
        </w:rPr>
        <w:t> </w:t>
      </w:r>
      <w:r>
        <w:rPr>
          <w:color w:val="374151"/>
          <w:shd w:fill="F7F7F8" w:color="auto" w:val="clear"/>
        </w:rPr>
        <w:t>it</w:t>
      </w:r>
      <w:r>
        <w:rPr>
          <w:color w:val="374151"/>
          <w:spacing w:val="-3"/>
          <w:shd w:fill="F7F7F8" w:color="auto" w:val="clear"/>
        </w:rPr>
        <w:t> </w:t>
      </w:r>
      <w:r>
        <w:rPr>
          <w:color w:val="374151"/>
          <w:shd w:fill="F7F7F8" w:color="auto" w:val="clear"/>
        </w:rPr>
        <w:t>is</w:t>
      </w:r>
      <w:r>
        <w:rPr>
          <w:color w:val="374151"/>
          <w:spacing w:val="-2"/>
          <w:shd w:fill="F7F7F8" w:color="auto" w:val="clear"/>
        </w:rPr>
        <w:t> </w:t>
      </w:r>
      <w:r>
        <w:rPr>
          <w:color w:val="374151"/>
          <w:shd w:fill="F7F7F8" w:color="auto" w:val="clear"/>
        </w:rPr>
        <w:t>crucial</w:t>
      </w:r>
      <w:r>
        <w:rPr>
          <w:color w:val="374151"/>
          <w:spacing w:val="-2"/>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engage</w:t>
      </w:r>
      <w:r>
        <w:rPr>
          <w:color w:val="374151"/>
          <w:spacing w:val="-3"/>
          <w:shd w:fill="F7F7F8" w:color="auto" w:val="clear"/>
        </w:rPr>
        <w:t> </w:t>
      </w:r>
      <w:r>
        <w:rPr>
          <w:color w:val="374151"/>
          <w:spacing w:val="-5"/>
          <w:shd w:fill="F7F7F8" w:color="auto" w:val="clear"/>
        </w:rPr>
        <w:t>in</w:t>
      </w:r>
      <w:r>
        <w:rPr>
          <w:color w:val="374151"/>
          <w:spacing w:val="40"/>
          <w:shd w:fill="F7F7F8" w:color="auto" w:val="clear"/>
        </w:rPr>
        <w:t> </w:t>
      </w:r>
    </w:p>
    <w:p>
      <w:pPr>
        <w:pStyle w:val="BodyText"/>
        <w:spacing w:after="7"/>
        <w:ind w:left="280" w:right="534"/>
      </w:pPr>
      <w:r>
        <w:rPr>
          <w:color w:val="374151"/>
          <w:shd w:fill="F7F7F8" w:color="auto" w:val="clear"/>
        </w:rPr>
        <w:t>safer sexual practices. Proper and consistent use of condoms can significantly </w:t>
      </w:r>
      <w:r>
        <w:rPr>
          <w:color w:val="374151"/>
        </w:rPr>
        <w:t> </w:t>
      </w:r>
      <w:r>
        <w:rPr>
          <w:color w:val="374151"/>
          <w:shd w:fill="F7F7F8" w:color="auto" w:val="clear"/>
        </w:rPr>
        <w:t>reduce the risk of STI transmission. Condoms act as a barrier, preventing </w:t>
      </w:r>
      <w:r>
        <w:rPr>
          <w:color w:val="374151"/>
        </w:rPr>
        <w:t> </w:t>
      </w:r>
      <w:r>
        <w:rPr>
          <w:color w:val="374151"/>
          <w:shd w:fill="F7F7F8" w:color="auto" w:val="clear"/>
        </w:rPr>
        <w:t>direct</w:t>
      </w:r>
      <w:r>
        <w:rPr>
          <w:color w:val="374151"/>
          <w:spacing w:val="-4"/>
          <w:shd w:fill="F7F7F8" w:color="auto" w:val="clear"/>
        </w:rPr>
        <w:t> </w:t>
      </w:r>
      <w:r>
        <w:rPr>
          <w:color w:val="374151"/>
          <w:shd w:fill="F7F7F8" w:color="auto" w:val="clear"/>
        </w:rPr>
        <w:t>contact</w:t>
      </w:r>
      <w:r>
        <w:rPr>
          <w:color w:val="374151"/>
          <w:spacing w:val="-4"/>
          <w:shd w:fill="F7F7F8" w:color="auto" w:val="clear"/>
        </w:rPr>
        <w:t> </w:t>
      </w:r>
      <w:r>
        <w:rPr>
          <w:color w:val="374151"/>
          <w:shd w:fill="F7F7F8" w:color="auto" w:val="clear"/>
        </w:rPr>
        <w:t>between</w:t>
      </w:r>
      <w:r>
        <w:rPr>
          <w:color w:val="374151"/>
          <w:spacing w:val="-4"/>
          <w:shd w:fill="F7F7F8" w:color="auto" w:val="clear"/>
        </w:rPr>
        <w:t> </w:t>
      </w:r>
      <w:r>
        <w:rPr>
          <w:color w:val="374151"/>
          <w:shd w:fill="F7F7F8" w:color="auto" w:val="clear"/>
        </w:rPr>
        <w:t>bodily</w:t>
      </w:r>
      <w:r>
        <w:rPr>
          <w:color w:val="374151"/>
          <w:spacing w:val="-4"/>
          <w:shd w:fill="F7F7F8" w:color="auto" w:val="clear"/>
        </w:rPr>
        <w:t> </w:t>
      </w:r>
      <w:r>
        <w:rPr>
          <w:color w:val="374151"/>
          <w:shd w:fill="F7F7F8" w:color="auto" w:val="clear"/>
        </w:rPr>
        <w:t>fluids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mucous</w:t>
      </w:r>
      <w:r>
        <w:rPr>
          <w:color w:val="374151"/>
          <w:spacing w:val="-4"/>
          <w:shd w:fill="F7F7F8" w:color="auto" w:val="clear"/>
        </w:rPr>
        <w:t> </w:t>
      </w:r>
      <w:r>
        <w:rPr>
          <w:color w:val="374151"/>
          <w:shd w:fill="F7F7F8" w:color="auto" w:val="clear"/>
        </w:rPr>
        <w:t>membranes,</w:t>
      </w:r>
      <w:r>
        <w:rPr>
          <w:color w:val="374151"/>
          <w:spacing w:val="-4"/>
          <w:shd w:fill="F7F7F8" w:color="auto" w:val="clear"/>
        </w:rPr>
        <w:t> </w:t>
      </w:r>
      <w:r>
        <w:rPr>
          <w:color w:val="374151"/>
          <w:shd w:fill="F7F7F8" w:color="auto" w:val="clear"/>
        </w:rPr>
        <w:t>thus</w:t>
      </w:r>
      <w:r>
        <w:rPr>
          <w:color w:val="374151"/>
          <w:spacing w:val="-4"/>
          <w:shd w:fill="F7F7F8" w:color="auto" w:val="clear"/>
        </w:rPr>
        <w:t> </w:t>
      </w:r>
      <w:r>
        <w:rPr>
          <w:color w:val="374151"/>
          <w:shd w:fill="F7F7F8" w:color="auto" w:val="clear"/>
        </w:rPr>
        <w:t>reducing</w:t>
      </w:r>
      <w:r>
        <w:rPr>
          <w:color w:val="374151"/>
          <w:spacing w:val="-4"/>
          <w:shd w:fill="F7F7F8" w:color="auto" w:val="clear"/>
        </w:rPr>
        <w:t> </w:t>
      </w:r>
      <w:r>
        <w:rPr>
          <w:color w:val="374151"/>
          <w:shd w:fill="F7F7F8" w:color="auto" w:val="clear"/>
        </w:rPr>
        <w:t>the</w:t>
      </w:r>
    </w:p>
    <w:p>
      <w:pPr>
        <w:pStyle w:val="BodyText"/>
        <w:ind w:left="280"/>
        <w:rPr>
          <w:sz w:val="20"/>
        </w:rPr>
      </w:pPr>
      <w:r>
        <w:rPr>
          <w:sz w:val="20"/>
        </w:rPr>
        <mc:AlternateContent>
          <mc:Choice Requires="wps">
            <w:drawing>
              <wp:inline distT="0" distB="0" distL="0" distR="0">
                <wp:extent cx="1634489" cy="393700"/>
                <wp:effectExtent l="0" t="0" r="0" b="0"/>
                <wp:docPr id="316" name="Textbox 316"/>
                <wp:cNvGraphicFramePr>
                  <a:graphicFrameLocks/>
                </wp:cNvGraphicFramePr>
                <a:graphic>
                  <a:graphicData uri="http://schemas.microsoft.com/office/word/2010/wordprocessingShape">
                    <wps:wsp>
                      <wps:cNvPr id="316" name="Textbox 316"/>
                      <wps:cNvSpPr txBox="1"/>
                      <wps:spPr>
                        <a:xfrm>
                          <a:off x="0" y="0"/>
                          <a:ext cx="1634489" cy="393700"/>
                        </a:xfrm>
                        <a:prstGeom prst="rect">
                          <a:avLst/>
                        </a:prstGeom>
                        <a:solidFill>
                          <a:srgbClr val="F7F7F8"/>
                        </a:solidFill>
                      </wps:spPr>
                      <wps:txbx>
                        <w:txbxContent>
                          <w:p>
                            <w:pPr>
                              <w:pStyle w:val="BodyText"/>
                              <w:spacing w:line="308" w:lineRule="exact"/>
                              <w:ind w:right="-15"/>
                              <w:rPr>
                                <w:color w:val="000000"/>
                              </w:rPr>
                            </w:pPr>
                            <w:r>
                              <w:rPr>
                                <w:color w:val="374151"/>
                              </w:rPr>
                              <w:t>likelihood</w:t>
                            </w:r>
                            <w:r>
                              <w:rPr>
                                <w:color w:val="374151"/>
                                <w:spacing w:val="-1"/>
                              </w:rPr>
                              <w:t> </w:t>
                            </w:r>
                            <w:r>
                              <w:rPr>
                                <w:color w:val="374151"/>
                              </w:rPr>
                              <w:t>of </w:t>
                            </w:r>
                            <w:r>
                              <w:rPr>
                                <w:color w:val="374151"/>
                                <w:spacing w:val="-2"/>
                              </w:rPr>
                              <w:t>infection.</w:t>
                            </w:r>
                          </w:p>
                        </w:txbxContent>
                      </wps:txbx>
                      <wps:bodyPr wrap="square" lIns="0" tIns="0" rIns="0" bIns="0" rtlCol="0">
                        <a:noAutofit/>
                      </wps:bodyPr>
                    </wps:wsp>
                  </a:graphicData>
                </a:graphic>
              </wp:inline>
            </w:drawing>
          </mc:Choice>
          <mc:Fallback>
            <w:pict>
              <v:shape style="width:128.7pt;height:31pt;mso-position-horizontal-relative:char;mso-position-vertical-relative:line" type="#_x0000_t202" id="docshape315" filled="true" fillcolor="#f7f7f8" stroked="false">
                <w10:anchorlock/>
                <v:textbox inset="0,0,0,0">
                  <w:txbxContent>
                    <w:p>
                      <w:pPr>
                        <w:pStyle w:val="BodyText"/>
                        <w:spacing w:line="308" w:lineRule="exact"/>
                        <w:ind w:right="-15"/>
                        <w:rPr>
                          <w:color w:val="000000"/>
                        </w:rPr>
                      </w:pPr>
                      <w:r>
                        <w:rPr>
                          <w:color w:val="374151"/>
                        </w:rPr>
                        <w:t>likelihood</w:t>
                      </w:r>
                      <w:r>
                        <w:rPr>
                          <w:color w:val="374151"/>
                          <w:spacing w:val="-1"/>
                        </w:rPr>
                        <w:t> </w:t>
                      </w:r>
                      <w:r>
                        <w:rPr>
                          <w:color w:val="374151"/>
                        </w:rPr>
                        <w:t>of </w:t>
                      </w:r>
                      <w:r>
                        <w:rPr>
                          <w:color w:val="374151"/>
                          <w:spacing w:val="-2"/>
                        </w:rPr>
                        <w:t>infection.</w:t>
                      </w:r>
                    </w:p>
                  </w:txbxContent>
                </v:textbox>
                <v:fill type="solid"/>
              </v:shape>
            </w:pict>
          </mc:Fallback>
        </mc:AlternateContent>
      </w:r>
      <w:r>
        <w:rPr>
          <w:sz w:val="20"/>
        </w:rPr>
      </w:r>
    </w:p>
    <w:p>
      <w:pPr>
        <w:pStyle w:val="BodyText"/>
        <w:spacing w:line="282" w:lineRule="exact"/>
        <w:ind w:left="280"/>
      </w:pPr>
      <w:r>
        <w:rPr>
          <w:color w:val="374151"/>
          <w:shd w:fill="F7F7F8" w:color="auto" w:val="clear"/>
        </w:rPr>
        <w:t>In</w:t>
      </w:r>
      <w:r>
        <w:rPr>
          <w:color w:val="374151"/>
          <w:spacing w:val="-2"/>
          <w:shd w:fill="F7F7F8" w:color="auto" w:val="clear"/>
        </w:rPr>
        <w:t> </w:t>
      </w:r>
      <w:r>
        <w:rPr>
          <w:color w:val="374151"/>
          <w:shd w:fill="F7F7F8" w:color="auto" w:val="clear"/>
        </w:rPr>
        <w:t>addition</w:t>
      </w:r>
      <w:r>
        <w:rPr>
          <w:color w:val="374151"/>
          <w:spacing w:val="-2"/>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using</w:t>
      </w:r>
      <w:r>
        <w:rPr>
          <w:color w:val="374151"/>
          <w:spacing w:val="-2"/>
          <w:shd w:fill="F7F7F8" w:color="auto" w:val="clear"/>
        </w:rPr>
        <w:t> </w:t>
      </w:r>
      <w:r>
        <w:rPr>
          <w:color w:val="374151"/>
          <w:shd w:fill="F7F7F8" w:color="auto" w:val="clear"/>
        </w:rPr>
        <w:t>condoms,</w:t>
      </w:r>
      <w:r>
        <w:rPr>
          <w:color w:val="374151"/>
          <w:spacing w:val="-2"/>
          <w:shd w:fill="F7F7F8" w:color="auto" w:val="clear"/>
        </w:rPr>
        <w:t> </w:t>
      </w:r>
      <w:r>
        <w:rPr>
          <w:color w:val="374151"/>
          <w:shd w:fill="F7F7F8" w:color="auto" w:val="clear"/>
        </w:rPr>
        <w:t>it</w:t>
      </w:r>
      <w:r>
        <w:rPr>
          <w:color w:val="374151"/>
          <w:spacing w:val="-1"/>
          <w:shd w:fill="F7F7F8" w:color="auto" w:val="clear"/>
        </w:rPr>
        <w:t> </w:t>
      </w:r>
      <w:r>
        <w:rPr>
          <w:color w:val="374151"/>
          <w:shd w:fill="F7F7F8" w:color="auto" w:val="clear"/>
        </w:rPr>
        <w:t>is</w:t>
      </w:r>
      <w:r>
        <w:rPr>
          <w:color w:val="374151"/>
          <w:spacing w:val="-2"/>
          <w:shd w:fill="F7F7F8" w:color="auto" w:val="clear"/>
        </w:rPr>
        <w:t> </w:t>
      </w:r>
      <w:r>
        <w:rPr>
          <w:color w:val="374151"/>
          <w:shd w:fill="F7F7F8" w:color="auto" w:val="clear"/>
        </w:rPr>
        <w:t>recommended</w:t>
      </w:r>
      <w:r>
        <w:rPr>
          <w:color w:val="374151"/>
          <w:spacing w:val="-2"/>
          <w:shd w:fill="F7F7F8" w:color="auto" w:val="clear"/>
        </w:rPr>
        <w:t> </w:t>
      </w:r>
      <w:r>
        <w:rPr>
          <w:color w:val="374151"/>
          <w:shd w:fill="F7F7F8" w:color="auto" w:val="clear"/>
        </w:rPr>
        <w:t>that</w:t>
      </w:r>
      <w:r>
        <w:rPr>
          <w:color w:val="374151"/>
          <w:spacing w:val="-1"/>
          <w:shd w:fill="F7F7F8" w:color="auto" w:val="clear"/>
        </w:rPr>
        <w:t> </w:t>
      </w:r>
      <w:r>
        <w:rPr>
          <w:color w:val="374151"/>
          <w:shd w:fill="F7F7F8" w:color="auto" w:val="clear"/>
        </w:rPr>
        <w:t>partners</w:t>
      </w:r>
      <w:r>
        <w:rPr>
          <w:color w:val="374151"/>
          <w:spacing w:val="-2"/>
          <w:shd w:fill="F7F7F8" w:color="auto" w:val="clear"/>
        </w:rPr>
        <w:t> </w:t>
      </w:r>
      <w:r>
        <w:rPr>
          <w:color w:val="374151"/>
          <w:shd w:fill="F7F7F8" w:color="auto" w:val="clear"/>
        </w:rPr>
        <w:t>undergo</w:t>
      </w:r>
      <w:r>
        <w:rPr>
          <w:color w:val="374151"/>
          <w:spacing w:val="-1"/>
          <w:shd w:fill="F7F7F8" w:color="auto" w:val="clear"/>
        </w:rPr>
        <w:t> </w:t>
      </w:r>
      <w:r>
        <w:rPr>
          <w:color w:val="374151"/>
          <w:spacing w:val="-2"/>
          <w:shd w:fill="F7F7F8" w:color="auto" w:val="clear"/>
        </w:rPr>
        <w:t>testing</w:t>
      </w:r>
      <w:r>
        <w:rPr>
          <w:color w:val="374151"/>
          <w:spacing w:val="40"/>
          <w:shd w:fill="F7F7F8" w:color="auto" w:val="clear"/>
        </w:rPr>
        <w:t> </w:t>
      </w:r>
    </w:p>
    <w:p>
      <w:pPr>
        <w:pStyle w:val="BodyText"/>
        <w:spacing w:after="4"/>
        <w:ind w:left="280" w:right="502"/>
      </w:pPr>
      <w:r>
        <w:rPr>
          <w:color w:val="374151"/>
          <w:shd w:fill="F7F7F8" w:color="auto" w:val="clear"/>
        </w:rPr>
        <w:t>and screening for STIs before engaging in sexual contact. Some STIs may not </w:t>
      </w:r>
      <w:r>
        <w:rPr>
          <w:color w:val="374151"/>
        </w:rPr>
        <w:t> </w:t>
      </w:r>
      <w:r>
        <w:rPr>
          <w:color w:val="374151"/>
          <w:shd w:fill="F7F7F8" w:color="auto" w:val="clear"/>
        </w:rPr>
        <w:t>be</w:t>
      </w:r>
      <w:r>
        <w:rPr>
          <w:color w:val="374151"/>
          <w:spacing w:val="-2"/>
          <w:shd w:fill="F7F7F8" w:color="auto" w:val="clear"/>
        </w:rPr>
        <w:t> </w:t>
      </w:r>
      <w:r>
        <w:rPr>
          <w:color w:val="374151"/>
          <w:shd w:fill="F7F7F8" w:color="auto" w:val="clear"/>
        </w:rPr>
        <w:t>immediately</w:t>
      </w:r>
      <w:r>
        <w:rPr>
          <w:color w:val="374151"/>
          <w:spacing w:val="-1"/>
          <w:shd w:fill="F7F7F8" w:color="auto" w:val="clear"/>
        </w:rPr>
        <w:t> </w:t>
      </w:r>
      <w:r>
        <w:rPr>
          <w:color w:val="374151"/>
          <w:shd w:fill="F7F7F8" w:color="auto" w:val="clear"/>
        </w:rPr>
        <w:t>detectable</w:t>
      </w:r>
      <w:r>
        <w:rPr>
          <w:color w:val="374151"/>
          <w:spacing w:val="-2"/>
          <w:shd w:fill="F7F7F8" w:color="auto" w:val="clear"/>
        </w:rPr>
        <w:t> </w:t>
      </w:r>
      <w:r>
        <w:rPr>
          <w:color w:val="374151"/>
          <w:shd w:fill="F7F7F8" w:color="auto" w:val="clear"/>
        </w:rPr>
        <w:t>after</w:t>
      </w:r>
      <w:r>
        <w:rPr>
          <w:color w:val="374151"/>
          <w:spacing w:val="-1"/>
          <w:shd w:fill="F7F7F8" w:color="auto" w:val="clear"/>
        </w:rPr>
        <w:t> </w:t>
      </w:r>
      <w:r>
        <w:rPr>
          <w:color w:val="374151"/>
          <w:shd w:fill="F7F7F8" w:color="auto" w:val="clear"/>
        </w:rPr>
        <w:t>exposure,</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there</w:t>
      </w:r>
      <w:r>
        <w:rPr>
          <w:color w:val="374151"/>
          <w:spacing w:val="-2"/>
          <w:shd w:fill="F7F7F8" w:color="auto" w:val="clear"/>
        </w:rPr>
        <w:t> </w:t>
      </w:r>
      <w:r>
        <w:rPr>
          <w:color w:val="374151"/>
          <w:shd w:fill="F7F7F8" w:color="auto" w:val="clear"/>
        </w:rPr>
        <w:t>is</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window</w:t>
      </w:r>
      <w:r>
        <w:rPr>
          <w:color w:val="374151"/>
          <w:spacing w:val="-1"/>
          <w:shd w:fill="F7F7F8" w:color="auto" w:val="clear"/>
        </w:rPr>
        <w:t> </w:t>
      </w:r>
      <w:r>
        <w:rPr>
          <w:color w:val="374151"/>
          <w:shd w:fill="F7F7F8" w:color="auto" w:val="clear"/>
        </w:rPr>
        <w:t>period</w:t>
      </w:r>
      <w:r>
        <w:rPr>
          <w:color w:val="374151"/>
          <w:spacing w:val="-1"/>
          <w:shd w:fill="F7F7F8" w:color="auto" w:val="clear"/>
        </w:rPr>
        <w:t> </w:t>
      </w:r>
      <w:r>
        <w:rPr>
          <w:color w:val="374151"/>
          <w:shd w:fill="F7F7F8" w:color="auto" w:val="clear"/>
        </w:rPr>
        <w:t>during</w:t>
      </w:r>
      <w:r>
        <w:rPr>
          <w:color w:val="374151"/>
          <w:spacing w:val="-2"/>
          <w:shd w:fill="F7F7F8" w:color="auto" w:val="clear"/>
        </w:rPr>
        <w:t> </w:t>
      </w:r>
      <w:r>
        <w:rPr>
          <w:color w:val="374151"/>
          <w:spacing w:val="-2"/>
        </w:rPr>
        <w:t> </w:t>
      </w:r>
      <w:r>
        <w:rPr>
          <w:color w:val="374151"/>
          <w:shd w:fill="F7F7F8" w:color="auto" w:val="clear"/>
        </w:rPr>
        <w:t>which testing may not yield accurate results. Therefore, allowing an adequate </w:t>
      </w:r>
      <w:r>
        <w:rPr>
          <w:color w:val="374151"/>
        </w:rPr>
        <w:t> </w:t>
      </w:r>
      <w:r>
        <w:rPr>
          <w:color w:val="374151"/>
          <w:shd w:fill="F7F7F8" w:color="auto" w:val="clear"/>
        </w:rPr>
        <w:t>amount of time to pass between possible exposure and subsequent screening is</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838700" cy="393700"/>
                <wp:effectExtent l="0" t="0" r="0" b="0"/>
                <wp:docPr id="317" name="Textbox 317"/>
                <wp:cNvGraphicFramePr>
                  <a:graphicFrameLocks/>
                </wp:cNvGraphicFramePr>
                <a:graphic>
                  <a:graphicData uri="http://schemas.microsoft.com/office/word/2010/wordprocessingShape">
                    <wps:wsp>
                      <wps:cNvPr id="317" name="Textbox 317"/>
                      <wps:cNvSpPr txBox="1"/>
                      <wps:spPr>
                        <a:xfrm>
                          <a:off x="0" y="0"/>
                          <a:ext cx="4838700" cy="393700"/>
                        </a:xfrm>
                        <a:prstGeom prst="rect">
                          <a:avLst/>
                        </a:prstGeom>
                        <a:solidFill>
                          <a:srgbClr val="F7F7F8"/>
                        </a:solidFill>
                      </wps:spPr>
                      <wps:txbx>
                        <w:txbxContent>
                          <w:p>
                            <w:pPr>
                              <w:pStyle w:val="BodyText"/>
                              <w:spacing w:line="308" w:lineRule="exact"/>
                              <w:ind w:right="-15"/>
                              <w:rPr>
                                <w:color w:val="000000"/>
                              </w:rPr>
                            </w:pPr>
                            <w:r>
                              <w:rPr>
                                <w:color w:val="374151"/>
                              </w:rPr>
                              <w:t>important</w:t>
                            </w:r>
                            <w:r>
                              <w:rPr>
                                <w:color w:val="374151"/>
                                <w:spacing w:val="-4"/>
                              </w:rPr>
                              <w:t> </w:t>
                            </w:r>
                            <w:r>
                              <w:rPr>
                                <w:color w:val="374151"/>
                              </w:rPr>
                              <w:t>to</w:t>
                            </w:r>
                            <w:r>
                              <w:rPr>
                                <w:color w:val="374151"/>
                                <w:spacing w:val="-1"/>
                              </w:rPr>
                              <w:t> </w:t>
                            </w:r>
                            <w:r>
                              <w:rPr>
                                <w:color w:val="374151"/>
                              </w:rPr>
                              <w:t>ensure</w:t>
                            </w:r>
                            <w:r>
                              <w:rPr>
                                <w:color w:val="374151"/>
                                <w:spacing w:val="-2"/>
                              </w:rPr>
                              <w:t> </w:t>
                            </w:r>
                            <w:r>
                              <w:rPr>
                                <w:color w:val="374151"/>
                              </w:rPr>
                              <w:t>the</w:t>
                            </w:r>
                            <w:r>
                              <w:rPr>
                                <w:color w:val="374151"/>
                                <w:spacing w:val="-3"/>
                              </w:rPr>
                              <w:t> </w:t>
                            </w:r>
                            <w:r>
                              <w:rPr>
                                <w:color w:val="374151"/>
                              </w:rPr>
                              <w:t>most</w:t>
                            </w:r>
                            <w:r>
                              <w:rPr>
                                <w:color w:val="374151"/>
                                <w:spacing w:val="-1"/>
                              </w:rPr>
                              <w:t> </w:t>
                            </w:r>
                            <w:r>
                              <w:rPr>
                                <w:color w:val="374151"/>
                              </w:rPr>
                              <w:t>reliable</w:t>
                            </w:r>
                            <w:r>
                              <w:rPr>
                                <w:color w:val="374151"/>
                                <w:spacing w:val="-2"/>
                              </w:rPr>
                              <w:t> </w:t>
                            </w:r>
                            <w:r>
                              <w:rPr>
                                <w:color w:val="374151"/>
                              </w:rPr>
                              <w:t>and</w:t>
                            </w:r>
                            <w:r>
                              <w:rPr>
                                <w:color w:val="374151"/>
                                <w:spacing w:val="-2"/>
                              </w:rPr>
                              <w:t> </w:t>
                            </w:r>
                            <w:r>
                              <w:rPr>
                                <w:color w:val="374151"/>
                              </w:rPr>
                              <w:t>accurate</w:t>
                            </w:r>
                            <w:r>
                              <w:rPr>
                                <w:color w:val="374151"/>
                                <w:spacing w:val="-2"/>
                              </w:rPr>
                              <w:t> </w:t>
                            </w:r>
                            <w:r>
                              <w:rPr>
                                <w:color w:val="374151"/>
                              </w:rPr>
                              <w:t>testing</w:t>
                            </w:r>
                            <w:r>
                              <w:rPr>
                                <w:color w:val="374151"/>
                                <w:spacing w:val="-1"/>
                              </w:rPr>
                              <w:t> </w:t>
                            </w:r>
                            <w:r>
                              <w:rPr>
                                <w:color w:val="374151"/>
                                <w:spacing w:val="-2"/>
                              </w:rPr>
                              <w:t>outcomes.</w:t>
                            </w:r>
                          </w:p>
                        </w:txbxContent>
                      </wps:txbx>
                      <wps:bodyPr wrap="square" lIns="0" tIns="0" rIns="0" bIns="0" rtlCol="0">
                        <a:noAutofit/>
                      </wps:bodyPr>
                    </wps:wsp>
                  </a:graphicData>
                </a:graphic>
              </wp:inline>
            </w:drawing>
          </mc:Choice>
          <mc:Fallback>
            <w:pict>
              <v:shape style="width:381pt;height:31pt;mso-position-horizontal-relative:char;mso-position-vertical-relative:line" type="#_x0000_t202" id="docshape316" filled="true" fillcolor="#f7f7f8" stroked="false">
                <w10:anchorlock/>
                <v:textbox inset="0,0,0,0">
                  <w:txbxContent>
                    <w:p>
                      <w:pPr>
                        <w:pStyle w:val="BodyText"/>
                        <w:spacing w:line="308" w:lineRule="exact"/>
                        <w:ind w:right="-15"/>
                        <w:rPr>
                          <w:color w:val="000000"/>
                        </w:rPr>
                      </w:pPr>
                      <w:r>
                        <w:rPr>
                          <w:color w:val="374151"/>
                        </w:rPr>
                        <w:t>important</w:t>
                      </w:r>
                      <w:r>
                        <w:rPr>
                          <w:color w:val="374151"/>
                          <w:spacing w:val="-4"/>
                        </w:rPr>
                        <w:t> </w:t>
                      </w:r>
                      <w:r>
                        <w:rPr>
                          <w:color w:val="374151"/>
                        </w:rPr>
                        <w:t>to</w:t>
                      </w:r>
                      <w:r>
                        <w:rPr>
                          <w:color w:val="374151"/>
                          <w:spacing w:val="-1"/>
                        </w:rPr>
                        <w:t> </w:t>
                      </w:r>
                      <w:r>
                        <w:rPr>
                          <w:color w:val="374151"/>
                        </w:rPr>
                        <w:t>ensure</w:t>
                      </w:r>
                      <w:r>
                        <w:rPr>
                          <w:color w:val="374151"/>
                          <w:spacing w:val="-2"/>
                        </w:rPr>
                        <w:t> </w:t>
                      </w:r>
                      <w:r>
                        <w:rPr>
                          <w:color w:val="374151"/>
                        </w:rPr>
                        <w:t>the</w:t>
                      </w:r>
                      <w:r>
                        <w:rPr>
                          <w:color w:val="374151"/>
                          <w:spacing w:val="-3"/>
                        </w:rPr>
                        <w:t> </w:t>
                      </w:r>
                      <w:r>
                        <w:rPr>
                          <w:color w:val="374151"/>
                        </w:rPr>
                        <w:t>most</w:t>
                      </w:r>
                      <w:r>
                        <w:rPr>
                          <w:color w:val="374151"/>
                          <w:spacing w:val="-1"/>
                        </w:rPr>
                        <w:t> </w:t>
                      </w:r>
                      <w:r>
                        <w:rPr>
                          <w:color w:val="374151"/>
                        </w:rPr>
                        <w:t>reliable</w:t>
                      </w:r>
                      <w:r>
                        <w:rPr>
                          <w:color w:val="374151"/>
                          <w:spacing w:val="-2"/>
                        </w:rPr>
                        <w:t> </w:t>
                      </w:r>
                      <w:r>
                        <w:rPr>
                          <w:color w:val="374151"/>
                        </w:rPr>
                        <w:t>and</w:t>
                      </w:r>
                      <w:r>
                        <w:rPr>
                          <w:color w:val="374151"/>
                          <w:spacing w:val="-2"/>
                        </w:rPr>
                        <w:t> </w:t>
                      </w:r>
                      <w:r>
                        <w:rPr>
                          <w:color w:val="374151"/>
                        </w:rPr>
                        <w:t>accurate</w:t>
                      </w:r>
                      <w:r>
                        <w:rPr>
                          <w:color w:val="374151"/>
                          <w:spacing w:val="-2"/>
                        </w:rPr>
                        <w:t> </w:t>
                      </w:r>
                      <w:r>
                        <w:rPr>
                          <w:color w:val="374151"/>
                        </w:rPr>
                        <w:t>testing</w:t>
                      </w:r>
                      <w:r>
                        <w:rPr>
                          <w:color w:val="374151"/>
                          <w:spacing w:val="-1"/>
                        </w:rPr>
                        <w:t> </w:t>
                      </w:r>
                      <w:r>
                        <w:rPr>
                          <w:color w:val="374151"/>
                          <w:spacing w:val="-2"/>
                        </w:rPr>
                        <w:t>outcomes.</w:t>
                      </w:r>
                    </w:p>
                  </w:txbxContent>
                </v:textbox>
                <v:fill type="solid"/>
              </v:shape>
            </w:pict>
          </mc:Fallback>
        </mc:AlternateContent>
      </w:r>
      <w:r>
        <w:rPr>
          <w:sz w:val="20"/>
        </w:rPr>
      </w:r>
    </w:p>
    <w:p>
      <w:pPr>
        <w:pStyle w:val="Heading2"/>
        <w:spacing w:line="282" w:lineRule="exact"/>
      </w:pPr>
      <w:r>
        <w:rPr>
          <w:color w:val="374151"/>
        </w:rPr>
        <w:t>Mental</w:t>
      </w:r>
      <w:r>
        <w:rPr>
          <w:color w:val="374151"/>
          <w:spacing w:val="-4"/>
        </w:rPr>
        <w:t> </w:t>
      </w:r>
      <w:r>
        <w:rPr>
          <w:color w:val="374151"/>
        </w:rPr>
        <w:t>Health</w:t>
      </w:r>
      <w:r>
        <w:rPr>
          <w:color w:val="374151"/>
          <w:spacing w:val="-2"/>
        </w:rPr>
        <w:t> </w:t>
      </w:r>
      <w:r>
        <w:rPr>
          <w:color w:val="374151"/>
        </w:rPr>
        <w:t>Considerations</w:t>
      </w:r>
      <w:r>
        <w:rPr>
          <w:color w:val="374151"/>
          <w:spacing w:val="-2"/>
        </w:rPr>
        <w:t> </w:t>
      </w:r>
      <w:r>
        <w:rPr>
          <w:color w:val="374151"/>
        </w:rPr>
        <w:t>and</w:t>
      </w:r>
      <w:r>
        <w:rPr>
          <w:color w:val="374151"/>
          <w:spacing w:val="-2"/>
        </w:rPr>
        <w:t> </w:t>
      </w:r>
      <w:r>
        <w:rPr>
          <w:color w:val="374151"/>
        </w:rPr>
        <w:t>Psychological</w:t>
      </w:r>
      <w:r>
        <w:rPr>
          <w:color w:val="374151"/>
          <w:spacing w:val="-2"/>
        </w:rPr>
        <w:t> </w:t>
      </w:r>
      <w:r>
        <w:rPr>
          <w:color w:val="374151"/>
        </w:rPr>
        <w:t>Impact</w:t>
      </w:r>
      <w:r>
        <w:rPr>
          <w:color w:val="374151"/>
          <w:spacing w:val="-2"/>
        </w:rPr>
        <w:t> </w:t>
      </w:r>
      <w:r>
        <w:rPr>
          <w:color w:val="374151"/>
        </w:rPr>
        <w:t>of</w:t>
      </w:r>
      <w:r>
        <w:rPr>
          <w:color w:val="374151"/>
          <w:spacing w:val="-2"/>
        </w:rPr>
        <w:t> Sexually</w:t>
      </w:r>
    </w:p>
    <w:p>
      <w:pPr>
        <w:spacing w:line="321" w:lineRule="exact" w:before="0"/>
        <w:ind w:left="280" w:right="0" w:firstLine="0"/>
        <w:jc w:val="left"/>
        <w:rPr>
          <w:b/>
          <w:sz w:val="28"/>
        </w:rPr>
      </w:pPr>
      <w:r>
        <w:rPr>
          <w:b/>
          <w:color w:val="374151"/>
          <w:sz w:val="28"/>
        </w:rPr>
        <w:t>Transmitted</w:t>
      </w:r>
      <w:r>
        <w:rPr>
          <w:b/>
          <w:color w:val="374151"/>
          <w:spacing w:val="-14"/>
          <w:sz w:val="28"/>
        </w:rPr>
        <w:t> </w:t>
      </w:r>
      <w:r>
        <w:rPr>
          <w:b/>
          <w:color w:val="374151"/>
          <w:sz w:val="28"/>
        </w:rPr>
        <w:t>Infections</w:t>
      </w:r>
      <w:r>
        <w:rPr>
          <w:b/>
          <w:color w:val="374151"/>
          <w:spacing w:val="-13"/>
          <w:sz w:val="28"/>
        </w:rPr>
        <w:t> </w:t>
      </w:r>
      <w:r>
        <w:rPr>
          <w:b/>
          <w:color w:val="374151"/>
          <w:spacing w:val="-2"/>
          <w:sz w:val="28"/>
        </w:rPr>
        <w:t>(STIs)</w:t>
      </w:r>
    </w:p>
    <w:p>
      <w:pPr>
        <w:pStyle w:val="BodyText"/>
        <w:spacing w:before="10"/>
        <w:rPr>
          <w:b/>
          <w:sz w:val="25"/>
        </w:rPr>
      </w:pPr>
    </w:p>
    <w:p>
      <w:pPr>
        <w:pStyle w:val="BodyText"/>
        <w:ind w:left="280" w:right="502"/>
      </w:pPr>
      <w:r>
        <w:rPr>
          <w:color w:val="374151"/>
          <w:shd w:fill="F7F7F8" w:color="auto" w:val="clear"/>
        </w:rPr>
        <w:t>The psychological impact of STIs cannot be overlooked. Mental health </w:t>
      </w:r>
      <w:r>
        <w:rPr>
          <w:color w:val="374151"/>
        </w:rPr>
        <w:t> </w:t>
      </w:r>
      <w:r>
        <w:rPr>
          <w:color w:val="374151"/>
          <w:shd w:fill="F7F7F8" w:color="auto" w:val="clear"/>
        </w:rPr>
        <w:t>professionals play a crucial role in providing support and addressing the </w:t>
      </w:r>
      <w:r>
        <w:rPr>
          <w:color w:val="374151"/>
        </w:rPr>
        <w:t> </w:t>
      </w:r>
      <w:r>
        <w:rPr>
          <w:color w:val="374151"/>
          <w:shd w:fill="F7F7F8" w:color="auto" w:val="clear"/>
        </w:rPr>
        <w:t>emotional</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psychological</w:t>
      </w:r>
      <w:r>
        <w:rPr>
          <w:color w:val="374151"/>
          <w:spacing w:val="-4"/>
          <w:shd w:fill="F7F7F8" w:color="auto" w:val="clear"/>
        </w:rPr>
        <w:t> </w:t>
      </w:r>
      <w:r>
        <w:rPr>
          <w:color w:val="374151"/>
          <w:shd w:fill="F7F7F8" w:color="auto" w:val="clear"/>
        </w:rPr>
        <w:t>consequences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an</w:t>
      </w:r>
      <w:r>
        <w:rPr>
          <w:color w:val="374151"/>
          <w:spacing w:val="-4"/>
          <w:shd w:fill="F7F7F8" w:color="auto" w:val="clear"/>
        </w:rPr>
        <w:t> </w:t>
      </w:r>
      <w:r>
        <w:rPr>
          <w:color w:val="374151"/>
          <w:shd w:fill="F7F7F8" w:color="auto" w:val="clear"/>
        </w:rPr>
        <w:t>STI</w:t>
      </w:r>
      <w:r>
        <w:rPr>
          <w:color w:val="374151"/>
          <w:spacing w:val="-4"/>
          <w:shd w:fill="F7F7F8" w:color="auto" w:val="clear"/>
        </w:rPr>
        <w:t> </w:t>
      </w:r>
      <w:r>
        <w:rPr>
          <w:color w:val="374151"/>
          <w:shd w:fill="F7F7F8" w:color="auto" w:val="clear"/>
        </w:rPr>
        <w:t>diagnosis.</w:t>
      </w:r>
      <w:r>
        <w:rPr>
          <w:color w:val="374151"/>
          <w:spacing w:val="-10"/>
          <w:shd w:fill="F7F7F8" w:color="auto" w:val="clear"/>
        </w:rPr>
        <w:t> </w:t>
      </w:r>
      <w:r>
        <w:rPr>
          <w:color w:val="374151"/>
          <w:shd w:fill="F7F7F8" w:color="auto" w:val="clear"/>
        </w:rPr>
        <w:t>This</w:t>
      </w:r>
      <w:r>
        <w:rPr>
          <w:color w:val="374151"/>
          <w:spacing w:val="-4"/>
          <w:shd w:fill="F7F7F8" w:color="auto" w:val="clear"/>
        </w:rPr>
        <w:t> </w:t>
      </w:r>
      <w:r>
        <w:rPr>
          <w:color w:val="374151"/>
          <w:shd w:fill="F7F7F8" w:color="auto" w:val="clear"/>
        </w:rPr>
        <w:t>section</w:t>
      </w:r>
      <w:r>
        <w:rPr>
          <w:color w:val="374151"/>
          <w:spacing w:val="-5"/>
          <w:shd w:fill="F7F7F8" w:color="auto" w:val="clear"/>
        </w:rPr>
        <w:t> </w:t>
      </w:r>
      <w:r>
        <w:rPr>
          <w:color w:val="374151"/>
          <w:spacing w:val="-5"/>
        </w:rPr>
        <w:t> </w:t>
      </w:r>
      <w:r>
        <w:rPr>
          <w:color w:val="374151"/>
          <w:shd w:fill="F7F7F8" w:color="auto" w:val="clear"/>
        </w:rPr>
        <w:t>explores the stigma, anxiety, depression, relationship challenges, and other </w:t>
      </w:r>
      <w:r>
        <w:rPr>
          <w:color w:val="374151"/>
        </w:rPr>
        <w:t> </w:t>
      </w:r>
      <w:r>
        <w:rPr>
          <w:color w:val="374151"/>
          <w:shd w:fill="F7F7F8" w:color="auto" w:val="clear"/>
        </w:rPr>
        <w:t>mental health considerations associated with STIs.</w:t>
      </w:r>
    </w:p>
    <w:p>
      <w:pPr>
        <w:pStyle w:val="BodyText"/>
        <w:rPr>
          <w:sz w:val="27"/>
        </w:rPr>
      </w:pPr>
    </w:p>
    <w:p>
      <w:pPr>
        <w:pStyle w:val="BodyText"/>
        <w:ind w:left="280"/>
      </w:pPr>
      <w:r>
        <w:rPr>
          <w:color w:val="374151"/>
          <w:shd w:fill="F7F7F8" w:color="auto" w:val="clear"/>
        </w:rPr>
        <w:t>This</w:t>
      </w:r>
      <w:r>
        <w:rPr>
          <w:color w:val="374151"/>
          <w:spacing w:val="-6"/>
          <w:shd w:fill="F7F7F8" w:color="auto" w:val="clear"/>
        </w:rPr>
        <w:t> </w:t>
      </w:r>
      <w:r>
        <w:rPr>
          <w:color w:val="374151"/>
          <w:shd w:fill="F7F7F8" w:color="auto" w:val="clear"/>
        </w:rPr>
        <w:t>section</w:t>
      </w:r>
      <w:r>
        <w:rPr>
          <w:color w:val="374151"/>
          <w:spacing w:val="-4"/>
          <w:shd w:fill="F7F7F8" w:color="auto" w:val="clear"/>
        </w:rPr>
        <w:t> </w:t>
      </w:r>
      <w:r>
        <w:rPr>
          <w:color w:val="374151"/>
          <w:shd w:fill="F7F7F8" w:color="auto" w:val="clear"/>
        </w:rPr>
        <w:t>aims</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provide</w:t>
      </w:r>
      <w:r>
        <w:rPr>
          <w:color w:val="374151"/>
          <w:spacing w:val="-5"/>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with</w:t>
      </w:r>
      <w:r>
        <w:rPr>
          <w:color w:val="374151"/>
          <w:spacing w:val="-4"/>
          <w:shd w:fill="F7F7F8" w:color="auto" w:val="clear"/>
        </w:rPr>
        <w:t> </w:t>
      </w:r>
      <w:r>
        <w:rPr>
          <w:color w:val="374151"/>
          <w:shd w:fill="F7F7F8" w:color="auto" w:val="clear"/>
        </w:rPr>
        <w:t>a</w:t>
      </w:r>
      <w:r>
        <w:rPr>
          <w:color w:val="374151"/>
          <w:spacing w:val="-5"/>
          <w:shd w:fill="F7F7F8" w:color="auto" w:val="clear"/>
        </w:rPr>
        <w:t> </w:t>
      </w:r>
      <w:r>
        <w:rPr>
          <w:color w:val="374151"/>
          <w:shd w:fill="F7F7F8" w:color="auto" w:val="clear"/>
        </w:rPr>
        <w:t>comprehensive</w:t>
      </w:r>
      <w:r>
        <w:rPr>
          <w:color w:val="374151"/>
          <w:spacing w:val="-24"/>
          <w:shd w:fill="F7F7F8" w:color="auto" w:val="clear"/>
        </w:rPr>
        <w:t> </w:t>
      </w:r>
      <w:r>
        <w:rPr>
          <w:color w:val="374151"/>
          <w:spacing w:val="-24"/>
        </w:rPr>
        <w:t> </w:t>
      </w:r>
      <w:r>
        <w:rPr>
          <w:color w:val="374151"/>
          <w:shd w:fill="F7F7F8" w:color="auto" w:val="clear"/>
        </w:rPr>
        <w:t>understanding of the mental health considerations and psychological impact </w:t>
      </w:r>
      <w:r>
        <w:rPr>
          <w:color w:val="374151"/>
        </w:rPr>
        <w:t> </w:t>
      </w:r>
      <w:r>
        <w:rPr>
          <w:color w:val="374151"/>
          <w:shd w:fill="F7F7F8" w:color="auto" w:val="clear"/>
        </w:rPr>
        <w:t>associated with STIs. Specifically, it explores the stigma, anxiety, depression, </w:t>
      </w:r>
      <w:r>
        <w:rPr>
          <w:color w:val="374151"/>
        </w:rPr>
        <w:t> </w:t>
      </w:r>
      <w:r>
        <w:rPr>
          <w:color w:val="374151"/>
          <w:shd w:fill="F7F7F8" w:color="auto" w:val="clear"/>
        </w:rPr>
        <w:t>relationship challenges, and other mental health factors related to STIs. By </w:t>
      </w:r>
      <w:r>
        <w:rPr>
          <w:color w:val="374151"/>
        </w:rPr>
        <w:t> </w:t>
      </w:r>
      <w:r>
        <w:rPr>
          <w:color w:val="374151"/>
          <w:shd w:fill="F7F7F8" w:color="auto" w:val="clear"/>
        </w:rPr>
        <w:t>recognizing and addressing these issues, mental health professionals can offer</w:t>
      </w:r>
      <w:r>
        <w:rPr>
          <w:color w:val="374151"/>
          <w:spacing w:val="40"/>
          <w:shd w:fill="F7F7F8" w:color="auto" w:val="clear"/>
        </w:rPr>
        <w:t> </w:t>
      </w:r>
    </w:p>
    <w:p>
      <w:pPr>
        <w:spacing w:after="0"/>
        <w:sectPr>
          <w:pgSz w:w="12240" w:h="15840"/>
          <w:pgMar w:header="0" w:footer="765" w:top="1260" w:bottom="980" w:left="1400" w:right="1180"/>
        </w:sectPr>
      </w:pPr>
    </w:p>
    <w:p>
      <w:pPr>
        <w:pStyle w:val="BodyText"/>
        <w:spacing w:before="66"/>
        <w:ind w:left="280" w:right="668"/>
      </w:pPr>
      <w:r>
        <w:rPr>
          <w:color w:val="374151"/>
          <w:shd w:fill="F7F7F8" w:color="auto" w:val="clear"/>
        </w:rPr>
        <w:t>effective support and interventions to improve the overall well-being of </w:t>
      </w:r>
      <w:r>
        <w:rPr>
          <w:color w:val="374151"/>
        </w:rPr>
        <w:t> </w:t>
      </w:r>
      <w:r>
        <w:rPr>
          <w:color w:val="374151"/>
          <w:shd w:fill="F7F7F8" w:color="auto" w:val="clear"/>
        </w:rPr>
        <w:t>individuals</w:t>
      </w:r>
      <w:r>
        <w:rPr>
          <w:color w:val="374151"/>
          <w:spacing w:val="-4"/>
          <w:shd w:fill="F7F7F8" w:color="auto" w:val="clear"/>
        </w:rPr>
        <w:t> </w:t>
      </w:r>
      <w:r>
        <w:rPr>
          <w:color w:val="374151"/>
          <w:shd w:fill="F7F7F8" w:color="auto" w:val="clear"/>
        </w:rPr>
        <w:t>affected</w:t>
      </w:r>
      <w:r>
        <w:rPr>
          <w:color w:val="374151"/>
          <w:spacing w:val="-4"/>
          <w:shd w:fill="F7F7F8" w:color="auto" w:val="clear"/>
        </w:rPr>
        <w:t> </w:t>
      </w:r>
      <w:r>
        <w:rPr>
          <w:color w:val="374151"/>
          <w:shd w:fill="F7F7F8" w:color="auto" w:val="clear"/>
        </w:rPr>
        <w:t>by</w:t>
      </w:r>
      <w:r>
        <w:rPr>
          <w:color w:val="374151"/>
          <w:spacing w:val="-4"/>
          <w:shd w:fill="F7F7F8" w:color="auto" w:val="clear"/>
        </w:rPr>
        <w:t> </w:t>
      </w:r>
      <w:r>
        <w:rPr>
          <w:color w:val="374151"/>
          <w:shd w:fill="F7F7F8" w:color="auto" w:val="clear"/>
        </w:rPr>
        <w:t>STIs.</w:t>
      </w:r>
      <w:r>
        <w:rPr>
          <w:color w:val="374151"/>
          <w:spacing w:val="-10"/>
          <w:shd w:fill="F7F7F8" w:color="auto" w:val="clear"/>
        </w:rPr>
        <w:t> </w:t>
      </w:r>
      <w:r>
        <w:rPr>
          <w:color w:val="374151"/>
          <w:shd w:fill="F7F7F8" w:color="auto" w:val="clear"/>
        </w:rPr>
        <w:t>While</w:t>
      </w:r>
      <w:r>
        <w:rPr>
          <w:color w:val="374151"/>
          <w:spacing w:val="-5"/>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physical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implications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STIs</w:t>
      </w:r>
      <w:r>
        <w:rPr>
          <w:color w:val="374151"/>
          <w:spacing w:val="-4"/>
          <w:shd w:fill="F7F7F8" w:color="auto" w:val="clear"/>
        </w:rPr>
        <w:t> </w:t>
      </w:r>
      <w:r>
        <w:rPr>
          <w:color w:val="374151"/>
          <w:spacing w:val="-4"/>
        </w:rPr>
        <w:t> </w:t>
      </w:r>
      <w:r>
        <w:rPr>
          <w:color w:val="374151"/>
          <w:shd w:fill="F7F7F8" w:color="auto" w:val="clear"/>
        </w:rPr>
        <w:t>are widely acknowledged, the mental health considerations associated with </w:t>
      </w:r>
      <w:r>
        <w:rPr>
          <w:color w:val="374151"/>
        </w:rPr>
        <w:t> </w:t>
      </w:r>
      <w:r>
        <w:rPr>
          <w:color w:val="374151"/>
          <w:shd w:fill="F7F7F8" w:color="auto" w:val="clear"/>
        </w:rPr>
        <w:t>these infections are often overlooked.</w:t>
      </w:r>
    </w:p>
    <w:p>
      <w:pPr>
        <w:pStyle w:val="BodyText"/>
        <w:spacing w:before="1"/>
        <w:rPr>
          <w:sz w:val="27"/>
        </w:rPr>
      </w:pPr>
    </w:p>
    <w:p>
      <w:pPr>
        <w:spacing w:before="0"/>
        <w:ind w:left="280" w:right="0" w:firstLine="0"/>
        <w:jc w:val="left"/>
        <w:rPr>
          <w:i/>
          <w:sz w:val="28"/>
        </w:rPr>
      </w:pPr>
      <w:r>
        <w:rPr>
          <w:i/>
          <w:color w:val="374151"/>
          <w:spacing w:val="-2"/>
          <w:sz w:val="28"/>
          <w:shd w:fill="F7F7F8" w:color="auto" w:val="clear"/>
        </w:rPr>
        <w:t>Stigma</w:t>
      </w:r>
    </w:p>
    <w:p>
      <w:pPr>
        <w:pStyle w:val="BodyText"/>
        <w:spacing w:before="8"/>
        <w:rPr>
          <w:i/>
          <w:sz w:val="27"/>
        </w:rPr>
      </w:pPr>
    </w:p>
    <w:p>
      <w:pPr>
        <w:pStyle w:val="BodyText"/>
        <w:ind w:left="280" w:right="518"/>
      </w:pPr>
      <w:r>
        <w:rPr>
          <w:color w:val="374151"/>
          <w:shd w:fill="F7F7F8" w:color="auto" w:val="clear"/>
        </w:rPr>
        <w:t>Stigma</w:t>
      </w:r>
      <w:r>
        <w:rPr>
          <w:color w:val="374151"/>
          <w:spacing w:val="-5"/>
          <w:shd w:fill="F7F7F8" w:color="auto" w:val="clear"/>
        </w:rPr>
        <w:t> </w:t>
      </w:r>
      <w:r>
        <w:rPr>
          <w:color w:val="374151"/>
          <w:shd w:fill="F7F7F8" w:color="auto" w:val="clear"/>
        </w:rPr>
        <w:t>refers</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negative</w:t>
      </w:r>
      <w:r>
        <w:rPr>
          <w:color w:val="374151"/>
          <w:spacing w:val="-5"/>
          <w:shd w:fill="F7F7F8" w:color="auto" w:val="clear"/>
        </w:rPr>
        <w:t> </w:t>
      </w:r>
      <w:r>
        <w:rPr>
          <w:color w:val="374151"/>
          <w:shd w:fill="F7F7F8" w:color="auto" w:val="clear"/>
        </w:rPr>
        <w:t>social</w:t>
      </w:r>
      <w:r>
        <w:rPr>
          <w:color w:val="374151"/>
          <w:spacing w:val="-4"/>
          <w:shd w:fill="F7F7F8" w:color="auto" w:val="clear"/>
        </w:rPr>
        <w:t> </w:t>
      </w:r>
      <w:r>
        <w:rPr>
          <w:color w:val="374151"/>
          <w:shd w:fill="F7F7F8" w:color="auto" w:val="clear"/>
        </w:rPr>
        <w:t>perceptions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judgments</w:t>
      </w:r>
      <w:r>
        <w:rPr>
          <w:color w:val="374151"/>
          <w:spacing w:val="-4"/>
          <w:shd w:fill="F7F7F8" w:color="auto" w:val="clear"/>
        </w:rPr>
        <w:t> </w:t>
      </w:r>
      <w:r>
        <w:rPr>
          <w:color w:val="374151"/>
          <w:shd w:fill="F7F7F8" w:color="auto" w:val="clear"/>
        </w:rPr>
        <w:t>that</w:t>
      </w:r>
      <w:r>
        <w:rPr>
          <w:color w:val="374151"/>
          <w:spacing w:val="-4"/>
          <w:shd w:fill="F7F7F8" w:color="auto" w:val="clear"/>
        </w:rPr>
        <w:t> </w:t>
      </w:r>
      <w:r>
        <w:rPr>
          <w:color w:val="374151"/>
          <w:shd w:fill="F7F7F8" w:color="auto" w:val="clear"/>
        </w:rPr>
        <w:t>individuals</w:t>
      </w:r>
      <w:r>
        <w:rPr>
          <w:color w:val="374151"/>
          <w:spacing w:val="-12"/>
          <w:shd w:fill="F7F7F8" w:color="auto" w:val="clear"/>
        </w:rPr>
        <w:t> </w:t>
      </w:r>
      <w:r>
        <w:rPr>
          <w:color w:val="374151"/>
          <w:spacing w:val="-12"/>
        </w:rPr>
        <w:t> </w:t>
      </w:r>
      <w:r>
        <w:rPr>
          <w:color w:val="374151"/>
          <w:shd w:fill="F7F7F8" w:color="auto" w:val="clear"/>
        </w:rPr>
        <w:t>with STIs encounter, often leading to discrimination and marginalization.</w:t>
      </w:r>
      <w:r>
        <w:rPr>
          <w:color w:val="374151"/>
          <w:spacing w:val="-2"/>
          <w:shd w:fill="F7F7F8" w:color="auto" w:val="clear"/>
        </w:rPr>
        <w:t> </w:t>
      </w:r>
      <w:r>
        <w:rPr>
          <w:color w:val="374151"/>
          <w:shd w:fill="F7F7F8" w:color="auto" w:val="clear"/>
        </w:rPr>
        <w:t>The </w:t>
      </w:r>
      <w:r>
        <w:rPr>
          <w:color w:val="374151"/>
        </w:rPr>
        <w:t> </w:t>
      </w:r>
      <w:r>
        <w:rPr>
          <w:color w:val="374151"/>
          <w:shd w:fill="F7F7F8" w:color="auto" w:val="clear"/>
        </w:rPr>
        <w:t>stigma</w:t>
      </w:r>
      <w:r>
        <w:rPr>
          <w:color w:val="374151"/>
          <w:spacing w:val="-4"/>
          <w:shd w:fill="F7F7F8" w:color="auto" w:val="clear"/>
        </w:rPr>
        <w:t> </w:t>
      </w:r>
      <w:r>
        <w:rPr>
          <w:color w:val="374151"/>
          <w:shd w:fill="F7F7F8" w:color="auto" w:val="clear"/>
        </w:rPr>
        <w:t>associated</w:t>
      </w:r>
      <w:r>
        <w:rPr>
          <w:color w:val="374151"/>
          <w:spacing w:val="-3"/>
          <w:shd w:fill="F7F7F8" w:color="auto" w:val="clear"/>
        </w:rPr>
        <w:t> </w:t>
      </w:r>
      <w:r>
        <w:rPr>
          <w:color w:val="374151"/>
          <w:shd w:fill="F7F7F8" w:color="auto" w:val="clear"/>
        </w:rPr>
        <w:t>with</w:t>
      </w:r>
      <w:r>
        <w:rPr>
          <w:color w:val="374151"/>
          <w:spacing w:val="-3"/>
          <w:shd w:fill="F7F7F8" w:color="auto" w:val="clear"/>
        </w:rPr>
        <w:t> </w:t>
      </w:r>
      <w:r>
        <w:rPr>
          <w:color w:val="374151"/>
          <w:shd w:fill="F7F7F8" w:color="auto" w:val="clear"/>
        </w:rPr>
        <w:t>STIs</w:t>
      </w:r>
      <w:r>
        <w:rPr>
          <w:color w:val="374151"/>
          <w:spacing w:val="-3"/>
          <w:shd w:fill="F7F7F8" w:color="auto" w:val="clear"/>
        </w:rPr>
        <w:t> </w:t>
      </w:r>
      <w:r>
        <w:rPr>
          <w:color w:val="374151"/>
          <w:shd w:fill="F7F7F8" w:color="auto" w:val="clear"/>
        </w:rPr>
        <w:t>can</w:t>
      </w:r>
      <w:r>
        <w:rPr>
          <w:color w:val="374151"/>
          <w:spacing w:val="-3"/>
          <w:shd w:fill="F7F7F8" w:color="auto" w:val="clear"/>
        </w:rPr>
        <w:t> </w:t>
      </w:r>
      <w:r>
        <w:rPr>
          <w:color w:val="374151"/>
          <w:shd w:fill="F7F7F8" w:color="auto" w:val="clear"/>
        </w:rPr>
        <w:t>be</w:t>
      </w:r>
      <w:r>
        <w:rPr>
          <w:color w:val="374151"/>
          <w:spacing w:val="-4"/>
          <w:shd w:fill="F7F7F8" w:color="auto" w:val="clear"/>
        </w:rPr>
        <w:t> </w:t>
      </w:r>
      <w:r>
        <w:rPr>
          <w:color w:val="374151"/>
          <w:shd w:fill="F7F7F8" w:color="auto" w:val="clear"/>
        </w:rPr>
        <w:t>highly</w:t>
      </w:r>
      <w:r>
        <w:rPr>
          <w:color w:val="374151"/>
          <w:spacing w:val="-3"/>
          <w:shd w:fill="F7F7F8" w:color="auto" w:val="clear"/>
        </w:rPr>
        <w:t> </w:t>
      </w:r>
      <w:r>
        <w:rPr>
          <w:color w:val="374151"/>
          <w:shd w:fill="F7F7F8" w:color="auto" w:val="clear"/>
        </w:rPr>
        <w:t>detrimental</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an</w:t>
      </w:r>
      <w:r>
        <w:rPr>
          <w:color w:val="374151"/>
          <w:spacing w:val="-3"/>
          <w:shd w:fill="F7F7F8" w:color="auto" w:val="clear"/>
        </w:rPr>
        <w:t> </w:t>
      </w:r>
      <w:r>
        <w:rPr>
          <w:color w:val="374151"/>
          <w:shd w:fill="F7F7F8" w:color="auto" w:val="clear"/>
        </w:rPr>
        <w:t>individual's</w:t>
      </w:r>
      <w:r>
        <w:rPr>
          <w:color w:val="374151"/>
          <w:spacing w:val="-3"/>
          <w:shd w:fill="F7F7F8" w:color="auto" w:val="clear"/>
        </w:rPr>
        <w:t> </w:t>
      </w:r>
      <w:r>
        <w:rPr>
          <w:color w:val="374151"/>
          <w:shd w:fill="F7F7F8" w:color="auto" w:val="clear"/>
        </w:rPr>
        <w:t>mental</w:t>
      </w:r>
      <w:r>
        <w:rPr>
          <w:color w:val="374151"/>
        </w:rPr>
        <w:t> </w:t>
      </w:r>
      <w:r>
        <w:rPr>
          <w:color w:val="374151"/>
          <w:shd w:fill="F7F7F8" w:color="auto" w:val="clear"/>
        </w:rPr>
        <w:t>health, causing feelings of shame, guilt, and low self-esteem. Stigmatization </w:t>
      </w:r>
      <w:r>
        <w:rPr>
          <w:color w:val="374151"/>
        </w:rPr>
        <w:t> </w:t>
      </w:r>
      <w:r>
        <w:rPr>
          <w:color w:val="374151"/>
          <w:shd w:fill="F7F7F8" w:color="auto" w:val="clear"/>
        </w:rPr>
        <w:t>can lead to social isolation, avoidance of seeking medical care, and hinder </w:t>
      </w:r>
      <w:r>
        <w:rPr>
          <w:color w:val="374151"/>
        </w:rPr>
        <w:t> </w:t>
      </w:r>
      <w:r>
        <w:rPr>
          <w:color w:val="374151"/>
          <w:shd w:fill="F7F7F8" w:color="auto" w:val="clear"/>
        </w:rPr>
        <w:t>disclosure of one's STI status to sexual partners or loved ones.</w:t>
      </w:r>
      <w:r>
        <w:rPr>
          <w:color w:val="374151"/>
        </w:rPr>
        <w:t> </w:t>
      </w:r>
      <w:r>
        <w:rPr>
          <w:color w:val="374151"/>
          <w:shd w:fill="F7F7F8" w:color="auto" w:val="clear"/>
        </w:rPr>
        <w:t>STIs carry </w:t>
      </w:r>
      <w:r>
        <w:rPr>
          <w:color w:val="374151"/>
        </w:rPr>
        <w:t> </w:t>
      </w:r>
      <w:r>
        <w:rPr>
          <w:color w:val="374151"/>
          <w:shd w:fill="F7F7F8" w:color="auto" w:val="clear"/>
        </w:rPr>
        <w:t>significant social stigmatization due to cultural and societal attitudes towards </w:t>
      </w:r>
      <w:r>
        <w:rPr>
          <w:color w:val="374151"/>
        </w:rPr>
        <w:t> </w:t>
      </w:r>
      <w:r>
        <w:rPr>
          <w:color w:val="374151"/>
          <w:shd w:fill="F7F7F8" w:color="auto" w:val="clear"/>
        </w:rPr>
        <w:t>sexuality and morality.</w:t>
      </w:r>
      <w:r>
        <w:rPr>
          <w:color w:val="374151"/>
          <w:spacing w:val="-1"/>
          <w:shd w:fill="F7F7F8" w:color="auto" w:val="clear"/>
        </w:rPr>
        <w:t> </w:t>
      </w:r>
      <w:r>
        <w:rPr>
          <w:color w:val="374151"/>
          <w:shd w:fill="F7F7F8" w:color="auto" w:val="clear"/>
        </w:rPr>
        <w:t>The stigma surrounding STIs can manifest as </w:t>
      </w:r>
      <w:r>
        <w:rPr>
          <w:color w:val="374151"/>
        </w:rPr>
        <w:t> </w:t>
      </w:r>
      <w:r>
        <w:rPr>
          <w:color w:val="374151"/>
          <w:shd w:fill="F7F7F8" w:color="auto" w:val="clear"/>
        </w:rPr>
        <w:t>judgment, blame, and the perception that individuals with STIs are "dirty" or </w:t>
      </w:r>
      <w:r>
        <w:rPr>
          <w:color w:val="374151"/>
        </w:rPr>
        <w:t> </w:t>
      </w:r>
      <w:r>
        <w:rPr>
          <w:color w:val="374151"/>
          <w:shd w:fill="F7F7F8" w:color="auto" w:val="clear"/>
        </w:rPr>
        <w:t>promiscuous.</w:t>
      </w:r>
      <w:r>
        <w:rPr>
          <w:color w:val="374151"/>
          <w:spacing w:val="-2"/>
          <w:shd w:fill="F7F7F8" w:color="auto" w:val="clear"/>
        </w:rPr>
        <w:t> </w:t>
      </w:r>
      <w:r>
        <w:rPr>
          <w:color w:val="374151"/>
          <w:shd w:fill="F7F7F8" w:color="auto" w:val="clear"/>
        </w:rPr>
        <w:t>This stigma can affect individuals across various demographics, </w:t>
      </w:r>
      <w:r>
        <w:rPr>
          <w:color w:val="374151"/>
        </w:rPr>
        <w:t> </w:t>
      </w:r>
      <w:r>
        <w:rPr>
          <w:color w:val="374151"/>
          <w:shd w:fill="F7F7F8" w:color="auto" w:val="clear"/>
        </w:rPr>
        <w:t>including age, gender, and sexual orientation.</w:t>
      </w:r>
    </w:p>
    <w:p>
      <w:pPr>
        <w:pStyle w:val="BodyText"/>
        <w:spacing w:before="11"/>
        <w:rPr>
          <w:sz w:val="25"/>
        </w:rPr>
      </w:pPr>
    </w:p>
    <w:p>
      <w:pPr>
        <w:pStyle w:val="BodyText"/>
        <w:ind w:left="280" w:right="502"/>
      </w:pPr>
      <w:r>
        <w:rPr>
          <w:color w:val="374151"/>
          <w:shd w:fill="F7F7F8" w:color="auto" w:val="clear"/>
        </w:rPr>
        <w:t>The experience of stigma related to STIs can have severe mental health </w:t>
      </w:r>
      <w:r>
        <w:rPr>
          <w:color w:val="374151"/>
        </w:rPr>
        <w:t> </w:t>
      </w:r>
      <w:r>
        <w:rPr>
          <w:color w:val="374151"/>
          <w:shd w:fill="F7F7F8" w:color="auto" w:val="clear"/>
        </w:rPr>
        <w:t>consequences.</w:t>
      </w:r>
      <w:r>
        <w:rPr>
          <w:color w:val="374151"/>
          <w:spacing w:val="-4"/>
          <w:shd w:fill="F7F7F8" w:color="auto" w:val="clear"/>
        </w:rPr>
        <w:t> </w:t>
      </w:r>
      <w:r>
        <w:rPr>
          <w:color w:val="374151"/>
          <w:shd w:fill="F7F7F8" w:color="auto" w:val="clear"/>
        </w:rPr>
        <w:t>Individuals</w:t>
      </w:r>
      <w:r>
        <w:rPr>
          <w:color w:val="374151"/>
          <w:spacing w:val="-4"/>
          <w:shd w:fill="F7F7F8" w:color="auto" w:val="clear"/>
        </w:rPr>
        <w:t> </w:t>
      </w:r>
      <w:r>
        <w:rPr>
          <w:color w:val="374151"/>
          <w:shd w:fill="F7F7F8" w:color="auto" w:val="clear"/>
        </w:rPr>
        <w:t>may</w:t>
      </w:r>
      <w:r>
        <w:rPr>
          <w:color w:val="374151"/>
          <w:spacing w:val="-4"/>
          <w:shd w:fill="F7F7F8" w:color="auto" w:val="clear"/>
        </w:rPr>
        <w:t> </w:t>
      </w:r>
      <w:r>
        <w:rPr>
          <w:color w:val="374151"/>
          <w:shd w:fill="F7F7F8" w:color="auto" w:val="clear"/>
        </w:rPr>
        <w:t>internalize</w:t>
      </w:r>
      <w:r>
        <w:rPr>
          <w:color w:val="374151"/>
          <w:spacing w:val="-5"/>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stigma,</w:t>
      </w:r>
      <w:r>
        <w:rPr>
          <w:color w:val="374151"/>
          <w:spacing w:val="-4"/>
          <w:shd w:fill="F7F7F8" w:color="auto" w:val="clear"/>
        </w:rPr>
        <w:t> </w:t>
      </w:r>
      <w:r>
        <w:rPr>
          <w:color w:val="374151"/>
          <w:shd w:fill="F7F7F8" w:color="auto" w:val="clear"/>
        </w:rPr>
        <w:t>leading</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negative</w:t>
      </w:r>
      <w:r>
        <w:rPr>
          <w:color w:val="374151"/>
          <w:spacing w:val="-5"/>
          <w:shd w:fill="F7F7F8" w:color="auto" w:val="clear"/>
        </w:rPr>
        <w:t> </w:t>
      </w:r>
      <w:r>
        <w:rPr>
          <w:color w:val="374151"/>
          <w:shd w:fill="F7F7F8" w:color="auto" w:val="clear"/>
        </w:rPr>
        <w:t>self-</w:t>
      </w:r>
      <w:r>
        <w:rPr>
          <w:color w:val="374151"/>
        </w:rPr>
        <w:t> </w:t>
      </w:r>
      <w:r>
        <w:rPr>
          <w:color w:val="374151"/>
          <w:shd w:fill="F7F7F8" w:color="auto" w:val="clear"/>
        </w:rPr>
        <w:t>perception, increased levels of anxiety and depression, and reduced overall </w:t>
      </w:r>
      <w:r>
        <w:rPr>
          <w:color w:val="374151"/>
        </w:rPr>
        <w:t> </w:t>
      </w:r>
      <w:r>
        <w:rPr>
          <w:color w:val="374151"/>
          <w:shd w:fill="F7F7F8" w:color="auto" w:val="clear"/>
        </w:rPr>
        <w:t>psychological well-being. Stigma can also contribute to social withdrawal, </w:t>
      </w:r>
      <w:r>
        <w:rPr>
          <w:color w:val="374151"/>
        </w:rPr>
        <w:t> </w:t>
      </w:r>
      <w:r>
        <w:rPr>
          <w:color w:val="374151"/>
          <w:shd w:fill="F7F7F8" w:color="auto" w:val="clear"/>
        </w:rPr>
        <w:t>social anxiety, and avoidance of intimate relationships.</w:t>
      </w:r>
    </w:p>
    <w:p>
      <w:pPr>
        <w:pStyle w:val="BodyText"/>
        <w:spacing w:before="11"/>
        <w:rPr>
          <w:sz w:val="26"/>
        </w:rPr>
      </w:pPr>
    </w:p>
    <w:p>
      <w:pPr>
        <w:pStyle w:val="BodyText"/>
        <w:ind w:left="280" w:right="546"/>
      </w:pPr>
      <w:r>
        <w:rPr>
          <w:color w:val="374151"/>
          <w:shd w:fill="F7F7F8" w:color="auto" w:val="clear"/>
        </w:rPr>
        <w:t>Efforts to reduce stigma associated with STIs are essential in promoting </w:t>
      </w:r>
      <w:r>
        <w:rPr>
          <w:color w:val="374151"/>
        </w:rPr>
        <w:t> </w:t>
      </w:r>
      <w:r>
        <w:rPr>
          <w:color w:val="374151"/>
          <w:shd w:fill="F7F7F8" w:color="auto" w:val="clear"/>
        </w:rPr>
        <w:t>mental</w:t>
      </w:r>
      <w:r>
        <w:rPr>
          <w:color w:val="374151"/>
          <w:spacing w:val="-7"/>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overall</w:t>
      </w:r>
      <w:r>
        <w:rPr>
          <w:color w:val="374151"/>
          <w:spacing w:val="-4"/>
          <w:shd w:fill="F7F7F8" w:color="auto" w:val="clear"/>
        </w:rPr>
        <w:t> </w:t>
      </w:r>
      <w:r>
        <w:rPr>
          <w:color w:val="374151"/>
          <w:shd w:fill="F7F7F8" w:color="auto" w:val="clear"/>
        </w:rPr>
        <w:t>well-being.</w:t>
      </w:r>
      <w:r>
        <w:rPr>
          <w:color w:val="374151"/>
          <w:spacing w:val="-4"/>
          <w:shd w:fill="F7F7F8" w:color="auto" w:val="clear"/>
        </w:rPr>
        <w:t> </w:t>
      </w:r>
      <w:r>
        <w:rPr>
          <w:color w:val="374151"/>
          <w:shd w:fill="F7F7F8" w:color="auto" w:val="clear"/>
        </w:rPr>
        <w:t>Education</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awareness</w:t>
      </w:r>
      <w:r>
        <w:rPr>
          <w:color w:val="374151"/>
          <w:spacing w:val="-4"/>
          <w:shd w:fill="F7F7F8" w:color="auto" w:val="clear"/>
        </w:rPr>
        <w:t> </w:t>
      </w:r>
      <w:r>
        <w:rPr>
          <w:color w:val="374151"/>
          <w:shd w:fill="F7F7F8" w:color="auto" w:val="clear"/>
        </w:rPr>
        <w:t>campaigns</w:t>
      </w:r>
      <w:r>
        <w:rPr>
          <w:color w:val="374151"/>
          <w:spacing w:val="-4"/>
          <w:shd w:fill="F7F7F8" w:color="auto" w:val="clear"/>
        </w:rPr>
        <w:t> </w:t>
      </w:r>
      <w:r>
        <w:rPr>
          <w:color w:val="374151"/>
          <w:shd w:fill="F7F7F8" w:color="auto" w:val="clear"/>
        </w:rPr>
        <w:t>that</w:t>
      </w:r>
      <w:r>
        <w:rPr>
          <w:color w:val="374151"/>
          <w:spacing w:val="-23"/>
          <w:shd w:fill="F7F7F8" w:color="auto" w:val="clear"/>
        </w:rPr>
        <w:t> </w:t>
      </w:r>
      <w:r>
        <w:rPr>
          <w:color w:val="374151"/>
          <w:spacing w:val="-23"/>
        </w:rPr>
        <w:t> </w:t>
      </w:r>
      <w:r>
        <w:rPr>
          <w:color w:val="374151"/>
          <w:shd w:fill="F7F7F8" w:color="auto" w:val="clear"/>
        </w:rPr>
        <w:t>challenge misconceptions and provide accurate information about STIs can </w:t>
      </w:r>
      <w:r>
        <w:rPr>
          <w:color w:val="374151"/>
        </w:rPr>
        <w:t> </w:t>
      </w:r>
      <w:r>
        <w:rPr>
          <w:color w:val="374151"/>
          <w:shd w:fill="F7F7F8" w:color="auto" w:val="clear"/>
        </w:rPr>
        <w:t>help reduce stigma. Encouraging open dialogue, fostering empathy, and </w:t>
      </w:r>
      <w:r>
        <w:rPr>
          <w:color w:val="374151"/>
        </w:rPr>
        <w:t> </w:t>
      </w:r>
      <w:r>
        <w:rPr>
          <w:color w:val="374151"/>
          <w:shd w:fill="F7F7F8" w:color="auto" w:val="clear"/>
        </w:rPr>
        <w:t>promoting non-judgmental attitudes towards individuals with STIs are crucial </w:t>
      </w:r>
      <w:r>
        <w:rPr>
          <w:color w:val="374151"/>
        </w:rPr>
        <w:t> </w:t>
      </w:r>
      <w:r>
        <w:rPr>
          <w:color w:val="374151"/>
          <w:shd w:fill="F7F7F8" w:color="auto" w:val="clear"/>
        </w:rPr>
        <w:t>steps in combating stigma and promoting mental health.</w:t>
      </w:r>
    </w:p>
    <w:p>
      <w:pPr>
        <w:pStyle w:val="BodyText"/>
        <w:rPr>
          <w:sz w:val="20"/>
        </w:rPr>
      </w:pPr>
    </w:p>
    <w:p>
      <w:pPr>
        <w:pStyle w:val="BodyText"/>
        <w:spacing w:before="8"/>
        <w:rPr>
          <w:sz w:val="21"/>
        </w:rPr>
      </w:pPr>
    </w:p>
    <w:p>
      <w:pPr>
        <w:spacing w:before="89"/>
        <w:ind w:left="280" w:right="0" w:firstLine="0"/>
        <w:jc w:val="left"/>
        <w:rPr>
          <w:i/>
          <w:sz w:val="28"/>
        </w:rPr>
      </w:pPr>
      <w:r>
        <w:rPr/>
        <mc:AlternateContent>
          <mc:Choice Requires="wps">
            <w:drawing>
              <wp:anchor distT="0" distB="0" distL="0" distR="0" allowOverlap="1" layoutInCell="1" locked="0" behindDoc="1" simplePos="0" relativeHeight="485152256">
                <wp:simplePos x="0" y="0"/>
                <wp:positionH relativeFrom="page">
                  <wp:posOffset>1066800</wp:posOffset>
                </wp:positionH>
                <wp:positionV relativeFrom="paragraph">
                  <wp:posOffset>-302979</wp:posOffset>
                </wp:positionV>
                <wp:extent cx="3727450" cy="76200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3727450" cy="762000"/>
                          <a:chExt cx="3727450" cy="762000"/>
                        </a:xfrm>
                      </wpg:grpSpPr>
                      <wps:wsp>
                        <wps:cNvPr id="319" name="Textbox 319"/>
                        <wps:cNvSpPr txBox="1"/>
                        <wps:spPr>
                          <a:xfrm>
                            <a:off x="108607" y="368300"/>
                            <a:ext cx="3618865" cy="393700"/>
                          </a:xfrm>
                          <a:prstGeom prst="rect">
                            <a:avLst/>
                          </a:prstGeom>
                          <a:solidFill>
                            <a:srgbClr val="F7F7F8"/>
                          </a:solidFill>
                        </wps:spPr>
                        <wps:txbx>
                          <w:txbxContent>
                            <w:p>
                              <w:pPr>
                                <w:spacing w:line="308" w:lineRule="exact" w:before="0"/>
                                <w:ind w:left="-1" w:right="-15" w:firstLine="0"/>
                                <w:jc w:val="left"/>
                                <w:rPr>
                                  <w:i/>
                                  <w:color w:val="000000"/>
                                  <w:sz w:val="28"/>
                                </w:rPr>
                              </w:pPr>
                              <w:r>
                                <w:rPr>
                                  <w:i/>
                                  <w:color w:val="374151"/>
                                  <w:sz w:val="28"/>
                                </w:rPr>
                                <w:t>nxiety</w:t>
                              </w:r>
                              <w:r>
                                <w:rPr>
                                  <w:i/>
                                  <w:color w:val="374151"/>
                                  <w:spacing w:val="-4"/>
                                  <w:sz w:val="28"/>
                                </w:rPr>
                                <w:t> </w:t>
                              </w:r>
                              <w:r>
                                <w:rPr>
                                  <w:i/>
                                  <w:color w:val="374151"/>
                                  <w:sz w:val="28"/>
                                </w:rPr>
                                <w:t>and</w:t>
                              </w:r>
                              <w:r>
                                <w:rPr>
                                  <w:i/>
                                  <w:color w:val="374151"/>
                                  <w:spacing w:val="-3"/>
                                  <w:sz w:val="28"/>
                                </w:rPr>
                                <w:t> </w:t>
                              </w:r>
                              <w:r>
                                <w:rPr>
                                  <w:i/>
                                  <w:color w:val="374151"/>
                                  <w:sz w:val="28"/>
                                </w:rPr>
                                <w:t>depression</w:t>
                              </w:r>
                              <w:r>
                                <w:rPr>
                                  <w:i/>
                                  <w:color w:val="374151"/>
                                  <w:spacing w:val="-3"/>
                                  <w:sz w:val="28"/>
                                </w:rPr>
                                <w:t> </w:t>
                              </w:r>
                              <w:r>
                                <w:rPr>
                                  <w:i/>
                                  <w:color w:val="374151"/>
                                  <w:sz w:val="28"/>
                                </w:rPr>
                                <w:t>among</w:t>
                              </w:r>
                              <w:r>
                                <w:rPr>
                                  <w:i/>
                                  <w:color w:val="374151"/>
                                  <w:spacing w:val="-3"/>
                                  <w:sz w:val="28"/>
                                </w:rPr>
                                <w:t> </w:t>
                              </w:r>
                              <w:r>
                                <w:rPr>
                                  <w:i/>
                                  <w:color w:val="374151"/>
                                  <w:sz w:val="28"/>
                                </w:rPr>
                                <w:t>individuals</w:t>
                              </w:r>
                              <w:r>
                                <w:rPr>
                                  <w:i/>
                                  <w:color w:val="374151"/>
                                  <w:spacing w:val="-3"/>
                                  <w:sz w:val="28"/>
                                </w:rPr>
                                <w:t> </w:t>
                              </w:r>
                              <w:r>
                                <w:rPr>
                                  <w:i/>
                                  <w:color w:val="374151"/>
                                  <w:sz w:val="28"/>
                                </w:rPr>
                                <w:t>with</w:t>
                              </w:r>
                              <w:r>
                                <w:rPr>
                                  <w:i/>
                                  <w:color w:val="374151"/>
                                  <w:spacing w:val="-3"/>
                                  <w:sz w:val="28"/>
                                </w:rPr>
                                <w:t> </w:t>
                              </w:r>
                              <w:r>
                                <w:rPr>
                                  <w:i/>
                                  <w:color w:val="374151"/>
                                  <w:spacing w:val="-4"/>
                                  <w:sz w:val="28"/>
                                </w:rPr>
                                <w:t>STIs</w:t>
                              </w:r>
                            </w:p>
                          </w:txbxContent>
                        </wps:txbx>
                        <wps:bodyPr wrap="square" lIns="0" tIns="0" rIns="0" bIns="0" rtlCol="0">
                          <a:noAutofit/>
                        </wps:bodyPr>
                      </wps:wsp>
                      <wps:wsp>
                        <wps:cNvPr id="320" name="Textbox 320"/>
                        <wps:cNvSpPr txBox="1"/>
                        <wps:spPr>
                          <a:xfrm>
                            <a:off x="0" y="0"/>
                            <a:ext cx="1813560" cy="368300"/>
                          </a:xfrm>
                          <a:prstGeom prst="rect">
                            <a:avLst/>
                          </a:prstGeom>
                          <a:solidFill>
                            <a:srgbClr val="F7F7F8"/>
                          </a:solidFill>
                        </wps:spPr>
                        <wps:txbx>
                          <w:txbxContent>
                            <w:p>
                              <w:pPr>
                                <w:spacing w:line="276" w:lineRule="exact" w:before="0"/>
                                <w:ind w:left="0" w:right="0" w:firstLine="0"/>
                                <w:jc w:val="left"/>
                                <w:rPr>
                                  <w:rFonts w:ascii="Arial"/>
                                  <w:color w:val="000000"/>
                                  <w:sz w:val="24"/>
                                </w:rPr>
                              </w:pPr>
                              <w:r>
                                <w:rPr>
                                  <w:rFonts w:ascii="Arial"/>
                                  <w:color w:val="374151"/>
                                  <w:sz w:val="24"/>
                                </w:rPr>
                                <w:t>II.</w:t>
                              </w:r>
                              <w:r>
                                <w:rPr>
                                  <w:rFonts w:ascii="Arial"/>
                                  <w:color w:val="374151"/>
                                  <w:spacing w:val="-15"/>
                                  <w:sz w:val="24"/>
                                </w:rPr>
                                <w:t> </w:t>
                              </w:r>
                              <w:r>
                                <w:rPr>
                                  <w:rFonts w:ascii="Arial"/>
                                  <w:color w:val="374151"/>
                                  <w:sz w:val="24"/>
                                </w:rPr>
                                <w:t>Anxiety</w:t>
                              </w:r>
                              <w:r>
                                <w:rPr>
                                  <w:rFonts w:ascii="Arial"/>
                                  <w:color w:val="374151"/>
                                  <w:spacing w:val="-1"/>
                                  <w:sz w:val="24"/>
                                </w:rPr>
                                <w:t> </w:t>
                              </w:r>
                              <w:r>
                                <w:rPr>
                                  <w:rFonts w:ascii="Arial"/>
                                  <w:color w:val="374151"/>
                                  <w:sz w:val="24"/>
                                </w:rPr>
                                <w:t>and </w:t>
                              </w:r>
                              <w:r>
                                <w:rPr>
                                  <w:rFonts w:ascii="Arial"/>
                                  <w:color w:val="374151"/>
                                  <w:spacing w:val="-2"/>
                                  <w:sz w:val="24"/>
                                </w:rPr>
                                <w:t>Depression</w:t>
                              </w:r>
                              <w:r>
                                <w:rPr>
                                  <w:rFonts w:ascii="Arial"/>
                                  <w:color w:val="374151"/>
                                  <w:spacing w:val="-2"/>
                                  <w:sz w:val="24"/>
                                </w:rPr>
                                <w:t>:</w:t>
                              </w:r>
                            </w:p>
                          </w:txbxContent>
                        </wps:txbx>
                        <wps:bodyPr wrap="square" lIns="0" tIns="0" rIns="0" bIns="0" rtlCol="0">
                          <a:noAutofit/>
                        </wps:bodyPr>
                      </wps:wsp>
                    </wpg:wgp>
                  </a:graphicData>
                </a:graphic>
              </wp:anchor>
            </w:drawing>
          </mc:Choice>
          <mc:Fallback>
            <w:pict>
              <v:group style="position:absolute;margin-left:84pt;margin-top:-23.856686pt;width:293.5pt;height:60pt;mso-position-horizontal-relative:page;mso-position-vertical-relative:paragraph;z-index:-18164224" id="docshapegroup317" coordorigin="1680,-477" coordsize="5870,1200">
                <v:shape style="position:absolute;left:1851;top:102;width:5699;height:620" type="#_x0000_t202" id="docshape318" filled="true" fillcolor="#f7f7f8" stroked="false">
                  <v:textbox inset="0,0,0,0">
                    <w:txbxContent>
                      <w:p>
                        <w:pPr>
                          <w:spacing w:line="308" w:lineRule="exact" w:before="0"/>
                          <w:ind w:left="-1" w:right="-15" w:firstLine="0"/>
                          <w:jc w:val="left"/>
                          <w:rPr>
                            <w:i/>
                            <w:color w:val="000000"/>
                            <w:sz w:val="28"/>
                          </w:rPr>
                        </w:pPr>
                        <w:r>
                          <w:rPr>
                            <w:i/>
                            <w:color w:val="374151"/>
                            <w:sz w:val="28"/>
                          </w:rPr>
                          <w:t>nxiety</w:t>
                        </w:r>
                        <w:r>
                          <w:rPr>
                            <w:i/>
                            <w:color w:val="374151"/>
                            <w:spacing w:val="-4"/>
                            <w:sz w:val="28"/>
                          </w:rPr>
                          <w:t> </w:t>
                        </w:r>
                        <w:r>
                          <w:rPr>
                            <w:i/>
                            <w:color w:val="374151"/>
                            <w:sz w:val="28"/>
                          </w:rPr>
                          <w:t>and</w:t>
                        </w:r>
                        <w:r>
                          <w:rPr>
                            <w:i/>
                            <w:color w:val="374151"/>
                            <w:spacing w:val="-3"/>
                            <w:sz w:val="28"/>
                          </w:rPr>
                          <w:t> </w:t>
                        </w:r>
                        <w:r>
                          <w:rPr>
                            <w:i/>
                            <w:color w:val="374151"/>
                            <w:sz w:val="28"/>
                          </w:rPr>
                          <w:t>depression</w:t>
                        </w:r>
                        <w:r>
                          <w:rPr>
                            <w:i/>
                            <w:color w:val="374151"/>
                            <w:spacing w:val="-3"/>
                            <w:sz w:val="28"/>
                          </w:rPr>
                          <w:t> </w:t>
                        </w:r>
                        <w:r>
                          <w:rPr>
                            <w:i/>
                            <w:color w:val="374151"/>
                            <w:sz w:val="28"/>
                          </w:rPr>
                          <w:t>among</w:t>
                        </w:r>
                        <w:r>
                          <w:rPr>
                            <w:i/>
                            <w:color w:val="374151"/>
                            <w:spacing w:val="-3"/>
                            <w:sz w:val="28"/>
                          </w:rPr>
                          <w:t> </w:t>
                        </w:r>
                        <w:r>
                          <w:rPr>
                            <w:i/>
                            <w:color w:val="374151"/>
                            <w:sz w:val="28"/>
                          </w:rPr>
                          <w:t>individuals</w:t>
                        </w:r>
                        <w:r>
                          <w:rPr>
                            <w:i/>
                            <w:color w:val="374151"/>
                            <w:spacing w:val="-3"/>
                            <w:sz w:val="28"/>
                          </w:rPr>
                          <w:t> </w:t>
                        </w:r>
                        <w:r>
                          <w:rPr>
                            <w:i/>
                            <w:color w:val="374151"/>
                            <w:sz w:val="28"/>
                          </w:rPr>
                          <w:t>with</w:t>
                        </w:r>
                        <w:r>
                          <w:rPr>
                            <w:i/>
                            <w:color w:val="374151"/>
                            <w:spacing w:val="-3"/>
                            <w:sz w:val="28"/>
                          </w:rPr>
                          <w:t> </w:t>
                        </w:r>
                        <w:r>
                          <w:rPr>
                            <w:i/>
                            <w:color w:val="374151"/>
                            <w:spacing w:val="-4"/>
                            <w:sz w:val="28"/>
                          </w:rPr>
                          <w:t>STIs</w:t>
                        </w:r>
                      </w:p>
                    </w:txbxContent>
                  </v:textbox>
                  <v:fill type="solid"/>
                  <w10:wrap type="none"/>
                </v:shape>
                <v:shape style="position:absolute;left:1680;top:-478;width:2856;height:580" type="#_x0000_t202" id="docshape319" filled="true" fillcolor="#f7f7f8" stroked="false">
                  <v:textbox inset="0,0,0,0">
                    <w:txbxContent>
                      <w:p>
                        <w:pPr>
                          <w:spacing w:line="276" w:lineRule="exact" w:before="0"/>
                          <w:ind w:left="0" w:right="0" w:firstLine="0"/>
                          <w:jc w:val="left"/>
                          <w:rPr>
                            <w:rFonts w:ascii="Arial"/>
                            <w:color w:val="000000"/>
                            <w:sz w:val="24"/>
                          </w:rPr>
                        </w:pPr>
                        <w:r>
                          <w:rPr>
                            <w:rFonts w:ascii="Arial"/>
                            <w:color w:val="374151"/>
                            <w:sz w:val="24"/>
                          </w:rPr>
                          <w:t>II.</w:t>
                        </w:r>
                        <w:r>
                          <w:rPr>
                            <w:rFonts w:ascii="Arial"/>
                            <w:color w:val="374151"/>
                            <w:spacing w:val="-15"/>
                            <w:sz w:val="24"/>
                          </w:rPr>
                          <w:t> </w:t>
                        </w:r>
                        <w:r>
                          <w:rPr>
                            <w:rFonts w:ascii="Arial"/>
                            <w:color w:val="374151"/>
                            <w:sz w:val="24"/>
                          </w:rPr>
                          <w:t>Anxiety</w:t>
                        </w:r>
                        <w:r>
                          <w:rPr>
                            <w:rFonts w:ascii="Arial"/>
                            <w:color w:val="374151"/>
                            <w:spacing w:val="-1"/>
                            <w:sz w:val="24"/>
                          </w:rPr>
                          <w:t> </w:t>
                        </w:r>
                        <w:r>
                          <w:rPr>
                            <w:rFonts w:ascii="Arial"/>
                            <w:color w:val="374151"/>
                            <w:sz w:val="24"/>
                          </w:rPr>
                          <w:t>and </w:t>
                        </w:r>
                        <w:r>
                          <w:rPr>
                            <w:rFonts w:ascii="Arial"/>
                            <w:color w:val="374151"/>
                            <w:spacing w:val="-2"/>
                            <w:sz w:val="24"/>
                          </w:rPr>
                          <w:t>Depression</w:t>
                        </w:r>
                        <w:r>
                          <w:rPr>
                            <w:rFonts w:ascii="Arial"/>
                            <w:color w:val="374151"/>
                            <w:spacing w:val="-2"/>
                            <w:sz w:val="24"/>
                          </w:rPr>
                          <w:t>:</w:t>
                        </w:r>
                      </w:p>
                    </w:txbxContent>
                  </v:textbox>
                  <v:fill type="solid"/>
                  <w10:wrap type="none"/>
                </v:shape>
                <w10:wrap type="none"/>
              </v:group>
            </w:pict>
          </mc:Fallback>
        </mc:AlternateContent>
      </w:r>
      <w:r>
        <w:rPr>
          <w:i/>
          <w:color w:val="374151"/>
          <w:sz w:val="28"/>
        </w:rPr>
        <w:t>A</w:t>
      </w:r>
    </w:p>
    <w:p>
      <w:pPr>
        <w:pStyle w:val="BodyText"/>
        <w:spacing w:before="10"/>
        <w:rPr>
          <w:i/>
          <w:sz w:val="25"/>
        </w:rPr>
      </w:pPr>
    </w:p>
    <w:p>
      <w:pPr>
        <w:pStyle w:val="BodyText"/>
        <w:ind w:left="280" w:right="498"/>
      </w:pPr>
      <w:r>
        <w:rPr>
          <w:color w:val="374151"/>
          <w:shd w:fill="F7F7F8" w:color="auto" w:val="clear"/>
        </w:rPr>
        <w:t>Studies</w:t>
      </w:r>
      <w:r>
        <w:rPr>
          <w:color w:val="374151"/>
          <w:spacing w:val="-1"/>
          <w:shd w:fill="F7F7F8" w:color="auto" w:val="clear"/>
        </w:rPr>
        <w:t> </w:t>
      </w:r>
      <w:r>
        <w:rPr>
          <w:color w:val="374151"/>
          <w:shd w:fill="F7F7F8" w:color="auto" w:val="clear"/>
        </w:rPr>
        <w:t>have</w:t>
      </w:r>
      <w:r>
        <w:rPr>
          <w:color w:val="374151"/>
          <w:spacing w:val="-2"/>
          <w:shd w:fill="F7F7F8" w:color="auto" w:val="clear"/>
        </w:rPr>
        <w:t> </w:t>
      </w:r>
      <w:r>
        <w:rPr>
          <w:color w:val="374151"/>
          <w:shd w:fill="F7F7F8" w:color="auto" w:val="clear"/>
        </w:rPr>
        <w:t>shown</w:t>
      </w:r>
      <w:r>
        <w:rPr>
          <w:color w:val="374151"/>
          <w:spacing w:val="-1"/>
          <w:shd w:fill="F7F7F8" w:color="auto" w:val="clear"/>
        </w:rPr>
        <w:t> </w:t>
      </w:r>
      <w:r>
        <w:rPr>
          <w:color w:val="374151"/>
          <w:shd w:fill="F7F7F8" w:color="auto" w:val="clear"/>
        </w:rPr>
        <w:t>that</w:t>
      </w:r>
      <w:r>
        <w:rPr>
          <w:color w:val="374151"/>
          <w:spacing w:val="-1"/>
          <w:shd w:fill="F7F7F8" w:color="auto" w:val="clear"/>
        </w:rPr>
        <w:t> </w:t>
      </w:r>
      <w:r>
        <w:rPr>
          <w:color w:val="374151"/>
          <w:shd w:fill="F7F7F8" w:color="auto" w:val="clear"/>
        </w:rPr>
        <w:t>individuals</w:t>
      </w:r>
      <w:r>
        <w:rPr>
          <w:color w:val="374151"/>
          <w:spacing w:val="-1"/>
          <w:shd w:fill="F7F7F8" w:color="auto" w:val="clear"/>
        </w:rPr>
        <w:t> </w:t>
      </w:r>
      <w:r>
        <w:rPr>
          <w:color w:val="374151"/>
          <w:shd w:fill="F7F7F8" w:color="auto" w:val="clear"/>
        </w:rPr>
        <w:t>diagnosed</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STIs</w:t>
      </w:r>
      <w:r>
        <w:rPr>
          <w:color w:val="374151"/>
          <w:spacing w:val="-1"/>
          <w:shd w:fill="F7F7F8" w:color="auto" w:val="clear"/>
        </w:rPr>
        <w:t> </w:t>
      </w:r>
      <w:r>
        <w:rPr>
          <w:color w:val="374151"/>
          <w:shd w:fill="F7F7F8" w:color="auto" w:val="clear"/>
        </w:rPr>
        <w:t>are</w:t>
      </w:r>
      <w:r>
        <w:rPr>
          <w:color w:val="374151"/>
          <w:spacing w:val="-2"/>
          <w:shd w:fill="F7F7F8" w:color="auto" w:val="clear"/>
        </w:rPr>
        <w:t> </w:t>
      </w:r>
      <w:r>
        <w:rPr>
          <w:color w:val="374151"/>
          <w:shd w:fill="F7F7F8" w:color="auto" w:val="clear"/>
        </w:rPr>
        <w:t>at</w:t>
      </w:r>
      <w:r>
        <w:rPr>
          <w:color w:val="374151"/>
          <w:spacing w:val="-1"/>
          <w:shd w:fill="F7F7F8" w:color="auto" w:val="clear"/>
        </w:rPr>
        <w:t> </w:t>
      </w:r>
      <w:r>
        <w:rPr>
          <w:color w:val="374151"/>
          <w:shd w:fill="F7F7F8" w:color="auto" w:val="clear"/>
        </w:rPr>
        <w:t>a</w:t>
      </w:r>
      <w:r>
        <w:rPr>
          <w:color w:val="374151"/>
          <w:spacing w:val="-2"/>
          <w:shd w:fill="F7F7F8" w:color="auto" w:val="clear"/>
        </w:rPr>
        <w:t> </w:t>
      </w:r>
      <w:r>
        <w:rPr>
          <w:color w:val="374151"/>
          <w:shd w:fill="F7F7F8" w:color="auto" w:val="clear"/>
        </w:rPr>
        <w:t>higher</w:t>
      </w:r>
      <w:r>
        <w:rPr>
          <w:color w:val="374151"/>
          <w:spacing w:val="-1"/>
          <w:shd w:fill="F7F7F8" w:color="auto" w:val="clear"/>
        </w:rPr>
        <w:t> </w:t>
      </w:r>
      <w:r>
        <w:rPr>
          <w:color w:val="374151"/>
          <w:shd w:fill="F7F7F8" w:color="auto" w:val="clear"/>
        </w:rPr>
        <w:t>risk</w:t>
      </w:r>
      <w:r>
        <w:rPr>
          <w:color w:val="374151"/>
          <w:spacing w:val="-1"/>
          <w:shd w:fill="F7F7F8" w:color="auto" w:val="clear"/>
        </w:rPr>
        <w:t> </w:t>
      </w:r>
      <w:r>
        <w:rPr>
          <w:color w:val="374151"/>
          <w:shd w:fill="F7F7F8" w:color="auto" w:val="clear"/>
        </w:rPr>
        <w:t>of</w:t>
      </w:r>
      <w:r>
        <w:rPr>
          <w:color w:val="374151"/>
        </w:rPr>
        <w:t> </w:t>
      </w:r>
      <w:r>
        <w:rPr>
          <w:color w:val="374151"/>
          <w:shd w:fill="F7F7F8" w:color="auto" w:val="clear"/>
        </w:rPr>
        <w:t>experiencing anxiety and depression compared to the general population. The </w:t>
      </w:r>
      <w:r>
        <w:rPr>
          <w:color w:val="374151"/>
        </w:rPr>
        <w:t> </w:t>
      </w:r>
      <w:r>
        <w:rPr>
          <w:color w:val="374151"/>
          <w:shd w:fill="F7F7F8" w:color="auto" w:val="clear"/>
        </w:rPr>
        <w:t>uncertainty</w:t>
      </w:r>
      <w:r>
        <w:rPr>
          <w:color w:val="374151"/>
          <w:spacing w:val="-6"/>
          <w:shd w:fill="F7F7F8" w:color="auto" w:val="clear"/>
        </w:rPr>
        <w:t> </w:t>
      </w:r>
      <w:r>
        <w:rPr>
          <w:color w:val="374151"/>
          <w:shd w:fill="F7F7F8" w:color="auto" w:val="clear"/>
        </w:rPr>
        <w:t>surrounding</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infection,</w:t>
      </w:r>
      <w:r>
        <w:rPr>
          <w:color w:val="374151"/>
          <w:spacing w:val="-4"/>
          <w:shd w:fill="F7F7F8" w:color="auto" w:val="clear"/>
        </w:rPr>
        <w:t> </w:t>
      </w:r>
      <w:r>
        <w:rPr>
          <w:color w:val="374151"/>
          <w:shd w:fill="F7F7F8" w:color="auto" w:val="clear"/>
        </w:rPr>
        <w:t>fear</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transmission,</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concerns</w:t>
      </w:r>
      <w:r>
        <w:rPr>
          <w:color w:val="374151"/>
          <w:spacing w:val="-4"/>
          <w:shd w:fill="F7F7F8" w:color="auto" w:val="clear"/>
        </w:rPr>
        <w:t> </w:t>
      </w:r>
      <w:r>
        <w:rPr>
          <w:color w:val="374151"/>
          <w:shd w:fill="F7F7F8" w:color="auto" w:val="clear"/>
        </w:rPr>
        <w:t>about</w:t>
      </w:r>
      <w:r>
        <w:rPr>
          <w:color w:val="374151"/>
          <w:spacing w:val="-18"/>
          <w:shd w:fill="F7F7F8" w:color="auto" w:val="clear"/>
        </w:rPr>
        <w:t> </w:t>
      </w:r>
      <w:r>
        <w:rPr>
          <w:color w:val="374151"/>
          <w:spacing w:val="-18"/>
        </w:rPr>
        <w:t> </w:t>
      </w:r>
      <w:r>
        <w:rPr>
          <w:color w:val="374151"/>
          <w:shd w:fill="F7F7F8" w:color="auto" w:val="clear"/>
        </w:rPr>
        <w:t>the impact on relationships contribute to heightened anxiety </w:t>
      </w:r>
      <w:r>
        <w:rPr>
          <w:rFonts w:ascii="Arial"/>
          <w:color w:val="374151"/>
          <w:sz w:val="24"/>
          <w:shd w:fill="F7F7F8" w:color="auto" w:val="clear"/>
        </w:rPr>
        <w:t>a</w:t>
      </w:r>
      <w:r>
        <w:rPr>
          <w:color w:val="374151"/>
          <w:shd w:fill="F7F7F8" w:color="auto" w:val="clear"/>
        </w:rPr>
        <w:t>nd depressive </w:t>
      </w:r>
      <w:r>
        <w:rPr>
          <w:color w:val="374151"/>
        </w:rPr>
        <w:t> </w:t>
      </w:r>
      <w:r>
        <w:rPr>
          <w:color w:val="374151"/>
          <w:spacing w:val="-2"/>
          <w:shd w:fill="F7F7F8" w:color="auto" w:val="clear"/>
        </w:rPr>
        <w:t>symptoms.</w:t>
      </w:r>
    </w:p>
    <w:p>
      <w:pPr>
        <w:spacing w:after="0"/>
        <w:sectPr>
          <w:pgSz w:w="12240" w:h="15840"/>
          <w:pgMar w:header="0" w:footer="765" w:top="1260" w:bottom="980" w:left="1400" w:right="1180"/>
        </w:sectPr>
      </w:pPr>
    </w:p>
    <w:p>
      <w:pPr>
        <w:pStyle w:val="BodyText"/>
        <w:spacing w:before="66" w:after="6"/>
        <w:ind w:left="280" w:right="529"/>
      </w:pPr>
      <w:r>
        <w:rPr>
          <w:color w:val="374151"/>
          <w:shd w:fill="F7F7F8" w:color="auto" w:val="clear"/>
        </w:rPr>
        <w:t>The psychological impact of STIs can be attributed to various factors, </w:t>
      </w:r>
      <w:r>
        <w:rPr>
          <w:color w:val="374151"/>
        </w:rPr>
        <w:t> </w:t>
      </w:r>
      <w:r>
        <w:rPr>
          <w:color w:val="374151"/>
          <w:shd w:fill="F7F7F8" w:color="auto" w:val="clear"/>
        </w:rPr>
        <w:t>including the fear of judgment, disclosure of the diagnosis, concerns about </w:t>
      </w:r>
      <w:r>
        <w:rPr>
          <w:color w:val="374151"/>
        </w:rPr>
        <w:t> </w:t>
      </w:r>
      <w:r>
        <w:rPr>
          <w:color w:val="374151"/>
          <w:shd w:fill="F7F7F8" w:color="auto" w:val="clear"/>
        </w:rPr>
        <w:t>sexual</w:t>
      </w:r>
      <w:r>
        <w:rPr>
          <w:color w:val="374151"/>
          <w:spacing w:val="-4"/>
          <w:shd w:fill="F7F7F8" w:color="auto" w:val="clear"/>
        </w:rPr>
        <w:t> </w:t>
      </w:r>
      <w:r>
        <w:rPr>
          <w:color w:val="374151"/>
          <w:shd w:fill="F7F7F8" w:color="auto" w:val="clear"/>
        </w:rPr>
        <w:t>functioning</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future</w:t>
      </w:r>
      <w:r>
        <w:rPr>
          <w:color w:val="374151"/>
          <w:spacing w:val="-5"/>
          <w:shd w:fill="F7F7F8" w:color="auto" w:val="clear"/>
        </w:rPr>
        <w:t> </w:t>
      </w:r>
      <w:r>
        <w:rPr>
          <w:color w:val="374151"/>
          <w:shd w:fill="F7F7F8" w:color="auto" w:val="clear"/>
        </w:rPr>
        <w:t>relationships,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impact</w:t>
      </w:r>
      <w:r>
        <w:rPr>
          <w:color w:val="374151"/>
          <w:spacing w:val="-4"/>
          <w:shd w:fill="F7F7F8" w:color="auto" w:val="clear"/>
        </w:rPr>
        <w:t> </w:t>
      </w:r>
      <w:r>
        <w:rPr>
          <w:color w:val="374151"/>
          <w:shd w:fill="F7F7F8" w:color="auto" w:val="clear"/>
        </w:rPr>
        <w:t>on</w:t>
      </w:r>
      <w:r>
        <w:rPr>
          <w:color w:val="374151"/>
          <w:spacing w:val="-4"/>
          <w:shd w:fill="F7F7F8" w:color="auto" w:val="clear"/>
        </w:rPr>
        <w:t> </w:t>
      </w:r>
      <w:r>
        <w:rPr>
          <w:color w:val="374151"/>
          <w:shd w:fill="F7F7F8" w:color="auto" w:val="clear"/>
        </w:rPr>
        <w:t>self-esteem.</w:t>
      </w:r>
      <w:r>
        <w:rPr>
          <w:color w:val="374151"/>
          <w:spacing w:val="-10"/>
          <w:shd w:fill="F7F7F8" w:color="auto" w:val="clear"/>
        </w:rPr>
        <w:t> </w:t>
      </w:r>
      <w:r>
        <w:rPr>
          <w:color w:val="374151"/>
          <w:shd w:fill="F7F7F8" w:color="auto" w:val="clear"/>
        </w:rPr>
        <w:t>The</w:t>
      </w:r>
      <w:r>
        <w:rPr>
          <w:color w:val="374151"/>
        </w:rPr>
        <w:t> </w:t>
      </w:r>
      <w:r>
        <w:rPr>
          <w:color w:val="374151"/>
          <w:shd w:fill="F7F7F8" w:color="auto" w:val="clear"/>
        </w:rPr>
        <w:t>emotional distress associated with the diagnosis can lead to persistent anxiety</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276475" cy="393700"/>
                <wp:effectExtent l="0" t="0" r="0" b="0"/>
                <wp:docPr id="321" name="Textbox 321"/>
                <wp:cNvGraphicFramePr>
                  <a:graphicFrameLocks/>
                </wp:cNvGraphicFramePr>
                <a:graphic>
                  <a:graphicData uri="http://schemas.microsoft.com/office/word/2010/wordprocessingShape">
                    <wps:wsp>
                      <wps:cNvPr id="321" name="Textbox 321"/>
                      <wps:cNvSpPr txBox="1"/>
                      <wps:spPr>
                        <a:xfrm>
                          <a:off x="0" y="0"/>
                          <a:ext cx="2276475" cy="393700"/>
                        </a:xfrm>
                        <a:prstGeom prst="rect">
                          <a:avLst/>
                        </a:prstGeom>
                        <a:solidFill>
                          <a:srgbClr val="F7F7F8"/>
                        </a:solidFill>
                      </wps:spPr>
                      <wps:txbx>
                        <w:txbxContent>
                          <w:p>
                            <w:pPr>
                              <w:pStyle w:val="BodyText"/>
                              <w:spacing w:line="308" w:lineRule="exact"/>
                              <w:ind w:right="-15"/>
                              <w:rPr>
                                <w:color w:val="000000"/>
                              </w:rPr>
                            </w:pPr>
                            <w:r>
                              <w:rPr>
                                <w:color w:val="374151"/>
                              </w:rPr>
                              <w:t>and</w:t>
                            </w:r>
                            <w:r>
                              <w:rPr>
                                <w:color w:val="374151"/>
                                <w:spacing w:val="-1"/>
                              </w:rPr>
                              <w:t> </w:t>
                            </w:r>
                            <w:r>
                              <w:rPr>
                                <w:color w:val="374151"/>
                              </w:rPr>
                              <w:t>depression</w:t>
                            </w:r>
                            <w:r>
                              <w:rPr>
                                <w:color w:val="374151"/>
                                <w:spacing w:val="-1"/>
                              </w:rPr>
                              <w:t> </w:t>
                            </w:r>
                            <w:r>
                              <w:rPr>
                                <w:color w:val="374151"/>
                              </w:rPr>
                              <w:t>if</w:t>
                            </w:r>
                            <w:r>
                              <w:rPr>
                                <w:color w:val="374151"/>
                                <w:spacing w:val="-1"/>
                              </w:rPr>
                              <w:t> </w:t>
                            </w:r>
                            <w:r>
                              <w:rPr>
                                <w:color w:val="374151"/>
                              </w:rPr>
                              <w:t>not </w:t>
                            </w:r>
                            <w:r>
                              <w:rPr>
                                <w:color w:val="374151"/>
                                <w:spacing w:val="-2"/>
                              </w:rPr>
                              <w:t>addressed.</w:t>
                            </w:r>
                          </w:p>
                        </w:txbxContent>
                      </wps:txbx>
                      <wps:bodyPr wrap="square" lIns="0" tIns="0" rIns="0" bIns="0" rtlCol="0">
                        <a:noAutofit/>
                      </wps:bodyPr>
                    </wps:wsp>
                  </a:graphicData>
                </a:graphic>
              </wp:inline>
            </w:drawing>
          </mc:Choice>
          <mc:Fallback>
            <w:pict>
              <v:shape style="width:179.25pt;height:31pt;mso-position-horizontal-relative:char;mso-position-vertical-relative:line" type="#_x0000_t202" id="docshape320" filled="true" fillcolor="#f7f7f8" stroked="false">
                <w10:anchorlock/>
                <v:textbox inset="0,0,0,0">
                  <w:txbxContent>
                    <w:p>
                      <w:pPr>
                        <w:pStyle w:val="BodyText"/>
                        <w:spacing w:line="308" w:lineRule="exact"/>
                        <w:ind w:right="-15"/>
                        <w:rPr>
                          <w:color w:val="000000"/>
                        </w:rPr>
                      </w:pPr>
                      <w:r>
                        <w:rPr>
                          <w:color w:val="374151"/>
                        </w:rPr>
                        <w:t>and</w:t>
                      </w:r>
                      <w:r>
                        <w:rPr>
                          <w:color w:val="374151"/>
                          <w:spacing w:val="-1"/>
                        </w:rPr>
                        <w:t> </w:t>
                      </w:r>
                      <w:r>
                        <w:rPr>
                          <w:color w:val="374151"/>
                        </w:rPr>
                        <w:t>depression</w:t>
                      </w:r>
                      <w:r>
                        <w:rPr>
                          <w:color w:val="374151"/>
                          <w:spacing w:val="-1"/>
                        </w:rPr>
                        <w:t> </w:t>
                      </w:r>
                      <w:r>
                        <w:rPr>
                          <w:color w:val="374151"/>
                        </w:rPr>
                        <w:t>if</w:t>
                      </w:r>
                      <w:r>
                        <w:rPr>
                          <w:color w:val="374151"/>
                          <w:spacing w:val="-1"/>
                        </w:rPr>
                        <w:t> </w:t>
                      </w:r>
                      <w:r>
                        <w:rPr>
                          <w:color w:val="374151"/>
                        </w:rPr>
                        <w:t>not </w:t>
                      </w:r>
                      <w:r>
                        <w:rPr>
                          <w:color w:val="374151"/>
                          <w:spacing w:val="-2"/>
                        </w:rPr>
                        <w:t>addressed.</w:t>
                      </w:r>
                    </w:p>
                  </w:txbxContent>
                </v:textbox>
                <v:fill type="solid"/>
              </v:shape>
            </w:pict>
          </mc:Fallback>
        </mc:AlternateContent>
      </w:r>
      <w:r>
        <w:rPr>
          <w:sz w:val="20"/>
        </w:rPr>
      </w:r>
    </w:p>
    <w:p>
      <w:pPr>
        <w:pStyle w:val="BodyText"/>
        <w:spacing w:line="282" w:lineRule="exact"/>
        <w:ind w:left="280"/>
      </w:pPr>
      <w:r>
        <w:rPr>
          <w:color w:val="374151"/>
          <w:shd w:fill="F7F7F8" w:color="auto" w:val="clear"/>
        </w:rPr>
        <w:t>Anxiety</w:t>
      </w:r>
      <w:r>
        <w:rPr>
          <w:color w:val="374151"/>
          <w:spacing w:val="-2"/>
          <w:shd w:fill="F7F7F8" w:color="auto" w:val="clear"/>
        </w:rPr>
        <w:t> </w:t>
      </w:r>
      <w:r>
        <w:rPr>
          <w:color w:val="374151"/>
          <w:shd w:fill="F7F7F8" w:color="auto" w:val="clear"/>
        </w:rPr>
        <w:t>and</w:t>
      </w:r>
      <w:r>
        <w:rPr>
          <w:color w:val="374151"/>
          <w:spacing w:val="-2"/>
          <w:shd w:fill="F7F7F8" w:color="auto" w:val="clear"/>
        </w:rPr>
        <w:t> </w:t>
      </w:r>
      <w:r>
        <w:rPr>
          <w:color w:val="374151"/>
          <w:shd w:fill="F7F7F8" w:color="auto" w:val="clear"/>
        </w:rPr>
        <w:t>depression</w:t>
      </w:r>
      <w:r>
        <w:rPr>
          <w:color w:val="374151"/>
          <w:spacing w:val="-1"/>
          <w:shd w:fill="F7F7F8" w:color="auto" w:val="clear"/>
        </w:rPr>
        <w:t> </w:t>
      </w:r>
      <w:r>
        <w:rPr>
          <w:color w:val="374151"/>
          <w:shd w:fill="F7F7F8" w:color="auto" w:val="clear"/>
        </w:rPr>
        <w:t>can</w:t>
      </w:r>
      <w:r>
        <w:rPr>
          <w:color w:val="374151"/>
          <w:spacing w:val="-2"/>
          <w:shd w:fill="F7F7F8" w:color="auto" w:val="clear"/>
        </w:rPr>
        <w:t> </w:t>
      </w:r>
      <w:r>
        <w:rPr>
          <w:color w:val="374151"/>
          <w:shd w:fill="F7F7F8" w:color="auto" w:val="clear"/>
        </w:rPr>
        <w:t>significantly</w:t>
      </w:r>
      <w:r>
        <w:rPr>
          <w:color w:val="374151"/>
          <w:spacing w:val="-1"/>
          <w:shd w:fill="F7F7F8" w:color="auto" w:val="clear"/>
        </w:rPr>
        <w:t> </w:t>
      </w:r>
      <w:r>
        <w:rPr>
          <w:color w:val="374151"/>
          <w:shd w:fill="F7F7F8" w:color="auto" w:val="clear"/>
        </w:rPr>
        <w:t>impact</w:t>
      </w:r>
      <w:r>
        <w:rPr>
          <w:color w:val="374151"/>
          <w:spacing w:val="-2"/>
          <w:shd w:fill="F7F7F8" w:color="auto" w:val="clear"/>
        </w:rPr>
        <w:t> </w:t>
      </w:r>
      <w:r>
        <w:rPr>
          <w:color w:val="374151"/>
          <w:shd w:fill="F7F7F8" w:color="auto" w:val="clear"/>
        </w:rPr>
        <w:t>an</w:t>
      </w:r>
      <w:r>
        <w:rPr>
          <w:color w:val="374151"/>
          <w:spacing w:val="-1"/>
          <w:shd w:fill="F7F7F8" w:color="auto" w:val="clear"/>
        </w:rPr>
        <w:t> </w:t>
      </w:r>
      <w:r>
        <w:rPr>
          <w:color w:val="374151"/>
          <w:shd w:fill="F7F7F8" w:color="auto" w:val="clear"/>
        </w:rPr>
        <w:t>individual's</w:t>
      </w:r>
      <w:r>
        <w:rPr>
          <w:color w:val="374151"/>
          <w:spacing w:val="-2"/>
          <w:shd w:fill="F7F7F8" w:color="auto" w:val="clear"/>
        </w:rPr>
        <w:t> </w:t>
      </w:r>
      <w:r>
        <w:rPr>
          <w:color w:val="374151"/>
          <w:shd w:fill="F7F7F8" w:color="auto" w:val="clear"/>
        </w:rPr>
        <w:t>overall</w:t>
      </w:r>
      <w:r>
        <w:rPr>
          <w:color w:val="374151"/>
          <w:spacing w:val="-1"/>
          <w:shd w:fill="F7F7F8" w:color="auto" w:val="clear"/>
        </w:rPr>
        <w:t> </w:t>
      </w:r>
      <w:r>
        <w:rPr>
          <w:color w:val="374151"/>
          <w:spacing w:val="-2"/>
          <w:shd w:fill="F7F7F8" w:color="auto" w:val="clear"/>
        </w:rPr>
        <w:t>quality</w:t>
      </w:r>
      <w:r>
        <w:rPr>
          <w:color w:val="374151"/>
          <w:spacing w:val="40"/>
          <w:shd w:fill="F7F7F8" w:color="auto" w:val="clear"/>
        </w:rPr>
        <w:t> </w:t>
      </w:r>
    </w:p>
    <w:p>
      <w:pPr>
        <w:pStyle w:val="BodyText"/>
        <w:ind w:left="280" w:right="502"/>
      </w:pPr>
      <w:r>
        <w:rPr/>
        <mc:AlternateContent>
          <mc:Choice Requires="wps">
            <w:drawing>
              <wp:anchor distT="0" distB="0" distL="0" distR="0" allowOverlap="1" layoutInCell="1" locked="0" behindDoc="1" simplePos="0" relativeHeight="487668224">
                <wp:simplePos x="0" y="0"/>
                <wp:positionH relativeFrom="page">
                  <wp:posOffset>1066800</wp:posOffset>
                </wp:positionH>
                <wp:positionV relativeFrom="paragraph">
                  <wp:posOffset>414611</wp:posOffset>
                </wp:positionV>
                <wp:extent cx="1880870" cy="393700"/>
                <wp:effectExtent l="0" t="0" r="0" b="0"/>
                <wp:wrapTopAndBottom/>
                <wp:docPr id="322" name="Textbox 322"/>
                <wp:cNvGraphicFramePr>
                  <a:graphicFrameLocks/>
                </wp:cNvGraphicFramePr>
                <a:graphic>
                  <a:graphicData uri="http://schemas.microsoft.com/office/word/2010/wordprocessingShape">
                    <wps:wsp>
                      <wps:cNvPr id="322" name="Textbox 322"/>
                      <wps:cNvSpPr txBox="1"/>
                      <wps:spPr>
                        <a:xfrm>
                          <a:off x="0" y="0"/>
                          <a:ext cx="1880870" cy="393700"/>
                        </a:xfrm>
                        <a:prstGeom prst="rect">
                          <a:avLst/>
                        </a:prstGeom>
                        <a:solidFill>
                          <a:srgbClr val="F7F7F8"/>
                        </a:solidFill>
                      </wps:spPr>
                      <wps:txbx>
                        <w:txbxContent>
                          <w:p>
                            <w:pPr>
                              <w:pStyle w:val="BodyText"/>
                              <w:spacing w:line="308" w:lineRule="exact"/>
                              <w:rPr>
                                <w:color w:val="000000"/>
                              </w:rPr>
                            </w:pPr>
                            <w:r>
                              <w:rPr>
                                <w:color w:val="374151"/>
                              </w:rPr>
                              <w:t>conditions</w:t>
                            </w:r>
                            <w:r>
                              <w:rPr>
                                <w:color w:val="374151"/>
                                <w:spacing w:val="-3"/>
                              </w:rPr>
                              <w:t> </w:t>
                            </w:r>
                            <w:r>
                              <w:rPr>
                                <w:color w:val="374151"/>
                              </w:rPr>
                              <w:t>can</w:t>
                            </w:r>
                            <w:r>
                              <w:rPr>
                                <w:color w:val="374151"/>
                                <w:spacing w:val="-2"/>
                              </w:rPr>
                              <w:t> exacerbate</w:t>
                            </w:r>
                          </w:p>
                        </w:txbxContent>
                      </wps:txbx>
                      <wps:bodyPr wrap="square" lIns="0" tIns="0" rIns="0" bIns="0" rtlCol="0">
                        <a:noAutofit/>
                      </wps:bodyPr>
                    </wps:wsp>
                  </a:graphicData>
                </a:graphic>
              </wp:anchor>
            </w:drawing>
          </mc:Choice>
          <mc:Fallback>
            <w:pict>
              <v:shape style="position:absolute;margin-left:84pt;margin-top:32.646584pt;width:148.1pt;height:31pt;mso-position-horizontal-relative:page;mso-position-vertical-relative:paragraph;z-index:-15648256;mso-wrap-distance-left:0;mso-wrap-distance-right:0" type="#_x0000_t202" id="docshape321" filled="true" fillcolor="#f7f7f8" stroked="false">
                <v:textbox inset="0,0,0,0">
                  <w:txbxContent>
                    <w:p>
                      <w:pPr>
                        <w:pStyle w:val="BodyText"/>
                        <w:spacing w:line="308" w:lineRule="exact"/>
                        <w:rPr>
                          <w:color w:val="000000"/>
                        </w:rPr>
                      </w:pPr>
                      <w:r>
                        <w:rPr>
                          <w:color w:val="374151"/>
                        </w:rPr>
                        <w:t>conditions</w:t>
                      </w:r>
                      <w:r>
                        <w:rPr>
                          <w:color w:val="374151"/>
                          <w:spacing w:val="-3"/>
                        </w:rPr>
                        <w:t> </w:t>
                      </w:r>
                      <w:r>
                        <w:rPr>
                          <w:color w:val="374151"/>
                        </w:rPr>
                        <w:t>can</w:t>
                      </w:r>
                      <w:r>
                        <w:rPr>
                          <w:color w:val="374151"/>
                          <w:spacing w:val="-2"/>
                        </w:rPr>
                        <w:t> exacerbate</w:t>
                      </w:r>
                    </w:p>
                  </w:txbxContent>
                </v:textbox>
                <v:fill type="solid"/>
                <w10:wrap type="topAndBottom"/>
              </v:shape>
            </w:pict>
          </mc:Fallback>
        </mc:AlternateContent>
      </w:r>
      <w:r>
        <w:rPr>
          <w:color w:val="374151"/>
          <w:shd w:fill="F7F7F8" w:color="auto" w:val="clear"/>
        </w:rPr>
        <w:t>of life, including their ability to engage in daily activities, maintain </w:t>
      </w:r>
      <w:r>
        <w:rPr>
          <w:color w:val="374151"/>
        </w:rPr>
        <w:t> </w:t>
      </w:r>
      <w:r>
        <w:rPr>
          <w:color w:val="374151"/>
          <w:shd w:fill="F7F7F8" w:color="auto" w:val="clear"/>
        </w:rPr>
        <w:t>relationships, and experience a sense of well-being.</w:t>
      </w:r>
      <w:r>
        <w:rPr>
          <w:color w:val="374151"/>
          <w:spacing w:val="-3"/>
          <w:shd w:fill="F7F7F8" w:color="auto" w:val="clear"/>
        </w:rPr>
        <w:t> </w:t>
      </w:r>
      <w:r>
        <w:rPr>
          <w:color w:val="374151"/>
          <w:shd w:fill="F7F7F8" w:color="auto" w:val="clear"/>
        </w:rPr>
        <w:t>These mental health</w:t>
      </w:r>
      <w:r>
        <w:rPr>
          <w:color w:val="374151"/>
          <w:spacing w:val="40"/>
          <w:shd w:fill="F7F7F8" w:color="auto" w:val="clear"/>
        </w:rPr>
        <w:t> </w:t>
      </w:r>
    </w:p>
    <w:p>
      <w:pPr>
        <w:pStyle w:val="BodyText"/>
        <w:spacing w:line="237" w:lineRule="auto" w:after="7"/>
        <w:ind w:left="280" w:right="502"/>
      </w:pPr>
      <w:r>
        <w:rPr>
          <w:color w:val="374151"/>
          <w:shd w:fill="F7F7F8" w:color="auto" w:val="clear"/>
        </w:rPr>
        <w:t>Psychotherapy,</w:t>
      </w:r>
      <w:r>
        <w:rPr>
          <w:color w:val="374151"/>
          <w:spacing w:val="-13"/>
          <w:shd w:fill="F7F7F8" w:color="auto" w:val="clear"/>
        </w:rPr>
        <w:t> </w:t>
      </w:r>
      <w:r>
        <w:rPr>
          <w:color w:val="374151"/>
          <w:shd w:fill="F7F7F8" w:color="auto" w:val="clear"/>
        </w:rPr>
        <w:t>including</w:t>
      </w:r>
      <w:r>
        <w:rPr>
          <w:color w:val="374151"/>
          <w:spacing w:val="-8"/>
          <w:shd w:fill="F7F7F8" w:color="auto" w:val="clear"/>
        </w:rPr>
        <w:t> </w:t>
      </w:r>
      <w:r>
        <w:rPr>
          <w:color w:val="374151"/>
          <w:shd w:fill="F7F7F8" w:color="auto" w:val="clear"/>
        </w:rPr>
        <w:t>cognitive-behavioral</w:t>
      </w:r>
      <w:r>
        <w:rPr>
          <w:color w:val="374151"/>
          <w:spacing w:val="-8"/>
          <w:shd w:fill="F7F7F8" w:color="auto" w:val="clear"/>
        </w:rPr>
        <w:t> </w:t>
      </w:r>
      <w:r>
        <w:rPr>
          <w:color w:val="374151"/>
          <w:shd w:fill="F7F7F8" w:color="auto" w:val="clear"/>
        </w:rPr>
        <w:t>therapy</w:t>
      </w:r>
      <w:r>
        <w:rPr>
          <w:color w:val="374151"/>
          <w:spacing w:val="-8"/>
          <w:shd w:fill="F7F7F8" w:color="auto" w:val="clear"/>
        </w:rPr>
        <w:t> </w:t>
      </w:r>
      <w:r>
        <w:rPr>
          <w:color w:val="374151"/>
          <w:shd w:fill="F7F7F8" w:color="auto" w:val="clear"/>
        </w:rPr>
        <w:t>(CBT),</w:t>
      </w:r>
      <w:r>
        <w:rPr>
          <w:color w:val="374151"/>
          <w:spacing w:val="-8"/>
          <w:shd w:fill="F7F7F8" w:color="auto" w:val="clear"/>
        </w:rPr>
        <w:t> </w:t>
      </w:r>
      <w:r>
        <w:rPr>
          <w:color w:val="374151"/>
          <w:shd w:fill="F7F7F8" w:color="auto" w:val="clear"/>
        </w:rPr>
        <w:t>can</w:t>
      </w:r>
      <w:r>
        <w:rPr>
          <w:color w:val="374151"/>
          <w:spacing w:val="-8"/>
          <w:shd w:fill="F7F7F8" w:color="auto" w:val="clear"/>
        </w:rPr>
        <w:t> </w:t>
      </w:r>
      <w:r>
        <w:rPr>
          <w:color w:val="374151"/>
          <w:shd w:fill="F7F7F8" w:color="auto" w:val="clear"/>
        </w:rPr>
        <w:t>be</w:t>
      </w:r>
      <w:r>
        <w:rPr>
          <w:color w:val="374151"/>
          <w:spacing w:val="-9"/>
          <w:shd w:fill="F7F7F8" w:color="auto" w:val="clear"/>
        </w:rPr>
        <w:t> </w:t>
      </w:r>
      <w:r>
        <w:rPr>
          <w:color w:val="374151"/>
          <w:shd w:fill="F7F7F8" w:color="auto" w:val="clear"/>
        </w:rPr>
        <w:t>effective</w:t>
      </w:r>
      <w:r>
        <w:rPr>
          <w:color w:val="374151"/>
          <w:spacing w:val="-24"/>
          <w:shd w:fill="F7F7F8" w:color="auto" w:val="clear"/>
        </w:rPr>
        <w:t> </w:t>
      </w:r>
      <w:r>
        <w:rPr>
          <w:color w:val="374151"/>
          <w:spacing w:val="-24"/>
        </w:rPr>
        <w:t> </w:t>
      </w:r>
      <w:r>
        <w:rPr>
          <w:color w:val="374151"/>
          <w:shd w:fill="F7F7F8" w:color="auto" w:val="clear"/>
        </w:rPr>
        <w:t>in managing anxiety and depression in individuals affected by STIs. CBT </w:t>
      </w:r>
      <w:r>
        <w:rPr>
          <w:color w:val="374151"/>
        </w:rPr>
        <w:t> </w:t>
      </w:r>
      <w:r>
        <w:rPr>
          <w:color w:val="374151"/>
          <w:shd w:fill="F7F7F8" w:color="auto" w:val="clear"/>
        </w:rPr>
        <w:t>techniques</w:t>
      </w:r>
      <w:r>
        <w:rPr>
          <w:color w:val="374151"/>
          <w:spacing w:val="-7"/>
          <w:shd w:fill="F7F7F8" w:color="auto" w:val="clear"/>
        </w:rPr>
        <w:t> </w:t>
      </w:r>
      <w:r>
        <w:rPr>
          <w:color w:val="374151"/>
          <w:shd w:fill="F7F7F8" w:color="auto" w:val="clear"/>
        </w:rPr>
        <w:t>focus</w:t>
      </w:r>
      <w:r>
        <w:rPr>
          <w:color w:val="374151"/>
          <w:spacing w:val="-5"/>
          <w:shd w:fill="F7F7F8" w:color="auto" w:val="clear"/>
        </w:rPr>
        <w:t> </w:t>
      </w:r>
      <w:r>
        <w:rPr>
          <w:color w:val="374151"/>
          <w:shd w:fill="F7F7F8" w:color="auto" w:val="clear"/>
        </w:rPr>
        <w:t>on</w:t>
      </w:r>
      <w:r>
        <w:rPr>
          <w:color w:val="374151"/>
          <w:spacing w:val="-5"/>
          <w:shd w:fill="F7F7F8" w:color="auto" w:val="clear"/>
        </w:rPr>
        <w:t> </w:t>
      </w:r>
      <w:r>
        <w:rPr>
          <w:color w:val="374151"/>
          <w:shd w:fill="F7F7F8" w:color="auto" w:val="clear"/>
        </w:rPr>
        <w:t>challenging</w:t>
      </w:r>
      <w:r>
        <w:rPr>
          <w:color w:val="374151"/>
          <w:spacing w:val="-5"/>
          <w:shd w:fill="F7F7F8" w:color="auto" w:val="clear"/>
        </w:rPr>
        <w:t> </w:t>
      </w:r>
      <w:r>
        <w:rPr>
          <w:color w:val="374151"/>
          <w:shd w:fill="F7F7F8" w:color="auto" w:val="clear"/>
        </w:rPr>
        <w:t>negative</w:t>
      </w:r>
      <w:r>
        <w:rPr>
          <w:color w:val="374151"/>
          <w:spacing w:val="-6"/>
          <w:shd w:fill="F7F7F8" w:color="auto" w:val="clear"/>
        </w:rPr>
        <w:t> </w:t>
      </w:r>
      <w:r>
        <w:rPr>
          <w:color w:val="374151"/>
          <w:shd w:fill="F7F7F8" w:color="auto" w:val="clear"/>
        </w:rPr>
        <w:t>thought</w:t>
      </w:r>
      <w:r>
        <w:rPr>
          <w:color w:val="374151"/>
          <w:spacing w:val="-5"/>
          <w:shd w:fill="F7F7F8" w:color="auto" w:val="clear"/>
        </w:rPr>
        <w:t> </w:t>
      </w:r>
      <w:r>
        <w:rPr>
          <w:color w:val="374151"/>
          <w:shd w:fill="F7F7F8" w:color="auto" w:val="clear"/>
        </w:rPr>
        <w:t>patterns,</w:t>
      </w:r>
      <w:r>
        <w:rPr>
          <w:color w:val="374151"/>
          <w:spacing w:val="-5"/>
          <w:shd w:fill="F7F7F8" w:color="auto" w:val="clear"/>
        </w:rPr>
        <w:t> </w:t>
      </w:r>
      <w:r>
        <w:rPr>
          <w:color w:val="374151"/>
          <w:shd w:fill="F7F7F8" w:color="auto" w:val="clear"/>
        </w:rPr>
        <w:t>promoting</w:t>
      </w:r>
      <w:r>
        <w:rPr>
          <w:color w:val="374151"/>
          <w:spacing w:val="-5"/>
          <w:shd w:fill="F7F7F8" w:color="auto" w:val="clear"/>
        </w:rPr>
        <w:t> </w:t>
      </w:r>
      <w:r>
        <w:rPr>
          <w:color w:val="374151"/>
          <w:shd w:fill="F7F7F8" w:color="auto" w:val="clear"/>
        </w:rPr>
        <w:t>adaptive</w:t>
      </w:r>
      <w:r>
        <w:rPr>
          <w:color w:val="374151"/>
          <w:spacing w:val="-18"/>
          <w:shd w:fill="F7F7F8" w:color="auto" w:val="clear"/>
        </w:rPr>
        <w:t> </w:t>
      </w:r>
      <w:r>
        <w:rPr>
          <w:color w:val="374151"/>
          <w:spacing w:val="-18"/>
        </w:rPr>
        <w:t> </w:t>
      </w:r>
      <w:r>
        <w:rPr>
          <w:color w:val="374151"/>
          <w:shd w:fill="F7F7F8" w:color="auto" w:val="clear"/>
        </w:rPr>
        <w:t>coping strategies, and improving emotional regulation. Support groups and </w:t>
      </w:r>
      <w:r>
        <w:rPr>
          <w:color w:val="374151"/>
        </w:rPr>
        <w:t> </w:t>
      </w:r>
      <w:r>
        <w:rPr>
          <w:color w:val="374151"/>
          <w:shd w:fill="F7F7F8" w:color="auto" w:val="clear"/>
        </w:rPr>
        <w:t>peer counseling can also provide valuable support by creating a sense of</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279140" cy="787400"/>
                <wp:effectExtent l="0" t="0" r="0" b="3175"/>
                <wp:docPr id="323" name="Group 323"/>
                <wp:cNvGraphicFramePr>
                  <a:graphicFrameLocks/>
                </wp:cNvGraphicFramePr>
                <a:graphic>
                  <a:graphicData uri="http://schemas.microsoft.com/office/word/2010/wordprocessingGroup">
                    <wpg:wgp>
                      <wpg:cNvPr id="323" name="Group 323"/>
                      <wpg:cNvGrpSpPr/>
                      <wpg:grpSpPr>
                        <a:xfrm>
                          <a:off x="0" y="0"/>
                          <a:ext cx="3279140" cy="787400"/>
                          <a:chExt cx="3279140" cy="787400"/>
                        </a:xfrm>
                      </wpg:grpSpPr>
                      <wps:wsp>
                        <wps:cNvPr id="324" name="Textbox 324"/>
                        <wps:cNvSpPr txBox="1"/>
                        <wps:spPr>
                          <a:xfrm>
                            <a:off x="0" y="393700"/>
                            <a:ext cx="2226310" cy="393700"/>
                          </a:xfrm>
                          <a:prstGeom prst="rect">
                            <a:avLst/>
                          </a:prstGeom>
                          <a:solidFill>
                            <a:srgbClr val="F7F7F8"/>
                          </a:solidFill>
                        </wps:spPr>
                        <wps:txbx>
                          <w:txbxContent>
                            <w:p>
                              <w:pPr>
                                <w:spacing w:line="308" w:lineRule="exact" w:before="0"/>
                                <w:ind w:left="0" w:right="0" w:firstLine="0"/>
                                <w:jc w:val="left"/>
                                <w:rPr>
                                  <w:i/>
                                  <w:color w:val="000000"/>
                                  <w:sz w:val="28"/>
                                </w:rPr>
                              </w:pPr>
                              <w:r>
                                <w:rPr>
                                  <w:i/>
                                  <w:color w:val="374151"/>
                                  <w:sz w:val="28"/>
                                </w:rPr>
                                <w:t>Impact</w:t>
                              </w:r>
                              <w:r>
                                <w:rPr>
                                  <w:i/>
                                  <w:color w:val="374151"/>
                                  <w:spacing w:val="-5"/>
                                  <w:sz w:val="28"/>
                                </w:rPr>
                                <w:t> </w:t>
                              </w:r>
                              <w:r>
                                <w:rPr>
                                  <w:i/>
                                  <w:color w:val="374151"/>
                                  <w:sz w:val="28"/>
                                </w:rPr>
                                <w:t>of</w:t>
                              </w:r>
                              <w:r>
                                <w:rPr>
                                  <w:i/>
                                  <w:color w:val="374151"/>
                                  <w:spacing w:val="-1"/>
                                  <w:sz w:val="28"/>
                                </w:rPr>
                                <w:t> </w:t>
                              </w:r>
                              <w:r>
                                <w:rPr>
                                  <w:i/>
                                  <w:color w:val="374151"/>
                                  <w:sz w:val="28"/>
                                </w:rPr>
                                <w:t>STIs</w:t>
                              </w:r>
                              <w:r>
                                <w:rPr>
                                  <w:i/>
                                  <w:color w:val="374151"/>
                                  <w:spacing w:val="-1"/>
                                  <w:sz w:val="28"/>
                                </w:rPr>
                                <w:t> </w:t>
                              </w:r>
                              <w:r>
                                <w:rPr>
                                  <w:i/>
                                  <w:color w:val="374151"/>
                                  <w:sz w:val="28"/>
                                </w:rPr>
                                <w:t>on</w:t>
                              </w:r>
                              <w:r>
                                <w:rPr>
                                  <w:i/>
                                  <w:color w:val="374151"/>
                                  <w:spacing w:val="-1"/>
                                  <w:sz w:val="28"/>
                                </w:rPr>
                                <w:t> </w:t>
                              </w:r>
                              <w:r>
                                <w:rPr>
                                  <w:i/>
                                  <w:color w:val="374151"/>
                                  <w:spacing w:val="-2"/>
                                  <w:sz w:val="28"/>
                                </w:rPr>
                                <w:t>relationships</w:t>
                              </w:r>
                            </w:p>
                          </w:txbxContent>
                        </wps:txbx>
                        <wps:bodyPr wrap="square" lIns="0" tIns="0" rIns="0" bIns="0" rtlCol="0">
                          <a:noAutofit/>
                        </wps:bodyPr>
                      </wps:wsp>
                      <wps:wsp>
                        <wps:cNvPr id="325" name="Textbox 325"/>
                        <wps:cNvSpPr txBox="1"/>
                        <wps:spPr>
                          <a:xfrm>
                            <a:off x="0" y="0"/>
                            <a:ext cx="327914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community</w:t>
                              </w:r>
                              <w:r>
                                <w:rPr>
                                  <w:color w:val="374151"/>
                                  <w:spacing w:val="-2"/>
                                  <w:sz w:val="28"/>
                                </w:rPr>
                                <w:t> </w:t>
                              </w:r>
                              <w:r>
                                <w:rPr>
                                  <w:color w:val="374151"/>
                                  <w:sz w:val="28"/>
                                </w:rPr>
                                <w:t>and</w:t>
                              </w:r>
                              <w:r>
                                <w:rPr>
                                  <w:color w:val="374151"/>
                                  <w:spacing w:val="-2"/>
                                  <w:sz w:val="28"/>
                                </w:rPr>
                                <w:t> </w:t>
                              </w:r>
                              <w:r>
                                <w:rPr>
                                  <w:color w:val="374151"/>
                                  <w:sz w:val="28"/>
                                </w:rPr>
                                <w:t>reducing</w:t>
                              </w:r>
                              <w:r>
                                <w:rPr>
                                  <w:color w:val="374151"/>
                                  <w:spacing w:val="-1"/>
                                  <w:sz w:val="28"/>
                                </w:rPr>
                                <w:t> </w:t>
                              </w:r>
                              <w:r>
                                <w:rPr>
                                  <w:color w:val="374151"/>
                                  <w:sz w:val="28"/>
                                </w:rPr>
                                <w:t>feelings</w:t>
                              </w:r>
                              <w:r>
                                <w:rPr>
                                  <w:color w:val="374151"/>
                                  <w:spacing w:val="-2"/>
                                  <w:sz w:val="28"/>
                                </w:rPr>
                                <w:t> </w:t>
                              </w:r>
                              <w:r>
                                <w:rPr>
                                  <w:color w:val="374151"/>
                                  <w:sz w:val="28"/>
                                </w:rPr>
                                <w:t>of</w:t>
                              </w:r>
                              <w:r>
                                <w:rPr>
                                  <w:color w:val="374151"/>
                                  <w:spacing w:val="-1"/>
                                  <w:sz w:val="28"/>
                                </w:rPr>
                                <w:t> </w:t>
                              </w:r>
                              <w:r>
                                <w:rPr>
                                  <w:color w:val="374151"/>
                                  <w:spacing w:val="-2"/>
                                  <w:sz w:val="28"/>
                                </w:rPr>
                                <w:t>isolation.</w:t>
                              </w:r>
                            </w:p>
                          </w:txbxContent>
                        </wps:txbx>
                        <wps:bodyPr wrap="square" lIns="0" tIns="0" rIns="0" bIns="0" rtlCol="0">
                          <a:noAutofit/>
                        </wps:bodyPr>
                      </wps:wsp>
                    </wpg:wgp>
                  </a:graphicData>
                </a:graphic>
              </wp:inline>
            </w:drawing>
          </mc:Choice>
          <mc:Fallback>
            <w:pict>
              <v:group style="width:258.2pt;height:62pt;mso-position-horizontal-relative:char;mso-position-vertical-relative:line" id="docshapegroup322" coordorigin="0,0" coordsize="5164,1240">
                <v:shape style="position:absolute;left:0;top:620;width:3506;height:620" type="#_x0000_t202" id="docshape323" filled="true" fillcolor="#f7f7f8" stroked="false">
                  <v:textbox inset="0,0,0,0">
                    <w:txbxContent>
                      <w:p>
                        <w:pPr>
                          <w:spacing w:line="308" w:lineRule="exact" w:before="0"/>
                          <w:ind w:left="0" w:right="0" w:firstLine="0"/>
                          <w:jc w:val="left"/>
                          <w:rPr>
                            <w:i/>
                            <w:color w:val="000000"/>
                            <w:sz w:val="28"/>
                          </w:rPr>
                        </w:pPr>
                        <w:r>
                          <w:rPr>
                            <w:i/>
                            <w:color w:val="374151"/>
                            <w:sz w:val="28"/>
                          </w:rPr>
                          <w:t>Impact</w:t>
                        </w:r>
                        <w:r>
                          <w:rPr>
                            <w:i/>
                            <w:color w:val="374151"/>
                            <w:spacing w:val="-5"/>
                            <w:sz w:val="28"/>
                          </w:rPr>
                          <w:t> </w:t>
                        </w:r>
                        <w:r>
                          <w:rPr>
                            <w:i/>
                            <w:color w:val="374151"/>
                            <w:sz w:val="28"/>
                          </w:rPr>
                          <w:t>of</w:t>
                        </w:r>
                        <w:r>
                          <w:rPr>
                            <w:i/>
                            <w:color w:val="374151"/>
                            <w:spacing w:val="-1"/>
                            <w:sz w:val="28"/>
                          </w:rPr>
                          <w:t> </w:t>
                        </w:r>
                        <w:r>
                          <w:rPr>
                            <w:i/>
                            <w:color w:val="374151"/>
                            <w:sz w:val="28"/>
                          </w:rPr>
                          <w:t>STIs</w:t>
                        </w:r>
                        <w:r>
                          <w:rPr>
                            <w:i/>
                            <w:color w:val="374151"/>
                            <w:spacing w:val="-1"/>
                            <w:sz w:val="28"/>
                          </w:rPr>
                          <w:t> </w:t>
                        </w:r>
                        <w:r>
                          <w:rPr>
                            <w:i/>
                            <w:color w:val="374151"/>
                            <w:sz w:val="28"/>
                          </w:rPr>
                          <w:t>on</w:t>
                        </w:r>
                        <w:r>
                          <w:rPr>
                            <w:i/>
                            <w:color w:val="374151"/>
                            <w:spacing w:val="-1"/>
                            <w:sz w:val="28"/>
                          </w:rPr>
                          <w:t> </w:t>
                        </w:r>
                        <w:r>
                          <w:rPr>
                            <w:i/>
                            <w:color w:val="374151"/>
                            <w:spacing w:val="-2"/>
                            <w:sz w:val="28"/>
                          </w:rPr>
                          <w:t>relationships</w:t>
                        </w:r>
                      </w:p>
                    </w:txbxContent>
                  </v:textbox>
                  <v:fill type="solid"/>
                  <w10:wrap type="none"/>
                </v:shape>
                <v:shape style="position:absolute;left:0;top:0;width:5164;height:620" type="#_x0000_t202" id="docshape324" filled="true" fillcolor="#f7f7f8" stroked="false">
                  <v:textbox inset="0,0,0,0">
                    <w:txbxContent>
                      <w:p>
                        <w:pPr>
                          <w:spacing w:line="308" w:lineRule="exact" w:before="0"/>
                          <w:ind w:left="0" w:right="-15" w:firstLine="0"/>
                          <w:jc w:val="left"/>
                          <w:rPr>
                            <w:color w:val="000000"/>
                            <w:sz w:val="28"/>
                          </w:rPr>
                        </w:pPr>
                        <w:r>
                          <w:rPr>
                            <w:color w:val="374151"/>
                            <w:sz w:val="28"/>
                          </w:rPr>
                          <w:t>community</w:t>
                        </w:r>
                        <w:r>
                          <w:rPr>
                            <w:color w:val="374151"/>
                            <w:spacing w:val="-2"/>
                            <w:sz w:val="28"/>
                          </w:rPr>
                          <w:t> </w:t>
                        </w:r>
                        <w:r>
                          <w:rPr>
                            <w:color w:val="374151"/>
                            <w:sz w:val="28"/>
                          </w:rPr>
                          <w:t>and</w:t>
                        </w:r>
                        <w:r>
                          <w:rPr>
                            <w:color w:val="374151"/>
                            <w:spacing w:val="-2"/>
                            <w:sz w:val="28"/>
                          </w:rPr>
                          <w:t> </w:t>
                        </w:r>
                        <w:r>
                          <w:rPr>
                            <w:color w:val="374151"/>
                            <w:sz w:val="28"/>
                          </w:rPr>
                          <w:t>reducing</w:t>
                        </w:r>
                        <w:r>
                          <w:rPr>
                            <w:color w:val="374151"/>
                            <w:spacing w:val="-1"/>
                            <w:sz w:val="28"/>
                          </w:rPr>
                          <w:t> </w:t>
                        </w:r>
                        <w:r>
                          <w:rPr>
                            <w:color w:val="374151"/>
                            <w:sz w:val="28"/>
                          </w:rPr>
                          <w:t>feelings</w:t>
                        </w:r>
                        <w:r>
                          <w:rPr>
                            <w:color w:val="374151"/>
                            <w:spacing w:val="-2"/>
                            <w:sz w:val="28"/>
                          </w:rPr>
                          <w:t> </w:t>
                        </w:r>
                        <w:r>
                          <w:rPr>
                            <w:color w:val="374151"/>
                            <w:sz w:val="28"/>
                          </w:rPr>
                          <w:t>of</w:t>
                        </w:r>
                        <w:r>
                          <w:rPr>
                            <w:color w:val="374151"/>
                            <w:spacing w:val="-1"/>
                            <w:sz w:val="28"/>
                          </w:rPr>
                          <w:t> </w:t>
                        </w:r>
                        <w:r>
                          <w:rPr>
                            <w:color w:val="374151"/>
                            <w:spacing w:val="-2"/>
                            <w:sz w:val="28"/>
                          </w:rPr>
                          <w:t>isolation.</w:t>
                        </w:r>
                      </w:p>
                    </w:txbxContent>
                  </v:textbox>
                  <v:fill type="solid"/>
                  <w10:wrap type="none"/>
                </v:shape>
              </v:group>
            </w:pict>
          </mc:Fallback>
        </mc:AlternateContent>
      </w:r>
      <w:r>
        <w:rPr>
          <w:sz w:val="20"/>
        </w:rPr>
      </w:r>
    </w:p>
    <w:p>
      <w:pPr>
        <w:pStyle w:val="BodyText"/>
        <w:spacing w:line="297" w:lineRule="exact"/>
        <w:ind w:left="280"/>
      </w:pPr>
      <w:r>
        <w:rPr>
          <w:color w:val="374151"/>
          <w:shd w:fill="F7F7F8" w:color="auto" w:val="clear"/>
        </w:rPr>
        <w:t>STIs</w:t>
      </w:r>
      <w:r>
        <w:rPr>
          <w:color w:val="374151"/>
          <w:spacing w:val="-5"/>
          <w:shd w:fill="F7F7F8" w:color="auto" w:val="clear"/>
        </w:rPr>
        <w:t> </w:t>
      </w:r>
      <w:r>
        <w:rPr>
          <w:color w:val="374151"/>
          <w:shd w:fill="F7F7F8" w:color="auto" w:val="clear"/>
        </w:rPr>
        <w:t>can</w:t>
      </w:r>
      <w:r>
        <w:rPr>
          <w:color w:val="374151"/>
          <w:spacing w:val="-3"/>
          <w:shd w:fill="F7F7F8" w:color="auto" w:val="clear"/>
        </w:rPr>
        <w:t> </w:t>
      </w:r>
      <w:r>
        <w:rPr>
          <w:color w:val="374151"/>
          <w:shd w:fill="F7F7F8" w:color="auto" w:val="clear"/>
        </w:rPr>
        <w:t>significantly</w:t>
      </w:r>
      <w:r>
        <w:rPr>
          <w:color w:val="374151"/>
          <w:spacing w:val="-2"/>
          <w:shd w:fill="F7F7F8" w:color="auto" w:val="clear"/>
        </w:rPr>
        <w:t> </w:t>
      </w:r>
      <w:r>
        <w:rPr>
          <w:color w:val="374151"/>
          <w:shd w:fill="F7F7F8" w:color="auto" w:val="clear"/>
        </w:rPr>
        <w:t>affect</w:t>
      </w:r>
      <w:r>
        <w:rPr>
          <w:color w:val="374151"/>
          <w:spacing w:val="-3"/>
          <w:shd w:fill="F7F7F8" w:color="auto" w:val="clear"/>
        </w:rPr>
        <w:t> </w:t>
      </w:r>
      <w:r>
        <w:rPr>
          <w:color w:val="374151"/>
          <w:shd w:fill="F7F7F8" w:color="auto" w:val="clear"/>
        </w:rPr>
        <w:t>intimate</w:t>
      </w:r>
      <w:r>
        <w:rPr>
          <w:color w:val="374151"/>
          <w:spacing w:val="-3"/>
          <w:shd w:fill="F7F7F8" w:color="auto" w:val="clear"/>
        </w:rPr>
        <w:t> </w:t>
      </w:r>
      <w:r>
        <w:rPr>
          <w:color w:val="374151"/>
          <w:shd w:fill="F7F7F8" w:color="auto" w:val="clear"/>
        </w:rPr>
        <w:t>relationships.</w:t>
      </w:r>
      <w:r>
        <w:rPr>
          <w:color w:val="374151"/>
          <w:spacing w:val="-8"/>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disclosure</w:t>
      </w:r>
      <w:r>
        <w:rPr>
          <w:color w:val="374151"/>
          <w:spacing w:val="-3"/>
          <w:shd w:fill="F7F7F8" w:color="auto" w:val="clear"/>
        </w:rPr>
        <w:t> </w:t>
      </w:r>
      <w:r>
        <w:rPr>
          <w:color w:val="374151"/>
          <w:shd w:fill="F7F7F8" w:color="auto" w:val="clear"/>
        </w:rPr>
        <w:t>of</w:t>
      </w:r>
      <w:r>
        <w:rPr>
          <w:color w:val="374151"/>
          <w:spacing w:val="-3"/>
          <w:shd w:fill="F7F7F8" w:color="auto" w:val="clear"/>
        </w:rPr>
        <w:t> </w:t>
      </w:r>
      <w:r>
        <w:rPr>
          <w:color w:val="374151"/>
          <w:shd w:fill="F7F7F8" w:color="auto" w:val="clear"/>
        </w:rPr>
        <w:t>an</w:t>
      </w:r>
      <w:r>
        <w:rPr>
          <w:color w:val="374151"/>
          <w:spacing w:val="-2"/>
          <w:shd w:fill="F7F7F8" w:color="auto" w:val="clear"/>
        </w:rPr>
        <w:t> </w:t>
      </w:r>
      <w:r>
        <w:rPr>
          <w:color w:val="374151"/>
          <w:spacing w:val="-5"/>
          <w:shd w:fill="F7F7F8" w:color="auto" w:val="clear"/>
        </w:rPr>
        <w:t>STI</w:t>
      </w:r>
      <w:r>
        <w:rPr>
          <w:color w:val="374151"/>
          <w:spacing w:val="40"/>
          <w:shd w:fill="F7F7F8" w:color="auto" w:val="clear"/>
        </w:rPr>
        <w:t> </w:t>
      </w:r>
    </w:p>
    <w:p>
      <w:pPr>
        <w:pStyle w:val="BodyText"/>
        <w:ind w:left="280" w:right="502"/>
      </w:pPr>
      <w:r>
        <w:rPr/>
        <mc:AlternateContent>
          <mc:Choice Requires="wps">
            <w:drawing>
              <wp:anchor distT="0" distB="0" distL="0" distR="0" allowOverlap="1" layoutInCell="1" locked="0" behindDoc="1" simplePos="0" relativeHeight="487669248">
                <wp:simplePos x="0" y="0"/>
                <wp:positionH relativeFrom="page">
                  <wp:posOffset>1066800</wp:posOffset>
                </wp:positionH>
                <wp:positionV relativeFrom="paragraph">
                  <wp:posOffset>414611</wp:posOffset>
                </wp:positionV>
                <wp:extent cx="3589654" cy="393700"/>
                <wp:effectExtent l="0" t="0" r="0" b="0"/>
                <wp:wrapTopAndBottom/>
                <wp:docPr id="326" name="Textbox 326"/>
                <wp:cNvGraphicFramePr>
                  <a:graphicFrameLocks/>
                </wp:cNvGraphicFramePr>
                <a:graphic>
                  <a:graphicData uri="http://schemas.microsoft.com/office/word/2010/wordprocessingShape">
                    <wps:wsp>
                      <wps:cNvPr id="326" name="Textbox 326"/>
                      <wps:cNvSpPr txBox="1"/>
                      <wps:spPr>
                        <a:xfrm>
                          <a:off x="0" y="0"/>
                          <a:ext cx="3589654" cy="393700"/>
                        </a:xfrm>
                        <a:prstGeom prst="rect">
                          <a:avLst/>
                        </a:prstGeom>
                        <a:solidFill>
                          <a:srgbClr val="F7F7F8"/>
                        </a:solidFill>
                      </wps:spPr>
                      <wps:txbx>
                        <w:txbxContent>
                          <w:p>
                            <w:pPr>
                              <w:pStyle w:val="BodyText"/>
                              <w:spacing w:line="308" w:lineRule="exact"/>
                              <w:ind w:right="-15"/>
                              <w:rPr>
                                <w:color w:val="000000"/>
                              </w:rPr>
                            </w:pPr>
                            <w:r>
                              <w:rPr>
                                <w:color w:val="374151"/>
                              </w:rPr>
                              <w:t>fear</w:t>
                            </w:r>
                            <w:r>
                              <w:rPr>
                                <w:color w:val="374151"/>
                                <w:spacing w:val="-2"/>
                              </w:rPr>
                              <w:t> </w:t>
                            </w:r>
                            <w:r>
                              <w:rPr>
                                <w:color w:val="374151"/>
                              </w:rPr>
                              <w:t>of</w:t>
                            </w:r>
                            <w:r>
                              <w:rPr>
                                <w:color w:val="374151"/>
                                <w:spacing w:val="-1"/>
                              </w:rPr>
                              <w:t> </w:t>
                            </w:r>
                            <w:r>
                              <w:rPr>
                                <w:color w:val="374151"/>
                              </w:rPr>
                              <w:t>infection,</w:t>
                            </w:r>
                            <w:r>
                              <w:rPr>
                                <w:color w:val="374151"/>
                                <w:spacing w:val="-1"/>
                              </w:rPr>
                              <w:t> </w:t>
                            </w:r>
                            <w:r>
                              <w:rPr>
                                <w:color w:val="374151"/>
                              </w:rPr>
                              <w:t>which</w:t>
                            </w:r>
                            <w:r>
                              <w:rPr>
                                <w:color w:val="374151"/>
                                <w:spacing w:val="-1"/>
                              </w:rPr>
                              <w:t> </w:t>
                            </w:r>
                            <w:r>
                              <w:rPr>
                                <w:color w:val="374151"/>
                              </w:rPr>
                              <w:t>can</w:t>
                            </w:r>
                            <w:r>
                              <w:rPr>
                                <w:color w:val="374151"/>
                                <w:spacing w:val="-1"/>
                              </w:rPr>
                              <w:t> </w:t>
                            </w:r>
                            <w:r>
                              <w:rPr>
                                <w:color w:val="374151"/>
                              </w:rPr>
                              <w:t>strain</w:t>
                            </w:r>
                            <w:r>
                              <w:rPr>
                                <w:color w:val="374151"/>
                                <w:spacing w:val="-1"/>
                              </w:rPr>
                              <w:t> </w:t>
                            </w:r>
                            <w:r>
                              <w:rPr>
                                <w:color w:val="374151"/>
                              </w:rPr>
                              <w:t>the</w:t>
                            </w:r>
                            <w:r>
                              <w:rPr>
                                <w:color w:val="374151"/>
                                <w:spacing w:val="-2"/>
                              </w:rPr>
                              <w:t> relationship.</w:t>
                            </w:r>
                          </w:p>
                        </w:txbxContent>
                      </wps:txbx>
                      <wps:bodyPr wrap="square" lIns="0" tIns="0" rIns="0" bIns="0" rtlCol="0">
                        <a:noAutofit/>
                      </wps:bodyPr>
                    </wps:wsp>
                  </a:graphicData>
                </a:graphic>
              </wp:anchor>
            </w:drawing>
          </mc:Choice>
          <mc:Fallback>
            <w:pict>
              <v:shape style="position:absolute;margin-left:84pt;margin-top:32.646584pt;width:282.650pt;height:31pt;mso-position-horizontal-relative:page;mso-position-vertical-relative:paragraph;z-index:-15647232;mso-wrap-distance-left:0;mso-wrap-distance-right:0" type="#_x0000_t202" id="docshape325" filled="true" fillcolor="#f7f7f8" stroked="false">
                <v:textbox inset="0,0,0,0">
                  <w:txbxContent>
                    <w:p>
                      <w:pPr>
                        <w:pStyle w:val="BodyText"/>
                        <w:spacing w:line="308" w:lineRule="exact"/>
                        <w:ind w:right="-15"/>
                        <w:rPr>
                          <w:color w:val="000000"/>
                        </w:rPr>
                      </w:pPr>
                      <w:r>
                        <w:rPr>
                          <w:color w:val="374151"/>
                        </w:rPr>
                        <w:t>fear</w:t>
                      </w:r>
                      <w:r>
                        <w:rPr>
                          <w:color w:val="374151"/>
                          <w:spacing w:val="-2"/>
                        </w:rPr>
                        <w:t> </w:t>
                      </w:r>
                      <w:r>
                        <w:rPr>
                          <w:color w:val="374151"/>
                        </w:rPr>
                        <w:t>of</w:t>
                      </w:r>
                      <w:r>
                        <w:rPr>
                          <w:color w:val="374151"/>
                          <w:spacing w:val="-1"/>
                        </w:rPr>
                        <w:t> </w:t>
                      </w:r>
                      <w:r>
                        <w:rPr>
                          <w:color w:val="374151"/>
                        </w:rPr>
                        <w:t>infection,</w:t>
                      </w:r>
                      <w:r>
                        <w:rPr>
                          <w:color w:val="374151"/>
                          <w:spacing w:val="-1"/>
                        </w:rPr>
                        <w:t> </w:t>
                      </w:r>
                      <w:r>
                        <w:rPr>
                          <w:color w:val="374151"/>
                        </w:rPr>
                        <w:t>which</w:t>
                      </w:r>
                      <w:r>
                        <w:rPr>
                          <w:color w:val="374151"/>
                          <w:spacing w:val="-1"/>
                        </w:rPr>
                        <w:t> </w:t>
                      </w:r>
                      <w:r>
                        <w:rPr>
                          <w:color w:val="374151"/>
                        </w:rPr>
                        <w:t>can</w:t>
                      </w:r>
                      <w:r>
                        <w:rPr>
                          <w:color w:val="374151"/>
                          <w:spacing w:val="-1"/>
                        </w:rPr>
                        <w:t> </w:t>
                      </w:r>
                      <w:r>
                        <w:rPr>
                          <w:color w:val="374151"/>
                        </w:rPr>
                        <w:t>strain</w:t>
                      </w:r>
                      <w:r>
                        <w:rPr>
                          <w:color w:val="374151"/>
                          <w:spacing w:val="-1"/>
                        </w:rPr>
                        <w:t> </w:t>
                      </w:r>
                      <w:r>
                        <w:rPr>
                          <w:color w:val="374151"/>
                        </w:rPr>
                        <w:t>the</w:t>
                      </w:r>
                      <w:r>
                        <w:rPr>
                          <w:color w:val="374151"/>
                          <w:spacing w:val="-2"/>
                        </w:rPr>
                        <w:t> relationship.</w:t>
                      </w:r>
                    </w:p>
                  </w:txbxContent>
                </v:textbox>
                <v:fill type="solid"/>
                <w10:wrap type="topAndBottom"/>
              </v:shape>
            </w:pict>
          </mc:Fallback>
        </mc:AlternateContent>
      </w:r>
      <w:r>
        <w:rPr>
          <w:color w:val="374151"/>
          <w:shd w:fill="F7F7F8" w:color="auto" w:val="clear"/>
        </w:rPr>
        <w:t>diagnosis</w:t>
      </w:r>
      <w:r>
        <w:rPr>
          <w:color w:val="374151"/>
          <w:spacing w:val="-6"/>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lead</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challenges</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trust,</w:t>
      </w:r>
      <w:r>
        <w:rPr>
          <w:color w:val="374151"/>
          <w:spacing w:val="-4"/>
          <w:shd w:fill="F7F7F8" w:color="auto" w:val="clear"/>
        </w:rPr>
        <w:t> </w:t>
      </w:r>
      <w:r>
        <w:rPr>
          <w:color w:val="374151"/>
          <w:shd w:fill="F7F7F8" w:color="auto" w:val="clear"/>
        </w:rPr>
        <w:t>communication,</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renegotiation</w:t>
      </w:r>
      <w:r>
        <w:rPr>
          <w:color w:val="374151"/>
          <w:spacing w:val="-24"/>
          <w:shd w:fill="F7F7F8" w:color="auto" w:val="clear"/>
        </w:rPr>
        <w:t> </w:t>
      </w:r>
      <w:r>
        <w:rPr>
          <w:color w:val="374151"/>
          <w:spacing w:val="-24"/>
        </w:rPr>
        <w:t> </w:t>
      </w:r>
      <w:r>
        <w:rPr>
          <w:color w:val="374151"/>
          <w:shd w:fill="F7F7F8" w:color="auto" w:val="clear"/>
        </w:rPr>
        <w:t>of sexual boundaries. Partners may experience feelings of anger, betrayal, or</w:t>
      </w:r>
      <w:r>
        <w:rPr>
          <w:color w:val="374151"/>
          <w:spacing w:val="40"/>
          <w:shd w:fill="F7F7F8" w:color="auto" w:val="clear"/>
        </w:rPr>
        <w:t> </w:t>
      </w:r>
    </w:p>
    <w:p>
      <w:pPr>
        <w:pStyle w:val="BodyText"/>
        <w:spacing w:line="237" w:lineRule="auto"/>
        <w:ind w:left="280" w:right="544"/>
      </w:pPr>
      <w:r>
        <w:rPr>
          <w:color w:val="374151"/>
          <w:shd w:fill="F7F7F8" w:color="auto" w:val="clear"/>
        </w:rPr>
        <w:t>Individuals with STIs may find it challenging to communicate effectively </w:t>
      </w:r>
      <w:r>
        <w:rPr>
          <w:color w:val="374151"/>
        </w:rPr>
        <w:t> </w:t>
      </w:r>
      <w:r>
        <w:rPr>
          <w:color w:val="374151"/>
          <w:shd w:fill="F7F7F8" w:color="auto" w:val="clear"/>
        </w:rPr>
        <w:t>about</w:t>
      </w:r>
      <w:r>
        <w:rPr>
          <w:color w:val="374151"/>
          <w:spacing w:val="-4"/>
          <w:shd w:fill="F7F7F8" w:color="auto" w:val="clear"/>
        </w:rPr>
        <w:t> </w:t>
      </w:r>
      <w:r>
        <w:rPr>
          <w:color w:val="374151"/>
          <w:shd w:fill="F7F7F8" w:color="auto" w:val="clear"/>
        </w:rPr>
        <w:t>their</w:t>
      </w:r>
      <w:r>
        <w:rPr>
          <w:color w:val="374151"/>
          <w:spacing w:val="-4"/>
          <w:shd w:fill="F7F7F8" w:color="auto" w:val="clear"/>
        </w:rPr>
        <w:t> </w:t>
      </w:r>
      <w:r>
        <w:rPr>
          <w:color w:val="374151"/>
          <w:shd w:fill="F7F7F8" w:color="auto" w:val="clear"/>
        </w:rPr>
        <w:t>diagnosis</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with</w:t>
      </w:r>
      <w:r>
        <w:rPr>
          <w:color w:val="374151"/>
          <w:spacing w:val="-4"/>
          <w:shd w:fill="F7F7F8" w:color="auto" w:val="clear"/>
        </w:rPr>
        <w:t> </w:t>
      </w:r>
      <w:r>
        <w:rPr>
          <w:color w:val="374151"/>
          <w:shd w:fill="F7F7F8" w:color="auto" w:val="clear"/>
        </w:rPr>
        <w:t>their</w:t>
      </w:r>
      <w:r>
        <w:rPr>
          <w:color w:val="374151"/>
          <w:spacing w:val="-4"/>
          <w:shd w:fill="F7F7F8" w:color="auto" w:val="clear"/>
        </w:rPr>
        <w:t> </w:t>
      </w:r>
      <w:r>
        <w:rPr>
          <w:color w:val="374151"/>
          <w:shd w:fill="F7F7F8" w:color="auto" w:val="clear"/>
        </w:rPr>
        <w:t>partners.</w:t>
      </w:r>
      <w:r>
        <w:rPr>
          <w:color w:val="374151"/>
          <w:spacing w:val="-4"/>
          <w:shd w:fill="F7F7F8" w:color="auto" w:val="clear"/>
        </w:rPr>
        <w:t> </w:t>
      </w:r>
      <w:r>
        <w:rPr>
          <w:color w:val="374151"/>
          <w:shd w:fill="F7F7F8" w:color="auto" w:val="clear"/>
        </w:rPr>
        <w:t>Fear</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judgment</w:t>
      </w:r>
      <w:r>
        <w:rPr>
          <w:color w:val="374151"/>
          <w:spacing w:val="-4"/>
          <w:shd w:fill="F7F7F8" w:color="auto" w:val="clear"/>
        </w:rPr>
        <w:t> </w:t>
      </w:r>
      <w:r>
        <w:rPr>
          <w:color w:val="374151"/>
          <w:shd w:fill="F7F7F8" w:color="auto" w:val="clear"/>
        </w:rPr>
        <w:t>or</w:t>
      </w:r>
      <w:r>
        <w:rPr>
          <w:color w:val="374151"/>
        </w:rPr>
        <w:t> </w:t>
      </w:r>
      <w:r>
        <w:rPr>
          <w:color w:val="374151"/>
          <w:shd w:fill="F7F7F8" w:color="auto" w:val="clear"/>
        </w:rPr>
        <w:t>rejection, guilt, and shame can hinder open and honest conversations.</w:t>
      </w:r>
      <w:r>
        <w:rPr>
          <w:color w:val="374151"/>
          <w:spacing w:val="-1"/>
          <w:shd w:fill="F7F7F8" w:color="auto" w:val="clear"/>
        </w:rPr>
        <w:t> </w:t>
      </w:r>
      <w:r>
        <w:rPr>
          <w:color w:val="374151"/>
          <w:shd w:fill="F7F7F8" w:color="auto" w:val="clear"/>
        </w:rPr>
        <w:t>Trust </w:t>
      </w:r>
      <w:r>
        <w:rPr>
          <w:color w:val="374151"/>
        </w:rPr>
        <w:t> </w:t>
      </w:r>
      <w:r>
        <w:rPr>
          <w:color w:val="374151"/>
          <w:shd w:fill="F7F7F8" w:color="auto" w:val="clear"/>
        </w:rPr>
        <w:t>issues may arise, with partners questioning the infected individual's </w:t>
      </w:r>
      <w:r>
        <w:rPr>
          <w:color w:val="374151"/>
        </w:rPr>
        <w:t> </w:t>
      </w:r>
      <w:r>
        <w:rPr>
          <w:color w:val="374151"/>
          <w:spacing w:val="-2"/>
          <w:shd w:fill="F7F7F8" w:color="auto" w:val="clear"/>
        </w:rPr>
        <w:t>faithfulness</w:t>
      </w:r>
      <w:r>
        <w:rPr>
          <w:color w:val="374151"/>
          <w:spacing w:val="-2"/>
        </w:rPr>
        <w:t>.</w:t>
      </w:r>
    </w:p>
    <w:p>
      <w:pPr>
        <w:pStyle w:val="BodyText"/>
        <w:spacing w:before="2"/>
        <w:rPr>
          <w:sz w:val="27"/>
        </w:rPr>
      </w:pPr>
    </w:p>
    <w:p>
      <w:pPr>
        <w:pStyle w:val="BodyText"/>
        <w:spacing w:before="1"/>
        <w:ind w:left="280" w:right="581"/>
      </w:pPr>
      <w:r>
        <w:rPr>
          <w:color w:val="374151"/>
          <w:shd w:fill="F7F7F8" w:color="auto" w:val="clear"/>
        </w:rPr>
        <w:t>STIs can have a significant impact on sexual and intimate relationships. </w:t>
      </w:r>
      <w:r>
        <w:rPr>
          <w:color w:val="374151"/>
        </w:rPr>
        <w:t> </w:t>
      </w:r>
      <w:r>
        <w:rPr>
          <w:color w:val="374151"/>
          <w:shd w:fill="F7F7F8" w:color="auto" w:val="clear"/>
        </w:rPr>
        <w:t>Individuals with STIs may experience changes in their sexual functioning, </w:t>
      </w:r>
      <w:r>
        <w:rPr>
          <w:color w:val="374151"/>
        </w:rPr>
        <w:t> </w:t>
      </w:r>
      <w:r>
        <w:rPr>
          <w:color w:val="374151"/>
          <w:shd w:fill="F7F7F8" w:color="auto" w:val="clear"/>
        </w:rPr>
        <w:t>such as reduced desire, erectile or vaginal difficulties, or pain during </w:t>
      </w:r>
      <w:r>
        <w:rPr>
          <w:color w:val="374151"/>
        </w:rPr>
        <w:t> </w:t>
      </w:r>
      <w:r>
        <w:rPr>
          <w:color w:val="374151"/>
          <w:shd w:fill="F7F7F8" w:color="auto" w:val="clear"/>
        </w:rPr>
        <w:t>intercourse.</w:t>
      </w:r>
      <w:r>
        <w:rPr>
          <w:color w:val="374151"/>
          <w:spacing w:val="-7"/>
          <w:shd w:fill="F7F7F8" w:color="auto" w:val="clear"/>
        </w:rPr>
        <w:t> </w:t>
      </w:r>
      <w:r>
        <w:rPr>
          <w:color w:val="374151"/>
          <w:shd w:fill="F7F7F8" w:color="auto" w:val="clear"/>
        </w:rPr>
        <w:t>These</w:t>
      </w:r>
      <w:r>
        <w:rPr>
          <w:color w:val="374151"/>
          <w:spacing w:val="-2"/>
          <w:shd w:fill="F7F7F8" w:color="auto" w:val="clear"/>
        </w:rPr>
        <w:t> </w:t>
      </w:r>
      <w:r>
        <w:rPr>
          <w:color w:val="374151"/>
          <w:shd w:fill="F7F7F8" w:color="auto" w:val="clear"/>
        </w:rPr>
        <w:t>physical</w:t>
      </w:r>
      <w:r>
        <w:rPr>
          <w:color w:val="374151"/>
          <w:spacing w:val="-1"/>
          <w:shd w:fill="F7F7F8" w:color="auto" w:val="clear"/>
        </w:rPr>
        <w:t> </w:t>
      </w:r>
      <w:r>
        <w:rPr>
          <w:color w:val="374151"/>
          <w:shd w:fill="F7F7F8" w:color="auto" w:val="clear"/>
        </w:rPr>
        <w:t>symptoms,</w:t>
      </w:r>
      <w:r>
        <w:rPr>
          <w:color w:val="374151"/>
          <w:spacing w:val="-1"/>
          <w:shd w:fill="F7F7F8" w:color="auto" w:val="clear"/>
        </w:rPr>
        <w:t> </w:t>
      </w:r>
      <w:r>
        <w:rPr>
          <w:color w:val="374151"/>
          <w:shd w:fill="F7F7F8" w:color="auto" w:val="clear"/>
        </w:rPr>
        <w:t>along</w:t>
      </w:r>
      <w:r>
        <w:rPr>
          <w:color w:val="374151"/>
          <w:spacing w:val="-1"/>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emotional</w:t>
      </w:r>
      <w:r>
        <w:rPr>
          <w:color w:val="374151"/>
          <w:spacing w:val="-1"/>
          <w:shd w:fill="F7F7F8" w:color="auto" w:val="clear"/>
        </w:rPr>
        <w:t> </w:t>
      </w:r>
      <w:r>
        <w:rPr>
          <w:color w:val="374151"/>
          <w:shd w:fill="F7F7F8" w:color="auto" w:val="clear"/>
        </w:rPr>
        <w:t>concerns</w:t>
      </w:r>
      <w:r>
        <w:rPr>
          <w:color w:val="374151"/>
          <w:spacing w:val="-1"/>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the</w:t>
      </w:r>
      <w:r>
        <w:rPr>
          <w:color w:val="374151"/>
          <w:spacing w:val="-1"/>
          <w:shd w:fill="F7F7F8" w:color="auto" w:val="clear"/>
        </w:rPr>
        <w:t> </w:t>
      </w:r>
      <w:r>
        <w:rPr>
          <w:color w:val="374151"/>
          <w:spacing w:val="-1"/>
        </w:rPr>
        <w:t> </w:t>
      </w:r>
      <w:r>
        <w:rPr>
          <w:color w:val="374151"/>
          <w:shd w:fill="F7F7F8" w:color="auto" w:val="clear"/>
        </w:rPr>
        <w:t>fear</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transmitting</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infection,</w:t>
      </w:r>
      <w:r>
        <w:rPr>
          <w:color w:val="374151"/>
          <w:spacing w:val="-4"/>
          <w:shd w:fill="F7F7F8" w:color="auto" w:val="clear"/>
        </w:rPr>
        <w:t> </w:t>
      </w:r>
      <w:r>
        <w:rPr>
          <w:color w:val="374151"/>
          <w:shd w:fill="F7F7F8" w:color="auto" w:val="clear"/>
        </w:rPr>
        <w:t>can</w:t>
      </w:r>
      <w:r>
        <w:rPr>
          <w:color w:val="374151"/>
          <w:spacing w:val="-4"/>
          <w:shd w:fill="F7F7F8" w:color="auto" w:val="clear"/>
        </w:rPr>
        <w:t> </w:t>
      </w:r>
      <w:r>
        <w:rPr>
          <w:color w:val="374151"/>
          <w:shd w:fill="F7F7F8" w:color="auto" w:val="clear"/>
        </w:rPr>
        <w:t>lead</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decreased</w:t>
      </w:r>
      <w:r>
        <w:rPr>
          <w:color w:val="374151"/>
          <w:spacing w:val="-4"/>
          <w:shd w:fill="F7F7F8" w:color="auto" w:val="clear"/>
        </w:rPr>
        <w:t> </w:t>
      </w:r>
      <w:r>
        <w:rPr>
          <w:color w:val="374151"/>
          <w:shd w:fill="F7F7F8" w:color="auto" w:val="clear"/>
        </w:rPr>
        <w:t>sexual</w:t>
      </w:r>
      <w:r>
        <w:rPr>
          <w:color w:val="374151"/>
          <w:spacing w:val="-4"/>
          <w:shd w:fill="F7F7F8" w:color="auto" w:val="clear"/>
        </w:rPr>
        <w:t> </w:t>
      </w:r>
      <w:r>
        <w:rPr>
          <w:color w:val="374151"/>
          <w:shd w:fill="F7F7F8" w:color="auto" w:val="clear"/>
        </w:rPr>
        <w:t>satisfaction</w:t>
      </w:r>
      <w:r>
        <w:rPr>
          <w:color w:val="374151"/>
          <w:spacing w:val="-4"/>
          <w:shd w:fill="F7F7F8" w:color="auto" w:val="clear"/>
        </w:rPr>
        <w:t> </w:t>
      </w:r>
      <w:r>
        <w:rPr>
          <w:color w:val="374151"/>
          <w:shd w:fill="F7F7F8" w:color="auto" w:val="clear"/>
        </w:rPr>
        <w:t>and</w:t>
      </w:r>
      <w:r>
        <w:rPr>
          <w:color w:val="374151"/>
          <w:spacing w:val="-4"/>
          <w:shd w:fill="F7F7F8" w:color="auto" w:val="clear"/>
        </w:rPr>
        <w:t> </w:t>
      </w:r>
      <w:r>
        <w:rPr>
          <w:color w:val="374151"/>
          <w:spacing w:val="-4"/>
        </w:rPr>
        <w:t> </w:t>
      </w:r>
      <w:r>
        <w:rPr>
          <w:color w:val="374151"/>
          <w:shd w:fill="F7F7F8" w:color="auto" w:val="clear"/>
        </w:rPr>
        <w:t>intimacy in relationships.</w:t>
      </w:r>
    </w:p>
    <w:p>
      <w:pPr>
        <w:pStyle w:val="BodyText"/>
        <w:spacing w:before="9"/>
        <w:rPr>
          <w:sz w:val="26"/>
        </w:rPr>
      </w:pPr>
    </w:p>
    <w:p>
      <w:pPr>
        <w:pStyle w:val="BodyText"/>
        <w:ind w:left="280" w:right="502"/>
      </w:pPr>
      <w:r>
        <w:rPr>
          <w:color w:val="374151"/>
          <w:shd w:fill="F7F7F8" w:color="auto" w:val="clear"/>
        </w:rPr>
        <w:t>Couples therapy can be an essential intervention for addressing relationship </w:t>
      </w:r>
      <w:r>
        <w:rPr>
          <w:color w:val="374151"/>
        </w:rPr>
        <w:t> </w:t>
      </w:r>
      <w:r>
        <w:rPr>
          <w:color w:val="374151"/>
          <w:shd w:fill="F7F7F8" w:color="auto" w:val="clear"/>
        </w:rPr>
        <w:t>challenges related to STIs.</w:t>
      </w:r>
      <w:r>
        <w:rPr>
          <w:color w:val="374151"/>
          <w:spacing w:val="-1"/>
          <w:shd w:fill="F7F7F8" w:color="auto" w:val="clear"/>
        </w:rPr>
        <w:t> </w:t>
      </w:r>
      <w:r>
        <w:rPr>
          <w:color w:val="374151"/>
          <w:shd w:fill="F7F7F8" w:color="auto" w:val="clear"/>
        </w:rPr>
        <w:t>Therapists can provide a safe space for open </w:t>
      </w:r>
      <w:r>
        <w:rPr>
          <w:color w:val="374151"/>
        </w:rPr>
        <w:t> </w:t>
      </w:r>
      <w:r>
        <w:rPr>
          <w:color w:val="374151"/>
          <w:shd w:fill="F7F7F8" w:color="auto" w:val="clear"/>
        </w:rPr>
        <w:t>communication,</w:t>
      </w:r>
      <w:r>
        <w:rPr>
          <w:color w:val="374151"/>
          <w:spacing w:val="-5"/>
          <w:shd w:fill="F7F7F8" w:color="auto" w:val="clear"/>
        </w:rPr>
        <w:t> </w:t>
      </w:r>
      <w:r>
        <w:rPr>
          <w:color w:val="374151"/>
          <w:shd w:fill="F7F7F8" w:color="auto" w:val="clear"/>
        </w:rPr>
        <w:t>facilitate</w:t>
      </w:r>
      <w:r>
        <w:rPr>
          <w:color w:val="374151"/>
          <w:spacing w:val="-6"/>
          <w:shd w:fill="F7F7F8" w:color="auto" w:val="clear"/>
        </w:rPr>
        <w:t> </w:t>
      </w:r>
      <w:r>
        <w:rPr>
          <w:color w:val="374151"/>
          <w:shd w:fill="F7F7F8" w:color="auto" w:val="clear"/>
        </w:rPr>
        <w:t>understanding</w:t>
      </w:r>
      <w:r>
        <w:rPr>
          <w:color w:val="374151"/>
          <w:spacing w:val="-5"/>
          <w:shd w:fill="F7F7F8" w:color="auto" w:val="clear"/>
        </w:rPr>
        <w:t> </w:t>
      </w:r>
      <w:r>
        <w:rPr>
          <w:color w:val="374151"/>
          <w:shd w:fill="F7F7F8" w:color="auto" w:val="clear"/>
        </w:rPr>
        <w:t>and</w:t>
      </w:r>
      <w:r>
        <w:rPr>
          <w:color w:val="374151"/>
          <w:spacing w:val="-5"/>
          <w:shd w:fill="F7F7F8" w:color="auto" w:val="clear"/>
        </w:rPr>
        <w:t> </w:t>
      </w:r>
      <w:r>
        <w:rPr>
          <w:color w:val="374151"/>
          <w:shd w:fill="F7F7F8" w:color="auto" w:val="clear"/>
        </w:rPr>
        <w:t>empathy</w:t>
      </w:r>
      <w:r>
        <w:rPr>
          <w:color w:val="374151"/>
          <w:spacing w:val="-5"/>
          <w:shd w:fill="F7F7F8" w:color="auto" w:val="clear"/>
        </w:rPr>
        <w:t> </w:t>
      </w:r>
      <w:r>
        <w:rPr>
          <w:color w:val="374151"/>
          <w:shd w:fill="F7F7F8" w:color="auto" w:val="clear"/>
        </w:rPr>
        <w:t>between</w:t>
      </w:r>
      <w:r>
        <w:rPr>
          <w:color w:val="374151"/>
          <w:spacing w:val="-5"/>
          <w:shd w:fill="F7F7F8" w:color="auto" w:val="clear"/>
        </w:rPr>
        <w:t> </w:t>
      </w:r>
      <w:r>
        <w:rPr>
          <w:color w:val="374151"/>
          <w:shd w:fill="F7F7F8" w:color="auto" w:val="clear"/>
        </w:rPr>
        <w:t>partners,</w:t>
      </w:r>
      <w:r>
        <w:rPr>
          <w:color w:val="374151"/>
          <w:spacing w:val="-5"/>
          <w:shd w:fill="F7F7F8" w:color="auto" w:val="clear"/>
        </w:rPr>
        <w:t> </w:t>
      </w:r>
      <w:r>
        <w:rPr>
          <w:color w:val="374151"/>
          <w:shd w:fill="F7F7F8" w:color="auto" w:val="clear"/>
        </w:rPr>
        <w:t>and</w:t>
      </w:r>
      <w:r>
        <w:rPr>
          <w:color w:val="374151"/>
          <w:spacing w:val="-6"/>
          <w:shd w:fill="F7F7F8" w:color="auto" w:val="clear"/>
        </w:rPr>
        <w:t> </w:t>
      </w:r>
      <w:r>
        <w:rPr>
          <w:color w:val="374151"/>
          <w:spacing w:val="-6"/>
        </w:rPr>
        <w:t> </w:t>
      </w:r>
      <w:r>
        <w:rPr>
          <w:color w:val="374151"/>
          <w:shd w:fill="F7F7F8" w:color="auto" w:val="clear"/>
        </w:rPr>
        <w:t>help develop strategies to rebuild trust and intimacy. Relationship</w:t>
      </w:r>
      <w:r>
        <w:rPr>
          <w:color w:val="374151"/>
          <w:spacing w:val="40"/>
          <w:shd w:fill="F7F7F8" w:color="auto" w:val="clear"/>
        </w:rPr>
        <w:t> </w:t>
      </w:r>
    </w:p>
    <w:p>
      <w:pPr>
        <w:spacing w:after="0"/>
        <w:sectPr>
          <w:pgSz w:w="12240" w:h="15840"/>
          <w:pgMar w:header="0" w:footer="765" w:top="1260" w:bottom="980" w:left="1400" w:right="1180"/>
        </w:sectPr>
      </w:pPr>
    </w:p>
    <w:p>
      <w:pPr>
        <w:pStyle w:val="BodyText"/>
        <w:spacing w:before="66"/>
        <w:ind w:left="280" w:right="668"/>
      </w:pPr>
      <w:r>
        <w:rPr/>
        <mc:AlternateContent>
          <mc:Choice Requires="wps">
            <w:drawing>
              <wp:anchor distT="0" distB="0" distL="0" distR="0" allowOverlap="1" layoutInCell="1" locked="0" behindDoc="1" simplePos="0" relativeHeight="487669760">
                <wp:simplePos x="0" y="0"/>
                <wp:positionH relativeFrom="page">
                  <wp:posOffset>1066800</wp:posOffset>
                </wp:positionH>
                <wp:positionV relativeFrom="paragraph">
                  <wp:posOffset>660314</wp:posOffset>
                </wp:positionV>
                <wp:extent cx="2676525" cy="787400"/>
                <wp:effectExtent l="0" t="0" r="0" b="0"/>
                <wp:wrapTopAndBottom/>
                <wp:docPr id="327" name="Group 327"/>
                <wp:cNvGraphicFramePr>
                  <a:graphicFrameLocks/>
                </wp:cNvGraphicFramePr>
                <a:graphic>
                  <a:graphicData uri="http://schemas.microsoft.com/office/word/2010/wordprocessingGroup">
                    <wpg:wgp>
                      <wpg:cNvPr id="327" name="Group 327"/>
                      <wpg:cNvGrpSpPr/>
                      <wpg:grpSpPr>
                        <a:xfrm>
                          <a:off x="0" y="0"/>
                          <a:ext cx="2676525" cy="787400"/>
                          <a:chExt cx="2676525" cy="787400"/>
                        </a:xfrm>
                      </wpg:grpSpPr>
                      <wps:wsp>
                        <wps:cNvPr id="328" name="Textbox 328"/>
                        <wps:cNvSpPr txBox="1"/>
                        <wps:spPr>
                          <a:xfrm>
                            <a:off x="0" y="393700"/>
                            <a:ext cx="2676525" cy="393700"/>
                          </a:xfrm>
                          <a:prstGeom prst="rect">
                            <a:avLst/>
                          </a:prstGeom>
                          <a:solidFill>
                            <a:srgbClr val="F7F7F8"/>
                          </a:solidFill>
                        </wps:spPr>
                        <wps:txbx>
                          <w:txbxContent>
                            <w:p>
                              <w:pPr>
                                <w:spacing w:line="308" w:lineRule="exact" w:before="0"/>
                                <w:ind w:left="0" w:right="-15" w:firstLine="0"/>
                                <w:jc w:val="left"/>
                                <w:rPr>
                                  <w:i/>
                                  <w:color w:val="000000"/>
                                  <w:sz w:val="28"/>
                                </w:rPr>
                              </w:pPr>
                              <w:r>
                                <w:rPr>
                                  <w:i/>
                                  <w:color w:val="374151"/>
                                  <w:sz w:val="28"/>
                                </w:rPr>
                                <w:t>Body</w:t>
                              </w:r>
                              <w:r>
                                <w:rPr>
                                  <w:i/>
                                  <w:color w:val="374151"/>
                                  <w:spacing w:val="-3"/>
                                  <w:sz w:val="28"/>
                                </w:rPr>
                                <w:t> </w:t>
                              </w:r>
                              <w:r>
                                <w:rPr>
                                  <w:i/>
                                  <w:color w:val="374151"/>
                                  <w:sz w:val="28"/>
                                </w:rPr>
                                <w:t>image</w:t>
                              </w:r>
                              <w:r>
                                <w:rPr>
                                  <w:i/>
                                  <w:color w:val="374151"/>
                                  <w:spacing w:val="-2"/>
                                  <w:sz w:val="28"/>
                                </w:rPr>
                                <w:t> </w:t>
                              </w:r>
                              <w:r>
                                <w:rPr>
                                  <w:i/>
                                  <w:color w:val="374151"/>
                                  <w:sz w:val="28"/>
                                </w:rPr>
                                <w:t>and</w:t>
                              </w:r>
                              <w:r>
                                <w:rPr>
                                  <w:i/>
                                  <w:color w:val="374151"/>
                                  <w:spacing w:val="-1"/>
                                  <w:sz w:val="28"/>
                                </w:rPr>
                                <w:t> </w:t>
                              </w:r>
                              <w:r>
                                <w:rPr>
                                  <w:i/>
                                  <w:color w:val="374151"/>
                                  <w:sz w:val="28"/>
                                </w:rPr>
                                <w:t>self-esteem</w:t>
                              </w:r>
                              <w:r>
                                <w:rPr>
                                  <w:i/>
                                  <w:color w:val="374151"/>
                                  <w:spacing w:val="-1"/>
                                  <w:sz w:val="28"/>
                                </w:rPr>
                                <w:t> </w:t>
                              </w:r>
                              <w:r>
                                <w:rPr>
                                  <w:i/>
                                  <w:color w:val="374151"/>
                                  <w:spacing w:val="-2"/>
                                  <w:sz w:val="28"/>
                                </w:rPr>
                                <w:t>concerns</w:t>
                              </w:r>
                            </w:p>
                          </w:txbxContent>
                        </wps:txbx>
                        <wps:bodyPr wrap="square" lIns="0" tIns="0" rIns="0" bIns="0" rtlCol="0">
                          <a:noAutofit/>
                        </wps:bodyPr>
                      </wps:wsp>
                      <wps:wsp>
                        <wps:cNvPr id="329" name="Textbox 329"/>
                        <wps:cNvSpPr txBox="1"/>
                        <wps:spPr>
                          <a:xfrm>
                            <a:off x="0" y="0"/>
                            <a:ext cx="953135" cy="393700"/>
                          </a:xfrm>
                          <a:prstGeom prst="rect">
                            <a:avLst/>
                          </a:prstGeom>
                          <a:solidFill>
                            <a:srgbClr val="F7F7F8"/>
                          </a:solidFill>
                        </wps:spPr>
                        <wps:txbx>
                          <w:txbxContent>
                            <w:p>
                              <w:pPr>
                                <w:spacing w:line="308" w:lineRule="exact" w:before="0"/>
                                <w:ind w:left="0" w:right="0" w:firstLine="0"/>
                                <w:jc w:val="left"/>
                                <w:rPr>
                                  <w:color w:val="000000"/>
                                  <w:sz w:val="28"/>
                                </w:rPr>
                              </w:pPr>
                              <w:r>
                                <w:rPr>
                                  <w:color w:val="374151"/>
                                  <w:spacing w:val="-2"/>
                                  <w:sz w:val="28"/>
                                </w:rPr>
                                <w:t>relationships.</w:t>
                              </w:r>
                            </w:p>
                          </w:txbxContent>
                        </wps:txbx>
                        <wps:bodyPr wrap="square" lIns="0" tIns="0" rIns="0" bIns="0" rtlCol="0">
                          <a:noAutofit/>
                        </wps:bodyPr>
                      </wps:wsp>
                    </wpg:wgp>
                  </a:graphicData>
                </a:graphic>
              </wp:anchor>
            </w:drawing>
          </mc:Choice>
          <mc:Fallback>
            <w:pict>
              <v:group style="position:absolute;margin-left:84pt;margin-top:51.993298pt;width:210.75pt;height:62pt;mso-position-horizontal-relative:page;mso-position-vertical-relative:paragraph;z-index:-15646720;mso-wrap-distance-left:0;mso-wrap-distance-right:0" id="docshapegroup326" coordorigin="1680,1040" coordsize="4215,1240">
                <v:shape style="position:absolute;left:1680;top:1659;width:4215;height:620" type="#_x0000_t202" id="docshape327" filled="true" fillcolor="#f7f7f8" stroked="false">
                  <v:textbox inset="0,0,0,0">
                    <w:txbxContent>
                      <w:p>
                        <w:pPr>
                          <w:spacing w:line="308" w:lineRule="exact" w:before="0"/>
                          <w:ind w:left="0" w:right="-15" w:firstLine="0"/>
                          <w:jc w:val="left"/>
                          <w:rPr>
                            <w:i/>
                            <w:color w:val="000000"/>
                            <w:sz w:val="28"/>
                          </w:rPr>
                        </w:pPr>
                        <w:r>
                          <w:rPr>
                            <w:i/>
                            <w:color w:val="374151"/>
                            <w:sz w:val="28"/>
                          </w:rPr>
                          <w:t>Body</w:t>
                        </w:r>
                        <w:r>
                          <w:rPr>
                            <w:i/>
                            <w:color w:val="374151"/>
                            <w:spacing w:val="-3"/>
                            <w:sz w:val="28"/>
                          </w:rPr>
                          <w:t> </w:t>
                        </w:r>
                        <w:r>
                          <w:rPr>
                            <w:i/>
                            <w:color w:val="374151"/>
                            <w:sz w:val="28"/>
                          </w:rPr>
                          <w:t>image</w:t>
                        </w:r>
                        <w:r>
                          <w:rPr>
                            <w:i/>
                            <w:color w:val="374151"/>
                            <w:spacing w:val="-2"/>
                            <w:sz w:val="28"/>
                          </w:rPr>
                          <w:t> </w:t>
                        </w:r>
                        <w:r>
                          <w:rPr>
                            <w:i/>
                            <w:color w:val="374151"/>
                            <w:sz w:val="28"/>
                          </w:rPr>
                          <w:t>and</w:t>
                        </w:r>
                        <w:r>
                          <w:rPr>
                            <w:i/>
                            <w:color w:val="374151"/>
                            <w:spacing w:val="-1"/>
                            <w:sz w:val="28"/>
                          </w:rPr>
                          <w:t> </w:t>
                        </w:r>
                        <w:r>
                          <w:rPr>
                            <w:i/>
                            <w:color w:val="374151"/>
                            <w:sz w:val="28"/>
                          </w:rPr>
                          <w:t>self-esteem</w:t>
                        </w:r>
                        <w:r>
                          <w:rPr>
                            <w:i/>
                            <w:color w:val="374151"/>
                            <w:spacing w:val="-1"/>
                            <w:sz w:val="28"/>
                          </w:rPr>
                          <w:t> </w:t>
                        </w:r>
                        <w:r>
                          <w:rPr>
                            <w:i/>
                            <w:color w:val="374151"/>
                            <w:spacing w:val="-2"/>
                            <w:sz w:val="28"/>
                          </w:rPr>
                          <w:t>concerns</w:t>
                        </w:r>
                      </w:p>
                    </w:txbxContent>
                  </v:textbox>
                  <v:fill type="solid"/>
                  <w10:wrap type="none"/>
                </v:shape>
                <v:shape style="position:absolute;left:1680;top:1039;width:1501;height:620" type="#_x0000_t202" id="docshape328" filled="true" fillcolor="#f7f7f8" stroked="false">
                  <v:textbox inset="0,0,0,0">
                    <w:txbxContent>
                      <w:p>
                        <w:pPr>
                          <w:spacing w:line="308" w:lineRule="exact" w:before="0"/>
                          <w:ind w:left="0" w:right="0" w:firstLine="0"/>
                          <w:jc w:val="left"/>
                          <w:rPr>
                            <w:color w:val="000000"/>
                            <w:sz w:val="28"/>
                          </w:rPr>
                        </w:pPr>
                        <w:r>
                          <w:rPr>
                            <w:color w:val="374151"/>
                            <w:spacing w:val="-2"/>
                            <w:sz w:val="28"/>
                          </w:rPr>
                          <w:t>relationships.</w:t>
                        </w:r>
                      </w:p>
                    </w:txbxContent>
                  </v:textbox>
                  <v:fill type="solid"/>
                  <w10:wrap type="none"/>
                </v:shape>
                <w10:wrap type="topAndBottom"/>
              </v:group>
            </w:pict>
          </mc:Fallback>
        </mc:AlternateContent>
      </w:r>
      <w:r>
        <w:rPr>
          <w:color w:val="374151"/>
          <w:shd w:fill="F7F7F8" w:color="auto" w:val="clear"/>
        </w:rPr>
        <w:t>enhancement</w:t>
      </w:r>
      <w:r>
        <w:rPr>
          <w:color w:val="374151"/>
          <w:spacing w:val="-5"/>
          <w:shd w:fill="F7F7F8" w:color="auto" w:val="clear"/>
        </w:rPr>
        <w:t> </w:t>
      </w:r>
      <w:r>
        <w:rPr>
          <w:color w:val="374151"/>
          <w:shd w:fill="F7F7F8" w:color="auto" w:val="clear"/>
        </w:rPr>
        <w:t>techniques,</w:t>
      </w:r>
      <w:r>
        <w:rPr>
          <w:color w:val="374151"/>
          <w:spacing w:val="-5"/>
          <w:shd w:fill="F7F7F8" w:color="auto" w:val="clear"/>
        </w:rPr>
        <w:t> </w:t>
      </w:r>
      <w:r>
        <w:rPr>
          <w:color w:val="374151"/>
          <w:shd w:fill="F7F7F8" w:color="auto" w:val="clear"/>
        </w:rPr>
        <w:t>such</w:t>
      </w:r>
      <w:r>
        <w:rPr>
          <w:color w:val="374151"/>
          <w:spacing w:val="-5"/>
          <w:shd w:fill="F7F7F8" w:color="auto" w:val="clear"/>
        </w:rPr>
        <w:t> </w:t>
      </w:r>
      <w:r>
        <w:rPr>
          <w:color w:val="374151"/>
          <w:shd w:fill="F7F7F8" w:color="auto" w:val="clear"/>
        </w:rPr>
        <w:t>as</w:t>
      </w:r>
      <w:r>
        <w:rPr>
          <w:color w:val="374151"/>
          <w:spacing w:val="-5"/>
          <w:shd w:fill="F7F7F8" w:color="auto" w:val="clear"/>
        </w:rPr>
        <w:t> </w:t>
      </w:r>
      <w:r>
        <w:rPr>
          <w:color w:val="374151"/>
          <w:shd w:fill="F7F7F8" w:color="auto" w:val="clear"/>
        </w:rPr>
        <w:t>improving</w:t>
      </w:r>
      <w:r>
        <w:rPr>
          <w:color w:val="374151"/>
          <w:spacing w:val="-5"/>
          <w:shd w:fill="F7F7F8" w:color="auto" w:val="clear"/>
        </w:rPr>
        <w:t> </w:t>
      </w:r>
      <w:r>
        <w:rPr>
          <w:color w:val="374151"/>
          <w:shd w:fill="F7F7F8" w:color="auto" w:val="clear"/>
        </w:rPr>
        <w:t>communication</w:t>
      </w:r>
      <w:r>
        <w:rPr>
          <w:color w:val="374151"/>
          <w:spacing w:val="-5"/>
          <w:shd w:fill="F7F7F8" w:color="auto" w:val="clear"/>
        </w:rPr>
        <w:t> </w:t>
      </w:r>
      <w:r>
        <w:rPr>
          <w:color w:val="374151"/>
          <w:shd w:fill="F7F7F8" w:color="auto" w:val="clear"/>
        </w:rPr>
        <w:t>skills,</w:t>
      </w:r>
      <w:r>
        <w:rPr>
          <w:color w:val="374151"/>
          <w:spacing w:val="-5"/>
          <w:shd w:fill="F7F7F8" w:color="auto" w:val="clear"/>
        </w:rPr>
        <w:t> </w:t>
      </w:r>
      <w:r>
        <w:rPr>
          <w:color w:val="374151"/>
          <w:shd w:fill="F7F7F8" w:color="auto" w:val="clear"/>
        </w:rPr>
        <w:t>fostering</w:t>
      </w:r>
      <w:r>
        <w:rPr>
          <w:color w:val="374151"/>
          <w:spacing w:val="-6"/>
          <w:shd w:fill="F7F7F8" w:color="auto" w:val="clear"/>
        </w:rPr>
        <w:t> </w:t>
      </w:r>
      <w:r>
        <w:rPr>
          <w:color w:val="374151"/>
          <w:spacing w:val="-6"/>
        </w:rPr>
        <w:t> </w:t>
      </w:r>
      <w:r>
        <w:rPr>
          <w:color w:val="374151"/>
          <w:shd w:fill="F7F7F8" w:color="auto" w:val="clear"/>
        </w:rPr>
        <w:t>emotional intimacy, and exploring alternative ways of expressing affection, </w:t>
      </w:r>
      <w:r>
        <w:rPr>
          <w:color w:val="374151"/>
        </w:rPr>
        <w:t> </w:t>
      </w:r>
      <w:r>
        <w:rPr>
          <w:color w:val="374151"/>
          <w:shd w:fill="F7F7F8" w:color="auto" w:val="clear"/>
        </w:rPr>
        <w:t>can also support couples in navigating the impact of STIs on their</w:t>
      </w:r>
      <w:r>
        <w:rPr>
          <w:color w:val="374151"/>
          <w:spacing w:val="40"/>
          <w:shd w:fill="F7F7F8" w:color="auto" w:val="clear"/>
        </w:rPr>
        <w:t> </w:t>
      </w:r>
    </w:p>
    <w:p>
      <w:pPr>
        <w:pStyle w:val="BodyText"/>
        <w:spacing w:line="237" w:lineRule="auto" w:after="4"/>
        <w:ind w:left="280" w:right="502"/>
      </w:pPr>
      <w:r>
        <w:rPr>
          <w:color w:val="374151"/>
          <w:shd w:fill="F7F7F8" w:color="auto" w:val="clear"/>
        </w:rPr>
        <w:t>STIs</w:t>
      </w:r>
      <w:r>
        <w:rPr>
          <w:color w:val="374151"/>
          <w:spacing w:val="-3"/>
          <w:shd w:fill="F7F7F8" w:color="auto" w:val="clear"/>
        </w:rPr>
        <w:t> </w:t>
      </w:r>
      <w:r>
        <w:rPr>
          <w:color w:val="374151"/>
          <w:shd w:fill="F7F7F8" w:color="auto" w:val="clear"/>
        </w:rPr>
        <w:t>can</w:t>
      </w:r>
      <w:r>
        <w:rPr>
          <w:color w:val="374151"/>
          <w:spacing w:val="-3"/>
          <w:shd w:fill="F7F7F8" w:color="auto" w:val="clear"/>
        </w:rPr>
        <w:t> </w:t>
      </w:r>
      <w:r>
        <w:rPr>
          <w:color w:val="374151"/>
          <w:shd w:fill="F7F7F8" w:color="auto" w:val="clear"/>
        </w:rPr>
        <w:t>impact</w:t>
      </w:r>
      <w:r>
        <w:rPr>
          <w:color w:val="374151"/>
          <w:spacing w:val="-3"/>
          <w:shd w:fill="F7F7F8" w:color="auto" w:val="clear"/>
        </w:rPr>
        <w:t> </w:t>
      </w:r>
      <w:r>
        <w:rPr>
          <w:color w:val="374151"/>
          <w:shd w:fill="F7F7F8" w:color="auto" w:val="clear"/>
        </w:rPr>
        <w:t>body</w:t>
      </w:r>
      <w:r>
        <w:rPr>
          <w:color w:val="374151"/>
          <w:spacing w:val="-3"/>
          <w:shd w:fill="F7F7F8" w:color="auto" w:val="clear"/>
        </w:rPr>
        <w:t> </w:t>
      </w:r>
      <w:r>
        <w:rPr>
          <w:color w:val="374151"/>
          <w:shd w:fill="F7F7F8" w:color="auto" w:val="clear"/>
        </w:rPr>
        <w:t>image</w:t>
      </w:r>
      <w:r>
        <w:rPr>
          <w:color w:val="374151"/>
          <w:spacing w:val="-4"/>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self-esteem,</w:t>
      </w:r>
      <w:r>
        <w:rPr>
          <w:color w:val="374151"/>
          <w:spacing w:val="-3"/>
          <w:shd w:fill="F7F7F8" w:color="auto" w:val="clear"/>
        </w:rPr>
        <w:t> </w:t>
      </w:r>
      <w:r>
        <w:rPr>
          <w:color w:val="374151"/>
          <w:shd w:fill="F7F7F8" w:color="auto" w:val="clear"/>
        </w:rPr>
        <w:t>particularly</w:t>
      </w:r>
      <w:r>
        <w:rPr>
          <w:color w:val="374151"/>
          <w:spacing w:val="-3"/>
          <w:shd w:fill="F7F7F8" w:color="auto" w:val="clear"/>
        </w:rPr>
        <w:t> </w:t>
      </w:r>
      <w:r>
        <w:rPr>
          <w:color w:val="374151"/>
          <w:shd w:fill="F7F7F8" w:color="auto" w:val="clear"/>
        </w:rPr>
        <w:t>if</w:t>
      </w:r>
      <w:r>
        <w:rPr>
          <w:color w:val="374151"/>
          <w:spacing w:val="-3"/>
          <w:shd w:fill="F7F7F8" w:color="auto" w:val="clear"/>
        </w:rPr>
        <w:t> </w:t>
      </w:r>
      <w:r>
        <w:rPr>
          <w:color w:val="374151"/>
          <w:shd w:fill="F7F7F8" w:color="auto" w:val="clear"/>
        </w:rPr>
        <w:t>visible</w:t>
      </w:r>
      <w:r>
        <w:rPr>
          <w:color w:val="374151"/>
          <w:spacing w:val="-4"/>
          <w:shd w:fill="F7F7F8" w:color="auto" w:val="clear"/>
        </w:rPr>
        <w:t> </w:t>
      </w:r>
      <w:r>
        <w:rPr>
          <w:color w:val="374151"/>
          <w:shd w:fill="F7F7F8" w:color="auto" w:val="clear"/>
        </w:rPr>
        <w:t>symptoms</w:t>
      </w:r>
      <w:r>
        <w:rPr>
          <w:color w:val="374151"/>
          <w:spacing w:val="-4"/>
          <w:shd w:fill="F7F7F8" w:color="auto" w:val="clear"/>
        </w:rPr>
        <w:t> </w:t>
      </w:r>
      <w:r>
        <w:rPr>
          <w:color w:val="374151"/>
          <w:spacing w:val="-4"/>
        </w:rPr>
        <w:t> </w:t>
      </w:r>
      <w:r>
        <w:rPr>
          <w:color w:val="374151"/>
          <w:shd w:fill="F7F7F8" w:color="auto" w:val="clear"/>
        </w:rPr>
        <w:t>are present or if individuals perceive their infection as a reflection of their </w:t>
      </w:r>
      <w:r>
        <w:rPr>
          <w:color w:val="374151"/>
        </w:rPr>
        <w:t> </w:t>
      </w:r>
      <w:r>
        <w:rPr>
          <w:color w:val="374151"/>
          <w:shd w:fill="F7F7F8" w:color="auto" w:val="clear"/>
        </w:rPr>
        <w:t>personal worth. Mental health professionals should address body image </w:t>
      </w:r>
      <w:r>
        <w:rPr>
          <w:color w:val="374151"/>
        </w:rPr>
        <w:t> </w:t>
      </w:r>
      <w:r>
        <w:rPr>
          <w:color w:val="374151"/>
          <w:shd w:fill="F7F7F8" w:color="auto" w:val="clear"/>
        </w:rPr>
        <w:t>concerns and help individuals develop a positive self-image, emphasizing that</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777615" cy="393700"/>
                <wp:effectExtent l="0" t="0" r="0" b="0"/>
                <wp:docPr id="330" name="Textbox 330"/>
                <wp:cNvGraphicFramePr>
                  <a:graphicFrameLocks/>
                </wp:cNvGraphicFramePr>
                <a:graphic>
                  <a:graphicData uri="http://schemas.microsoft.com/office/word/2010/wordprocessingShape">
                    <wps:wsp>
                      <wps:cNvPr id="330" name="Textbox 330"/>
                      <wps:cNvSpPr txBox="1"/>
                      <wps:spPr>
                        <a:xfrm>
                          <a:off x="0" y="0"/>
                          <a:ext cx="3777615" cy="393700"/>
                        </a:xfrm>
                        <a:prstGeom prst="rect">
                          <a:avLst/>
                        </a:prstGeom>
                        <a:solidFill>
                          <a:srgbClr val="F7F7F8"/>
                        </a:solidFill>
                      </wps:spPr>
                      <wps:txbx>
                        <w:txbxContent>
                          <w:p>
                            <w:pPr>
                              <w:pStyle w:val="BodyText"/>
                              <w:spacing w:line="308" w:lineRule="exact"/>
                              <w:ind w:right="-15"/>
                              <w:rPr>
                                <w:color w:val="000000"/>
                              </w:rPr>
                            </w:pPr>
                            <w:r>
                              <w:rPr>
                                <w:color w:val="374151"/>
                              </w:rPr>
                              <w:t>STIs</w:t>
                            </w:r>
                            <w:r>
                              <w:rPr>
                                <w:color w:val="374151"/>
                                <w:spacing w:val="-3"/>
                              </w:rPr>
                              <w:t> </w:t>
                            </w:r>
                            <w:r>
                              <w:rPr>
                                <w:color w:val="374151"/>
                              </w:rPr>
                              <w:t>do</w:t>
                            </w:r>
                            <w:r>
                              <w:rPr>
                                <w:color w:val="374151"/>
                                <w:spacing w:val="-1"/>
                              </w:rPr>
                              <w:t> </w:t>
                            </w:r>
                            <w:r>
                              <w:rPr>
                                <w:color w:val="374151"/>
                              </w:rPr>
                              <w:t>not</w:t>
                            </w:r>
                            <w:r>
                              <w:rPr>
                                <w:color w:val="374151"/>
                                <w:spacing w:val="-1"/>
                              </w:rPr>
                              <w:t> </w:t>
                            </w:r>
                            <w:r>
                              <w:rPr>
                                <w:color w:val="374151"/>
                              </w:rPr>
                              <w:t>define</w:t>
                            </w:r>
                            <w:r>
                              <w:rPr>
                                <w:color w:val="374151"/>
                                <w:spacing w:val="-1"/>
                              </w:rPr>
                              <w:t> </w:t>
                            </w:r>
                            <w:r>
                              <w:rPr>
                                <w:color w:val="374151"/>
                              </w:rPr>
                              <w:t>their</w:t>
                            </w:r>
                            <w:r>
                              <w:rPr>
                                <w:color w:val="374151"/>
                                <w:spacing w:val="-1"/>
                              </w:rPr>
                              <w:t> </w:t>
                            </w:r>
                            <w:r>
                              <w:rPr>
                                <w:color w:val="374151"/>
                              </w:rPr>
                              <w:t>identity</w:t>
                            </w:r>
                            <w:r>
                              <w:rPr>
                                <w:color w:val="374151"/>
                                <w:spacing w:val="-1"/>
                              </w:rPr>
                              <w:t> </w:t>
                            </w:r>
                            <w:r>
                              <w:rPr>
                                <w:color w:val="374151"/>
                              </w:rPr>
                              <w:t>or value</w:t>
                            </w:r>
                            <w:r>
                              <w:rPr>
                                <w:color w:val="374151"/>
                                <w:spacing w:val="-2"/>
                              </w:rPr>
                              <w:t> </w:t>
                            </w:r>
                            <w:r>
                              <w:rPr>
                                <w:color w:val="374151"/>
                              </w:rPr>
                              <w:t>as</w:t>
                            </w:r>
                            <w:r>
                              <w:rPr>
                                <w:color w:val="374151"/>
                                <w:spacing w:val="-1"/>
                              </w:rPr>
                              <w:t> </w:t>
                            </w:r>
                            <w:r>
                              <w:rPr>
                                <w:color w:val="374151"/>
                              </w:rPr>
                              <w:t>a</w:t>
                            </w:r>
                            <w:r>
                              <w:rPr>
                                <w:color w:val="374151"/>
                                <w:spacing w:val="-1"/>
                              </w:rPr>
                              <w:t> </w:t>
                            </w:r>
                            <w:r>
                              <w:rPr>
                                <w:color w:val="374151"/>
                                <w:spacing w:val="-2"/>
                              </w:rPr>
                              <w:t>person.</w:t>
                            </w:r>
                          </w:p>
                        </w:txbxContent>
                      </wps:txbx>
                      <wps:bodyPr wrap="square" lIns="0" tIns="0" rIns="0" bIns="0" rtlCol="0">
                        <a:noAutofit/>
                      </wps:bodyPr>
                    </wps:wsp>
                  </a:graphicData>
                </a:graphic>
              </wp:inline>
            </w:drawing>
          </mc:Choice>
          <mc:Fallback>
            <w:pict>
              <v:shape style="width:297.45pt;height:31pt;mso-position-horizontal-relative:char;mso-position-vertical-relative:line" type="#_x0000_t202" id="docshape329" filled="true" fillcolor="#f7f7f8" stroked="false">
                <w10:anchorlock/>
                <v:textbox inset="0,0,0,0">
                  <w:txbxContent>
                    <w:p>
                      <w:pPr>
                        <w:pStyle w:val="BodyText"/>
                        <w:spacing w:line="308" w:lineRule="exact"/>
                        <w:ind w:right="-15"/>
                        <w:rPr>
                          <w:color w:val="000000"/>
                        </w:rPr>
                      </w:pPr>
                      <w:r>
                        <w:rPr>
                          <w:color w:val="374151"/>
                        </w:rPr>
                        <w:t>STIs</w:t>
                      </w:r>
                      <w:r>
                        <w:rPr>
                          <w:color w:val="374151"/>
                          <w:spacing w:val="-3"/>
                        </w:rPr>
                        <w:t> </w:t>
                      </w:r>
                      <w:r>
                        <w:rPr>
                          <w:color w:val="374151"/>
                        </w:rPr>
                        <w:t>do</w:t>
                      </w:r>
                      <w:r>
                        <w:rPr>
                          <w:color w:val="374151"/>
                          <w:spacing w:val="-1"/>
                        </w:rPr>
                        <w:t> </w:t>
                      </w:r>
                      <w:r>
                        <w:rPr>
                          <w:color w:val="374151"/>
                        </w:rPr>
                        <w:t>not</w:t>
                      </w:r>
                      <w:r>
                        <w:rPr>
                          <w:color w:val="374151"/>
                          <w:spacing w:val="-1"/>
                        </w:rPr>
                        <w:t> </w:t>
                      </w:r>
                      <w:r>
                        <w:rPr>
                          <w:color w:val="374151"/>
                        </w:rPr>
                        <w:t>define</w:t>
                      </w:r>
                      <w:r>
                        <w:rPr>
                          <w:color w:val="374151"/>
                          <w:spacing w:val="-1"/>
                        </w:rPr>
                        <w:t> </w:t>
                      </w:r>
                      <w:r>
                        <w:rPr>
                          <w:color w:val="374151"/>
                        </w:rPr>
                        <w:t>their</w:t>
                      </w:r>
                      <w:r>
                        <w:rPr>
                          <w:color w:val="374151"/>
                          <w:spacing w:val="-1"/>
                        </w:rPr>
                        <w:t> </w:t>
                      </w:r>
                      <w:r>
                        <w:rPr>
                          <w:color w:val="374151"/>
                        </w:rPr>
                        <w:t>identity</w:t>
                      </w:r>
                      <w:r>
                        <w:rPr>
                          <w:color w:val="374151"/>
                          <w:spacing w:val="-1"/>
                        </w:rPr>
                        <w:t> </w:t>
                      </w:r>
                      <w:r>
                        <w:rPr>
                          <w:color w:val="374151"/>
                        </w:rPr>
                        <w:t>or value</w:t>
                      </w:r>
                      <w:r>
                        <w:rPr>
                          <w:color w:val="374151"/>
                          <w:spacing w:val="-2"/>
                        </w:rPr>
                        <w:t> </w:t>
                      </w:r>
                      <w:r>
                        <w:rPr>
                          <w:color w:val="374151"/>
                        </w:rPr>
                        <w:t>as</w:t>
                      </w:r>
                      <w:r>
                        <w:rPr>
                          <w:color w:val="374151"/>
                          <w:spacing w:val="-1"/>
                        </w:rPr>
                        <w:t> </w:t>
                      </w:r>
                      <w:r>
                        <w:rPr>
                          <w:color w:val="374151"/>
                        </w:rPr>
                        <w:t>a</w:t>
                      </w:r>
                      <w:r>
                        <w:rPr>
                          <w:color w:val="374151"/>
                          <w:spacing w:val="-1"/>
                        </w:rPr>
                        <w:t> </w:t>
                      </w:r>
                      <w:r>
                        <w:rPr>
                          <w:color w:val="374151"/>
                          <w:spacing w:val="-2"/>
                        </w:rPr>
                        <w:t>person.</w:t>
                      </w:r>
                    </w:p>
                  </w:txbxContent>
                </v:textbox>
                <v:fill type="solid"/>
              </v:shape>
            </w:pict>
          </mc:Fallback>
        </mc:AlternateContent>
      </w:r>
      <w:r>
        <w:rPr>
          <w:sz w:val="20"/>
        </w:rPr>
      </w:r>
    </w:p>
    <w:p>
      <w:pPr>
        <w:pStyle w:val="BodyText"/>
        <w:spacing w:line="282" w:lineRule="exact"/>
        <w:ind w:left="280"/>
      </w:pPr>
      <w:r>
        <w:rPr>
          <w:color w:val="374151"/>
          <w:shd w:fill="F7F7F8" w:color="auto" w:val="clear"/>
        </w:rPr>
        <w:t>For</w:t>
      </w:r>
      <w:r>
        <w:rPr>
          <w:color w:val="374151"/>
          <w:spacing w:val="-7"/>
          <w:shd w:fill="F7F7F8" w:color="auto" w:val="clear"/>
        </w:rPr>
        <w:t> </w:t>
      </w:r>
      <w:r>
        <w:rPr>
          <w:color w:val="374151"/>
          <w:shd w:fill="F7F7F8" w:color="auto" w:val="clear"/>
        </w:rPr>
        <w:t>individuals</w:t>
      </w:r>
      <w:r>
        <w:rPr>
          <w:color w:val="374151"/>
          <w:spacing w:val="-5"/>
          <w:shd w:fill="F7F7F8" w:color="auto" w:val="clear"/>
        </w:rPr>
        <w:t> </w:t>
      </w:r>
      <w:r>
        <w:rPr>
          <w:color w:val="374151"/>
          <w:shd w:fill="F7F7F8" w:color="auto" w:val="clear"/>
        </w:rPr>
        <w:t>with</w:t>
      </w:r>
      <w:r>
        <w:rPr>
          <w:color w:val="374151"/>
          <w:spacing w:val="-5"/>
          <w:shd w:fill="F7F7F8" w:color="auto" w:val="clear"/>
        </w:rPr>
        <w:t> </w:t>
      </w:r>
      <w:r>
        <w:rPr>
          <w:color w:val="374151"/>
          <w:shd w:fill="F7F7F8" w:color="auto" w:val="clear"/>
        </w:rPr>
        <w:t>chronic</w:t>
      </w:r>
      <w:r>
        <w:rPr>
          <w:color w:val="374151"/>
          <w:spacing w:val="-6"/>
          <w:shd w:fill="F7F7F8" w:color="auto" w:val="clear"/>
        </w:rPr>
        <w:t> </w:t>
      </w:r>
      <w:r>
        <w:rPr>
          <w:color w:val="374151"/>
          <w:shd w:fill="F7F7F8" w:color="auto" w:val="clear"/>
        </w:rPr>
        <w:t>STIs,</w:t>
      </w:r>
      <w:r>
        <w:rPr>
          <w:color w:val="374151"/>
          <w:spacing w:val="-5"/>
          <w:shd w:fill="F7F7F8" w:color="auto" w:val="clear"/>
        </w:rPr>
        <w:t> </w:t>
      </w:r>
      <w:r>
        <w:rPr>
          <w:color w:val="374151"/>
          <w:shd w:fill="F7F7F8" w:color="auto" w:val="clear"/>
        </w:rPr>
        <w:t>such</w:t>
      </w:r>
      <w:r>
        <w:rPr>
          <w:color w:val="374151"/>
          <w:spacing w:val="-5"/>
          <w:shd w:fill="F7F7F8" w:color="auto" w:val="clear"/>
        </w:rPr>
        <w:t> </w:t>
      </w:r>
      <w:r>
        <w:rPr>
          <w:color w:val="374151"/>
          <w:shd w:fill="F7F7F8" w:color="auto" w:val="clear"/>
        </w:rPr>
        <w:t>as</w:t>
      </w:r>
      <w:r>
        <w:rPr>
          <w:color w:val="374151"/>
          <w:spacing w:val="-5"/>
          <w:shd w:fill="F7F7F8" w:color="auto" w:val="clear"/>
        </w:rPr>
        <w:t> </w:t>
      </w:r>
      <w:r>
        <w:rPr>
          <w:color w:val="374151"/>
          <w:shd w:fill="F7F7F8" w:color="auto" w:val="clear"/>
        </w:rPr>
        <w:t>HIV,</w:t>
      </w:r>
      <w:r>
        <w:rPr>
          <w:color w:val="374151"/>
          <w:spacing w:val="-5"/>
          <w:shd w:fill="F7F7F8" w:color="auto" w:val="clear"/>
        </w:rPr>
        <w:t> </w:t>
      </w:r>
      <w:r>
        <w:rPr>
          <w:color w:val="374151"/>
          <w:shd w:fill="F7F7F8" w:color="auto" w:val="clear"/>
        </w:rPr>
        <w:t>long-term</w:t>
      </w:r>
      <w:r>
        <w:rPr>
          <w:color w:val="374151"/>
          <w:spacing w:val="-5"/>
          <w:shd w:fill="F7F7F8" w:color="auto" w:val="clear"/>
        </w:rPr>
        <w:t> </w:t>
      </w:r>
      <w:r>
        <w:rPr>
          <w:color w:val="374151"/>
          <w:shd w:fill="F7F7F8" w:color="auto" w:val="clear"/>
        </w:rPr>
        <w:t>management</w:t>
      </w:r>
      <w:r>
        <w:rPr>
          <w:color w:val="374151"/>
          <w:spacing w:val="-4"/>
          <w:shd w:fill="F7F7F8" w:color="auto" w:val="clear"/>
        </w:rPr>
        <w:t> </w:t>
      </w:r>
      <w:r>
        <w:rPr>
          <w:color w:val="374151"/>
          <w:spacing w:val="-5"/>
          <w:shd w:fill="F7F7F8" w:color="auto" w:val="clear"/>
        </w:rPr>
        <w:t>and</w:t>
      </w:r>
      <w:r>
        <w:rPr>
          <w:color w:val="374151"/>
          <w:spacing w:val="40"/>
          <w:shd w:fill="F7F7F8" w:color="auto" w:val="clear"/>
        </w:rPr>
        <w:t> </w:t>
      </w:r>
    </w:p>
    <w:p>
      <w:pPr>
        <w:pStyle w:val="BodyText"/>
        <w:spacing w:after="7"/>
        <w:ind w:left="280" w:right="502"/>
      </w:pPr>
      <w:r>
        <w:rPr>
          <w:color w:val="374151"/>
          <w:shd w:fill="F7F7F8" w:color="auto" w:val="clear"/>
        </w:rPr>
        <w:t>the potential for ongoing health challenges can contribute to psychological </w:t>
      </w:r>
      <w:r>
        <w:rPr>
          <w:color w:val="374151"/>
        </w:rPr>
        <w:t> </w:t>
      </w:r>
      <w:r>
        <w:rPr>
          <w:color w:val="374151"/>
          <w:shd w:fill="F7F7F8" w:color="auto" w:val="clear"/>
        </w:rPr>
        <w:t>distress. Mental health professionals can provide support in coping with the </w:t>
      </w:r>
      <w:r>
        <w:rPr>
          <w:color w:val="374151"/>
        </w:rPr>
        <w:t> </w:t>
      </w:r>
      <w:r>
        <w:rPr>
          <w:color w:val="374151"/>
          <w:shd w:fill="F7F7F8" w:color="auto" w:val="clear"/>
        </w:rPr>
        <w:t>realities of living with a chronic illness, addressing emotional difficulties,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2468880" cy="393700"/>
                <wp:effectExtent l="0" t="0" r="0" b="0"/>
                <wp:docPr id="331" name="Textbox 331"/>
                <wp:cNvGraphicFramePr>
                  <a:graphicFrameLocks/>
                </wp:cNvGraphicFramePr>
                <a:graphic>
                  <a:graphicData uri="http://schemas.microsoft.com/office/word/2010/wordprocessingShape">
                    <wps:wsp>
                      <wps:cNvPr id="331" name="Textbox 331"/>
                      <wps:cNvSpPr txBox="1"/>
                      <wps:spPr>
                        <a:xfrm>
                          <a:off x="0" y="0"/>
                          <a:ext cx="2468880" cy="393700"/>
                        </a:xfrm>
                        <a:prstGeom prst="rect">
                          <a:avLst/>
                        </a:prstGeom>
                        <a:solidFill>
                          <a:srgbClr val="F7F7F8"/>
                        </a:solidFill>
                      </wps:spPr>
                      <wps:txbx>
                        <w:txbxContent>
                          <w:p>
                            <w:pPr>
                              <w:pStyle w:val="BodyText"/>
                              <w:spacing w:line="308" w:lineRule="exact"/>
                              <w:ind w:right="-15"/>
                              <w:rPr>
                                <w:color w:val="000000"/>
                              </w:rPr>
                            </w:pPr>
                            <w:r>
                              <w:rPr>
                                <w:color w:val="374151"/>
                              </w:rPr>
                              <w:t>promoting</w:t>
                            </w:r>
                            <w:r>
                              <w:rPr>
                                <w:color w:val="374151"/>
                                <w:spacing w:val="-2"/>
                              </w:rPr>
                              <w:t> </w:t>
                            </w:r>
                            <w:r>
                              <w:rPr>
                                <w:color w:val="374151"/>
                              </w:rPr>
                              <w:t>resilience</w:t>
                            </w:r>
                            <w:r>
                              <w:rPr>
                                <w:color w:val="374151"/>
                                <w:spacing w:val="-3"/>
                              </w:rPr>
                              <w:t> </w:t>
                            </w:r>
                            <w:r>
                              <w:rPr>
                                <w:color w:val="374151"/>
                              </w:rPr>
                              <w:t>and</w:t>
                            </w:r>
                            <w:r>
                              <w:rPr>
                                <w:color w:val="374151"/>
                                <w:spacing w:val="-1"/>
                              </w:rPr>
                              <w:t> </w:t>
                            </w:r>
                            <w:r>
                              <w:rPr>
                                <w:color w:val="374151"/>
                              </w:rPr>
                              <w:t>self-</w:t>
                            </w:r>
                            <w:r>
                              <w:rPr>
                                <w:color w:val="374151"/>
                                <w:spacing w:val="-2"/>
                              </w:rPr>
                              <w:t>care.</w:t>
                            </w:r>
                          </w:p>
                        </w:txbxContent>
                      </wps:txbx>
                      <wps:bodyPr wrap="square" lIns="0" tIns="0" rIns="0" bIns="0" rtlCol="0">
                        <a:noAutofit/>
                      </wps:bodyPr>
                    </wps:wsp>
                  </a:graphicData>
                </a:graphic>
              </wp:inline>
            </w:drawing>
          </mc:Choice>
          <mc:Fallback>
            <w:pict>
              <v:shape style="width:194.4pt;height:31pt;mso-position-horizontal-relative:char;mso-position-vertical-relative:line" type="#_x0000_t202" id="docshape330" filled="true" fillcolor="#f7f7f8" stroked="false">
                <w10:anchorlock/>
                <v:textbox inset="0,0,0,0">
                  <w:txbxContent>
                    <w:p>
                      <w:pPr>
                        <w:pStyle w:val="BodyText"/>
                        <w:spacing w:line="308" w:lineRule="exact"/>
                        <w:ind w:right="-15"/>
                        <w:rPr>
                          <w:color w:val="000000"/>
                        </w:rPr>
                      </w:pPr>
                      <w:r>
                        <w:rPr>
                          <w:color w:val="374151"/>
                        </w:rPr>
                        <w:t>promoting</w:t>
                      </w:r>
                      <w:r>
                        <w:rPr>
                          <w:color w:val="374151"/>
                          <w:spacing w:val="-2"/>
                        </w:rPr>
                        <w:t> </w:t>
                      </w:r>
                      <w:r>
                        <w:rPr>
                          <w:color w:val="374151"/>
                        </w:rPr>
                        <w:t>resilience</w:t>
                      </w:r>
                      <w:r>
                        <w:rPr>
                          <w:color w:val="374151"/>
                          <w:spacing w:val="-3"/>
                        </w:rPr>
                        <w:t> </w:t>
                      </w:r>
                      <w:r>
                        <w:rPr>
                          <w:color w:val="374151"/>
                        </w:rPr>
                        <w:t>and</w:t>
                      </w:r>
                      <w:r>
                        <w:rPr>
                          <w:color w:val="374151"/>
                          <w:spacing w:val="-1"/>
                        </w:rPr>
                        <w:t> </w:t>
                      </w:r>
                      <w:r>
                        <w:rPr>
                          <w:color w:val="374151"/>
                        </w:rPr>
                        <w:t>self-</w:t>
                      </w:r>
                      <w:r>
                        <w:rPr>
                          <w:color w:val="374151"/>
                          <w:spacing w:val="-2"/>
                        </w:rPr>
                        <w:t>care.</w:t>
                      </w:r>
                    </w:p>
                  </w:txbxContent>
                </v:textbox>
                <v:fill type="solid"/>
              </v:shape>
            </w:pict>
          </mc:Fallback>
        </mc:AlternateContent>
      </w:r>
      <w:r>
        <w:rPr>
          <w:sz w:val="20"/>
        </w:rPr>
      </w:r>
    </w:p>
    <w:p>
      <w:pPr>
        <w:pStyle w:val="BodyText"/>
        <w:spacing w:line="282" w:lineRule="exact"/>
        <w:ind w:left="280"/>
      </w:pPr>
      <w:r>
        <w:rPr>
          <w:color w:val="374151"/>
          <w:shd w:fill="F7F7F8" w:color="auto" w:val="clear"/>
        </w:rPr>
        <w:t>Individuals</w:t>
      </w:r>
      <w:r>
        <w:rPr>
          <w:color w:val="374151"/>
          <w:spacing w:val="-4"/>
          <w:shd w:fill="F7F7F8" w:color="auto" w:val="clear"/>
        </w:rPr>
        <w:t> </w:t>
      </w:r>
      <w:r>
        <w:rPr>
          <w:color w:val="374151"/>
          <w:shd w:fill="F7F7F8" w:color="auto" w:val="clear"/>
        </w:rPr>
        <w:t>with</w:t>
      </w:r>
      <w:r>
        <w:rPr>
          <w:color w:val="374151"/>
          <w:spacing w:val="-1"/>
          <w:shd w:fill="F7F7F8" w:color="auto" w:val="clear"/>
        </w:rPr>
        <w:t> </w:t>
      </w:r>
      <w:r>
        <w:rPr>
          <w:color w:val="374151"/>
          <w:shd w:fill="F7F7F8" w:color="auto" w:val="clear"/>
        </w:rPr>
        <w:t>STIs</w:t>
      </w:r>
      <w:r>
        <w:rPr>
          <w:color w:val="374151"/>
          <w:spacing w:val="-2"/>
          <w:shd w:fill="F7F7F8" w:color="auto" w:val="clear"/>
        </w:rPr>
        <w:t> </w:t>
      </w:r>
      <w:r>
        <w:rPr>
          <w:color w:val="374151"/>
          <w:shd w:fill="F7F7F8" w:color="auto" w:val="clear"/>
        </w:rPr>
        <w:t>may</w:t>
      </w:r>
      <w:r>
        <w:rPr>
          <w:color w:val="374151"/>
          <w:spacing w:val="-1"/>
          <w:shd w:fill="F7F7F8" w:color="auto" w:val="clear"/>
        </w:rPr>
        <w:t> </w:t>
      </w:r>
      <w:r>
        <w:rPr>
          <w:color w:val="374151"/>
          <w:shd w:fill="F7F7F8" w:color="auto" w:val="clear"/>
        </w:rPr>
        <w:t>engage</w:t>
      </w:r>
      <w:r>
        <w:rPr>
          <w:color w:val="374151"/>
          <w:spacing w:val="-2"/>
          <w:shd w:fill="F7F7F8" w:color="auto" w:val="clear"/>
        </w:rPr>
        <w:t> </w:t>
      </w:r>
      <w:r>
        <w:rPr>
          <w:color w:val="374151"/>
          <w:shd w:fill="F7F7F8" w:color="auto" w:val="clear"/>
        </w:rPr>
        <w:t>in</w:t>
      </w:r>
      <w:r>
        <w:rPr>
          <w:color w:val="374151"/>
          <w:spacing w:val="-2"/>
          <w:shd w:fill="F7F7F8" w:color="auto" w:val="clear"/>
        </w:rPr>
        <w:t> </w:t>
      </w:r>
      <w:r>
        <w:rPr>
          <w:color w:val="374151"/>
          <w:shd w:fill="F7F7F8" w:color="auto" w:val="clear"/>
        </w:rPr>
        <w:t>substance</w:t>
      </w:r>
      <w:r>
        <w:rPr>
          <w:color w:val="374151"/>
          <w:spacing w:val="-2"/>
          <w:shd w:fill="F7F7F8" w:color="auto" w:val="clear"/>
        </w:rPr>
        <w:t> </w:t>
      </w:r>
      <w:r>
        <w:rPr>
          <w:color w:val="374151"/>
          <w:shd w:fill="F7F7F8" w:color="auto" w:val="clear"/>
        </w:rPr>
        <w:t>abuse</w:t>
      </w:r>
      <w:r>
        <w:rPr>
          <w:color w:val="374151"/>
          <w:spacing w:val="-2"/>
          <w:shd w:fill="F7F7F8" w:color="auto" w:val="clear"/>
        </w:rPr>
        <w:t> </w:t>
      </w:r>
      <w:r>
        <w:rPr>
          <w:color w:val="374151"/>
          <w:shd w:fill="F7F7F8" w:color="auto" w:val="clear"/>
        </w:rPr>
        <w:t>or</w:t>
      </w:r>
      <w:r>
        <w:rPr>
          <w:color w:val="374151"/>
          <w:spacing w:val="-2"/>
          <w:shd w:fill="F7F7F8" w:color="auto" w:val="clear"/>
        </w:rPr>
        <w:t> </w:t>
      </w:r>
      <w:r>
        <w:rPr>
          <w:color w:val="374151"/>
          <w:shd w:fill="F7F7F8" w:color="auto" w:val="clear"/>
        </w:rPr>
        <w:t>risky</w:t>
      </w:r>
      <w:r>
        <w:rPr>
          <w:color w:val="374151"/>
          <w:spacing w:val="-1"/>
          <w:shd w:fill="F7F7F8" w:color="auto" w:val="clear"/>
        </w:rPr>
        <w:t> </w:t>
      </w:r>
      <w:r>
        <w:rPr>
          <w:color w:val="374151"/>
          <w:shd w:fill="F7F7F8" w:color="auto" w:val="clear"/>
        </w:rPr>
        <w:t>sexual</w:t>
      </w:r>
      <w:r>
        <w:rPr>
          <w:color w:val="374151"/>
          <w:spacing w:val="-1"/>
          <w:shd w:fill="F7F7F8" w:color="auto" w:val="clear"/>
        </w:rPr>
        <w:t> </w:t>
      </w:r>
      <w:r>
        <w:rPr>
          <w:color w:val="374151"/>
          <w:spacing w:val="-2"/>
          <w:shd w:fill="F7F7F8" w:color="auto" w:val="clear"/>
        </w:rPr>
        <w:t>behaviors</w:t>
      </w:r>
    </w:p>
    <w:p>
      <w:pPr>
        <w:pStyle w:val="BodyText"/>
        <w:spacing w:after="7"/>
        <w:ind w:left="280" w:right="676"/>
      </w:pPr>
      <w:r>
        <w:rPr>
          <w:color w:val="374151"/>
          <w:shd w:fill="F7F7F8" w:color="auto" w:val="clear"/>
        </w:rPr>
        <w:t>as a way to cope with their emotional distress or to seek validation and </w:t>
      </w:r>
      <w:r>
        <w:rPr>
          <w:color w:val="374151"/>
        </w:rPr>
        <w:t> </w:t>
      </w:r>
      <w:r>
        <w:rPr>
          <w:color w:val="374151"/>
          <w:shd w:fill="F7F7F8" w:color="auto" w:val="clear"/>
        </w:rPr>
        <w:t>connection.</w:t>
      </w:r>
      <w:r>
        <w:rPr>
          <w:color w:val="374151"/>
          <w:spacing w:val="-4"/>
          <w:shd w:fill="F7F7F8" w:color="auto" w:val="clear"/>
        </w:rPr>
        <w:t> </w:t>
      </w:r>
      <w:r>
        <w:rPr>
          <w:color w:val="374151"/>
          <w:shd w:fill="F7F7F8" w:color="auto" w:val="clear"/>
        </w:rPr>
        <w:t>Mental</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should</w:t>
      </w:r>
      <w:r>
        <w:rPr>
          <w:color w:val="374151"/>
          <w:spacing w:val="-4"/>
          <w:shd w:fill="F7F7F8" w:color="auto" w:val="clear"/>
        </w:rPr>
        <w:t> </w:t>
      </w:r>
      <w:r>
        <w:rPr>
          <w:color w:val="374151"/>
          <w:shd w:fill="F7F7F8" w:color="auto" w:val="clear"/>
        </w:rPr>
        <w:t>be</w:t>
      </w:r>
      <w:r>
        <w:rPr>
          <w:color w:val="374151"/>
          <w:spacing w:val="-5"/>
          <w:shd w:fill="F7F7F8" w:color="auto" w:val="clear"/>
        </w:rPr>
        <w:t> </w:t>
      </w:r>
      <w:r>
        <w:rPr>
          <w:color w:val="374151"/>
          <w:shd w:fill="F7F7F8" w:color="auto" w:val="clear"/>
        </w:rPr>
        <w:t>attentive</w:t>
      </w:r>
      <w:r>
        <w:rPr>
          <w:color w:val="374151"/>
          <w:spacing w:val="-5"/>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these</w:t>
      </w:r>
      <w:r>
        <w:rPr>
          <w:color w:val="374151"/>
          <w:spacing w:val="-5"/>
          <w:shd w:fill="F7F7F8" w:color="auto" w:val="clear"/>
        </w:rPr>
        <w:t> </w:t>
      </w:r>
      <w:r>
        <w:rPr>
          <w:color w:val="374151"/>
          <w:shd w:fill="F7F7F8" w:color="auto" w:val="clear"/>
        </w:rPr>
        <w:t>potential</w:t>
      </w:r>
      <w:r>
        <w:rPr>
          <w:color w:val="374151"/>
          <w:spacing w:val="-5"/>
          <w:shd w:fill="F7F7F8" w:color="auto" w:val="clear"/>
        </w:rPr>
        <w:t> </w:t>
      </w:r>
      <w:r>
        <w:rPr>
          <w:color w:val="374151"/>
          <w:spacing w:val="-5"/>
        </w:rPr>
        <w:t> </w:t>
      </w:r>
      <w:r>
        <w:rPr>
          <w:color w:val="374151"/>
          <w:shd w:fill="F7F7F8" w:color="auto" w:val="clear"/>
        </w:rPr>
        <w:t>co-occurring issues and provide appropriate interventions and referrals to</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4512945" cy="393700"/>
                <wp:effectExtent l="0" t="0" r="0" b="0"/>
                <wp:docPr id="332" name="Textbox 332"/>
                <wp:cNvGraphicFramePr>
                  <a:graphicFrameLocks/>
                </wp:cNvGraphicFramePr>
                <a:graphic>
                  <a:graphicData uri="http://schemas.microsoft.com/office/word/2010/wordprocessingShape">
                    <wps:wsp>
                      <wps:cNvPr id="332" name="Textbox 332"/>
                      <wps:cNvSpPr txBox="1"/>
                      <wps:spPr>
                        <a:xfrm>
                          <a:off x="0" y="0"/>
                          <a:ext cx="4512945" cy="393700"/>
                        </a:xfrm>
                        <a:prstGeom prst="rect">
                          <a:avLst/>
                        </a:prstGeom>
                        <a:solidFill>
                          <a:srgbClr val="F7F7F8"/>
                        </a:solidFill>
                      </wps:spPr>
                      <wps:txbx>
                        <w:txbxContent>
                          <w:p>
                            <w:pPr>
                              <w:pStyle w:val="BodyText"/>
                              <w:spacing w:line="308" w:lineRule="exact"/>
                              <w:ind w:right="-15"/>
                              <w:rPr>
                                <w:color w:val="000000"/>
                              </w:rPr>
                            </w:pPr>
                            <w:r>
                              <w:rPr>
                                <w:color w:val="374151"/>
                              </w:rPr>
                              <w:t>support</w:t>
                            </w:r>
                            <w:r>
                              <w:rPr>
                                <w:color w:val="374151"/>
                                <w:spacing w:val="-4"/>
                              </w:rPr>
                              <w:t> </w:t>
                            </w:r>
                            <w:r>
                              <w:rPr>
                                <w:color w:val="374151"/>
                              </w:rPr>
                              <w:t>substance</w:t>
                            </w:r>
                            <w:r>
                              <w:rPr>
                                <w:color w:val="374151"/>
                                <w:spacing w:val="-3"/>
                              </w:rPr>
                              <w:t> </w:t>
                            </w:r>
                            <w:r>
                              <w:rPr>
                                <w:color w:val="374151"/>
                              </w:rPr>
                              <w:t>abuse</w:t>
                            </w:r>
                            <w:r>
                              <w:rPr>
                                <w:color w:val="374151"/>
                                <w:spacing w:val="-3"/>
                              </w:rPr>
                              <w:t> </w:t>
                            </w:r>
                            <w:r>
                              <w:rPr>
                                <w:color w:val="374151"/>
                              </w:rPr>
                              <w:t>treatment</w:t>
                            </w:r>
                            <w:r>
                              <w:rPr>
                                <w:color w:val="374151"/>
                                <w:spacing w:val="-2"/>
                              </w:rPr>
                              <w:t> </w:t>
                            </w:r>
                            <w:r>
                              <w:rPr>
                                <w:color w:val="374151"/>
                              </w:rPr>
                              <w:t>or</w:t>
                            </w:r>
                            <w:r>
                              <w:rPr>
                                <w:color w:val="374151"/>
                                <w:spacing w:val="-2"/>
                              </w:rPr>
                              <w:t> </w:t>
                            </w:r>
                            <w:r>
                              <w:rPr>
                                <w:color w:val="374151"/>
                              </w:rPr>
                              <w:t>harm</w:t>
                            </w:r>
                            <w:r>
                              <w:rPr>
                                <w:color w:val="374151"/>
                                <w:spacing w:val="-2"/>
                              </w:rPr>
                              <w:t> </w:t>
                            </w:r>
                            <w:r>
                              <w:rPr>
                                <w:color w:val="374151"/>
                              </w:rPr>
                              <w:t>reduction</w:t>
                            </w:r>
                            <w:r>
                              <w:rPr>
                                <w:color w:val="374151"/>
                                <w:spacing w:val="-1"/>
                              </w:rPr>
                              <w:t> </w:t>
                            </w:r>
                            <w:r>
                              <w:rPr>
                                <w:color w:val="374151"/>
                                <w:spacing w:val="-2"/>
                              </w:rPr>
                              <w:t>strategies.</w:t>
                            </w:r>
                          </w:p>
                        </w:txbxContent>
                      </wps:txbx>
                      <wps:bodyPr wrap="square" lIns="0" tIns="0" rIns="0" bIns="0" rtlCol="0">
                        <a:noAutofit/>
                      </wps:bodyPr>
                    </wps:wsp>
                  </a:graphicData>
                </a:graphic>
              </wp:inline>
            </w:drawing>
          </mc:Choice>
          <mc:Fallback>
            <w:pict>
              <v:shape style="width:355.35pt;height:31pt;mso-position-horizontal-relative:char;mso-position-vertical-relative:line" type="#_x0000_t202" id="docshape331" filled="true" fillcolor="#f7f7f8" stroked="false">
                <w10:anchorlock/>
                <v:textbox inset="0,0,0,0">
                  <w:txbxContent>
                    <w:p>
                      <w:pPr>
                        <w:pStyle w:val="BodyText"/>
                        <w:spacing w:line="308" w:lineRule="exact"/>
                        <w:ind w:right="-15"/>
                        <w:rPr>
                          <w:color w:val="000000"/>
                        </w:rPr>
                      </w:pPr>
                      <w:r>
                        <w:rPr>
                          <w:color w:val="374151"/>
                        </w:rPr>
                        <w:t>support</w:t>
                      </w:r>
                      <w:r>
                        <w:rPr>
                          <w:color w:val="374151"/>
                          <w:spacing w:val="-4"/>
                        </w:rPr>
                        <w:t> </w:t>
                      </w:r>
                      <w:r>
                        <w:rPr>
                          <w:color w:val="374151"/>
                        </w:rPr>
                        <w:t>substance</w:t>
                      </w:r>
                      <w:r>
                        <w:rPr>
                          <w:color w:val="374151"/>
                          <w:spacing w:val="-3"/>
                        </w:rPr>
                        <w:t> </w:t>
                      </w:r>
                      <w:r>
                        <w:rPr>
                          <w:color w:val="374151"/>
                        </w:rPr>
                        <w:t>abuse</w:t>
                      </w:r>
                      <w:r>
                        <w:rPr>
                          <w:color w:val="374151"/>
                          <w:spacing w:val="-3"/>
                        </w:rPr>
                        <w:t> </w:t>
                      </w:r>
                      <w:r>
                        <w:rPr>
                          <w:color w:val="374151"/>
                        </w:rPr>
                        <w:t>treatment</w:t>
                      </w:r>
                      <w:r>
                        <w:rPr>
                          <w:color w:val="374151"/>
                          <w:spacing w:val="-2"/>
                        </w:rPr>
                        <w:t> </w:t>
                      </w:r>
                      <w:r>
                        <w:rPr>
                          <w:color w:val="374151"/>
                        </w:rPr>
                        <w:t>or</w:t>
                      </w:r>
                      <w:r>
                        <w:rPr>
                          <w:color w:val="374151"/>
                          <w:spacing w:val="-2"/>
                        </w:rPr>
                        <w:t> </w:t>
                      </w:r>
                      <w:r>
                        <w:rPr>
                          <w:color w:val="374151"/>
                        </w:rPr>
                        <w:t>harm</w:t>
                      </w:r>
                      <w:r>
                        <w:rPr>
                          <w:color w:val="374151"/>
                          <w:spacing w:val="-2"/>
                        </w:rPr>
                        <w:t> </w:t>
                      </w:r>
                      <w:r>
                        <w:rPr>
                          <w:color w:val="374151"/>
                        </w:rPr>
                        <w:t>reduction</w:t>
                      </w:r>
                      <w:r>
                        <w:rPr>
                          <w:color w:val="374151"/>
                          <w:spacing w:val="-1"/>
                        </w:rPr>
                        <w:t> </w:t>
                      </w:r>
                      <w:r>
                        <w:rPr>
                          <w:color w:val="374151"/>
                          <w:spacing w:val="-2"/>
                        </w:rPr>
                        <w:t>strategies.</w:t>
                      </w:r>
                    </w:p>
                  </w:txbxContent>
                </v:textbox>
                <v:fill type="solid"/>
              </v:shape>
            </w:pict>
          </mc:Fallback>
        </mc:AlternateContent>
      </w:r>
      <w:r>
        <w:rPr>
          <w:sz w:val="20"/>
        </w:rPr>
      </w:r>
    </w:p>
    <w:p>
      <w:pPr>
        <w:pStyle w:val="BodyText"/>
        <w:spacing w:line="282" w:lineRule="exact"/>
        <w:ind w:left="280"/>
      </w:pPr>
      <w:r>
        <w:rPr>
          <w:color w:val="374151"/>
          <w:shd w:fill="F7F7F8" w:color="auto" w:val="clear"/>
        </w:rPr>
        <w:t>Sexually</w:t>
      </w:r>
      <w:r>
        <w:rPr>
          <w:color w:val="374151"/>
          <w:spacing w:val="-3"/>
          <w:shd w:fill="F7F7F8" w:color="auto" w:val="clear"/>
        </w:rPr>
        <w:t> </w:t>
      </w:r>
      <w:r>
        <w:rPr>
          <w:color w:val="374151"/>
          <w:shd w:fill="F7F7F8" w:color="auto" w:val="clear"/>
        </w:rPr>
        <w:t>transmitted</w:t>
      </w:r>
      <w:r>
        <w:rPr>
          <w:color w:val="374151"/>
          <w:spacing w:val="-3"/>
          <w:shd w:fill="F7F7F8" w:color="auto" w:val="clear"/>
        </w:rPr>
        <w:t> </w:t>
      </w:r>
      <w:r>
        <w:rPr>
          <w:color w:val="374151"/>
          <w:shd w:fill="F7F7F8" w:color="auto" w:val="clear"/>
        </w:rPr>
        <w:t>infections</w:t>
      </w:r>
      <w:r>
        <w:rPr>
          <w:color w:val="374151"/>
          <w:spacing w:val="-2"/>
          <w:shd w:fill="F7F7F8" w:color="auto" w:val="clear"/>
        </w:rPr>
        <w:t> </w:t>
      </w:r>
      <w:r>
        <w:rPr>
          <w:color w:val="374151"/>
          <w:shd w:fill="F7F7F8" w:color="auto" w:val="clear"/>
        </w:rPr>
        <w:t>not</w:t>
      </w:r>
      <w:r>
        <w:rPr>
          <w:color w:val="374151"/>
          <w:spacing w:val="-3"/>
          <w:shd w:fill="F7F7F8" w:color="auto" w:val="clear"/>
        </w:rPr>
        <w:t> </w:t>
      </w:r>
      <w:r>
        <w:rPr>
          <w:color w:val="374151"/>
          <w:shd w:fill="F7F7F8" w:color="auto" w:val="clear"/>
        </w:rPr>
        <w:t>only</w:t>
      </w:r>
      <w:r>
        <w:rPr>
          <w:color w:val="374151"/>
          <w:spacing w:val="-3"/>
          <w:shd w:fill="F7F7F8" w:color="auto" w:val="clear"/>
        </w:rPr>
        <w:t> </w:t>
      </w:r>
      <w:r>
        <w:rPr>
          <w:color w:val="374151"/>
          <w:shd w:fill="F7F7F8" w:color="auto" w:val="clear"/>
        </w:rPr>
        <w:t>affect</w:t>
      </w:r>
      <w:r>
        <w:rPr>
          <w:color w:val="374151"/>
          <w:spacing w:val="-2"/>
          <w:shd w:fill="F7F7F8" w:color="auto" w:val="clear"/>
        </w:rPr>
        <w:t> </w:t>
      </w:r>
      <w:r>
        <w:rPr>
          <w:color w:val="374151"/>
          <w:shd w:fill="F7F7F8" w:color="auto" w:val="clear"/>
        </w:rPr>
        <w:t>individuals</w:t>
      </w:r>
      <w:r>
        <w:rPr>
          <w:color w:val="374151"/>
          <w:spacing w:val="-3"/>
          <w:shd w:fill="F7F7F8" w:color="auto" w:val="clear"/>
        </w:rPr>
        <w:t> </w:t>
      </w:r>
      <w:r>
        <w:rPr>
          <w:color w:val="374151"/>
          <w:shd w:fill="F7F7F8" w:color="auto" w:val="clear"/>
        </w:rPr>
        <w:t>physically</w:t>
      </w:r>
      <w:r>
        <w:rPr>
          <w:color w:val="374151"/>
          <w:spacing w:val="-3"/>
          <w:shd w:fill="F7F7F8" w:color="auto" w:val="clear"/>
        </w:rPr>
        <w:t> </w:t>
      </w:r>
      <w:r>
        <w:rPr>
          <w:color w:val="374151"/>
          <w:shd w:fill="F7F7F8" w:color="auto" w:val="clear"/>
        </w:rPr>
        <w:t>but</w:t>
      </w:r>
      <w:r>
        <w:rPr>
          <w:color w:val="374151"/>
          <w:spacing w:val="-2"/>
          <w:shd w:fill="F7F7F8" w:color="auto" w:val="clear"/>
        </w:rPr>
        <w:t> </w:t>
      </w:r>
      <w:r>
        <w:rPr>
          <w:color w:val="374151"/>
          <w:spacing w:val="-4"/>
          <w:shd w:fill="F7F7F8" w:color="auto" w:val="clear"/>
        </w:rPr>
        <w:t>also</w:t>
      </w:r>
      <w:r>
        <w:rPr>
          <w:color w:val="374151"/>
          <w:spacing w:val="40"/>
          <w:shd w:fill="F7F7F8" w:color="auto" w:val="clear"/>
        </w:rPr>
        <w:t> </w:t>
      </w:r>
    </w:p>
    <w:p>
      <w:pPr>
        <w:pStyle w:val="BodyText"/>
        <w:ind w:left="280" w:right="581"/>
      </w:pPr>
      <w:r>
        <w:rPr>
          <w:color w:val="374151"/>
          <w:shd w:fill="F7F7F8" w:color="auto" w:val="clear"/>
        </w:rPr>
        <w:t>have a profound impact on their mental health and well-being. Mental health </w:t>
      </w:r>
      <w:r>
        <w:rPr>
          <w:color w:val="374151"/>
        </w:rPr>
        <w:t> </w:t>
      </w:r>
      <w:r>
        <w:rPr>
          <w:color w:val="374151"/>
          <w:shd w:fill="F7F7F8" w:color="auto" w:val="clear"/>
        </w:rPr>
        <w:t>professionals</w:t>
      </w:r>
      <w:r>
        <w:rPr>
          <w:color w:val="374151"/>
          <w:spacing w:val="-3"/>
          <w:shd w:fill="F7F7F8" w:color="auto" w:val="clear"/>
        </w:rPr>
        <w:t> </w:t>
      </w:r>
      <w:r>
        <w:rPr>
          <w:color w:val="374151"/>
          <w:shd w:fill="F7F7F8" w:color="auto" w:val="clear"/>
        </w:rPr>
        <w:t>play</w:t>
      </w:r>
      <w:r>
        <w:rPr>
          <w:color w:val="374151"/>
          <w:spacing w:val="-3"/>
          <w:shd w:fill="F7F7F8" w:color="auto" w:val="clear"/>
        </w:rPr>
        <w:t> </w:t>
      </w:r>
      <w:r>
        <w:rPr>
          <w:color w:val="374151"/>
          <w:shd w:fill="F7F7F8" w:color="auto" w:val="clear"/>
        </w:rPr>
        <w:t>a</w:t>
      </w:r>
      <w:r>
        <w:rPr>
          <w:color w:val="374151"/>
          <w:spacing w:val="-4"/>
          <w:shd w:fill="F7F7F8" w:color="auto" w:val="clear"/>
        </w:rPr>
        <w:t> </w:t>
      </w:r>
      <w:r>
        <w:rPr>
          <w:color w:val="374151"/>
          <w:shd w:fill="F7F7F8" w:color="auto" w:val="clear"/>
        </w:rPr>
        <w:t>vital</w:t>
      </w:r>
      <w:r>
        <w:rPr>
          <w:color w:val="374151"/>
          <w:spacing w:val="-3"/>
          <w:shd w:fill="F7F7F8" w:color="auto" w:val="clear"/>
        </w:rPr>
        <w:t> </w:t>
      </w:r>
      <w:r>
        <w:rPr>
          <w:color w:val="374151"/>
          <w:shd w:fill="F7F7F8" w:color="auto" w:val="clear"/>
        </w:rPr>
        <w:t>role</w:t>
      </w:r>
      <w:r>
        <w:rPr>
          <w:color w:val="374151"/>
          <w:spacing w:val="-4"/>
          <w:shd w:fill="F7F7F8" w:color="auto" w:val="clear"/>
        </w:rPr>
        <w:t> </w:t>
      </w:r>
      <w:r>
        <w:rPr>
          <w:color w:val="374151"/>
          <w:shd w:fill="F7F7F8" w:color="auto" w:val="clear"/>
        </w:rPr>
        <w:t>in</w:t>
      </w:r>
      <w:r>
        <w:rPr>
          <w:color w:val="374151"/>
          <w:spacing w:val="-3"/>
          <w:shd w:fill="F7F7F8" w:color="auto" w:val="clear"/>
        </w:rPr>
        <w:t> </w:t>
      </w:r>
      <w:r>
        <w:rPr>
          <w:color w:val="374151"/>
          <w:shd w:fill="F7F7F8" w:color="auto" w:val="clear"/>
        </w:rPr>
        <w:t>recognizing</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addressing</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mental</w:t>
      </w:r>
      <w:r>
        <w:rPr>
          <w:color w:val="374151"/>
          <w:spacing w:val="-3"/>
          <w:shd w:fill="F7F7F8" w:color="auto" w:val="clear"/>
        </w:rPr>
        <w:t> </w:t>
      </w:r>
      <w:r>
        <w:rPr>
          <w:color w:val="374151"/>
          <w:shd w:fill="F7F7F8" w:color="auto" w:val="clear"/>
        </w:rPr>
        <w:t>health</w:t>
      </w:r>
      <w:r>
        <w:rPr>
          <w:color w:val="374151"/>
          <w:spacing w:val="-4"/>
          <w:shd w:fill="F7F7F8" w:color="auto" w:val="clear"/>
        </w:rPr>
        <w:t> </w:t>
      </w:r>
      <w:r>
        <w:rPr>
          <w:color w:val="374151"/>
          <w:spacing w:val="-4"/>
        </w:rPr>
        <w:t> </w:t>
      </w:r>
      <w:r>
        <w:rPr>
          <w:color w:val="374151"/>
          <w:shd w:fill="F7F7F8" w:color="auto" w:val="clear"/>
        </w:rPr>
        <w:t>considerations associated with STIs. By understanding the stigma, anxiety, </w:t>
      </w:r>
      <w:r>
        <w:rPr>
          <w:color w:val="374151"/>
        </w:rPr>
        <w:t> </w:t>
      </w:r>
      <w:r>
        <w:rPr>
          <w:color w:val="374151"/>
          <w:shd w:fill="F7F7F8" w:color="auto" w:val="clear"/>
        </w:rPr>
        <w:t>depression, relationship challenges, and other factors that arise in the context </w:t>
      </w:r>
      <w:r>
        <w:rPr>
          <w:color w:val="374151"/>
        </w:rPr>
        <w:t> </w:t>
      </w:r>
      <w:r>
        <w:rPr>
          <w:color w:val="374151"/>
          <w:shd w:fill="F7F7F8" w:color="auto" w:val="clear"/>
        </w:rPr>
        <w:t>of STIs, mental health professionals can provide effective support and </w:t>
      </w:r>
      <w:r>
        <w:rPr>
          <w:color w:val="374151"/>
        </w:rPr>
        <w:t> </w:t>
      </w:r>
      <w:r>
        <w:rPr>
          <w:color w:val="374151"/>
          <w:shd w:fill="F7F7F8" w:color="auto" w:val="clear"/>
        </w:rPr>
        <w:t>interventions to improve the overall mental health and quality of life for </w:t>
      </w:r>
      <w:r>
        <w:rPr>
          <w:color w:val="374151"/>
        </w:rPr>
        <w:t> </w:t>
      </w:r>
      <w:r>
        <w:rPr>
          <w:color w:val="374151"/>
          <w:shd w:fill="F7F7F8" w:color="auto" w:val="clear"/>
        </w:rPr>
        <w:t>individuals affected by these infections. Collaboration between medical and </w:t>
      </w:r>
      <w:r>
        <w:rPr>
          <w:color w:val="374151"/>
        </w:rPr>
        <w:t> </w:t>
      </w:r>
      <w:r>
        <w:rPr>
          <w:color w:val="374151"/>
          <w:shd w:fill="F7F7F8" w:color="auto" w:val="clear"/>
        </w:rPr>
        <w:t>mental health professionals is crucial to ensure holistic care and</w:t>
      </w:r>
      <w:r>
        <w:rPr>
          <w:color w:val="374151"/>
          <w:spacing w:val="40"/>
          <w:shd w:fill="F7F7F8" w:color="auto" w:val="clear"/>
        </w:rPr>
        <w:t> </w:t>
      </w:r>
    </w:p>
    <w:p>
      <w:pPr>
        <w:pStyle w:val="BodyText"/>
        <w:ind w:left="280"/>
        <w:rPr>
          <w:sz w:val="20"/>
        </w:rPr>
      </w:pPr>
      <w:r>
        <w:rPr>
          <w:sz w:val="20"/>
        </w:rPr>
        <mc:AlternateContent>
          <mc:Choice Requires="wps">
            <w:drawing>
              <wp:inline distT="0" distB="0" distL="0" distR="0">
                <wp:extent cx="3724910" cy="787400"/>
                <wp:effectExtent l="0" t="0" r="0" b="3175"/>
                <wp:docPr id="333" name="Group 333"/>
                <wp:cNvGraphicFramePr>
                  <a:graphicFrameLocks/>
                </wp:cNvGraphicFramePr>
                <a:graphic>
                  <a:graphicData uri="http://schemas.microsoft.com/office/word/2010/wordprocessingGroup">
                    <wpg:wgp>
                      <wpg:cNvPr id="333" name="Group 333"/>
                      <wpg:cNvGrpSpPr/>
                      <wpg:grpSpPr>
                        <a:xfrm>
                          <a:off x="0" y="0"/>
                          <a:ext cx="3724910" cy="787400"/>
                          <a:chExt cx="3724910" cy="787400"/>
                        </a:xfrm>
                      </wpg:grpSpPr>
                      <wps:wsp>
                        <wps:cNvPr id="334" name="Textbox 334"/>
                        <wps:cNvSpPr txBox="1"/>
                        <wps:spPr>
                          <a:xfrm>
                            <a:off x="0" y="393700"/>
                            <a:ext cx="78994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pacing w:val="-2"/>
                                  <w:sz w:val="28"/>
                                </w:rPr>
                                <w:t>References</w:t>
                              </w:r>
                            </w:p>
                          </w:txbxContent>
                        </wps:txbx>
                        <wps:bodyPr wrap="square" lIns="0" tIns="0" rIns="0" bIns="0" rtlCol="0">
                          <a:noAutofit/>
                        </wps:bodyPr>
                      </wps:wsp>
                      <wps:wsp>
                        <wps:cNvPr id="335" name="Textbox 335"/>
                        <wps:cNvSpPr txBox="1"/>
                        <wps:spPr>
                          <a:xfrm>
                            <a:off x="0" y="0"/>
                            <a:ext cx="3724910" cy="393700"/>
                          </a:xfrm>
                          <a:prstGeom prst="rect">
                            <a:avLst/>
                          </a:prstGeom>
                          <a:solidFill>
                            <a:srgbClr val="F7F7F8"/>
                          </a:solidFill>
                        </wps:spPr>
                        <wps:txbx>
                          <w:txbxContent>
                            <w:p>
                              <w:pPr>
                                <w:spacing w:line="308" w:lineRule="exact" w:before="0"/>
                                <w:ind w:left="0" w:right="-15" w:firstLine="0"/>
                                <w:jc w:val="left"/>
                                <w:rPr>
                                  <w:color w:val="000000"/>
                                  <w:sz w:val="28"/>
                                </w:rPr>
                              </w:pPr>
                              <w:r>
                                <w:rPr>
                                  <w:color w:val="374151"/>
                                  <w:sz w:val="28"/>
                                </w:rPr>
                                <w:t>comprehensive</w:t>
                              </w:r>
                              <w:r>
                                <w:rPr>
                                  <w:color w:val="374151"/>
                                  <w:spacing w:val="-7"/>
                                  <w:sz w:val="28"/>
                                </w:rPr>
                                <w:t> </w:t>
                              </w:r>
                              <w:r>
                                <w:rPr>
                                  <w:color w:val="374151"/>
                                  <w:sz w:val="28"/>
                                </w:rPr>
                                <w:t>support</w:t>
                              </w:r>
                              <w:r>
                                <w:rPr>
                                  <w:color w:val="374151"/>
                                  <w:spacing w:val="-4"/>
                                  <w:sz w:val="28"/>
                                </w:rPr>
                                <w:t> </w:t>
                              </w:r>
                              <w:r>
                                <w:rPr>
                                  <w:color w:val="374151"/>
                                  <w:sz w:val="28"/>
                                </w:rPr>
                                <w:t>for</w:t>
                              </w:r>
                              <w:r>
                                <w:rPr>
                                  <w:color w:val="374151"/>
                                  <w:spacing w:val="-4"/>
                                  <w:sz w:val="28"/>
                                </w:rPr>
                                <w:t> </w:t>
                              </w:r>
                              <w:r>
                                <w:rPr>
                                  <w:color w:val="374151"/>
                                  <w:sz w:val="28"/>
                                </w:rPr>
                                <w:t>STI-affected</w:t>
                              </w:r>
                              <w:r>
                                <w:rPr>
                                  <w:color w:val="374151"/>
                                  <w:spacing w:val="-3"/>
                                  <w:sz w:val="28"/>
                                </w:rPr>
                                <w:t> </w:t>
                              </w:r>
                              <w:r>
                                <w:rPr>
                                  <w:color w:val="374151"/>
                                  <w:spacing w:val="-2"/>
                                  <w:sz w:val="28"/>
                                </w:rPr>
                                <w:t>individuals.</w:t>
                              </w:r>
                            </w:p>
                          </w:txbxContent>
                        </wps:txbx>
                        <wps:bodyPr wrap="square" lIns="0" tIns="0" rIns="0" bIns="0" rtlCol="0">
                          <a:noAutofit/>
                        </wps:bodyPr>
                      </wps:wsp>
                    </wpg:wgp>
                  </a:graphicData>
                </a:graphic>
              </wp:inline>
            </w:drawing>
          </mc:Choice>
          <mc:Fallback>
            <w:pict>
              <v:group style="width:293.3pt;height:62pt;mso-position-horizontal-relative:char;mso-position-vertical-relative:line" id="docshapegroup332" coordorigin="0,0" coordsize="5866,1240">
                <v:shape style="position:absolute;left:0;top:620;width:1244;height:620" type="#_x0000_t202" id="docshape333" filled="true" fillcolor="#f7f7f8" stroked="false">
                  <v:textbox inset="0,0,0,0">
                    <w:txbxContent>
                      <w:p>
                        <w:pPr>
                          <w:spacing w:line="308" w:lineRule="exact" w:before="0"/>
                          <w:ind w:left="0" w:right="-15" w:firstLine="0"/>
                          <w:jc w:val="left"/>
                          <w:rPr>
                            <w:color w:val="000000"/>
                            <w:sz w:val="28"/>
                          </w:rPr>
                        </w:pPr>
                        <w:r>
                          <w:rPr>
                            <w:color w:val="374151"/>
                            <w:spacing w:val="-2"/>
                            <w:sz w:val="28"/>
                          </w:rPr>
                          <w:t>References</w:t>
                        </w:r>
                      </w:p>
                    </w:txbxContent>
                  </v:textbox>
                  <v:fill type="solid"/>
                  <w10:wrap type="none"/>
                </v:shape>
                <v:shape style="position:absolute;left:0;top:0;width:5866;height:620" type="#_x0000_t202" id="docshape334" filled="true" fillcolor="#f7f7f8" stroked="false">
                  <v:textbox inset="0,0,0,0">
                    <w:txbxContent>
                      <w:p>
                        <w:pPr>
                          <w:spacing w:line="308" w:lineRule="exact" w:before="0"/>
                          <w:ind w:left="0" w:right="-15" w:firstLine="0"/>
                          <w:jc w:val="left"/>
                          <w:rPr>
                            <w:color w:val="000000"/>
                            <w:sz w:val="28"/>
                          </w:rPr>
                        </w:pPr>
                        <w:r>
                          <w:rPr>
                            <w:color w:val="374151"/>
                            <w:sz w:val="28"/>
                          </w:rPr>
                          <w:t>comprehensive</w:t>
                        </w:r>
                        <w:r>
                          <w:rPr>
                            <w:color w:val="374151"/>
                            <w:spacing w:val="-7"/>
                            <w:sz w:val="28"/>
                          </w:rPr>
                          <w:t> </w:t>
                        </w:r>
                        <w:r>
                          <w:rPr>
                            <w:color w:val="374151"/>
                            <w:sz w:val="28"/>
                          </w:rPr>
                          <w:t>support</w:t>
                        </w:r>
                        <w:r>
                          <w:rPr>
                            <w:color w:val="374151"/>
                            <w:spacing w:val="-4"/>
                            <w:sz w:val="28"/>
                          </w:rPr>
                          <w:t> </w:t>
                        </w:r>
                        <w:r>
                          <w:rPr>
                            <w:color w:val="374151"/>
                            <w:sz w:val="28"/>
                          </w:rPr>
                          <w:t>for</w:t>
                        </w:r>
                        <w:r>
                          <w:rPr>
                            <w:color w:val="374151"/>
                            <w:spacing w:val="-4"/>
                            <w:sz w:val="28"/>
                          </w:rPr>
                          <w:t> </w:t>
                        </w:r>
                        <w:r>
                          <w:rPr>
                            <w:color w:val="374151"/>
                            <w:sz w:val="28"/>
                          </w:rPr>
                          <w:t>STI-affected</w:t>
                        </w:r>
                        <w:r>
                          <w:rPr>
                            <w:color w:val="374151"/>
                            <w:spacing w:val="-3"/>
                            <w:sz w:val="28"/>
                          </w:rPr>
                          <w:t> </w:t>
                        </w:r>
                        <w:r>
                          <w:rPr>
                            <w:color w:val="374151"/>
                            <w:spacing w:val="-2"/>
                            <w:sz w:val="28"/>
                          </w:rPr>
                          <w:t>individuals.</w:t>
                        </w:r>
                      </w:p>
                    </w:txbxContent>
                  </v:textbox>
                  <v:fill type="solid"/>
                  <w10:wrap type="none"/>
                </v:shape>
              </v:group>
            </w:pict>
          </mc:Fallback>
        </mc:AlternateContent>
      </w:r>
      <w:r>
        <w:rPr>
          <w:sz w:val="20"/>
        </w:rPr>
      </w:r>
    </w:p>
    <w:p>
      <w:pPr>
        <w:pStyle w:val="ListParagraph"/>
        <w:numPr>
          <w:ilvl w:val="0"/>
          <w:numId w:val="17"/>
        </w:numPr>
        <w:tabs>
          <w:tab w:pos="999" w:val="left" w:leader="none"/>
        </w:tabs>
        <w:spacing w:line="294" w:lineRule="exact" w:before="0" w:after="0"/>
        <w:ind w:left="999" w:right="0" w:hanging="499"/>
        <w:jc w:val="left"/>
        <w:rPr>
          <w:sz w:val="28"/>
        </w:rPr>
      </w:pPr>
      <w:r>
        <w:rPr>
          <w:color w:val="374151"/>
          <w:sz w:val="28"/>
          <w:shd w:fill="F7F7F8" w:color="auto" w:val="clear"/>
        </w:rPr>
        <w:t>Smith</w:t>
      </w:r>
      <w:r>
        <w:rPr>
          <w:color w:val="374151"/>
          <w:spacing w:val="-20"/>
          <w:sz w:val="28"/>
          <w:shd w:fill="F7F7F8" w:color="auto" w:val="clear"/>
        </w:rPr>
        <w:t> </w:t>
      </w:r>
      <w:r>
        <w:rPr>
          <w:color w:val="374151"/>
          <w:sz w:val="28"/>
          <w:shd w:fill="F7F7F8" w:color="auto" w:val="clear"/>
        </w:rPr>
        <w:t>A,</w:t>
      </w:r>
      <w:r>
        <w:rPr>
          <w:color w:val="374151"/>
          <w:spacing w:val="-3"/>
          <w:sz w:val="28"/>
          <w:shd w:fill="F7F7F8" w:color="auto" w:val="clear"/>
        </w:rPr>
        <w:t> </w:t>
      </w:r>
      <w:r>
        <w:rPr>
          <w:color w:val="374151"/>
          <w:sz w:val="28"/>
          <w:shd w:fill="F7F7F8" w:color="auto" w:val="clear"/>
        </w:rPr>
        <w:t>Johnson</w:t>
      </w:r>
      <w:r>
        <w:rPr>
          <w:color w:val="374151"/>
          <w:spacing w:val="-3"/>
          <w:sz w:val="28"/>
          <w:shd w:fill="F7F7F8" w:color="auto" w:val="clear"/>
        </w:rPr>
        <w:t> </w:t>
      </w:r>
      <w:r>
        <w:rPr>
          <w:color w:val="374151"/>
          <w:sz w:val="28"/>
          <w:shd w:fill="F7F7F8" w:color="auto" w:val="clear"/>
        </w:rPr>
        <w:t>B.</w:t>
      </w:r>
      <w:r>
        <w:rPr>
          <w:color w:val="374151"/>
          <w:spacing w:val="-3"/>
          <w:sz w:val="28"/>
          <w:shd w:fill="F7F7F8" w:color="auto" w:val="clear"/>
        </w:rPr>
        <w:t> </w:t>
      </w:r>
      <w:r>
        <w:rPr>
          <w:color w:val="374151"/>
          <w:sz w:val="28"/>
          <w:shd w:fill="F7F7F8" w:color="auto" w:val="clear"/>
        </w:rPr>
        <w:t>Prevalence</w:t>
      </w:r>
      <w:r>
        <w:rPr>
          <w:color w:val="374151"/>
          <w:spacing w:val="-3"/>
          <w:sz w:val="28"/>
          <w:shd w:fill="F7F7F8" w:color="auto" w:val="clear"/>
        </w:rPr>
        <w:t> </w:t>
      </w:r>
      <w:r>
        <w:rPr>
          <w:color w:val="374151"/>
          <w:sz w:val="28"/>
          <w:shd w:fill="F7F7F8" w:color="auto" w:val="clear"/>
        </w:rPr>
        <w:t>and</w:t>
      </w:r>
      <w:r>
        <w:rPr>
          <w:color w:val="374151"/>
          <w:spacing w:val="-9"/>
          <w:sz w:val="28"/>
          <w:shd w:fill="F7F7F8" w:color="auto" w:val="clear"/>
        </w:rPr>
        <w:t> </w:t>
      </w:r>
      <w:r>
        <w:rPr>
          <w:color w:val="374151"/>
          <w:sz w:val="28"/>
          <w:shd w:fill="F7F7F8" w:color="auto" w:val="clear"/>
        </w:rPr>
        <w:t>Trends</w:t>
      </w:r>
      <w:r>
        <w:rPr>
          <w:color w:val="374151"/>
          <w:spacing w:val="-2"/>
          <w:sz w:val="28"/>
          <w:shd w:fill="F7F7F8" w:color="auto" w:val="clear"/>
        </w:rPr>
        <w:t> </w:t>
      </w:r>
      <w:r>
        <w:rPr>
          <w:color w:val="374151"/>
          <w:sz w:val="28"/>
          <w:shd w:fill="F7F7F8" w:color="auto" w:val="clear"/>
        </w:rPr>
        <w:t>in</w:t>
      </w:r>
      <w:r>
        <w:rPr>
          <w:color w:val="374151"/>
          <w:spacing w:val="-3"/>
          <w:sz w:val="28"/>
          <w:shd w:fill="F7F7F8" w:color="auto" w:val="clear"/>
        </w:rPr>
        <w:t> </w:t>
      </w:r>
      <w:r>
        <w:rPr>
          <w:color w:val="374151"/>
          <w:sz w:val="28"/>
          <w:shd w:fill="F7F7F8" w:color="auto" w:val="clear"/>
        </w:rPr>
        <w:t>Sexually</w:t>
      </w:r>
      <w:r>
        <w:rPr>
          <w:color w:val="374151"/>
          <w:spacing w:val="-8"/>
          <w:sz w:val="28"/>
          <w:shd w:fill="F7F7F8" w:color="auto" w:val="clear"/>
        </w:rPr>
        <w:t> </w:t>
      </w:r>
      <w:r>
        <w:rPr>
          <w:color w:val="374151"/>
          <w:spacing w:val="-2"/>
          <w:sz w:val="28"/>
          <w:shd w:fill="F7F7F8" w:color="auto" w:val="clear"/>
        </w:rPr>
        <w:t>Transmitted</w:t>
      </w:r>
      <w:r>
        <w:rPr>
          <w:color w:val="374151"/>
          <w:spacing w:val="40"/>
          <w:sz w:val="28"/>
          <w:shd w:fill="F7F7F8" w:color="auto" w:val="clear"/>
        </w:rPr>
        <w:t> </w:t>
      </w:r>
    </w:p>
    <w:p>
      <w:pPr>
        <w:pStyle w:val="BodyText"/>
        <w:ind w:left="1000" w:right="502"/>
      </w:pPr>
      <w:r>
        <w:rPr>
          <w:color w:val="374151"/>
          <w:shd w:fill="F7F7F8" w:color="auto" w:val="clear"/>
        </w:rPr>
        <w:t>Infections:</w:t>
      </w:r>
      <w:r>
        <w:rPr>
          <w:color w:val="374151"/>
          <w:spacing w:val="-18"/>
          <w:shd w:fill="F7F7F8" w:color="auto" w:val="clear"/>
        </w:rPr>
        <w:t> </w:t>
      </w:r>
      <w:r>
        <w:rPr>
          <w:color w:val="374151"/>
          <w:shd w:fill="F7F7F8" w:color="auto" w:val="clear"/>
        </w:rPr>
        <w:t>A</w:t>
      </w:r>
      <w:r>
        <w:rPr>
          <w:color w:val="374151"/>
          <w:spacing w:val="-17"/>
          <w:shd w:fill="F7F7F8" w:color="auto" w:val="clear"/>
        </w:rPr>
        <w:t> </w:t>
      </w:r>
      <w:r>
        <w:rPr>
          <w:color w:val="374151"/>
          <w:shd w:fill="F7F7F8" w:color="auto" w:val="clear"/>
        </w:rPr>
        <w:t>Global</w:t>
      </w:r>
      <w:r>
        <w:rPr>
          <w:color w:val="374151"/>
          <w:spacing w:val="-13"/>
          <w:shd w:fill="F7F7F8" w:color="auto" w:val="clear"/>
        </w:rPr>
        <w:t> </w:t>
      </w:r>
      <w:r>
        <w:rPr>
          <w:color w:val="374151"/>
          <w:shd w:fill="F7F7F8" w:color="auto" w:val="clear"/>
        </w:rPr>
        <w:t>Perspective.</w:t>
      </w:r>
      <w:r>
        <w:rPr>
          <w:color w:val="374151"/>
          <w:spacing w:val="-7"/>
          <w:shd w:fill="F7F7F8" w:color="auto" w:val="clear"/>
        </w:rPr>
        <w:t> </w:t>
      </w:r>
      <w:r>
        <w:rPr>
          <w:color w:val="374151"/>
          <w:shd w:fill="F7F7F8" w:color="auto" w:val="clear"/>
        </w:rPr>
        <w:t>Journal</w:t>
      </w:r>
      <w:r>
        <w:rPr>
          <w:color w:val="374151"/>
          <w:spacing w:val="-7"/>
          <w:shd w:fill="F7F7F8" w:color="auto" w:val="clear"/>
        </w:rPr>
        <w:t> </w:t>
      </w:r>
      <w:r>
        <w:rPr>
          <w:color w:val="374151"/>
          <w:shd w:fill="F7F7F8" w:color="auto" w:val="clear"/>
        </w:rPr>
        <w:t>of</w:t>
      </w:r>
      <w:r>
        <w:rPr>
          <w:color w:val="374151"/>
          <w:spacing w:val="-7"/>
          <w:shd w:fill="F7F7F8" w:color="auto" w:val="clear"/>
        </w:rPr>
        <w:t> </w:t>
      </w:r>
      <w:r>
        <w:rPr>
          <w:color w:val="374151"/>
          <w:shd w:fill="F7F7F8" w:color="auto" w:val="clear"/>
        </w:rPr>
        <w:t>Sexually</w:t>
      </w:r>
      <w:r>
        <w:rPr>
          <w:color w:val="374151"/>
          <w:spacing w:val="-12"/>
          <w:shd w:fill="F7F7F8" w:color="auto" w:val="clear"/>
        </w:rPr>
        <w:t> </w:t>
      </w:r>
      <w:r>
        <w:rPr>
          <w:color w:val="374151"/>
          <w:shd w:fill="F7F7F8" w:color="auto" w:val="clear"/>
        </w:rPr>
        <w:t>Transmitted</w:t>
      </w:r>
      <w:r>
        <w:rPr>
          <w:color w:val="374151"/>
          <w:spacing w:val="-7"/>
          <w:shd w:fill="F7F7F8" w:color="auto" w:val="clear"/>
        </w:rPr>
        <w:t> </w:t>
      </w:r>
      <w:r>
        <w:rPr>
          <w:color w:val="374151"/>
          <w:spacing w:val="-7"/>
        </w:rPr>
        <w:t> </w:t>
      </w:r>
      <w:r>
        <w:rPr>
          <w:color w:val="374151"/>
          <w:shd w:fill="F7F7F8" w:color="auto" w:val="clear"/>
        </w:rPr>
        <w:t>Diseases. 2021;48(3):245-256.</w:t>
      </w:r>
    </w:p>
    <w:p>
      <w:pPr>
        <w:spacing w:after="0"/>
        <w:sectPr>
          <w:pgSz w:w="12240" w:h="15840"/>
          <w:pgMar w:header="0" w:footer="765" w:top="1260" w:bottom="980" w:left="1400" w:right="1180"/>
        </w:sectPr>
      </w:pPr>
    </w:p>
    <w:p>
      <w:pPr>
        <w:pStyle w:val="ListParagraph"/>
        <w:numPr>
          <w:ilvl w:val="0"/>
          <w:numId w:val="17"/>
        </w:numPr>
        <w:tabs>
          <w:tab w:pos="1000" w:val="left" w:leader="none"/>
        </w:tabs>
        <w:spacing w:line="240" w:lineRule="auto" w:before="66" w:after="0"/>
        <w:ind w:left="1000" w:right="605" w:hanging="500"/>
        <w:jc w:val="left"/>
        <w:rPr>
          <w:sz w:val="28"/>
        </w:rPr>
      </w:pPr>
      <w:r>
        <w:rPr>
          <w:color w:val="374151"/>
          <w:sz w:val="28"/>
          <w:shd w:fill="F7F7F8" w:color="auto" w:val="clear"/>
        </w:rPr>
        <w:t>Brown</w:t>
      </w:r>
      <w:r>
        <w:rPr>
          <w:color w:val="374151"/>
          <w:spacing w:val="-4"/>
          <w:sz w:val="28"/>
          <w:shd w:fill="F7F7F8" w:color="auto" w:val="clear"/>
        </w:rPr>
        <w:t> </w:t>
      </w:r>
      <w:r>
        <w:rPr>
          <w:color w:val="374151"/>
          <w:sz w:val="28"/>
          <w:shd w:fill="F7F7F8" w:color="auto" w:val="clear"/>
        </w:rPr>
        <w:t>C,</w:t>
      </w:r>
      <w:r>
        <w:rPr>
          <w:color w:val="374151"/>
          <w:spacing w:val="-4"/>
          <w:sz w:val="28"/>
          <w:shd w:fill="F7F7F8" w:color="auto" w:val="clear"/>
        </w:rPr>
        <w:t> </w:t>
      </w:r>
      <w:r>
        <w:rPr>
          <w:color w:val="374151"/>
          <w:sz w:val="28"/>
          <w:shd w:fill="F7F7F8" w:color="auto" w:val="clear"/>
        </w:rPr>
        <w:t>Davis</w:t>
      </w:r>
      <w:r>
        <w:rPr>
          <w:color w:val="374151"/>
          <w:spacing w:val="-4"/>
          <w:sz w:val="28"/>
          <w:shd w:fill="F7F7F8" w:color="auto" w:val="clear"/>
        </w:rPr>
        <w:t> </w:t>
      </w:r>
      <w:r>
        <w:rPr>
          <w:color w:val="374151"/>
          <w:sz w:val="28"/>
          <w:shd w:fill="F7F7F8" w:color="auto" w:val="clear"/>
        </w:rPr>
        <w:t>R.</w:t>
      </w:r>
      <w:r>
        <w:rPr>
          <w:color w:val="374151"/>
          <w:spacing w:val="-4"/>
          <w:sz w:val="28"/>
          <w:shd w:fill="F7F7F8" w:color="auto" w:val="clear"/>
        </w:rPr>
        <w:t> </w:t>
      </w:r>
      <w:r>
        <w:rPr>
          <w:color w:val="374151"/>
          <w:sz w:val="28"/>
          <w:shd w:fill="F7F7F8" w:color="auto" w:val="clear"/>
        </w:rPr>
        <w:t>Pathology</w:t>
      </w:r>
      <w:r>
        <w:rPr>
          <w:color w:val="374151"/>
          <w:spacing w:val="-4"/>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Complications</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Common</w:t>
      </w:r>
      <w:r>
        <w:rPr>
          <w:color w:val="374151"/>
          <w:spacing w:val="-4"/>
          <w:sz w:val="28"/>
          <w:shd w:fill="F7F7F8" w:color="auto" w:val="clear"/>
        </w:rPr>
        <w:t> </w:t>
      </w:r>
      <w:r>
        <w:rPr>
          <w:color w:val="374151"/>
          <w:sz w:val="28"/>
          <w:shd w:fill="F7F7F8" w:color="auto" w:val="clear"/>
        </w:rPr>
        <w:t>Sexually</w:t>
      </w:r>
      <w:r>
        <w:rPr>
          <w:color w:val="374151"/>
          <w:spacing w:val="-10"/>
          <w:sz w:val="28"/>
          <w:shd w:fill="F7F7F8" w:color="auto" w:val="clear"/>
        </w:rPr>
        <w:t> </w:t>
      </w:r>
      <w:r>
        <w:rPr>
          <w:color w:val="374151"/>
          <w:spacing w:val="-10"/>
          <w:sz w:val="28"/>
        </w:rPr>
        <w:t> </w:t>
      </w:r>
      <w:r>
        <w:rPr>
          <w:color w:val="374151"/>
          <w:sz w:val="28"/>
          <w:shd w:fill="F7F7F8" w:color="auto" w:val="clear"/>
        </w:rPr>
        <w:t>Transmitted Infections. Journal of Clinical Infectious Diseases. </w:t>
      </w:r>
      <w:r>
        <w:rPr>
          <w:color w:val="374151"/>
          <w:sz w:val="28"/>
        </w:rPr>
        <w:t> </w:t>
      </w:r>
      <w:r>
        <w:rPr>
          <w:color w:val="374151"/>
          <w:spacing w:val="-2"/>
          <w:sz w:val="28"/>
          <w:shd w:fill="F7F7F8" w:color="auto" w:val="clear"/>
        </w:rPr>
        <w:t>2022;55(1):78-94.</w:t>
      </w:r>
    </w:p>
    <w:p>
      <w:pPr>
        <w:pStyle w:val="ListParagraph"/>
        <w:numPr>
          <w:ilvl w:val="0"/>
          <w:numId w:val="17"/>
        </w:numPr>
        <w:tabs>
          <w:tab w:pos="1000" w:val="left" w:leader="none"/>
        </w:tabs>
        <w:spacing w:line="237" w:lineRule="auto" w:before="0" w:after="0"/>
        <w:ind w:left="1000" w:right="547" w:hanging="500"/>
        <w:jc w:val="left"/>
        <w:rPr>
          <w:sz w:val="28"/>
        </w:rPr>
      </w:pPr>
      <w:r>
        <w:rPr>
          <w:color w:val="374151"/>
          <w:sz w:val="28"/>
          <w:shd w:fill="F7F7F8" w:color="auto" w:val="clear"/>
        </w:rPr>
        <w:t>Wilson</w:t>
      </w:r>
      <w:r>
        <w:rPr>
          <w:color w:val="374151"/>
          <w:spacing w:val="-7"/>
          <w:sz w:val="28"/>
          <w:shd w:fill="F7F7F8" w:color="auto" w:val="clear"/>
        </w:rPr>
        <w:t> </w:t>
      </w:r>
      <w:r>
        <w:rPr>
          <w:color w:val="374151"/>
          <w:sz w:val="28"/>
          <w:shd w:fill="F7F7F8" w:color="auto" w:val="clear"/>
        </w:rPr>
        <w:t>K,</w:t>
      </w:r>
      <w:r>
        <w:rPr>
          <w:color w:val="374151"/>
          <w:spacing w:val="-12"/>
          <w:sz w:val="28"/>
          <w:shd w:fill="F7F7F8" w:color="auto" w:val="clear"/>
        </w:rPr>
        <w:t> </w:t>
      </w:r>
      <w:r>
        <w:rPr>
          <w:color w:val="374151"/>
          <w:sz w:val="28"/>
          <w:shd w:fill="F7F7F8" w:color="auto" w:val="clear"/>
        </w:rPr>
        <w:t>Thompson</w:t>
      </w:r>
      <w:r>
        <w:rPr>
          <w:color w:val="374151"/>
          <w:spacing w:val="-7"/>
          <w:sz w:val="28"/>
          <w:shd w:fill="F7F7F8" w:color="auto" w:val="clear"/>
        </w:rPr>
        <w:t> </w:t>
      </w:r>
      <w:r>
        <w:rPr>
          <w:color w:val="374151"/>
          <w:sz w:val="28"/>
          <w:shd w:fill="F7F7F8" w:color="auto" w:val="clear"/>
        </w:rPr>
        <w:t>R.</w:t>
      </w:r>
      <w:r>
        <w:rPr>
          <w:color w:val="374151"/>
          <w:spacing w:val="-7"/>
          <w:sz w:val="28"/>
          <w:shd w:fill="F7F7F8" w:color="auto" w:val="clear"/>
        </w:rPr>
        <w:t> </w:t>
      </w:r>
      <w:r>
        <w:rPr>
          <w:color w:val="374151"/>
          <w:sz w:val="28"/>
          <w:shd w:fill="F7F7F8" w:color="auto" w:val="clear"/>
        </w:rPr>
        <w:t>Strategies</w:t>
      </w:r>
      <w:r>
        <w:rPr>
          <w:color w:val="374151"/>
          <w:spacing w:val="-7"/>
          <w:sz w:val="28"/>
          <w:shd w:fill="F7F7F8" w:color="auto" w:val="clear"/>
        </w:rPr>
        <w:t> </w:t>
      </w:r>
      <w:r>
        <w:rPr>
          <w:color w:val="374151"/>
          <w:sz w:val="28"/>
          <w:shd w:fill="F7F7F8" w:color="auto" w:val="clear"/>
        </w:rPr>
        <w:t>for</w:t>
      </w:r>
      <w:r>
        <w:rPr>
          <w:color w:val="374151"/>
          <w:spacing w:val="-7"/>
          <w:sz w:val="28"/>
          <w:shd w:fill="F7F7F8" w:color="auto" w:val="clear"/>
        </w:rPr>
        <w:t> </w:t>
      </w:r>
      <w:r>
        <w:rPr>
          <w:color w:val="374151"/>
          <w:sz w:val="28"/>
          <w:shd w:fill="F7F7F8" w:color="auto" w:val="clear"/>
        </w:rPr>
        <w:t>Preventing</w:t>
      </w:r>
      <w:r>
        <w:rPr>
          <w:color w:val="374151"/>
          <w:spacing w:val="-7"/>
          <w:sz w:val="28"/>
          <w:shd w:fill="F7F7F8" w:color="auto" w:val="clear"/>
        </w:rPr>
        <w:t> </w:t>
      </w:r>
      <w:r>
        <w:rPr>
          <w:color w:val="374151"/>
          <w:sz w:val="28"/>
          <w:shd w:fill="F7F7F8" w:color="auto" w:val="clear"/>
        </w:rPr>
        <w:t>Sexually</w:t>
      </w:r>
      <w:r>
        <w:rPr>
          <w:color w:val="374151"/>
          <w:spacing w:val="-12"/>
          <w:sz w:val="28"/>
          <w:shd w:fill="F7F7F8" w:color="auto" w:val="clear"/>
        </w:rPr>
        <w:t> </w:t>
      </w:r>
      <w:r>
        <w:rPr>
          <w:color w:val="374151"/>
          <w:sz w:val="28"/>
          <w:shd w:fill="F7F7F8" w:color="auto" w:val="clear"/>
        </w:rPr>
        <w:t>Transmitted</w:t>
      </w:r>
      <w:r>
        <w:rPr>
          <w:color w:val="374151"/>
          <w:spacing w:val="-8"/>
          <w:sz w:val="28"/>
          <w:shd w:fill="F7F7F8" w:color="auto" w:val="clear"/>
        </w:rPr>
        <w:t> </w:t>
      </w:r>
      <w:r>
        <w:rPr>
          <w:color w:val="374151"/>
          <w:spacing w:val="-8"/>
          <w:sz w:val="28"/>
        </w:rPr>
        <w:t> </w:t>
      </w:r>
      <w:r>
        <w:rPr>
          <w:color w:val="374151"/>
          <w:sz w:val="28"/>
          <w:shd w:fill="F7F7F8" w:color="auto" w:val="clear"/>
        </w:rPr>
        <w:t>Infections:</w:t>
      </w:r>
      <w:r>
        <w:rPr>
          <w:color w:val="374151"/>
          <w:spacing w:val="-10"/>
          <w:sz w:val="28"/>
          <w:shd w:fill="F7F7F8" w:color="auto" w:val="clear"/>
        </w:rPr>
        <w:t> </w:t>
      </w:r>
      <w:r>
        <w:rPr>
          <w:color w:val="374151"/>
          <w:sz w:val="28"/>
          <w:shd w:fill="F7F7F8" w:color="auto" w:val="clear"/>
        </w:rPr>
        <w:t>An Updated Review. Journal of Public Health. </w:t>
      </w:r>
      <w:r>
        <w:rPr>
          <w:color w:val="374151"/>
          <w:sz w:val="28"/>
        </w:rPr>
        <w:t> </w:t>
      </w:r>
      <w:r>
        <w:rPr>
          <w:color w:val="374151"/>
          <w:spacing w:val="-2"/>
          <w:sz w:val="28"/>
          <w:shd w:fill="F7F7F8" w:color="auto" w:val="clear"/>
        </w:rPr>
        <w:t>2020;42(2):191-208.</w:t>
      </w:r>
    </w:p>
    <w:p>
      <w:pPr>
        <w:pStyle w:val="ListParagraph"/>
        <w:numPr>
          <w:ilvl w:val="0"/>
          <w:numId w:val="17"/>
        </w:numPr>
        <w:tabs>
          <w:tab w:pos="1000" w:val="left" w:leader="none"/>
        </w:tabs>
        <w:spacing w:line="240" w:lineRule="auto" w:before="0" w:after="0"/>
        <w:ind w:left="1000" w:right="500" w:hanging="500"/>
        <w:jc w:val="left"/>
        <w:rPr>
          <w:sz w:val="28"/>
        </w:rPr>
      </w:pPr>
      <w:r>
        <w:rPr>
          <w:color w:val="374151"/>
          <w:sz w:val="28"/>
          <w:shd w:fill="F7F7F8" w:color="auto" w:val="clear"/>
        </w:rPr>
        <w:t>Martin</w:t>
      </w:r>
      <w:r>
        <w:rPr>
          <w:color w:val="374151"/>
          <w:spacing w:val="-6"/>
          <w:sz w:val="28"/>
          <w:shd w:fill="F7F7F8" w:color="auto" w:val="clear"/>
        </w:rPr>
        <w:t> </w:t>
      </w:r>
      <w:r>
        <w:rPr>
          <w:color w:val="374151"/>
          <w:sz w:val="28"/>
          <w:shd w:fill="F7F7F8" w:color="auto" w:val="clear"/>
        </w:rPr>
        <w:t>S,</w:t>
      </w:r>
      <w:r>
        <w:rPr>
          <w:color w:val="374151"/>
          <w:spacing w:val="-6"/>
          <w:sz w:val="28"/>
          <w:shd w:fill="F7F7F8" w:color="auto" w:val="clear"/>
        </w:rPr>
        <w:t> </w:t>
      </w:r>
      <w:r>
        <w:rPr>
          <w:color w:val="374151"/>
          <w:sz w:val="28"/>
          <w:shd w:fill="F7F7F8" w:color="auto" w:val="clear"/>
        </w:rPr>
        <w:t>Patel</w:t>
      </w:r>
      <w:r>
        <w:rPr>
          <w:color w:val="374151"/>
          <w:spacing w:val="-6"/>
          <w:sz w:val="28"/>
          <w:shd w:fill="F7F7F8" w:color="auto" w:val="clear"/>
        </w:rPr>
        <w:t> </w:t>
      </w:r>
      <w:r>
        <w:rPr>
          <w:color w:val="374151"/>
          <w:sz w:val="28"/>
          <w:shd w:fill="F7F7F8" w:color="auto" w:val="clear"/>
        </w:rPr>
        <w:t>D.</w:t>
      </w:r>
      <w:r>
        <w:rPr>
          <w:color w:val="374151"/>
          <w:spacing w:val="-6"/>
          <w:sz w:val="28"/>
          <w:shd w:fill="F7F7F8" w:color="auto" w:val="clear"/>
        </w:rPr>
        <w:t> </w:t>
      </w:r>
      <w:r>
        <w:rPr>
          <w:color w:val="374151"/>
          <w:sz w:val="28"/>
          <w:shd w:fill="F7F7F8" w:color="auto" w:val="clear"/>
        </w:rPr>
        <w:t>Chlamydia</w:t>
      </w:r>
      <w:r>
        <w:rPr>
          <w:color w:val="374151"/>
          <w:spacing w:val="-7"/>
          <w:sz w:val="28"/>
          <w:shd w:fill="F7F7F8" w:color="auto" w:val="clear"/>
        </w:rPr>
        <w:t> </w:t>
      </w:r>
      <w:r>
        <w:rPr>
          <w:color w:val="374151"/>
          <w:sz w:val="28"/>
          <w:shd w:fill="F7F7F8" w:color="auto" w:val="clear"/>
        </w:rPr>
        <w:t>and</w:t>
      </w:r>
      <w:r>
        <w:rPr>
          <w:color w:val="374151"/>
          <w:spacing w:val="-6"/>
          <w:sz w:val="28"/>
          <w:shd w:fill="F7F7F8" w:color="auto" w:val="clear"/>
        </w:rPr>
        <w:t> </w:t>
      </w:r>
      <w:r>
        <w:rPr>
          <w:color w:val="374151"/>
          <w:sz w:val="28"/>
          <w:shd w:fill="F7F7F8" w:color="auto" w:val="clear"/>
        </w:rPr>
        <w:t>Gonorrhea:</w:t>
      </w:r>
      <w:r>
        <w:rPr>
          <w:color w:val="374151"/>
          <w:spacing w:val="-6"/>
          <w:sz w:val="28"/>
          <w:shd w:fill="F7F7F8" w:color="auto" w:val="clear"/>
        </w:rPr>
        <w:t> </w:t>
      </w:r>
      <w:r>
        <w:rPr>
          <w:color w:val="374151"/>
          <w:sz w:val="28"/>
          <w:shd w:fill="F7F7F8" w:color="auto" w:val="clear"/>
        </w:rPr>
        <w:t>Diagnosis,</w:t>
      </w:r>
      <w:r>
        <w:rPr>
          <w:color w:val="374151"/>
          <w:spacing w:val="-11"/>
          <w:sz w:val="28"/>
          <w:shd w:fill="F7F7F8" w:color="auto" w:val="clear"/>
        </w:rPr>
        <w:t> </w:t>
      </w:r>
      <w:r>
        <w:rPr>
          <w:color w:val="374151"/>
          <w:sz w:val="28"/>
          <w:shd w:fill="F7F7F8" w:color="auto" w:val="clear"/>
        </w:rPr>
        <w:t>Treatment,</w:t>
      </w:r>
      <w:r>
        <w:rPr>
          <w:color w:val="374151"/>
          <w:spacing w:val="-6"/>
          <w:sz w:val="28"/>
          <w:shd w:fill="F7F7F8" w:color="auto" w:val="clear"/>
        </w:rPr>
        <w:t> </w:t>
      </w:r>
      <w:r>
        <w:rPr>
          <w:color w:val="374151"/>
          <w:sz w:val="28"/>
          <w:shd w:fill="F7F7F8" w:color="auto" w:val="clear"/>
        </w:rPr>
        <w:t>and</w:t>
      </w:r>
      <w:r>
        <w:rPr>
          <w:color w:val="374151"/>
          <w:sz w:val="28"/>
        </w:rPr>
        <w:t> </w:t>
      </w:r>
      <w:r>
        <w:rPr>
          <w:color w:val="374151"/>
          <w:sz w:val="28"/>
          <w:shd w:fill="F7F7F8" w:color="auto" w:val="clear"/>
        </w:rPr>
        <w:t>Psychological Implications. Journal of Sexual Health.</w:t>
      </w:r>
      <w:r>
        <w:rPr>
          <w:color w:val="374151"/>
          <w:spacing w:val="40"/>
          <w:sz w:val="28"/>
          <w:shd w:fill="F7F7F8" w:color="auto" w:val="clear"/>
        </w:rPr>
        <w:t> </w:t>
      </w:r>
    </w:p>
    <w:p>
      <w:pPr>
        <w:pStyle w:val="BodyText"/>
        <w:spacing w:line="317" w:lineRule="exact"/>
        <w:ind w:left="1000"/>
      </w:pPr>
      <w:r>
        <w:rPr>
          <w:color w:val="374151"/>
          <w:shd w:fill="F7F7F8" w:color="auto" w:val="clear"/>
        </w:rPr>
        <w:t>2021;25(4):345-</w:t>
      </w:r>
      <w:r>
        <w:rPr>
          <w:color w:val="374151"/>
          <w:spacing w:val="-4"/>
          <w:shd w:fill="F7F7F8" w:color="auto" w:val="clear"/>
        </w:rPr>
        <w:t>362.</w:t>
      </w:r>
    </w:p>
    <w:p>
      <w:pPr>
        <w:pStyle w:val="ListParagraph"/>
        <w:numPr>
          <w:ilvl w:val="0"/>
          <w:numId w:val="17"/>
        </w:numPr>
        <w:tabs>
          <w:tab w:pos="1000" w:val="left" w:leader="none"/>
        </w:tabs>
        <w:spacing w:line="240" w:lineRule="auto" w:before="0" w:after="0"/>
        <w:ind w:left="1000" w:right="933" w:hanging="500"/>
        <w:jc w:val="left"/>
        <w:rPr>
          <w:sz w:val="28"/>
        </w:rPr>
      </w:pPr>
      <w:r>
        <w:rPr>
          <w:color w:val="374151"/>
          <w:sz w:val="28"/>
          <w:shd w:fill="F7F7F8" w:color="auto" w:val="clear"/>
        </w:rPr>
        <w:t>Johnson</w:t>
      </w:r>
      <w:r>
        <w:rPr>
          <w:color w:val="374151"/>
          <w:spacing w:val="-6"/>
          <w:sz w:val="28"/>
          <w:shd w:fill="F7F7F8" w:color="auto" w:val="clear"/>
        </w:rPr>
        <w:t> </w:t>
      </w:r>
      <w:r>
        <w:rPr>
          <w:color w:val="374151"/>
          <w:sz w:val="28"/>
          <w:shd w:fill="F7F7F8" w:color="auto" w:val="clear"/>
        </w:rPr>
        <w:t>L,</w:t>
      </w:r>
      <w:r>
        <w:rPr>
          <w:color w:val="374151"/>
          <w:spacing w:val="-6"/>
          <w:sz w:val="28"/>
          <w:shd w:fill="F7F7F8" w:color="auto" w:val="clear"/>
        </w:rPr>
        <w:t> </w:t>
      </w:r>
      <w:r>
        <w:rPr>
          <w:color w:val="374151"/>
          <w:sz w:val="28"/>
          <w:shd w:fill="F7F7F8" w:color="auto" w:val="clear"/>
        </w:rPr>
        <w:t>Roberts</w:t>
      </w:r>
      <w:r>
        <w:rPr>
          <w:color w:val="374151"/>
          <w:spacing w:val="-6"/>
          <w:sz w:val="28"/>
          <w:shd w:fill="F7F7F8" w:color="auto" w:val="clear"/>
        </w:rPr>
        <w:t> </w:t>
      </w:r>
      <w:r>
        <w:rPr>
          <w:color w:val="374151"/>
          <w:sz w:val="28"/>
          <w:shd w:fill="F7F7F8" w:color="auto" w:val="clear"/>
        </w:rPr>
        <w:t>M.</w:t>
      </w:r>
      <w:r>
        <w:rPr>
          <w:color w:val="374151"/>
          <w:spacing w:val="-6"/>
          <w:sz w:val="28"/>
          <w:shd w:fill="F7F7F8" w:color="auto" w:val="clear"/>
        </w:rPr>
        <w:t> </w:t>
      </w:r>
      <w:r>
        <w:rPr>
          <w:color w:val="374151"/>
          <w:sz w:val="28"/>
          <w:shd w:fill="F7F7F8" w:color="auto" w:val="clear"/>
        </w:rPr>
        <w:t>Herpes</w:t>
      </w:r>
      <w:r>
        <w:rPr>
          <w:color w:val="374151"/>
          <w:spacing w:val="-6"/>
          <w:sz w:val="28"/>
          <w:shd w:fill="F7F7F8" w:color="auto" w:val="clear"/>
        </w:rPr>
        <w:t> </w:t>
      </w:r>
      <w:r>
        <w:rPr>
          <w:color w:val="374151"/>
          <w:sz w:val="28"/>
          <w:shd w:fill="F7F7F8" w:color="auto" w:val="clear"/>
        </w:rPr>
        <w:t>Simplex</w:t>
      </w:r>
      <w:r>
        <w:rPr>
          <w:color w:val="374151"/>
          <w:spacing w:val="-12"/>
          <w:sz w:val="28"/>
          <w:shd w:fill="F7F7F8" w:color="auto" w:val="clear"/>
        </w:rPr>
        <w:t> </w:t>
      </w:r>
      <w:r>
        <w:rPr>
          <w:color w:val="374151"/>
          <w:sz w:val="28"/>
          <w:shd w:fill="F7F7F8" w:color="auto" w:val="clear"/>
        </w:rPr>
        <w:t>Virus:</w:t>
      </w:r>
      <w:r>
        <w:rPr>
          <w:color w:val="374151"/>
          <w:spacing w:val="-6"/>
          <w:sz w:val="28"/>
          <w:shd w:fill="F7F7F8" w:color="auto" w:val="clear"/>
        </w:rPr>
        <w:t> </w:t>
      </w:r>
      <w:r>
        <w:rPr>
          <w:color w:val="374151"/>
          <w:sz w:val="28"/>
          <w:shd w:fill="F7F7F8" w:color="auto" w:val="clear"/>
        </w:rPr>
        <w:t>Clinical</w:t>
      </w:r>
      <w:r>
        <w:rPr>
          <w:color w:val="374151"/>
          <w:spacing w:val="-6"/>
          <w:sz w:val="28"/>
          <w:shd w:fill="F7F7F8" w:color="auto" w:val="clear"/>
        </w:rPr>
        <w:t> </w:t>
      </w:r>
      <w:r>
        <w:rPr>
          <w:color w:val="374151"/>
          <w:sz w:val="28"/>
          <w:shd w:fill="F7F7F8" w:color="auto" w:val="clear"/>
        </w:rPr>
        <w:t>Presentation,</w:t>
      </w:r>
      <w:r>
        <w:rPr>
          <w:color w:val="374151"/>
          <w:spacing w:val="-7"/>
          <w:sz w:val="28"/>
          <w:shd w:fill="F7F7F8" w:color="auto" w:val="clear"/>
        </w:rPr>
        <w:t> </w:t>
      </w:r>
      <w:r>
        <w:rPr>
          <w:color w:val="374151"/>
          <w:spacing w:val="-7"/>
          <w:sz w:val="28"/>
        </w:rPr>
        <w:t> </w:t>
      </w:r>
      <w:r>
        <w:rPr>
          <w:color w:val="374151"/>
          <w:sz w:val="28"/>
          <w:shd w:fill="F7F7F8" w:color="auto" w:val="clear"/>
        </w:rPr>
        <w:t>Diagnosis, and Management. Journal of Dermatological Clinical </w:t>
      </w:r>
      <w:r>
        <w:rPr>
          <w:color w:val="374151"/>
          <w:sz w:val="28"/>
        </w:rPr>
        <w:t> </w:t>
      </w:r>
      <w:r>
        <w:rPr>
          <w:color w:val="374151"/>
          <w:sz w:val="28"/>
          <w:shd w:fill="F7F7F8" w:color="auto" w:val="clear"/>
        </w:rPr>
        <w:t>Practice. 2022;29(2):201-218.</w:t>
      </w:r>
    </w:p>
    <w:p>
      <w:pPr>
        <w:pStyle w:val="ListParagraph"/>
        <w:numPr>
          <w:ilvl w:val="0"/>
          <w:numId w:val="17"/>
        </w:numPr>
        <w:tabs>
          <w:tab w:pos="1000" w:val="left" w:leader="none"/>
        </w:tabs>
        <w:spacing w:line="237" w:lineRule="auto" w:before="0" w:after="0"/>
        <w:ind w:left="1000" w:right="726" w:hanging="500"/>
        <w:jc w:val="left"/>
        <w:rPr>
          <w:sz w:val="28"/>
        </w:rPr>
      </w:pPr>
      <w:r>
        <w:rPr>
          <w:color w:val="374151"/>
          <w:sz w:val="28"/>
          <w:shd w:fill="F7F7F8" w:color="auto" w:val="clear"/>
        </w:rPr>
        <w:t>Harper</w:t>
      </w:r>
      <w:r>
        <w:rPr>
          <w:color w:val="374151"/>
          <w:spacing w:val="-7"/>
          <w:sz w:val="28"/>
          <w:shd w:fill="F7F7F8" w:color="auto" w:val="clear"/>
        </w:rPr>
        <w:t> </w:t>
      </w:r>
      <w:r>
        <w:rPr>
          <w:color w:val="374151"/>
          <w:sz w:val="28"/>
          <w:shd w:fill="F7F7F8" w:color="auto" w:val="clear"/>
        </w:rPr>
        <w:t>M,</w:t>
      </w:r>
      <w:r>
        <w:rPr>
          <w:color w:val="374151"/>
          <w:spacing w:val="-7"/>
          <w:sz w:val="28"/>
          <w:shd w:fill="F7F7F8" w:color="auto" w:val="clear"/>
        </w:rPr>
        <w:t> </w:t>
      </w:r>
      <w:r>
        <w:rPr>
          <w:color w:val="374151"/>
          <w:sz w:val="28"/>
          <w:shd w:fill="F7F7F8" w:color="auto" w:val="clear"/>
        </w:rPr>
        <w:t>Green</w:t>
      </w:r>
      <w:r>
        <w:rPr>
          <w:color w:val="374151"/>
          <w:spacing w:val="-7"/>
          <w:sz w:val="28"/>
          <w:shd w:fill="F7F7F8" w:color="auto" w:val="clear"/>
        </w:rPr>
        <w:t> </w:t>
      </w:r>
      <w:r>
        <w:rPr>
          <w:color w:val="374151"/>
          <w:sz w:val="28"/>
          <w:shd w:fill="F7F7F8" w:color="auto" w:val="clear"/>
        </w:rPr>
        <w:t>L.</w:t>
      </w:r>
      <w:r>
        <w:rPr>
          <w:color w:val="374151"/>
          <w:spacing w:val="-7"/>
          <w:sz w:val="28"/>
          <w:shd w:fill="F7F7F8" w:color="auto" w:val="clear"/>
        </w:rPr>
        <w:t> </w:t>
      </w:r>
      <w:r>
        <w:rPr>
          <w:color w:val="374151"/>
          <w:sz w:val="28"/>
          <w:shd w:fill="F7F7F8" w:color="auto" w:val="clear"/>
        </w:rPr>
        <w:t>Human</w:t>
      </w:r>
      <w:r>
        <w:rPr>
          <w:color w:val="374151"/>
          <w:spacing w:val="-7"/>
          <w:sz w:val="28"/>
          <w:shd w:fill="F7F7F8" w:color="auto" w:val="clear"/>
        </w:rPr>
        <w:t> </w:t>
      </w:r>
      <w:r>
        <w:rPr>
          <w:color w:val="374151"/>
          <w:sz w:val="28"/>
          <w:shd w:fill="F7F7F8" w:color="auto" w:val="clear"/>
        </w:rPr>
        <w:t>Papillomavirus</w:t>
      </w:r>
      <w:r>
        <w:rPr>
          <w:color w:val="374151"/>
          <w:spacing w:val="-7"/>
          <w:sz w:val="28"/>
          <w:shd w:fill="F7F7F8" w:color="auto" w:val="clear"/>
        </w:rPr>
        <w:t> </w:t>
      </w:r>
      <w:r>
        <w:rPr>
          <w:color w:val="374151"/>
          <w:sz w:val="28"/>
          <w:shd w:fill="F7F7F8" w:color="auto" w:val="clear"/>
        </w:rPr>
        <w:t>Infections:</w:t>
      </w:r>
      <w:r>
        <w:rPr>
          <w:color w:val="374151"/>
          <w:spacing w:val="-7"/>
          <w:sz w:val="28"/>
          <w:shd w:fill="F7F7F8" w:color="auto" w:val="clear"/>
        </w:rPr>
        <w:t> </w:t>
      </w:r>
      <w:r>
        <w:rPr>
          <w:color w:val="374151"/>
          <w:sz w:val="28"/>
          <w:shd w:fill="F7F7F8" w:color="auto" w:val="clear"/>
        </w:rPr>
        <w:t>Epidemiology,</w:t>
      </w:r>
      <w:r>
        <w:rPr>
          <w:color w:val="374151"/>
          <w:spacing w:val="-13"/>
          <w:sz w:val="28"/>
          <w:shd w:fill="F7F7F8" w:color="auto" w:val="clear"/>
        </w:rPr>
        <w:t> </w:t>
      </w:r>
      <w:r>
        <w:rPr>
          <w:color w:val="374151"/>
          <w:spacing w:val="-13"/>
          <w:sz w:val="28"/>
        </w:rPr>
        <w:t> </w:t>
      </w:r>
      <w:r>
        <w:rPr>
          <w:color w:val="374151"/>
          <w:sz w:val="28"/>
          <w:shd w:fill="F7F7F8" w:color="auto" w:val="clear"/>
        </w:rPr>
        <w:t>Vaccination, and Psychological Considerations. Journal of Obstetrics </w:t>
      </w:r>
      <w:r>
        <w:rPr>
          <w:color w:val="374151"/>
          <w:sz w:val="28"/>
        </w:rPr>
        <w:t> </w:t>
      </w:r>
      <w:r>
        <w:rPr>
          <w:color w:val="374151"/>
          <w:sz w:val="28"/>
          <w:shd w:fill="F7F7F8" w:color="auto" w:val="clear"/>
        </w:rPr>
        <w:t>and Gynecology. 2021;39(3):315-330.</w:t>
      </w:r>
    </w:p>
    <w:p>
      <w:pPr>
        <w:pStyle w:val="ListParagraph"/>
        <w:numPr>
          <w:ilvl w:val="0"/>
          <w:numId w:val="17"/>
        </w:numPr>
        <w:tabs>
          <w:tab w:pos="1000" w:val="left" w:leader="none"/>
        </w:tabs>
        <w:spacing w:line="240" w:lineRule="auto" w:before="0" w:after="0"/>
        <w:ind w:left="1000" w:right="771" w:hanging="500"/>
        <w:jc w:val="left"/>
        <w:rPr>
          <w:sz w:val="28"/>
        </w:rPr>
      </w:pPr>
      <w:r>
        <w:rPr>
          <w:color w:val="374151"/>
          <w:sz w:val="28"/>
          <w:shd w:fill="F7F7F8" w:color="auto" w:val="clear"/>
        </w:rPr>
        <w:t>Ong</w:t>
      </w:r>
      <w:r>
        <w:rPr>
          <w:color w:val="374151"/>
          <w:spacing w:val="-18"/>
          <w:sz w:val="28"/>
          <w:shd w:fill="F7F7F8" w:color="auto" w:val="clear"/>
        </w:rPr>
        <w:t> </w:t>
      </w:r>
      <w:r>
        <w:rPr>
          <w:color w:val="374151"/>
          <w:sz w:val="28"/>
          <w:shd w:fill="F7F7F8" w:color="auto" w:val="clear"/>
        </w:rPr>
        <w:t>A,</w:t>
      </w:r>
      <w:r>
        <w:rPr>
          <w:color w:val="374151"/>
          <w:spacing w:val="-8"/>
          <w:sz w:val="28"/>
          <w:shd w:fill="F7F7F8" w:color="auto" w:val="clear"/>
        </w:rPr>
        <w:t> </w:t>
      </w:r>
      <w:r>
        <w:rPr>
          <w:color w:val="374151"/>
          <w:sz w:val="28"/>
          <w:shd w:fill="F7F7F8" w:color="auto" w:val="clear"/>
        </w:rPr>
        <w:t>Ling</w:t>
      </w:r>
      <w:r>
        <w:rPr>
          <w:color w:val="374151"/>
          <w:spacing w:val="-6"/>
          <w:sz w:val="28"/>
          <w:shd w:fill="F7F7F8" w:color="auto" w:val="clear"/>
        </w:rPr>
        <w:t> </w:t>
      </w:r>
      <w:r>
        <w:rPr>
          <w:color w:val="374151"/>
          <w:sz w:val="28"/>
          <w:shd w:fill="F7F7F8" w:color="auto" w:val="clear"/>
        </w:rPr>
        <w:t>J.</w:t>
      </w:r>
      <w:r>
        <w:rPr>
          <w:color w:val="374151"/>
          <w:spacing w:val="-12"/>
          <w:sz w:val="28"/>
          <w:shd w:fill="F7F7F8" w:color="auto" w:val="clear"/>
        </w:rPr>
        <w:t> </w:t>
      </w:r>
      <w:r>
        <w:rPr>
          <w:color w:val="374151"/>
          <w:sz w:val="28"/>
          <w:shd w:fill="F7F7F8" w:color="auto" w:val="clear"/>
        </w:rPr>
        <w:t>Trichomoniasis</w:t>
      </w:r>
      <w:r>
        <w:rPr>
          <w:color w:val="374151"/>
          <w:spacing w:val="-6"/>
          <w:sz w:val="28"/>
          <w:shd w:fill="F7F7F8" w:color="auto" w:val="clear"/>
        </w:rPr>
        <w:t> </w:t>
      </w:r>
      <w:r>
        <w:rPr>
          <w:color w:val="374151"/>
          <w:sz w:val="28"/>
          <w:shd w:fill="F7F7F8" w:color="auto" w:val="clear"/>
        </w:rPr>
        <w:t>and</w:t>
      </w:r>
      <w:r>
        <w:rPr>
          <w:color w:val="374151"/>
          <w:spacing w:val="-6"/>
          <w:sz w:val="28"/>
          <w:shd w:fill="F7F7F8" w:color="auto" w:val="clear"/>
        </w:rPr>
        <w:t> </w:t>
      </w:r>
      <w:r>
        <w:rPr>
          <w:color w:val="374151"/>
          <w:sz w:val="28"/>
          <w:shd w:fill="F7F7F8" w:color="auto" w:val="clear"/>
        </w:rPr>
        <w:t>Pubic</w:t>
      </w:r>
      <w:r>
        <w:rPr>
          <w:color w:val="374151"/>
          <w:spacing w:val="-7"/>
          <w:sz w:val="28"/>
          <w:shd w:fill="F7F7F8" w:color="auto" w:val="clear"/>
        </w:rPr>
        <w:t> </w:t>
      </w:r>
      <w:r>
        <w:rPr>
          <w:color w:val="374151"/>
          <w:sz w:val="28"/>
          <w:shd w:fill="F7F7F8" w:color="auto" w:val="clear"/>
        </w:rPr>
        <w:t>Lice:</w:t>
      </w:r>
      <w:r>
        <w:rPr>
          <w:color w:val="374151"/>
          <w:spacing w:val="-6"/>
          <w:sz w:val="28"/>
          <w:shd w:fill="F7F7F8" w:color="auto" w:val="clear"/>
        </w:rPr>
        <w:t> </w:t>
      </w:r>
      <w:r>
        <w:rPr>
          <w:color w:val="374151"/>
          <w:sz w:val="28"/>
          <w:shd w:fill="F7F7F8" w:color="auto" w:val="clear"/>
        </w:rPr>
        <w:t>Diagnosis,</w:t>
      </w:r>
      <w:r>
        <w:rPr>
          <w:color w:val="374151"/>
          <w:spacing w:val="-12"/>
          <w:sz w:val="28"/>
          <w:shd w:fill="F7F7F8" w:color="auto" w:val="clear"/>
        </w:rPr>
        <w:t> </w:t>
      </w:r>
      <w:r>
        <w:rPr>
          <w:color w:val="374151"/>
          <w:sz w:val="28"/>
          <w:shd w:fill="F7F7F8" w:color="auto" w:val="clear"/>
        </w:rPr>
        <w:t>Treatment,</w:t>
      </w:r>
      <w:r>
        <w:rPr>
          <w:color w:val="374151"/>
          <w:spacing w:val="-7"/>
          <w:sz w:val="28"/>
          <w:shd w:fill="F7F7F8" w:color="auto" w:val="clear"/>
        </w:rPr>
        <w:t> </w:t>
      </w:r>
      <w:r>
        <w:rPr>
          <w:color w:val="374151"/>
          <w:spacing w:val="-7"/>
          <w:sz w:val="28"/>
        </w:rPr>
        <w:t> </w:t>
      </w:r>
      <w:r>
        <w:rPr>
          <w:color w:val="374151"/>
          <w:sz w:val="28"/>
          <w:shd w:fill="F7F7F8" w:color="auto" w:val="clear"/>
        </w:rPr>
        <w:t>and Implications for Mental Health. Journal of Sexuality and </w:t>
      </w:r>
      <w:r>
        <w:rPr>
          <w:color w:val="374151"/>
          <w:sz w:val="28"/>
        </w:rPr>
        <w:t> </w:t>
      </w:r>
      <w:r>
        <w:rPr>
          <w:color w:val="374151"/>
          <w:sz w:val="28"/>
          <w:shd w:fill="F7F7F8" w:color="auto" w:val="clear"/>
        </w:rPr>
        <w:t>Reproduction. 2022;48(4):401-416.</w:t>
      </w:r>
    </w:p>
    <w:p>
      <w:pPr>
        <w:pStyle w:val="ListParagraph"/>
        <w:numPr>
          <w:ilvl w:val="0"/>
          <w:numId w:val="17"/>
        </w:numPr>
        <w:tabs>
          <w:tab w:pos="1000" w:val="left" w:leader="none"/>
        </w:tabs>
        <w:spacing w:line="237" w:lineRule="auto" w:before="0" w:after="0"/>
        <w:ind w:left="1000" w:right="689" w:hanging="500"/>
        <w:jc w:val="left"/>
        <w:rPr>
          <w:sz w:val="28"/>
        </w:rPr>
      </w:pPr>
      <w:r>
        <w:rPr>
          <w:color w:val="374151"/>
          <w:sz w:val="28"/>
          <w:shd w:fill="F7F7F8" w:color="auto" w:val="clear"/>
        </w:rPr>
        <w:t>Patel N, Clark K. Mental Health Considerations for Individuals with </w:t>
      </w:r>
      <w:r>
        <w:rPr>
          <w:color w:val="374151"/>
          <w:sz w:val="28"/>
        </w:rPr>
        <w:t> </w:t>
      </w:r>
      <w:r>
        <w:rPr>
          <w:color w:val="374151"/>
          <w:sz w:val="28"/>
          <w:shd w:fill="F7F7F8" w:color="auto" w:val="clear"/>
        </w:rPr>
        <w:t>Sexually</w:t>
      </w:r>
      <w:r>
        <w:rPr>
          <w:color w:val="374151"/>
          <w:spacing w:val="-18"/>
          <w:sz w:val="28"/>
          <w:shd w:fill="F7F7F8" w:color="auto" w:val="clear"/>
        </w:rPr>
        <w:t> </w:t>
      </w:r>
      <w:r>
        <w:rPr>
          <w:color w:val="374151"/>
          <w:sz w:val="28"/>
          <w:shd w:fill="F7F7F8" w:color="auto" w:val="clear"/>
        </w:rPr>
        <w:t>Transmitted</w:t>
      </w:r>
      <w:r>
        <w:rPr>
          <w:color w:val="374151"/>
          <w:spacing w:val="-14"/>
          <w:sz w:val="28"/>
          <w:shd w:fill="F7F7F8" w:color="auto" w:val="clear"/>
        </w:rPr>
        <w:t> </w:t>
      </w:r>
      <w:r>
        <w:rPr>
          <w:color w:val="374151"/>
          <w:sz w:val="28"/>
          <w:shd w:fill="F7F7F8" w:color="auto" w:val="clear"/>
        </w:rPr>
        <w:t>Infections:</w:t>
      </w:r>
      <w:r>
        <w:rPr>
          <w:color w:val="374151"/>
          <w:spacing w:val="-18"/>
          <w:sz w:val="28"/>
          <w:shd w:fill="F7F7F8" w:color="auto" w:val="clear"/>
        </w:rPr>
        <w:t> </w:t>
      </w:r>
      <w:r>
        <w:rPr>
          <w:color w:val="374151"/>
          <w:sz w:val="28"/>
          <w:shd w:fill="F7F7F8" w:color="auto" w:val="clear"/>
        </w:rPr>
        <w:t>A</w:t>
      </w:r>
      <w:r>
        <w:rPr>
          <w:color w:val="374151"/>
          <w:spacing w:val="-17"/>
          <w:sz w:val="28"/>
          <w:shd w:fill="F7F7F8" w:color="auto" w:val="clear"/>
        </w:rPr>
        <w:t> </w:t>
      </w:r>
      <w:r>
        <w:rPr>
          <w:color w:val="374151"/>
          <w:sz w:val="28"/>
          <w:shd w:fill="F7F7F8" w:color="auto" w:val="clear"/>
        </w:rPr>
        <w:t>Comprehensive</w:t>
      </w:r>
      <w:r>
        <w:rPr>
          <w:color w:val="374151"/>
          <w:spacing w:val="-9"/>
          <w:sz w:val="28"/>
          <w:shd w:fill="F7F7F8" w:color="auto" w:val="clear"/>
        </w:rPr>
        <w:t> </w:t>
      </w:r>
      <w:r>
        <w:rPr>
          <w:color w:val="374151"/>
          <w:sz w:val="28"/>
          <w:shd w:fill="F7F7F8" w:color="auto" w:val="clear"/>
        </w:rPr>
        <w:t>Review.</w:t>
      </w:r>
      <w:r>
        <w:rPr>
          <w:color w:val="374151"/>
          <w:spacing w:val="-9"/>
          <w:sz w:val="28"/>
          <w:shd w:fill="F7F7F8" w:color="auto" w:val="clear"/>
        </w:rPr>
        <w:t> </w:t>
      </w:r>
      <w:r>
        <w:rPr>
          <w:color w:val="374151"/>
          <w:sz w:val="28"/>
          <w:shd w:fill="F7F7F8" w:color="auto" w:val="clear"/>
        </w:rPr>
        <w:t>Journal</w:t>
      </w:r>
      <w:r>
        <w:rPr>
          <w:color w:val="374151"/>
          <w:spacing w:val="-9"/>
          <w:sz w:val="28"/>
          <w:shd w:fill="F7F7F8" w:color="auto" w:val="clear"/>
        </w:rPr>
        <w:t> </w:t>
      </w:r>
      <w:r>
        <w:rPr>
          <w:color w:val="374151"/>
          <w:sz w:val="28"/>
          <w:shd w:fill="F7F7F8" w:color="auto" w:val="clear"/>
        </w:rPr>
        <w:t>of</w:t>
      </w:r>
      <w:r>
        <w:rPr>
          <w:color w:val="374151"/>
          <w:spacing w:val="-10"/>
          <w:sz w:val="28"/>
          <w:shd w:fill="F7F7F8" w:color="auto" w:val="clear"/>
        </w:rPr>
        <w:t> </w:t>
      </w:r>
      <w:r>
        <w:rPr>
          <w:color w:val="374151"/>
          <w:spacing w:val="-10"/>
          <w:sz w:val="28"/>
        </w:rPr>
        <w:t> </w:t>
      </w:r>
      <w:r>
        <w:rPr>
          <w:color w:val="374151"/>
          <w:sz w:val="28"/>
          <w:shd w:fill="F7F7F8" w:color="auto" w:val="clear"/>
        </w:rPr>
        <w:t>Psychiatric Practice. 2020;26(5):431-446.</w:t>
      </w:r>
    </w:p>
    <w:p>
      <w:pPr>
        <w:pStyle w:val="ListParagraph"/>
        <w:numPr>
          <w:ilvl w:val="0"/>
          <w:numId w:val="17"/>
        </w:numPr>
        <w:tabs>
          <w:tab w:pos="1000" w:val="left" w:leader="none"/>
        </w:tabs>
        <w:spacing w:line="240" w:lineRule="auto" w:before="0" w:after="0"/>
        <w:ind w:left="1000" w:right="555" w:hanging="500"/>
        <w:jc w:val="left"/>
        <w:rPr>
          <w:sz w:val="28"/>
        </w:rPr>
      </w:pPr>
      <w:r>
        <w:rPr>
          <w:color w:val="374151"/>
          <w:sz w:val="28"/>
          <w:shd w:fill="F7F7F8" w:color="auto" w:val="clear"/>
        </w:rPr>
        <w:t>Donovan R, Johnson M. Integrating STI-Related Care into Mental </w:t>
      </w:r>
      <w:r>
        <w:rPr>
          <w:color w:val="374151"/>
          <w:sz w:val="28"/>
        </w:rPr>
        <w:t> </w:t>
      </w:r>
      <w:r>
        <w:rPr>
          <w:color w:val="374151"/>
          <w:sz w:val="28"/>
          <w:shd w:fill="F7F7F8" w:color="auto" w:val="clear"/>
        </w:rPr>
        <w:t>Health</w:t>
      </w:r>
      <w:r>
        <w:rPr>
          <w:color w:val="374151"/>
          <w:spacing w:val="-6"/>
          <w:sz w:val="28"/>
          <w:shd w:fill="F7F7F8" w:color="auto" w:val="clear"/>
        </w:rPr>
        <w:t> </w:t>
      </w:r>
      <w:r>
        <w:rPr>
          <w:color w:val="374151"/>
          <w:sz w:val="28"/>
          <w:shd w:fill="F7F7F8" w:color="auto" w:val="clear"/>
        </w:rPr>
        <w:t>Practice:</w:t>
      </w:r>
      <w:r>
        <w:rPr>
          <w:color w:val="374151"/>
          <w:spacing w:val="-5"/>
          <w:sz w:val="28"/>
          <w:shd w:fill="F7F7F8" w:color="auto" w:val="clear"/>
        </w:rPr>
        <w:t> </w:t>
      </w:r>
      <w:r>
        <w:rPr>
          <w:color w:val="374151"/>
          <w:sz w:val="28"/>
          <w:shd w:fill="F7F7F8" w:color="auto" w:val="clear"/>
        </w:rPr>
        <w:t>Guidelines</w:t>
      </w:r>
      <w:r>
        <w:rPr>
          <w:color w:val="374151"/>
          <w:spacing w:val="-5"/>
          <w:sz w:val="28"/>
          <w:shd w:fill="F7F7F8" w:color="auto" w:val="clear"/>
        </w:rPr>
        <w:t> </w:t>
      </w:r>
      <w:r>
        <w:rPr>
          <w:color w:val="374151"/>
          <w:sz w:val="28"/>
          <w:shd w:fill="F7F7F8" w:color="auto" w:val="clear"/>
        </w:rPr>
        <w:t>for</w:t>
      </w:r>
      <w:r>
        <w:rPr>
          <w:color w:val="374151"/>
          <w:spacing w:val="-18"/>
          <w:sz w:val="28"/>
          <w:shd w:fill="F7F7F8" w:color="auto" w:val="clear"/>
        </w:rPr>
        <w:t> </w:t>
      </w:r>
      <w:r>
        <w:rPr>
          <w:color w:val="374151"/>
          <w:sz w:val="28"/>
          <w:shd w:fill="F7F7F8" w:color="auto" w:val="clear"/>
        </w:rPr>
        <w:t>Assessment</w:t>
      </w:r>
      <w:r>
        <w:rPr>
          <w:color w:val="374151"/>
          <w:spacing w:val="-4"/>
          <w:sz w:val="28"/>
          <w:shd w:fill="F7F7F8" w:color="auto" w:val="clear"/>
        </w:rPr>
        <w:t> </w:t>
      </w:r>
      <w:r>
        <w:rPr>
          <w:color w:val="374151"/>
          <w:sz w:val="28"/>
          <w:shd w:fill="F7F7F8" w:color="auto" w:val="clear"/>
        </w:rPr>
        <w:t>and</w:t>
      </w:r>
      <w:r>
        <w:rPr>
          <w:color w:val="374151"/>
          <w:spacing w:val="-5"/>
          <w:sz w:val="28"/>
          <w:shd w:fill="F7F7F8" w:color="auto" w:val="clear"/>
        </w:rPr>
        <w:t> </w:t>
      </w:r>
      <w:r>
        <w:rPr>
          <w:color w:val="374151"/>
          <w:sz w:val="28"/>
          <w:shd w:fill="F7F7F8" w:color="auto" w:val="clear"/>
        </w:rPr>
        <w:t>Intervention.</w:t>
      </w:r>
      <w:r>
        <w:rPr>
          <w:color w:val="374151"/>
          <w:spacing w:val="-5"/>
          <w:sz w:val="28"/>
          <w:shd w:fill="F7F7F8" w:color="auto" w:val="clear"/>
        </w:rPr>
        <w:t> </w:t>
      </w:r>
      <w:r>
        <w:rPr>
          <w:color w:val="374151"/>
          <w:sz w:val="28"/>
          <w:shd w:fill="F7F7F8" w:color="auto" w:val="clear"/>
        </w:rPr>
        <w:t>Journal</w:t>
      </w:r>
      <w:r>
        <w:rPr>
          <w:color w:val="374151"/>
          <w:spacing w:val="-5"/>
          <w:sz w:val="28"/>
          <w:shd w:fill="F7F7F8" w:color="auto" w:val="clear"/>
        </w:rPr>
        <w:t> </w:t>
      </w:r>
      <w:r>
        <w:rPr>
          <w:color w:val="374151"/>
          <w:sz w:val="28"/>
          <w:shd w:fill="F7F7F8" w:color="auto" w:val="clear"/>
        </w:rPr>
        <w:t>of</w:t>
      </w:r>
      <w:r>
        <w:rPr>
          <w:color w:val="374151"/>
          <w:spacing w:val="-6"/>
          <w:sz w:val="28"/>
          <w:shd w:fill="F7F7F8" w:color="auto" w:val="clear"/>
        </w:rPr>
        <w:t> </w:t>
      </w:r>
      <w:r>
        <w:rPr>
          <w:color w:val="374151"/>
          <w:spacing w:val="-6"/>
          <w:sz w:val="28"/>
        </w:rPr>
        <w:t> </w:t>
      </w:r>
      <w:r>
        <w:rPr>
          <w:color w:val="374151"/>
          <w:sz w:val="28"/>
          <w:shd w:fill="F7F7F8" w:color="auto" w:val="clear"/>
        </w:rPr>
        <w:t>Behavioral Health. 2021;38(4):267-282.</w:t>
      </w:r>
    </w:p>
    <w:p>
      <w:pPr>
        <w:pStyle w:val="ListParagraph"/>
        <w:numPr>
          <w:ilvl w:val="0"/>
          <w:numId w:val="17"/>
        </w:numPr>
        <w:tabs>
          <w:tab w:pos="1000" w:val="left" w:leader="none"/>
        </w:tabs>
        <w:spacing w:line="237" w:lineRule="auto" w:before="0" w:after="0"/>
        <w:ind w:left="1000" w:right="725" w:hanging="500"/>
        <w:jc w:val="both"/>
        <w:rPr>
          <w:sz w:val="28"/>
        </w:rPr>
      </w:pPr>
      <w:r>
        <w:rPr>
          <w:color w:val="374151"/>
          <w:sz w:val="28"/>
          <w:shd w:fill="F7F7F8" w:color="auto" w:val="clear"/>
        </w:rPr>
        <w:t>Park</w:t>
      </w:r>
      <w:r>
        <w:rPr>
          <w:color w:val="374151"/>
          <w:spacing w:val="-7"/>
          <w:sz w:val="28"/>
          <w:shd w:fill="F7F7F8" w:color="auto" w:val="clear"/>
        </w:rPr>
        <w:t> </w:t>
      </w:r>
      <w:r>
        <w:rPr>
          <w:color w:val="374151"/>
          <w:sz w:val="28"/>
          <w:shd w:fill="F7F7F8" w:color="auto" w:val="clear"/>
        </w:rPr>
        <w:t>H,</w:t>
      </w:r>
      <w:r>
        <w:rPr>
          <w:color w:val="374151"/>
          <w:spacing w:val="-5"/>
          <w:sz w:val="28"/>
          <w:shd w:fill="F7F7F8" w:color="auto" w:val="clear"/>
        </w:rPr>
        <w:t> </w:t>
      </w:r>
      <w:r>
        <w:rPr>
          <w:color w:val="374151"/>
          <w:sz w:val="28"/>
          <w:shd w:fill="F7F7F8" w:color="auto" w:val="clear"/>
        </w:rPr>
        <w:t>Lee</w:t>
      </w:r>
      <w:r>
        <w:rPr>
          <w:color w:val="374151"/>
          <w:spacing w:val="-6"/>
          <w:sz w:val="28"/>
          <w:shd w:fill="F7F7F8" w:color="auto" w:val="clear"/>
        </w:rPr>
        <w:t> </w:t>
      </w:r>
      <w:r>
        <w:rPr>
          <w:color w:val="374151"/>
          <w:sz w:val="28"/>
          <w:shd w:fill="F7F7F8" w:color="auto" w:val="clear"/>
        </w:rPr>
        <w:t>S.</w:t>
      </w:r>
      <w:r>
        <w:rPr>
          <w:color w:val="374151"/>
          <w:spacing w:val="-18"/>
          <w:sz w:val="28"/>
          <w:shd w:fill="F7F7F8" w:color="auto" w:val="clear"/>
        </w:rPr>
        <w:t> </w:t>
      </w:r>
      <w:r>
        <w:rPr>
          <w:color w:val="374151"/>
          <w:sz w:val="28"/>
          <w:shd w:fill="F7F7F8" w:color="auto" w:val="clear"/>
        </w:rPr>
        <w:t>Addressing</w:t>
      </w:r>
      <w:r>
        <w:rPr>
          <w:color w:val="374151"/>
          <w:spacing w:val="-5"/>
          <w:sz w:val="28"/>
          <w:shd w:fill="F7F7F8" w:color="auto" w:val="clear"/>
        </w:rPr>
        <w:t> </w:t>
      </w:r>
      <w:r>
        <w:rPr>
          <w:color w:val="374151"/>
          <w:sz w:val="28"/>
          <w:shd w:fill="F7F7F8" w:color="auto" w:val="clear"/>
        </w:rPr>
        <w:t>Sexually</w:t>
      </w:r>
      <w:r>
        <w:rPr>
          <w:color w:val="374151"/>
          <w:spacing w:val="-11"/>
          <w:sz w:val="28"/>
          <w:shd w:fill="F7F7F8" w:color="auto" w:val="clear"/>
        </w:rPr>
        <w:t> </w:t>
      </w:r>
      <w:r>
        <w:rPr>
          <w:color w:val="374151"/>
          <w:sz w:val="28"/>
          <w:shd w:fill="F7F7F8" w:color="auto" w:val="clear"/>
        </w:rPr>
        <w:t>Transmitted</w:t>
      </w:r>
      <w:r>
        <w:rPr>
          <w:color w:val="374151"/>
          <w:spacing w:val="-5"/>
          <w:sz w:val="28"/>
          <w:shd w:fill="F7F7F8" w:color="auto" w:val="clear"/>
        </w:rPr>
        <w:t> </w:t>
      </w:r>
      <w:r>
        <w:rPr>
          <w:color w:val="374151"/>
          <w:sz w:val="28"/>
          <w:shd w:fill="F7F7F8" w:color="auto" w:val="clear"/>
        </w:rPr>
        <w:t>Infections</w:t>
      </w:r>
      <w:r>
        <w:rPr>
          <w:color w:val="374151"/>
          <w:spacing w:val="-5"/>
          <w:sz w:val="28"/>
          <w:shd w:fill="F7F7F8" w:color="auto" w:val="clear"/>
        </w:rPr>
        <w:t> </w:t>
      </w:r>
      <w:r>
        <w:rPr>
          <w:color w:val="374151"/>
          <w:sz w:val="28"/>
          <w:shd w:fill="F7F7F8" w:color="auto" w:val="clear"/>
        </w:rPr>
        <w:t>in</w:t>
      </w:r>
      <w:r>
        <w:rPr>
          <w:color w:val="374151"/>
          <w:spacing w:val="-5"/>
          <w:sz w:val="28"/>
          <w:shd w:fill="F7F7F8" w:color="auto" w:val="clear"/>
        </w:rPr>
        <w:t> </w:t>
      </w:r>
      <w:r>
        <w:rPr>
          <w:color w:val="374151"/>
          <w:sz w:val="28"/>
          <w:shd w:fill="F7F7F8" w:color="auto" w:val="clear"/>
        </w:rPr>
        <w:t>Clinical</w:t>
      </w:r>
      <w:r>
        <w:rPr>
          <w:color w:val="374151"/>
          <w:spacing w:val="-6"/>
          <w:sz w:val="28"/>
          <w:shd w:fill="F7F7F8" w:color="auto" w:val="clear"/>
        </w:rPr>
        <w:t> </w:t>
      </w:r>
      <w:r>
        <w:rPr>
          <w:color w:val="374151"/>
          <w:spacing w:val="-6"/>
          <w:sz w:val="28"/>
        </w:rPr>
        <w:t> </w:t>
      </w:r>
      <w:r>
        <w:rPr>
          <w:color w:val="374151"/>
          <w:sz w:val="28"/>
          <w:shd w:fill="F7F7F8" w:color="auto" w:val="clear"/>
        </w:rPr>
        <w:t>Practice: Strategies for Mental Health and Social</w:t>
      </w:r>
      <w:r>
        <w:rPr>
          <w:color w:val="374151"/>
          <w:spacing w:val="-5"/>
          <w:sz w:val="28"/>
          <w:shd w:fill="F7F7F8" w:color="auto" w:val="clear"/>
        </w:rPr>
        <w:t> </w:t>
      </w:r>
      <w:r>
        <w:rPr>
          <w:color w:val="374151"/>
          <w:sz w:val="28"/>
          <w:shd w:fill="F7F7F8" w:color="auto" w:val="clear"/>
        </w:rPr>
        <w:t>Work Professionals. </w:t>
      </w:r>
      <w:r>
        <w:rPr>
          <w:color w:val="374151"/>
          <w:sz w:val="28"/>
        </w:rPr>
        <w:t> </w:t>
      </w:r>
      <w:r>
        <w:rPr>
          <w:color w:val="374151"/>
          <w:sz w:val="28"/>
          <w:shd w:fill="F7F7F8" w:color="auto" w:val="clear"/>
        </w:rPr>
        <w:t>Journal of Clinical Social Work. 2022;65(1):87-104.</w:t>
      </w:r>
    </w:p>
    <w:p>
      <w:pPr>
        <w:pStyle w:val="BodyText"/>
        <w:rPr>
          <w:sz w:val="30"/>
        </w:rPr>
      </w:pPr>
    </w:p>
    <w:p>
      <w:pPr>
        <w:pStyle w:val="BodyText"/>
        <w:spacing w:before="265"/>
        <w:ind w:left="280" w:right="499"/>
      </w:pPr>
      <w:r>
        <w:rPr/>
        <mc:AlternateContent>
          <mc:Choice Requires="wps">
            <w:drawing>
              <wp:anchor distT="0" distB="0" distL="0" distR="0" allowOverlap="1" layoutInCell="1" locked="0" behindDoc="1" simplePos="0" relativeHeight="487672320">
                <wp:simplePos x="0" y="0"/>
                <wp:positionH relativeFrom="page">
                  <wp:posOffset>1066800</wp:posOffset>
                </wp:positionH>
                <wp:positionV relativeFrom="paragraph">
                  <wp:posOffset>581962</wp:posOffset>
                </wp:positionV>
                <wp:extent cx="4293870" cy="393700"/>
                <wp:effectExtent l="0" t="0" r="0" b="0"/>
                <wp:wrapTopAndBottom/>
                <wp:docPr id="336" name="Textbox 336"/>
                <wp:cNvGraphicFramePr>
                  <a:graphicFrameLocks/>
                </wp:cNvGraphicFramePr>
                <a:graphic>
                  <a:graphicData uri="http://schemas.microsoft.com/office/word/2010/wordprocessingShape">
                    <wps:wsp>
                      <wps:cNvPr id="336" name="Textbox 336"/>
                      <wps:cNvSpPr txBox="1"/>
                      <wps:spPr>
                        <a:xfrm>
                          <a:off x="0" y="0"/>
                          <a:ext cx="4293870" cy="393700"/>
                        </a:xfrm>
                        <a:prstGeom prst="rect">
                          <a:avLst/>
                        </a:prstGeom>
                        <a:solidFill>
                          <a:srgbClr val="F7F7F8"/>
                        </a:solidFill>
                      </wps:spPr>
                      <wps:txbx>
                        <w:txbxContent>
                          <w:p>
                            <w:pPr>
                              <w:pStyle w:val="BodyText"/>
                              <w:spacing w:line="308" w:lineRule="exact"/>
                              <w:ind w:right="-15"/>
                              <w:rPr>
                                <w:color w:val="000000"/>
                              </w:rPr>
                            </w:pPr>
                            <w:r>
                              <w:rPr>
                                <w:color w:val="374151"/>
                              </w:rPr>
                              <w:t>understanding</w:t>
                            </w:r>
                            <w:r>
                              <w:rPr>
                                <w:color w:val="374151"/>
                                <w:spacing w:val="-2"/>
                              </w:rPr>
                              <w:t> </w:t>
                            </w:r>
                            <w:r>
                              <w:rPr>
                                <w:color w:val="374151"/>
                              </w:rPr>
                              <w:t>of</w:t>
                            </w:r>
                            <w:r>
                              <w:rPr>
                                <w:color w:val="374151"/>
                                <w:spacing w:val="-1"/>
                              </w:rPr>
                              <w:t> </w:t>
                            </w:r>
                            <w:r>
                              <w:rPr>
                                <w:color w:val="374151"/>
                              </w:rPr>
                              <w:t>STIs</w:t>
                            </w:r>
                            <w:r>
                              <w:rPr>
                                <w:color w:val="374151"/>
                                <w:spacing w:val="-1"/>
                              </w:rPr>
                              <w:t> </w:t>
                            </w:r>
                            <w:r>
                              <w:rPr>
                                <w:color w:val="374151"/>
                              </w:rPr>
                              <w:t>and</w:t>
                            </w:r>
                            <w:r>
                              <w:rPr>
                                <w:color w:val="374151"/>
                                <w:spacing w:val="-1"/>
                              </w:rPr>
                              <w:t> </w:t>
                            </w:r>
                            <w:r>
                              <w:rPr>
                                <w:color w:val="374151"/>
                              </w:rPr>
                              <w:t>their</w:t>
                            </w:r>
                            <w:r>
                              <w:rPr>
                                <w:color w:val="374151"/>
                                <w:spacing w:val="-2"/>
                              </w:rPr>
                              <w:t> </w:t>
                            </w:r>
                            <w:r>
                              <w:rPr>
                                <w:color w:val="374151"/>
                              </w:rPr>
                              <w:t>impact</w:t>
                            </w:r>
                            <w:r>
                              <w:rPr>
                                <w:color w:val="374151"/>
                                <w:spacing w:val="-1"/>
                              </w:rPr>
                              <w:t> </w:t>
                            </w:r>
                            <w:r>
                              <w:rPr>
                                <w:color w:val="374151"/>
                              </w:rPr>
                              <w:t>on</w:t>
                            </w:r>
                            <w:r>
                              <w:rPr>
                                <w:color w:val="374151"/>
                                <w:spacing w:val="-1"/>
                              </w:rPr>
                              <w:t> </w:t>
                            </w:r>
                            <w:r>
                              <w:rPr>
                                <w:color w:val="374151"/>
                              </w:rPr>
                              <w:t>individuals'</w:t>
                            </w:r>
                            <w:r>
                              <w:rPr>
                                <w:color w:val="374151"/>
                                <w:spacing w:val="-1"/>
                              </w:rPr>
                              <w:t> </w:t>
                            </w:r>
                            <w:r>
                              <w:rPr>
                                <w:color w:val="374151"/>
                                <w:spacing w:val="-2"/>
                              </w:rPr>
                              <w:t>lives.</w:t>
                            </w:r>
                          </w:p>
                        </w:txbxContent>
                      </wps:txbx>
                      <wps:bodyPr wrap="square" lIns="0" tIns="0" rIns="0" bIns="0" rtlCol="0">
                        <a:noAutofit/>
                      </wps:bodyPr>
                    </wps:wsp>
                  </a:graphicData>
                </a:graphic>
              </wp:anchor>
            </w:drawing>
          </mc:Choice>
          <mc:Fallback>
            <w:pict>
              <v:shape style="position:absolute;margin-left:84pt;margin-top:45.823784pt;width:338.1pt;height:31pt;mso-position-horizontal-relative:page;mso-position-vertical-relative:paragraph;z-index:-15644160;mso-wrap-distance-left:0;mso-wrap-distance-right:0" type="#_x0000_t202" id="docshape335" filled="true" fillcolor="#f7f7f8" stroked="false">
                <v:textbox inset="0,0,0,0">
                  <w:txbxContent>
                    <w:p>
                      <w:pPr>
                        <w:pStyle w:val="BodyText"/>
                        <w:spacing w:line="308" w:lineRule="exact"/>
                        <w:ind w:right="-15"/>
                        <w:rPr>
                          <w:color w:val="000000"/>
                        </w:rPr>
                      </w:pPr>
                      <w:r>
                        <w:rPr>
                          <w:color w:val="374151"/>
                        </w:rPr>
                        <w:t>understanding</w:t>
                      </w:r>
                      <w:r>
                        <w:rPr>
                          <w:color w:val="374151"/>
                          <w:spacing w:val="-2"/>
                        </w:rPr>
                        <w:t> </w:t>
                      </w:r>
                      <w:r>
                        <w:rPr>
                          <w:color w:val="374151"/>
                        </w:rPr>
                        <w:t>of</w:t>
                      </w:r>
                      <w:r>
                        <w:rPr>
                          <w:color w:val="374151"/>
                          <w:spacing w:val="-1"/>
                        </w:rPr>
                        <w:t> </w:t>
                      </w:r>
                      <w:r>
                        <w:rPr>
                          <w:color w:val="374151"/>
                        </w:rPr>
                        <w:t>STIs</w:t>
                      </w:r>
                      <w:r>
                        <w:rPr>
                          <w:color w:val="374151"/>
                          <w:spacing w:val="-1"/>
                        </w:rPr>
                        <w:t> </w:t>
                      </w:r>
                      <w:r>
                        <w:rPr>
                          <w:color w:val="374151"/>
                        </w:rPr>
                        <w:t>and</w:t>
                      </w:r>
                      <w:r>
                        <w:rPr>
                          <w:color w:val="374151"/>
                          <w:spacing w:val="-1"/>
                        </w:rPr>
                        <w:t> </w:t>
                      </w:r>
                      <w:r>
                        <w:rPr>
                          <w:color w:val="374151"/>
                        </w:rPr>
                        <w:t>their</w:t>
                      </w:r>
                      <w:r>
                        <w:rPr>
                          <w:color w:val="374151"/>
                          <w:spacing w:val="-2"/>
                        </w:rPr>
                        <w:t> </w:t>
                      </w:r>
                      <w:r>
                        <w:rPr>
                          <w:color w:val="374151"/>
                        </w:rPr>
                        <w:t>impact</w:t>
                      </w:r>
                      <w:r>
                        <w:rPr>
                          <w:color w:val="374151"/>
                          <w:spacing w:val="-1"/>
                        </w:rPr>
                        <w:t> </w:t>
                      </w:r>
                      <w:r>
                        <w:rPr>
                          <w:color w:val="374151"/>
                        </w:rPr>
                        <w:t>on</w:t>
                      </w:r>
                      <w:r>
                        <w:rPr>
                          <w:color w:val="374151"/>
                          <w:spacing w:val="-1"/>
                        </w:rPr>
                        <w:t> </w:t>
                      </w:r>
                      <w:r>
                        <w:rPr>
                          <w:color w:val="374151"/>
                        </w:rPr>
                        <w:t>individuals'</w:t>
                      </w:r>
                      <w:r>
                        <w:rPr>
                          <w:color w:val="374151"/>
                          <w:spacing w:val="-1"/>
                        </w:rPr>
                        <w:t> </w:t>
                      </w:r>
                      <w:r>
                        <w:rPr>
                          <w:color w:val="374151"/>
                          <w:spacing w:val="-2"/>
                        </w:rPr>
                        <w:t>lives.</w:t>
                      </w:r>
                    </w:p>
                  </w:txbxContent>
                </v:textbox>
                <v:fill type="solid"/>
                <w10:wrap type="topAndBottom"/>
              </v:shape>
            </w:pict>
          </mc:Fallback>
        </mc:AlternateContent>
      </w:r>
      <w:r>
        <w:rPr>
          <w:color w:val="374151"/>
          <w:shd w:fill="F7F7F8" w:color="auto" w:val="clear"/>
        </w:rPr>
        <w:t>These references serve as a starting point for mental health and social work </w:t>
      </w:r>
      <w:r>
        <w:rPr>
          <w:color w:val="374151"/>
        </w:rPr>
        <w:t> </w:t>
      </w:r>
      <w:r>
        <w:rPr>
          <w:color w:val="374151"/>
          <w:shd w:fill="F7F7F8" w:color="auto" w:val="clear"/>
        </w:rPr>
        <w:t>professionals to delve deeper into the research and gain a more comprehensive</w:t>
      </w:r>
      <w:r>
        <w:rPr>
          <w:color w:val="374151"/>
          <w:spacing w:val="40"/>
          <w:shd w:fill="F7F7F8" w:color="auto" w:val="clear"/>
        </w:rPr>
        <w:t> </w:t>
      </w:r>
    </w:p>
    <w:p>
      <w:pPr>
        <w:pStyle w:val="BodyText"/>
        <w:spacing w:line="237" w:lineRule="auto"/>
        <w:ind w:left="280" w:right="864"/>
        <w:jc w:val="both"/>
      </w:pPr>
      <w:r>
        <w:rPr>
          <w:color w:val="374151"/>
          <w:shd w:fill="F7F7F8" w:color="auto" w:val="clear"/>
        </w:rPr>
        <w:t>Note:</w:t>
      </w:r>
      <w:r>
        <w:rPr>
          <w:color w:val="374151"/>
          <w:spacing w:val="-3"/>
          <w:shd w:fill="F7F7F8" w:color="auto" w:val="clear"/>
        </w:rPr>
        <w:t> </w:t>
      </w:r>
      <w:r>
        <w:rPr>
          <w:color w:val="374151"/>
          <w:shd w:fill="F7F7F8" w:color="auto" w:val="clear"/>
        </w:rPr>
        <w:t>It</w:t>
      </w:r>
      <w:r>
        <w:rPr>
          <w:color w:val="374151"/>
          <w:spacing w:val="-3"/>
          <w:shd w:fill="F7F7F8" w:color="auto" w:val="clear"/>
        </w:rPr>
        <w:t> </w:t>
      </w:r>
      <w:r>
        <w:rPr>
          <w:color w:val="374151"/>
          <w:shd w:fill="F7F7F8" w:color="auto" w:val="clear"/>
        </w:rPr>
        <w:t>is</w:t>
      </w:r>
      <w:r>
        <w:rPr>
          <w:color w:val="374151"/>
          <w:spacing w:val="-3"/>
          <w:shd w:fill="F7F7F8" w:color="auto" w:val="clear"/>
        </w:rPr>
        <w:t> </w:t>
      </w:r>
      <w:r>
        <w:rPr>
          <w:color w:val="374151"/>
          <w:shd w:fill="F7F7F8" w:color="auto" w:val="clear"/>
        </w:rPr>
        <w:t>important</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consult</w:t>
      </w:r>
      <w:r>
        <w:rPr>
          <w:color w:val="374151"/>
          <w:spacing w:val="-3"/>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latest</w:t>
      </w:r>
      <w:r>
        <w:rPr>
          <w:color w:val="374151"/>
          <w:spacing w:val="-3"/>
          <w:shd w:fill="F7F7F8" w:color="auto" w:val="clear"/>
        </w:rPr>
        <w:t> </w:t>
      </w:r>
      <w:r>
        <w:rPr>
          <w:color w:val="374151"/>
          <w:shd w:fill="F7F7F8" w:color="auto" w:val="clear"/>
        </w:rPr>
        <w:t>research</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update</w:t>
      </w:r>
      <w:r>
        <w:rPr>
          <w:color w:val="374151"/>
          <w:spacing w:val="-4"/>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references</w:t>
      </w:r>
      <w:r>
        <w:rPr>
          <w:color w:val="374151"/>
          <w:spacing w:val="-4"/>
          <w:shd w:fill="F7F7F8" w:color="auto" w:val="clear"/>
        </w:rPr>
        <w:t> </w:t>
      </w:r>
      <w:r>
        <w:rPr>
          <w:color w:val="374151"/>
          <w:spacing w:val="-4"/>
        </w:rPr>
        <w:t> </w:t>
      </w:r>
      <w:r>
        <w:rPr>
          <w:color w:val="374151"/>
          <w:shd w:fill="F7F7F8" w:color="auto" w:val="clear"/>
        </w:rPr>
        <w:t>based</w:t>
      </w:r>
      <w:r>
        <w:rPr>
          <w:color w:val="374151"/>
          <w:spacing w:val="-1"/>
          <w:shd w:fill="F7F7F8" w:color="auto" w:val="clear"/>
        </w:rPr>
        <w:t> </w:t>
      </w:r>
      <w:r>
        <w:rPr>
          <w:color w:val="374151"/>
          <w:shd w:fill="F7F7F8" w:color="auto" w:val="clear"/>
        </w:rPr>
        <w:t>on</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current</w:t>
      </w:r>
      <w:r>
        <w:rPr>
          <w:color w:val="374151"/>
          <w:spacing w:val="-1"/>
          <w:shd w:fill="F7F7F8" w:color="auto" w:val="clear"/>
        </w:rPr>
        <w:t> </w:t>
      </w:r>
      <w:r>
        <w:rPr>
          <w:color w:val="374151"/>
          <w:shd w:fill="F7F7F8" w:color="auto" w:val="clear"/>
        </w:rPr>
        <w:t>medical</w:t>
      </w:r>
      <w:r>
        <w:rPr>
          <w:color w:val="374151"/>
          <w:spacing w:val="-1"/>
          <w:shd w:fill="F7F7F8" w:color="auto" w:val="clear"/>
        </w:rPr>
        <w:t> </w:t>
      </w:r>
      <w:r>
        <w:rPr>
          <w:color w:val="374151"/>
          <w:shd w:fill="F7F7F8" w:color="auto" w:val="clear"/>
        </w:rPr>
        <w:t>literature</w:t>
      </w:r>
      <w:r>
        <w:rPr>
          <w:color w:val="374151"/>
          <w:spacing w:val="-2"/>
          <w:shd w:fill="F7F7F8" w:color="auto" w:val="clear"/>
        </w:rPr>
        <w:t> </w:t>
      </w:r>
      <w:r>
        <w:rPr>
          <w:color w:val="374151"/>
          <w:shd w:fill="F7F7F8" w:color="auto" w:val="clear"/>
        </w:rPr>
        <w:t>for</w:t>
      </w:r>
      <w:r>
        <w:rPr>
          <w:color w:val="374151"/>
          <w:spacing w:val="-1"/>
          <w:shd w:fill="F7F7F8" w:color="auto" w:val="clear"/>
        </w:rPr>
        <w:t> </w:t>
      </w:r>
      <w:r>
        <w:rPr>
          <w:color w:val="374151"/>
          <w:shd w:fill="F7F7F8" w:color="auto" w:val="clear"/>
        </w:rPr>
        <w:t>the</w:t>
      </w:r>
      <w:r>
        <w:rPr>
          <w:color w:val="374151"/>
          <w:spacing w:val="-2"/>
          <w:shd w:fill="F7F7F8" w:color="auto" w:val="clear"/>
        </w:rPr>
        <w:t> </w:t>
      </w:r>
      <w:r>
        <w:rPr>
          <w:color w:val="374151"/>
          <w:shd w:fill="F7F7F8" w:color="auto" w:val="clear"/>
        </w:rPr>
        <w:t>most</w:t>
      </w:r>
      <w:r>
        <w:rPr>
          <w:color w:val="374151"/>
          <w:spacing w:val="-1"/>
          <w:shd w:fill="F7F7F8" w:color="auto" w:val="clear"/>
        </w:rPr>
        <w:t> </w:t>
      </w:r>
      <w:r>
        <w:rPr>
          <w:color w:val="374151"/>
          <w:shd w:fill="F7F7F8" w:color="auto" w:val="clear"/>
        </w:rPr>
        <w:t>accurate</w:t>
      </w:r>
      <w:r>
        <w:rPr>
          <w:color w:val="374151"/>
          <w:spacing w:val="-2"/>
          <w:shd w:fill="F7F7F8" w:color="auto" w:val="clear"/>
        </w:rPr>
        <w:t> </w:t>
      </w:r>
      <w:r>
        <w:rPr>
          <w:color w:val="374151"/>
          <w:shd w:fill="F7F7F8" w:color="auto" w:val="clear"/>
        </w:rPr>
        <w:t>and</w:t>
      </w:r>
      <w:r>
        <w:rPr>
          <w:color w:val="374151"/>
          <w:spacing w:val="-1"/>
          <w:shd w:fill="F7F7F8" w:color="auto" w:val="clear"/>
        </w:rPr>
        <w:t> </w:t>
      </w:r>
      <w:r>
        <w:rPr>
          <w:color w:val="374151"/>
          <w:shd w:fill="F7F7F8" w:color="auto" w:val="clear"/>
        </w:rPr>
        <w:t>up-to-date</w:t>
      </w:r>
      <w:r>
        <w:rPr>
          <w:color w:val="374151"/>
          <w:spacing w:val="-2"/>
          <w:shd w:fill="F7F7F8" w:color="auto" w:val="clear"/>
        </w:rPr>
        <w:t> </w:t>
      </w:r>
      <w:r>
        <w:rPr>
          <w:color w:val="374151"/>
          <w:spacing w:val="-2"/>
        </w:rPr>
        <w:t> </w:t>
      </w:r>
      <w:r>
        <w:rPr>
          <w:color w:val="374151"/>
          <w:shd w:fill="F7F7F8" w:color="auto" w:val="clear"/>
        </w:rPr>
        <w:t>information on STIs.</w:t>
      </w:r>
    </w:p>
    <w:p>
      <w:pPr>
        <w:pStyle w:val="BodyText"/>
        <w:spacing w:before="1"/>
        <w:rPr>
          <w:sz w:val="27"/>
        </w:rPr>
      </w:pPr>
    </w:p>
    <w:p>
      <w:pPr>
        <w:pStyle w:val="Heading2"/>
      </w:pPr>
      <w:r>
        <w:rPr>
          <w:color w:val="374151"/>
          <w:spacing w:val="-2"/>
          <w:shd w:fill="F7F7F8" w:color="auto" w:val="clear"/>
        </w:rPr>
        <w:t>Sexually</w:t>
      </w:r>
      <w:r>
        <w:rPr>
          <w:color w:val="374151"/>
          <w:spacing w:val="-15"/>
          <w:shd w:fill="F7F7F8" w:color="auto" w:val="clear"/>
        </w:rPr>
        <w:t> </w:t>
      </w:r>
      <w:r>
        <w:rPr>
          <w:color w:val="374151"/>
          <w:spacing w:val="-2"/>
          <w:shd w:fill="F7F7F8" w:color="auto" w:val="clear"/>
        </w:rPr>
        <w:t>Transmitted</w:t>
      </w:r>
      <w:r>
        <w:rPr>
          <w:color w:val="374151"/>
          <w:spacing w:val="4"/>
          <w:shd w:fill="F7F7F8" w:color="auto" w:val="clear"/>
        </w:rPr>
        <w:t> </w:t>
      </w:r>
      <w:r>
        <w:rPr>
          <w:color w:val="374151"/>
          <w:spacing w:val="-2"/>
          <w:shd w:fill="F7F7F8" w:color="auto" w:val="clear"/>
        </w:rPr>
        <w:t>Diseases</w:t>
      </w:r>
      <w:r>
        <w:rPr>
          <w:color w:val="374151"/>
          <w:spacing w:val="4"/>
          <w:shd w:fill="F7F7F8" w:color="auto" w:val="clear"/>
        </w:rPr>
        <w:t> </w:t>
      </w:r>
      <w:r>
        <w:rPr>
          <w:color w:val="374151"/>
          <w:spacing w:val="-2"/>
          <w:shd w:fill="F7F7F8" w:color="auto" w:val="clear"/>
        </w:rPr>
        <w:t>and</w:t>
      </w:r>
      <w:r>
        <w:rPr>
          <w:color w:val="374151"/>
          <w:spacing w:val="3"/>
          <w:shd w:fill="F7F7F8" w:color="auto" w:val="clear"/>
        </w:rPr>
        <w:t> </w:t>
      </w:r>
      <w:r>
        <w:rPr>
          <w:color w:val="374151"/>
          <w:spacing w:val="-2"/>
          <w:shd w:fill="F7F7F8" w:color="auto" w:val="clear"/>
        </w:rPr>
        <w:t>Substance</w:t>
      </w:r>
      <w:r>
        <w:rPr>
          <w:color w:val="374151"/>
          <w:spacing w:val="-26"/>
          <w:shd w:fill="F7F7F8" w:color="auto" w:val="clear"/>
        </w:rPr>
        <w:t> </w:t>
      </w:r>
      <w:r>
        <w:rPr>
          <w:color w:val="374151"/>
          <w:spacing w:val="-2"/>
          <w:shd w:fill="F7F7F8" w:color="auto" w:val="clear"/>
        </w:rPr>
        <w:t>Abuse</w:t>
      </w:r>
    </w:p>
    <w:p>
      <w:pPr>
        <w:pStyle w:val="BodyText"/>
        <w:spacing w:before="8"/>
        <w:rPr>
          <w:b/>
          <w:sz w:val="27"/>
        </w:rPr>
      </w:pPr>
    </w:p>
    <w:p>
      <w:pPr>
        <w:pStyle w:val="BodyText"/>
        <w:ind w:left="280" w:right="544"/>
      </w:pPr>
      <w:r>
        <w:rPr>
          <w:color w:val="374151"/>
          <w:shd w:fill="F7F7F8" w:color="auto" w:val="clear"/>
        </w:rPr>
        <w:t>Infectious diseases are common among drug users.</w:t>
      </w:r>
      <w:r>
        <w:rPr>
          <w:color w:val="374151"/>
          <w:spacing w:val="-2"/>
          <w:shd w:fill="F7F7F8" w:color="auto" w:val="clear"/>
        </w:rPr>
        <w:t> </w:t>
      </w:r>
      <w:r>
        <w:rPr>
          <w:color w:val="374151"/>
          <w:shd w:fill="F7F7F8" w:color="auto" w:val="clear"/>
        </w:rPr>
        <w:t>Throughout the past</w:t>
      </w:r>
      <w:r>
        <w:rPr>
          <w:color w:val="374151"/>
        </w:rPr>
        <w:t> </w:t>
      </w:r>
      <w:r>
        <w:rPr>
          <w:color w:val="374151"/>
          <w:shd w:fill="F7F7F8" w:color="auto" w:val="clear"/>
        </w:rPr>
        <w:t>decade, drug use and the frequency of infectious diseases among this </w:t>
      </w:r>
      <w:r>
        <w:rPr>
          <w:color w:val="374151"/>
        </w:rPr>
        <w:t> </w:t>
      </w:r>
      <w:r>
        <w:rPr>
          <w:color w:val="374151"/>
          <w:shd w:fill="F7F7F8" w:color="auto" w:val="clear"/>
        </w:rPr>
        <w:t>population have escalated.</w:t>
      </w:r>
      <w:r>
        <w:rPr>
          <w:color w:val="374151"/>
          <w:spacing w:val="-2"/>
          <w:shd w:fill="F7F7F8" w:color="auto" w:val="clear"/>
        </w:rPr>
        <w:t> </w:t>
      </w:r>
      <w:r>
        <w:rPr>
          <w:color w:val="374151"/>
          <w:shd w:fill="F7F7F8" w:color="auto" w:val="clear"/>
        </w:rPr>
        <w:t>The acquired immunodeficiency syndrome (AIDS)</w:t>
      </w:r>
      <w:r>
        <w:rPr>
          <w:color w:val="374151"/>
          <w:spacing w:val="40"/>
          <w:shd w:fill="F7F7F8" w:color="auto" w:val="clear"/>
        </w:rPr>
        <w:t> </w:t>
      </w:r>
    </w:p>
    <w:p>
      <w:pPr>
        <w:spacing w:after="0"/>
        <w:sectPr>
          <w:pgSz w:w="12240" w:h="15840"/>
          <w:pgMar w:header="0" w:footer="765" w:top="1260" w:bottom="980" w:left="1400" w:right="1180"/>
        </w:sectPr>
      </w:pPr>
    </w:p>
    <w:p>
      <w:pPr>
        <w:pStyle w:val="BodyText"/>
        <w:spacing w:before="66"/>
        <w:ind w:left="280" w:right="502"/>
      </w:pPr>
      <w:r>
        <w:rPr>
          <w:color w:val="374151"/>
          <w:shd w:fill="F7F7F8" w:color="auto" w:val="clear"/>
        </w:rPr>
        <w:t>epidemic</w:t>
      </w:r>
      <w:r>
        <w:rPr>
          <w:color w:val="374151"/>
          <w:spacing w:val="-5"/>
          <w:shd w:fill="F7F7F8" w:color="auto" w:val="clear"/>
        </w:rPr>
        <w:t> </w:t>
      </w:r>
      <w:r>
        <w:rPr>
          <w:color w:val="374151"/>
          <w:shd w:fill="F7F7F8" w:color="auto" w:val="clear"/>
        </w:rPr>
        <w:t>and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resurgence</w:t>
      </w:r>
      <w:r>
        <w:rPr>
          <w:color w:val="374151"/>
          <w:spacing w:val="-5"/>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tuberculosis</w:t>
      </w:r>
      <w:r>
        <w:rPr>
          <w:color w:val="374151"/>
          <w:spacing w:val="-4"/>
          <w:shd w:fill="F7F7F8" w:color="auto" w:val="clear"/>
        </w:rPr>
        <w:t> </w:t>
      </w:r>
      <w:r>
        <w:rPr>
          <w:color w:val="374151"/>
          <w:shd w:fill="F7F7F8" w:color="auto" w:val="clear"/>
        </w:rPr>
        <w:t>have</w:t>
      </w:r>
      <w:r>
        <w:rPr>
          <w:color w:val="374151"/>
          <w:spacing w:val="-5"/>
          <w:shd w:fill="F7F7F8" w:color="auto" w:val="clear"/>
        </w:rPr>
        <w:t> </w:t>
      </w:r>
      <w:r>
        <w:rPr>
          <w:color w:val="374151"/>
          <w:shd w:fill="F7F7F8" w:color="auto" w:val="clear"/>
        </w:rPr>
        <w:t>magnified</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hd w:fill="F7F7F8" w:color="auto" w:val="clear"/>
        </w:rPr>
        <w:t>need</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the</w:t>
      </w:r>
      <w:r>
        <w:rPr>
          <w:color w:val="374151"/>
          <w:spacing w:val="-5"/>
          <w:shd w:fill="F7F7F8" w:color="auto" w:val="clear"/>
        </w:rPr>
        <w:t> </w:t>
      </w:r>
      <w:r>
        <w:rPr>
          <w:color w:val="374151"/>
          <w:spacing w:val="-5"/>
        </w:rPr>
        <w:t> </w:t>
      </w:r>
      <w:r>
        <w:rPr>
          <w:color w:val="374151"/>
          <w:shd w:fill="F7F7F8" w:color="auto" w:val="clear"/>
        </w:rPr>
        <w:t>prompt recognition and treatment of these and other infectious diseases.</w:t>
      </w:r>
    </w:p>
    <w:p>
      <w:pPr>
        <w:pStyle w:val="BodyText"/>
        <w:spacing w:before="5"/>
        <w:rPr>
          <w:sz w:val="27"/>
        </w:rPr>
      </w:pPr>
    </w:p>
    <w:p>
      <w:pPr>
        <w:pStyle w:val="BodyText"/>
        <w:ind w:left="280" w:right="668"/>
        <w:rPr>
          <w:i/>
        </w:rPr>
      </w:pPr>
      <w:r>
        <w:rPr>
          <w:color w:val="374151"/>
          <w:shd w:fill="F7F7F8" w:color="auto" w:val="clear"/>
        </w:rPr>
        <w:t>Individuals who are dependent on substances are represented </w:t>
      </w:r>
      <w:r>
        <w:rPr>
          <w:color w:val="374151"/>
        </w:rPr>
        <w:t> </w:t>
      </w:r>
      <w:r>
        <w:rPr>
          <w:color w:val="374151"/>
          <w:shd w:fill="F7F7F8" w:color="auto" w:val="clear"/>
        </w:rPr>
        <w:t>disproportionately in the population with human immunodeficiency virus </w:t>
      </w:r>
      <w:r>
        <w:rPr>
          <w:color w:val="374151"/>
        </w:rPr>
        <w:t> </w:t>
      </w:r>
      <w:r>
        <w:rPr>
          <w:color w:val="374151"/>
          <w:shd w:fill="F7F7F8" w:color="auto" w:val="clear"/>
        </w:rPr>
        <w:t>(HIV) and</w:t>
      </w:r>
      <w:r>
        <w:rPr>
          <w:color w:val="374151"/>
          <w:spacing w:val="-27"/>
          <w:shd w:fill="F7F7F8" w:color="auto" w:val="clear"/>
        </w:rPr>
        <w:t> </w:t>
      </w:r>
      <w:r>
        <w:rPr>
          <w:color w:val="374151"/>
          <w:shd w:fill="F7F7F8" w:color="auto" w:val="clear"/>
        </w:rPr>
        <w:t>AIDS; tuberculosis, including multi-drug resistant tuberculosis; </w:t>
      </w:r>
      <w:r>
        <w:rPr>
          <w:color w:val="374151"/>
        </w:rPr>
        <w:t> </w:t>
      </w:r>
      <w:r>
        <w:rPr>
          <w:color w:val="374151"/>
          <w:shd w:fill="F7F7F8" w:color="auto" w:val="clear"/>
        </w:rPr>
        <w:t>syphilis; and hepatitis B and C. Patients who enter drug treatment programs </w:t>
      </w:r>
      <w:r>
        <w:rPr>
          <w:color w:val="374151"/>
        </w:rPr>
        <w:t> </w:t>
      </w:r>
      <w:r>
        <w:rPr>
          <w:color w:val="374151"/>
          <w:shd w:fill="F7F7F8" w:color="auto" w:val="clear"/>
        </w:rPr>
        <w:t>are at risk of having one or more of these diseases.</w:t>
      </w:r>
      <w:r>
        <w:rPr>
          <w:color w:val="374151"/>
          <w:spacing w:val="-2"/>
          <w:shd w:fill="F7F7F8" w:color="auto" w:val="clear"/>
        </w:rPr>
        <w:t> </w:t>
      </w:r>
      <w:r>
        <w:rPr>
          <w:color w:val="374151"/>
          <w:shd w:fill="F7F7F8" w:color="auto" w:val="clear"/>
        </w:rPr>
        <w:t>This section focuses on </w:t>
      </w:r>
      <w:r>
        <w:rPr>
          <w:color w:val="374151"/>
        </w:rPr>
        <w:t> </w:t>
      </w:r>
      <w:r>
        <w:rPr>
          <w:color w:val="374151"/>
          <w:shd w:fill="F7F7F8" w:color="auto" w:val="clear"/>
        </w:rPr>
        <w:t>these particular infectious diseases because they occur frequently among </w:t>
      </w:r>
      <w:r>
        <w:rPr>
          <w:color w:val="374151"/>
        </w:rPr>
        <w:t> </w:t>
      </w:r>
      <w:r>
        <w:rPr>
          <w:color w:val="374151"/>
          <w:shd w:fill="F7F7F8" w:color="auto" w:val="clear"/>
        </w:rPr>
        <w:t>treatment populations and have significant medical and socioeconomic </w:t>
      </w:r>
      <w:r>
        <w:rPr>
          <w:color w:val="374151"/>
        </w:rPr>
        <w:t> </w:t>
      </w:r>
      <w:r>
        <w:rPr>
          <w:color w:val="374151"/>
          <w:shd w:fill="F7F7F8" w:color="auto" w:val="clear"/>
        </w:rPr>
        <w:t>consequences</w:t>
      </w:r>
      <w:r>
        <w:rPr>
          <w:color w:val="374151"/>
          <w:spacing w:val="-4"/>
          <w:shd w:fill="F7F7F8" w:color="auto" w:val="clear"/>
        </w:rPr>
        <w:t> </w:t>
      </w:r>
      <w:r>
        <w:rPr>
          <w:color w:val="374151"/>
          <w:shd w:fill="F7F7F8" w:color="auto" w:val="clear"/>
        </w:rPr>
        <w:t>for</w:t>
      </w:r>
      <w:r>
        <w:rPr>
          <w:color w:val="374151"/>
          <w:spacing w:val="-4"/>
          <w:shd w:fill="F7F7F8" w:color="auto" w:val="clear"/>
        </w:rPr>
        <w:t> </w:t>
      </w:r>
      <w:r>
        <w:rPr>
          <w:color w:val="374151"/>
          <w:shd w:fill="F7F7F8" w:color="auto" w:val="clear"/>
        </w:rPr>
        <w:t>infected</w:t>
      </w:r>
      <w:r>
        <w:rPr>
          <w:color w:val="374151"/>
          <w:spacing w:val="-8"/>
          <w:shd w:fill="F7F7F8" w:color="auto" w:val="clear"/>
        </w:rPr>
        <w:t> </w:t>
      </w:r>
      <w:r>
        <w:rPr>
          <w:color w:val="374151"/>
          <w:shd w:fill="F7F7F8" w:color="auto" w:val="clear"/>
        </w:rPr>
        <w:t>persons</w:t>
      </w:r>
      <w:r>
        <w:rPr>
          <w:color w:val="374151"/>
          <w:spacing w:val="-8"/>
          <w:shd w:fill="F7F7F8" w:color="auto" w:val="clear"/>
        </w:rPr>
        <w:t> </w:t>
      </w:r>
      <w:r>
        <w:rPr>
          <w:color w:val="374151"/>
          <w:shd w:fill="F7F7F8" w:color="auto" w:val="clear"/>
        </w:rPr>
        <w:t>and</w:t>
      </w:r>
      <w:r>
        <w:rPr>
          <w:color w:val="374151"/>
          <w:spacing w:val="-8"/>
          <w:shd w:fill="F7F7F8" w:color="auto" w:val="clear"/>
        </w:rPr>
        <w:t> </w:t>
      </w:r>
      <w:r>
        <w:rPr>
          <w:color w:val="374151"/>
          <w:shd w:fill="F7F7F8" w:color="auto" w:val="clear"/>
        </w:rPr>
        <w:t>others</w:t>
      </w:r>
      <w:r>
        <w:rPr>
          <w:color w:val="374151"/>
          <w:spacing w:val="-8"/>
          <w:shd w:fill="F7F7F8" w:color="auto" w:val="clear"/>
        </w:rPr>
        <w:t> </w:t>
      </w:r>
      <w:r>
        <w:rPr>
          <w:color w:val="374151"/>
          <w:shd w:fill="F7F7F8" w:color="auto" w:val="clear"/>
        </w:rPr>
        <w:t>if</w:t>
      </w:r>
      <w:r>
        <w:rPr>
          <w:color w:val="374151"/>
          <w:spacing w:val="-8"/>
          <w:shd w:fill="F7F7F8" w:color="auto" w:val="clear"/>
        </w:rPr>
        <w:t> </w:t>
      </w:r>
      <w:r>
        <w:rPr>
          <w:color w:val="374151"/>
          <w:shd w:fill="F7F7F8" w:color="auto" w:val="clear"/>
        </w:rPr>
        <w:t>not</w:t>
      </w:r>
      <w:r>
        <w:rPr>
          <w:color w:val="374151"/>
          <w:spacing w:val="-8"/>
          <w:shd w:fill="F7F7F8" w:color="auto" w:val="clear"/>
        </w:rPr>
        <w:t> </w:t>
      </w:r>
      <w:r>
        <w:rPr>
          <w:color w:val="374151"/>
          <w:shd w:fill="F7F7F8" w:color="auto" w:val="clear"/>
        </w:rPr>
        <w:t>recognized</w:t>
      </w:r>
      <w:r>
        <w:rPr>
          <w:color w:val="374151"/>
          <w:spacing w:val="-8"/>
          <w:shd w:fill="F7F7F8" w:color="auto" w:val="clear"/>
        </w:rPr>
        <w:t> </w:t>
      </w:r>
      <w:r>
        <w:rPr>
          <w:color w:val="374151"/>
          <w:shd w:fill="F7F7F8" w:color="auto" w:val="clear"/>
        </w:rPr>
        <w:t>and</w:t>
      </w:r>
      <w:r>
        <w:rPr>
          <w:color w:val="374151"/>
          <w:spacing w:val="-8"/>
          <w:shd w:fill="F7F7F8" w:color="auto" w:val="clear"/>
        </w:rPr>
        <w:t> </w:t>
      </w:r>
      <w:r>
        <w:rPr>
          <w:color w:val="374151"/>
          <w:shd w:fill="F7F7F8" w:color="auto" w:val="clear"/>
        </w:rPr>
        <w:t>treated.</w:t>
      </w:r>
      <w:r>
        <w:rPr>
          <w:color w:val="374151"/>
          <w:spacing w:val="-8"/>
          <w:shd w:fill="F7F7F8" w:color="auto" w:val="clear"/>
        </w:rPr>
        <w:t> </w:t>
      </w:r>
      <w:r>
        <w:rPr>
          <w:color w:val="374151"/>
          <w:shd w:fill="F7F7F8" w:color="auto" w:val="clear"/>
        </w:rPr>
        <w:t>In</w:t>
      </w:r>
      <w:r>
        <w:rPr>
          <w:color w:val="374151"/>
        </w:rPr>
        <w:t> </w:t>
      </w:r>
      <w:r>
        <w:rPr>
          <w:color w:val="374151"/>
          <w:shd w:fill="F7F7F8" w:color="auto" w:val="clear"/>
        </w:rPr>
        <w:t>addition, the trained staff of a drug treatment program can screen for and </w:t>
      </w:r>
      <w:r>
        <w:rPr>
          <w:color w:val="374151"/>
        </w:rPr>
        <w:t> </w:t>
      </w:r>
      <w:r>
        <w:rPr>
          <w:color w:val="374151"/>
          <w:shd w:fill="F7F7F8" w:color="auto" w:val="clear"/>
        </w:rPr>
        <w:t>medically manage these diseases</w:t>
      </w:r>
      <w:r>
        <w:rPr>
          <w:i/>
          <w:color w:val="374151"/>
          <w:shd w:fill="F7F7F8" w:color="auto" w:val="clear"/>
        </w:rPr>
        <w:t>.</w:t>
      </w:r>
    </w:p>
    <w:p>
      <w:pPr>
        <w:pStyle w:val="BodyText"/>
        <w:spacing w:before="2"/>
        <w:rPr>
          <w:i/>
          <w:sz w:val="26"/>
        </w:rPr>
      </w:pPr>
    </w:p>
    <w:p>
      <w:pPr>
        <w:pStyle w:val="BodyText"/>
        <w:ind w:left="280" w:right="502"/>
      </w:pPr>
      <w:r>
        <w:rPr>
          <w:color w:val="374151"/>
          <w:shd w:fill="F7F7F8" w:color="auto" w:val="clear"/>
        </w:rPr>
        <w:t>Included</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this</w:t>
      </w:r>
      <w:r>
        <w:rPr>
          <w:color w:val="374151"/>
          <w:spacing w:val="-4"/>
          <w:shd w:fill="F7F7F8" w:color="auto" w:val="clear"/>
        </w:rPr>
        <w:t> </w:t>
      </w:r>
      <w:r>
        <w:rPr>
          <w:color w:val="374151"/>
          <w:shd w:fill="F7F7F8" w:color="auto" w:val="clear"/>
        </w:rPr>
        <w:t>section</w:t>
      </w:r>
      <w:r>
        <w:rPr>
          <w:color w:val="374151"/>
          <w:spacing w:val="-4"/>
          <w:shd w:fill="F7F7F8" w:color="auto" w:val="clear"/>
        </w:rPr>
        <w:t> </w:t>
      </w:r>
      <w:r>
        <w:rPr>
          <w:color w:val="374151"/>
          <w:shd w:fill="F7F7F8" w:color="auto" w:val="clear"/>
        </w:rPr>
        <w:t>are</w:t>
      </w:r>
      <w:r>
        <w:rPr>
          <w:color w:val="374151"/>
          <w:spacing w:val="-5"/>
          <w:shd w:fill="F7F7F8" w:color="auto" w:val="clear"/>
        </w:rPr>
        <w:t> </w:t>
      </w:r>
      <w:r>
        <w:rPr>
          <w:color w:val="374151"/>
          <w:shd w:fill="F7F7F8" w:color="auto" w:val="clear"/>
        </w:rPr>
        <w:t>discussions</w:t>
      </w:r>
      <w:r>
        <w:rPr>
          <w:color w:val="374151"/>
          <w:spacing w:val="-4"/>
          <w:shd w:fill="F7F7F8" w:color="auto" w:val="clear"/>
        </w:rPr>
        <w:t> </w:t>
      </w:r>
      <w:r>
        <w:rPr>
          <w:color w:val="374151"/>
          <w:shd w:fill="F7F7F8" w:color="auto" w:val="clear"/>
        </w:rPr>
        <w:t>of</w:t>
      </w:r>
      <w:r>
        <w:rPr>
          <w:color w:val="374151"/>
          <w:spacing w:val="-4"/>
          <w:shd w:fill="F7F7F8" w:color="auto" w:val="clear"/>
        </w:rPr>
        <w:t> </w:t>
      </w:r>
      <w:r>
        <w:rPr>
          <w:color w:val="374151"/>
          <w:shd w:fill="F7F7F8" w:color="auto" w:val="clear"/>
        </w:rPr>
        <w:t>other</w:t>
      </w:r>
      <w:r>
        <w:rPr>
          <w:color w:val="374151"/>
          <w:spacing w:val="-4"/>
          <w:shd w:fill="F7F7F8" w:color="auto" w:val="clear"/>
        </w:rPr>
        <w:t> </w:t>
      </w:r>
      <w:r>
        <w:rPr>
          <w:color w:val="374151"/>
          <w:shd w:fill="F7F7F8" w:color="auto" w:val="clear"/>
        </w:rPr>
        <w:t>infectious</w:t>
      </w:r>
      <w:r>
        <w:rPr>
          <w:color w:val="374151"/>
          <w:spacing w:val="-4"/>
          <w:shd w:fill="F7F7F8" w:color="auto" w:val="clear"/>
        </w:rPr>
        <w:t> </w:t>
      </w:r>
      <w:r>
        <w:rPr>
          <w:color w:val="374151"/>
          <w:shd w:fill="F7F7F8" w:color="auto" w:val="clear"/>
        </w:rPr>
        <w:t>diseases</w:t>
      </w:r>
      <w:r>
        <w:rPr>
          <w:color w:val="374151"/>
          <w:spacing w:val="-4"/>
          <w:shd w:fill="F7F7F8" w:color="auto" w:val="clear"/>
        </w:rPr>
        <w:t> </w:t>
      </w:r>
      <w:r>
        <w:rPr>
          <w:color w:val="374151"/>
          <w:shd w:fill="F7F7F8" w:color="auto" w:val="clear"/>
        </w:rPr>
        <w:t>common</w:t>
      </w:r>
      <w:r>
        <w:rPr>
          <w:color w:val="374151"/>
          <w:spacing w:val="-4"/>
          <w:shd w:fill="F7F7F8" w:color="auto" w:val="clear"/>
        </w:rPr>
        <w:t> </w:t>
      </w:r>
      <w:r>
        <w:rPr>
          <w:color w:val="374151"/>
          <w:shd w:fill="F7F7F8" w:color="auto" w:val="clear"/>
        </w:rPr>
        <w:t>to</w:t>
      </w:r>
      <w:r>
        <w:rPr>
          <w:color w:val="374151"/>
          <w:spacing w:val="-5"/>
          <w:shd w:fill="F7F7F8" w:color="auto" w:val="clear"/>
        </w:rPr>
        <w:t> </w:t>
      </w:r>
      <w:r>
        <w:rPr>
          <w:color w:val="374151"/>
          <w:spacing w:val="-5"/>
        </w:rPr>
        <w:t> </w:t>
      </w:r>
      <w:r>
        <w:rPr>
          <w:color w:val="374151"/>
          <w:shd w:fill="F7F7F8" w:color="auto" w:val="clear"/>
        </w:rPr>
        <w:t>treatment populations, including Chlamydia, gonorrhea, herpes simplex, </w:t>
      </w:r>
      <w:r>
        <w:rPr>
          <w:color w:val="374151"/>
        </w:rPr>
        <w:t> </w:t>
      </w:r>
      <w:r>
        <w:rPr>
          <w:color w:val="374151"/>
          <w:shd w:fill="F7F7F8" w:color="auto" w:val="clear"/>
        </w:rPr>
        <w:t>chancroid, and hepatitis</w:t>
      </w:r>
      <w:r>
        <w:rPr>
          <w:color w:val="374151"/>
          <w:spacing w:val="-24"/>
          <w:shd w:fill="F7F7F8" w:color="auto" w:val="clear"/>
        </w:rPr>
        <w:t> </w:t>
      </w:r>
      <w:r>
        <w:rPr>
          <w:color w:val="374151"/>
          <w:shd w:fill="F7F7F8" w:color="auto" w:val="clear"/>
        </w:rPr>
        <w:t>A</w:t>
      </w:r>
      <w:r>
        <w:rPr>
          <w:color w:val="374151"/>
          <w:spacing w:val="-11"/>
          <w:shd w:fill="F7F7F8" w:color="auto" w:val="clear"/>
        </w:rPr>
        <w:t> </w:t>
      </w:r>
      <w:r>
        <w:rPr>
          <w:color w:val="374151"/>
          <w:shd w:fill="F7F7F8" w:color="auto" w:val="clear"/>
        </w:rPr>
        <w:t>and D. Information is provided about transmission, </w:t>
      </w:r>
      <w:r>
        <w:rPr>
          <w:color w:val="374151"/>
        </w:rPr>
        <w:t> </w:t>
      </w:r>
      <w:r>
        <w:rPr>
          <w:color w:val="374151"/>
          <w:shd w:fill="F7F7F8" w:color="auto" w:val="clear"/>
        </w:rPr>
        <w:t>symptoms, and indications for screening.</w:t>
      </w:r>
      <w:r>
        <w:rPr>
          <w:color w:val="374151"/>
          <w:spacing w:val="-6"/>
          <w:shd w:fill="F7F7F8" w:color="auto" w:val="clear"/>
        </w:rPr>
        <w:t> </w:t>
      </w:r>
      <w:r>
        <w:rPr>
          <w:color w:val="374151"/>
          <w:shd w:fill="F7F7F8" w:color="auto" w:val="clear"/>
        </w:rPr>
        <w:t>The section is intended for use in a</w:t>
      </w:r>
      <w:r>
        <w:rPr>
          <w:color w:val="374151"/>
        </w:rPr>
        <w:t> </w:t>
      </w:r>
      <w:r>
        <w:rPr>
          <w:color w:val="374151"/>
          <w:shd w:fill="F7F7F8" w:color="auto" w:val="clear"/>
        </w:rPr>
        <w:t>broad variety of clinical settings - inpatient, residential rehabilitation, and</w:t>
      </w:r>
      <w:r>
        <w:rPr>
          <w:color w:val="374151"/>
        </w:rPr>
        <w:t> </w:t>
      </w:r>
      <w:r>
        <w:rPr>
          <w:color w:val="374151"/>
          <w:shd w:fill="F7F7F8" w:color="auto" w:val="clear"/>
        </w:rPr>
        <w:t>outpatient facilities, including methadone and drug-free modalities.</w:t>
      </w:r>
    </w:p>
    <w:p>
      <w:pPr>
        <w:pStyle w:val="BodyText"/>
        <w:spacing w:before="9"/>
        <w:rPr>
          <w:sz w:val="26"/>
        </w:rPr>
      </w:pPr>
    </w:p>
    <w:p>
      <w:pPr>
        <w:pStyle w:val="BodyText"/>
        <w:ind w:left="280" w:right="502"/>
      </w:pPr>
      <w:r>
        <w:rPr>
          <w:color w:val="374151"/>
          <w:shd w:fill="F7F7F8" w:color="auto" w:val="clear"/>
        </w:rPr>
        <w:t>This</w:t>
      </w:r>
      <w:r>
        <w:rPr>
          <w:color w:val="374151"/>
          <w:spacing w:val="-3"/>
          <w:shd w:fill="F7F7F8" w:color="auto" w:val="clear"/>
        </w:rPr>
        <w:t> </w:t>
      </w:r>
      <w:r>
        <w:rPr>
          <w:color w:val="374151"/>
          <w:shd w:fill="F7F7F8" w:color="auto" w:val="clear"/>
        </w:rPr>
        <w:t>section</w:t>
      </w:r>
      <w:r>
        <w:rPr>
          <w:color w:val="374151"/>
          <w:spacing w:val="-3"/>
          <w:shd w:fill="F7F7F8" w:color="auto" w:val="clear"/>
        </w:rPr>
        <w:t> </w:t>
      </w:r>
      <w:r>
        <w:rPr>
          <w:color w:val="374151"/>
          <w:shd w:fill="F7F7F8" w:color="auto" w:val="clear"/>
        </w:rPr>
        <w:t>focuses</w:t>
      </w:r>
      <w:r>
        <w:rPr>
          <w:color w:val="374151"/>
          <w:spacing w:val="-3"/>
          <w:shd w:fill="F7F7F8" w:color="auto" w:val="clear"/>
        </w:rPr>
        <w:t> </w:t>
      </w:r>
      <w:r>
        <w:rPr>
          <w:color w:val="374151"/>
          <w:shd w:fill="F7F7F8" w:color="auto" w:val="clear"/>
        </w:rPr>
        <w:t>on</w:t>
      </w:r>
      <w:r>
        <w:rPr>
          <w:color w:val="374151"/>
          <w:spacing w:val="-3"/>
          <w:shd w:fill="F7F7F8" w:color="auto" w:val="clear"/>
        </w:rPr>
        <w:t> </w:t>
      </w:r>
      <w:r>
        <w:rPr>
          <w:color w:val="374151"/>
          <w:shd w:fill="F7F7F8" w:color="auto" w:val="clear"/>
        </w:rPr>
        <w:t>infectious</w:t>
      </w:r>
      <w:r>
        <w:rPr>
          <w:color w:val="374151"/>
          <w:spacing w:val="-3"/>
          <w:shd w:fill="F7F7F8" w:color="auto" w:val="clear"/>
        </w:rPr>
        <w:t> </w:t>
      </w:r>
      <w:r>
        <w:rPr>
          <w:color w:val="374151"/>
          <w:shd w:fill="F7F7F8" w:color="auto" w:val="clear"/>
        </w:rPr>
        <w:t>diseases</w:t>
      </w:r>
      <w:r>
        <w:rPr>
          <w:color w:val="374151"/>
          <w:spacing w:val="-3"/>
          <w:shd w:fill="F7F7F8" w:color="auto" w:val="clear"/>
        </w:rPr>
        <w:t> </w:t>
      </w:r>
      <w:r>
        <w:rPr>
          <w:color w:val="374151"/>
          <w:shd w:fill="F7F7F8" w:color="auto" w:val="clear"/>
        </w:rPr>
        <w:t>that</w:t>
      </w:r>
      <w:r>
        <w:rPr>
          <w:color w:val="374151"/>
          <w:spacing w:val="-3"/>
          <w:shd w:fill="F7F7F8" w:color="auto" w:val="clear"/>
        </w:rPr>
        <w:t> </w:t>
      </w:r>
      <w:r>
        <w:rPr>
          <w:color w:val="374151"/>
          <w:shd w:fill="F7F7F8" w:color="auto" w:val="clear"/>
        </w:rPr>
        <w:t>are</w:t>
      </w:r>
      <w:r>
        <w:rPr>
          <w:color w:val="374151"/>
          <w:spacing w:val="-4"/>
          <w:shd w:fill="F7F7F8" w:color="auto" w:val="clear"/>
        </w:rPr>
        <w:t> </w:t>
      </w:r>
      <w:r>
        <w:rPr>
          <w:color w:val="374151"/>
          <w:shd w:fill="F7F7F8" w:color="auto" w:val="clear"/>
        </w:rPr>
        <w:t>prevalent</w:t>
      </w:r>
      <w:r>
        <w:rPr>
          <w:color w:val="374151"/>
          <w:spacing w:val="-3"/>
          <w:shd w:fill="F7F7F8" w:color="auto" w:val="clear"/>
        </w:rPr>
        <w:t> </w:t>
      </w:r>
      <w:r>
        <w:rPr>
          <w:color w:val="374151"/>
          <w:shd w:fill="F7F7F8" w:color="auto" w:val="clear"/>
        </w:rPr>
        <w:t>in</w:t>
      </w:r>
      <w:r>
        <w:rPr>
          <w:color w:val="374151"/>
          <w:spacing w:val="-3"/>
          <w:shd w:fill="F7F7F8" w:color="auto" w:val="clear"/>
        </w:rPr>
        <w:t> </w:t>
      </w:r>
      <w:r>
        <w:rPr>
          <w:color w:val="374151"/>
          <w:shd w:fill="F7F7F8" w:color="auto" w:val="clear"/>
        </w:rPr>
        <w:t>and</w:t>
      </w:r>
      <w:r>
        <w:rPr>
          <w:color w:val="374151"/>
          <w:spacing w:val="-3"/>
          <w:shd w:fill="F7F7F8" w:color="auto" w:val="clear"/>
        </w:rPr>
        <w:t> </w:t>
      </w:r>
      <w:r>
        <w:rPr>
          <w:color w:val="374151"/>
          <w:shd w:fill="F7F7F8" w:color="auto" w:val="clear"/>
        </w:rPr>
        <w:t>especially</w:t>
      </w:r>
      <w:r>
        <w:rPr>
          <w:color w:val="374151"/>
          <w:spacing w:val="-4"/>
          <w:shd w:fill="F7F7F8" w:color="auto" w:val="clear"/>
        </w:rPr>
        <w:t> </w:t>
      </w:r>
      <w:r>
        <w:rPr>
          <w:color w:val="374151"/>
          <w:spacing w:val="-4"/>
        </w:rPr>
        <w:t> </w:t>
      </w:r>
      <w:r>
        <w:rPr>
          <w:color w:val="374151"/>
          <w:shd w:fill="F7F7F8" w:color="auto" w:val="clear"/>
        </w:rPr>
        <w:t>harmful to patients in drug treatment, and that can be medically managed by </w:t>
      </w:r>
      <w:r>
        <w:rPr>
          <w:color w:val="374151"/>
        </w:rPr>
        <w:t> </w:t>
      </w:r>
      <w:r>
        <w:rPr>
          <w:color w:val="374151"/>
          <w:shd w:fill="F7F7F8" w:color="auto" w:val="clear"/>
        </w:rPr>
        <w:t>treatment staff or through referrals for primary care.</w:t>
      </w:r>
      <w:r>
        <w:rPr>
          <w:color w:val="374151"/>
          <w:spacing w:val="-5"/>
          <w:shd w:fill="F7F7F8" w:color="auto" w:val="clear"/>
        </w:rPr>
        <w:t> </w:t>
      </w:r>
      <w:r>
        <w:rPr>
          <w:color w:val="374151"/>
          <w:shd w:fill="F7F7F8" w:color="auto" w:val="clear"/>
        </w:rPr>
        <w:t>The treatment</w:t>
      </w:r>
      <w:r>
        <w:rPr>
          <w:color w:val="374151"/>
        </w:rPr>
        <w:t> </w:t>
      </w:r>
      <w:r>
        <w:rPr>
          <w:color w:val="374151"/>
          <w:shd w:fill="F7F7F8" w:color="auto" w:val="clear"/>
        </w:rPr>
        <w:t>recommendations</w:t>
      </w:r>
      <w:r>
        <w:rPr>
          <w:color w:val="374151"/>
          <w:spacing w:val="-4"/>
          <w:shd w:fill="F7F7F8" w:color="auto" w:val="clear"/>
        </w:rPr>
        <w:t> </w:t>
      </w:r>
      <w:r>
        <w:rPr>
          <w:color w:val="374151"/>
          <w:shd w:fill="F7F7F8" w:color="auto" w:val="clear"/>
        </w:rPr>
        <w:t>in</w:t>
      </w:r>
      <w:r>
        <w:rPr>
          <w:color w:val="374151"/>
          <w:spacing w:val="-4"/>
          <w:shd w:fill="F7F7F8" w:color="auto" w:val="clear"/>
        </w:rPr>
        <w:t> </w:t>
      </w:r>
      <w:r>
        <w:rPr>
          <w:color w:val="374151"/>
          <w:shd w:fill="F7F7F8" w:color="auto" w:val="clear"/>
        </w:rPr>
        <w:t>this</w:t>
      </w:r>
      <w:r>
        <w:rPr>
          <w:color w:val="374151"/>
          <w:spacing w:val="-15"/>
          <w:shd w:fill="F7F7F8" w:color="auto" w:val="clear"/>
        </w:rPr>
        <w:t> </w:t>
      </w:r>
      <w:r>
        <w:rPr>
          <w:color w:val="374151"/>
          <w:shd w:fill="F7F7F8" w:color="auto" w:val="clear"/>
        </w:rPr>
        <w:t>TIP</w:t>
      </w:r>
      <w:r>
        <w:rPr>
          <w:color w:val="374151"/>
          <w:spacing w:val="-25"/>
          <w:shd w:fill="F7F7F8" w:color="auto" w:val="clear"/>
        </w:rPr>
        <w:t> </w:t>
      </w:r>
      <w:r>
        <w:rPr>
          <w:color w:val="374151"/>
          <w:shd w:fill="F7F7F8" w:color="auto" w:val="clear"/>
        </w:rPr>
        <w:t>are</w:t>
      </w:r>
      <w:r>
        <w:rPr>
          <w:color w:val="374151"/>
          <w:spacing w:val="-6"/>
          <w:shd w:fill="F7F7F8" w:color="auto" w:val="clear"/>
        </w:rPr>
        <w:t> </w:t>
      </w:r>
      <w:r>
        <w:rPr>
          <w:color w:val="374151"/>
          <w:shd w:fill="F7F7F8" w:color="auto" w:val="clear"/>
        </w:rPr>
        <w:t>largely, but not exclusively, based on </w:t>
      </w:r>
      <w:r>
        <w:rPr>
          <w:color w:val="374151"/>
        </w:rPr>
        <w:t> </w:t>
      </w:r>
      <w:r>
        <w:rPr>
          <w:color w:val="374151"/>
          <w:shd w:fill="F7F7F8" w:color="auto" w:val="clear"/>
        </w:rPr>
        <w:t>guidelines from the Centers for Disease Control and Prevention (CDC).</w:t>
      </w:r>
      <w:r>
        <w:rPr>
          <w:color w:val="374151"/>
          <w:spacing w:val="40"/>
          <w:shd w:fill="F7F7F8" w:color="auto" w:val="clear"/>
        </w:rPr>
        <w:t> </w:t>
      </w:r>
    </w:p>
    <w:p>
      <w:pPr>
        <w:pStyle w:val="BodyText"/>
        <w:spacing w:line="237" w:lineRule="auto"/>
        <w:ind w:left="280" w:right="498"/>
      </w:pPr>
      <w:r>
        <w:rPr>
          <w:color w:val="374151"/>
          <w:shd w:fill="F7F7F8" w:color="auto" w:val="clear"/>
        </w:rPr>
        <w:t>Trained medical staff are needed to diagnose and treat these diseases.</w:t>
      </w:r>
      <w:r>
        <w:rPr>
          <w:color w:val="374151"/>
          <w:spacing w:val="-2"/>
          <w:shd w:fill="F7F7F8" w:color="auto" w:val="clear"/>
        </w:rPr>
        <w:t> </w:t>
      </w:r>
      <w:r>
        <w:rPr>
          <w:color w:val="374151"/>
          <w:spacing w:val="-2"/>
        </w:rPr>
        <w:t> </w:t>
      </w:r>
      <w:r>
        <w:rPr>
          <w:color w:val="374151"/>
          <w:shd w:fill="F7F7F8" w:color="auto" w:val="clear"/>
        </w:rPr>
        <w:t>Treatment providers who do not offer such medical resources are encouraged </w:t>
      </w:r>
      <w:r>
        <w:rPr>
          <w:color w:val="374151"/>
        </w:rPr>
        <w:t> </w:t>
      </w:r>
      <w:r>
        <w:rPr>
          <w:color w:val="374151"/>
          <w:shd w:fill="F7F7F8" w:color="auto" w:val="clear"/>
        </w:rPr>
        <w:t>to</w:t>
      </w:r>
      <w:r>
        <w:rPr>
          <w:color w:val="374151"/>
          <w:spacing w:val="-5"/>
          <w:shd w:fill="F7F7F8" w:color="auto" w:val="clear"/>
        </w:rPr>
        <w:t> </w:t>
      </w:r>
      <w:r>
        <w:rPr>
          <w:color w:val="374151"/>
          <w:shd w:fill="F7F7F8" w:color="auto" w:val="clear"/>
        </w:rPr>
        <w:t>refer</w:t>
      </w:r>
      <w:r>
        <w:rPr>
          <w:color w:val="374151"/>
          <w:spacing w:val="-4"/>
          <w:shd w:fill="F7F7F8" w:color="auto" w:val="clear"/>
        </w:rPr>
        <w:t> </w:t>
      </w:r>
      <w:r>
        <w:rPr>
          <w:color w:val="374151"/>
          <w:shd w:fill="F7F7F8" w:color="auto" w:val="clear"/>
        </w:rPr>
        <w:t>their</w:t>
      </w:r>
      <w:r>
        <w:rPr>
          <w:color w:val="374151"/>
          <w:spacing w:val="-4"/>
          <w:shd w:fill="F7F7F8" w:color="auto" w:val="clear"/>
        </w:rPr>
        <w:t> </w:t>
      </w:r>
      <w:r>
        <w:rPr>
          <w:color w:val="374151"/>
          <w:shd w:fill="F7F7F8" w:color="auto" w:val="clear"/>
        </w:rPr>
        <w:t>patients</w:t>
      </w:r>
      <w:r>
        <w:rPr>
          <w:color w:val="374151"/>
          <w:spacing w:val="-4"/>
          <w:shd w:fill="F7F7F8" w:color="auto" w:val="clear"/>
        </w:rPr>
        <w:t> </w:t>
      </w:r>
      <w:r>
        <w:rPr>
          <w:color w:val="374151"/>
          <w:shd w:fill="F7F7F8" w:color="auto" w:val="clear"/>
        </w:rPr>
        <w:t>to</w:t>
      </w:r>
      <w:r>
        <w:rPr>
          <w:color w:val="374151"/>
          <w:spacing w:val="-4"/>
          <w:shd w:fill="F7F7F8" w:color="auto" w:val="clear"/>
        </w:rPr>
        <w:t> </w:t>
      </w:r>
      <w:r>
        <w:rPr>
          <w:color w:val="374151"/>
          <w:shd w:fill="F7F7F8" w:color="auto" w:val="clear"/>
        </w:rPr>
        <w:t>community-based</w:t>
      </w:r>
      <w:r>
        <w:rPr>
          <w:color w:val="374151"/>
          <w:spacing w:val="-4"/>
          <w:shd w:fill="F7F7F8" w:color="auto" w:val="clear"/>
        </w:rPr>
        <w:t> </w:t>
      </w:r>
      <w:r>
        <w:rPr>
          <w:color w:val="374151"/>
          <w:shd w:fill="F7F7F8" w:color="auto" w:val="clear"/>
        </w:rPr>
        <w:t>health</w:t>
      </w:r>
      <w:r>
        <w:rPr>
          <w:color w:val="374151"/>
          <w:spacing w:val="-4"/>
          <w:shd w:fill="F7F7F8" w:color="auto" w:val="clear"/>
        </w:rPr>
        <w:t> </w:t>
      </w:r>
      <w:r>
        <w:rPr>
          <w:color w:val="374151"/>
          <w:shd w:fill="F7F7F8" w:color="auto" w:val="clear"/>
        </w:rPr>
        <w:t>care</w:t>
      </w:r>
      <w:r>
        <w:rPr>
          <w:color w:val="374151"/>
          <w:spacing w:val="-5"/>
          <w:shd w:fill="F7F7F8" w:color="auto" w:val="clear"/>
        </w:rPr>
        <w:t> </w:t>
      </w:r>
      <w:r>
        <w:rPr>
          <w:color w:val="374151"/>
          <w:shd w:fill="F7F7F8" w:color="auto" w:val="clear"/>
        </w:rPr>
        <w:t>professionals.</w:t>
      </w:r>
      <w:r>
        <w:rPr>
          <w:color w:val="374151"/>
          <w:spacing w:val="-4"/>
          <w:shd w:fill="F7F7F8" w:color="auto" w:val="clear"/>
        </w:rPr>
        <w:t> </w:t>
      </w:r>
      <w:r>
        <w:rPr>
          <w:color w:val="374151"/>
          <w:shd w:fill="F7F7F8" w:color="auto" w:val="clear"/>
        </w:rPr>
        <w:t>Follow</w:t>
      </w:r>
      <w:r>
        <w:rPr>
          <w:color w:val="374151"/>
          <w:spacing w:val="-4"/>
          <w:shd w:fill="F7F7F8" w:color="auto" w:val="clear"/>
        </w:rPr>
        <w:t> </w:t>
      </w:r>
      <w:r>
        <w:rPr>
          <w:color w:val="374151"/>
          <w:shd w:fill="F7F7F8" w:color="auto" w:val="clear"/>
        </w:rPr>
        <w:t>up</w:t>
      </w:r>
      <w:r>
        <w:rPr>
          <w:color w:val="374151"/>
          <w:spacing w:val="-18"/>
          <w:shd w:fill="F7F7F8" w:color="auto" w:val="clear"/>
        </w:rPr>
        <w:t> </w:t>
      </w:r>
      <w:r>
        <w:rPr>
          <w:color w:val="374151"/>
          <w:spacing w:val="-18"/>
        </w:rPr>
        <w:t> </w:t>
      </w:r>
      <w:r>
        <w:rPr>
          <w:color w:val="374151"/>
          <w:shd w:fill="F7F7F8" w:color="auto" w:val="clear"/>
        </w:rPr>
        <w:t>care</w:t>
      </w:r>
      <w:r>
        <w:rPr>
          <w:color w:val="374151"/>
          <w:spacing w:val="-2"/>
          <w:shd w:fill="F7F7F8" w:color="auto" w:val="clear"/>
        </w:rPr>
        <w:t> </w:t>
      </w:r>
      <w:r>
        <w:rPr>
          <w:color w:val="374151"/>
          <w:shd w:fill="F7F7F8" w:color="auto" w:val="clear"/>
        </w:rPr>
        <w:t>of</w:t>
      </w:r>
      <w:r>
        <w:rPr>
          <w:color w:val="374151"/>
          <w:spacing w:val="-1"/>
          <w:shd w:fill="F7F7F8" w:color="auto" w:val="clear"/>
        </w:rPr>
        <w:t> </w:t>
      </w:r>
      <w:r>
        <w:rPr>
          <w:color w:val="374151"/>
          <w:shd w:fill="F7F7F8" w:color="auto" w:val="clear"/>
        </w:rPr>
        <w:t>those</w:t>
      </w:r>
      <w:r>
        <w:rPr>
          <w:color w:val="374151"/>
          <w:spacing w:val="-2"/>
          <w:shd w:fill="F7F7F8" w:color="auto" w:val="clear"/>
        </w:rPr>
        <w:t> </w:t>
      </w:r>
      <w:r>
        <w:rPr>
          <w:color w:val="374151"/>
          <w:shd w:fill="F7F7F8" w:color="auto" w:val="clear"/>
        </w:rPr>
        <w:t>patients</w:t>
      </w:r>
      <w:r>
        <w:rPr>
          <w:color w:val="374151"/>
          <w:spacing w:val="-1"/>
          <w:shd w:fill="F7F7F8" w:color="auto" w:val="clear"/>
        </w:rPr>
        <w:t> </w:t>
      </w:r>
      <w:r>
        <w:rPr>
          <w:color w:val="374151"/>
          <w:shd w:fill="F7F7F8" w:color="auto" w:val="clear"/>
        </w:rPr>
        <w:t>referred</w:t>
      </w:r>
      <w:r>
        <w:rPr>
          <w:color w:val="374151"/>
          <w:spacing w:val="-1"/>
          <w:shd w:fill="F7F7F8" w:color="auto" w:val="clear"/>
        </w:rPr>
        <w:t> </w:t>
      </w:r>
      <w:r>
        <w:rPr>
          <w:color w:val="374151"/>
          <w:shd w:fill="F7F7F8" w:color="auto" w:val="clear"/>
        </w:rPr>
        <w:t>initially</w:t>
      </w:r>
      <w:r>
        <w:rPr>
          <w:color w:val="374151"/>
          <w:spacing w:val="-1"/>
          <w:shd w:fill="F7F7F8" w:color="auto" w:val="clear"/>
        </w:rPr>
        <w:t> </w:t>
      </w:r>
      <w:r>
        <w:rPr>
          <w:color w:val="374151"/>
          <w:shd w:fill="F7F7F8" w:color="auto" w:val="clear"/>
        </w:rPr>
        <w:t>to</w:t>
      </w:r>
      <w:r>
        <w:rPr>
          <w:color w:val="374151"/>
          <w:spacing w:val="-1"/>
          <w:shd w:fill="F7F7F8" w:color="auto" w:val="clear"/>
        </w:rPr>
        <w:t> </w:t>
      </w:r>
      <w:r>
        <w:rPr>
          <w:color w:val="374151"/>
          <w:shd w:fill="F7F7F8" w:color="auto" w:val="clear"/>
        </w:rPr>
        <w:t>other</w:t>
      </w:r>
      <w:r>
        <w:rPr>
          <w:color w:val="374151"/>
          <w:spacing w:val="-1"/>
          <w:shd w:fill="F7F7F8" w:color="auto" w:val="clear"/>
        </w:rPr>
        <w:t> </w:t>
      </w:r>
      <w:r>
        <w:rPr>
          <w:color w:val="374151"/>
          <w:shd w:fill="F7F7F8" w:color="auto" w:val="clear"/>
        </w:rPr>
        <w:t>health</w:t>
      </w:r>
      <w:r>
        <w:rPr>
          <w:color w:val="374151"/>
          <w:spacing w:val="-1"/>
          <w:shd w:fill="F7F7F8" w:color="auto" w:val="clear"/>
        </w:rPr>
        <w:t> </w:t>
      </w:r>
      <w:r>
        <w:rPr>
          <w:color w:val="374151"/>
          <w:shd w:fill="F7F7F8" w:color="auto" w:val="clear"/>
        </w:rPr>
        <w:t>care</w:t>
      </w:r>
      <w:r>
        <w:rPr>
          <w:color w:val="374151"/>
          <w:spacing w:val="-2"/>
          <w:shd w:fill="F7F7F8" w:color="auto" w:val="clear"/>
        </w:rPr>
        <w:t> </w:t>
      </w:r>
      <w:r>
        <w:rPr>
          <w:color w:val="374151"/>
          <w:shd w:fill="F7F7F8" w:color="auto" w:val="clear"/>
        </w:rPr>
        <w:t>professionals</w:t>
      </w:r>
      <w:r>
        <w:rPr>
          <w:color w:val="374151"/>
          <w:spacing w:val="-1"/>
          <w:shd w:fill="F7F7F8" w:color="auto" w:val="clear"/>
        </w:rPr>
        <w:t> </w:t>
      </w:r>
      <w:r>
        <w:rPr>
          <w:color w:val="374151"/>
          <w:shd w:fill="F7F7F8" w:color="auto" w:val="clear"/>
        </w:rPr>
        <w:t>should</w:t>
      </w:r>
      <w:r>
        <w:rPr>
          <w:color w:val="374151"/>
        </w:rPr>
        <w:t> </w:t>
      </w:r>
      <w:r>
        <w:rPr>
          <w:color w:val="374151"/>
          <w:shd w:fill="F7F7F8" w:color="auto" w:val="clear"/>
        </w:rPr>
        <w:t>be provided.</w:t>
      </w:r>
    </w:p>
    <w:p>
      <w:pPr>
        <w:pStyle w:val="BodyText"/>
        <w:spacing w:before="6"/>
        <w:rPr>
          <w:sz w:val="27"/>
        </w:rPr>
      </w:pPr>
    </w:p>
    <w:p>
      <w:pPr>
        <w:pStyle w:val="Heading3"/>
        <w:rPr>
          <w:i/>
        </w:rPr>
      </w:pPr>
      <w:r>
        <w:rPr>
          <w:i/>
          <w:color w:val="374151"/>
          <w:shd w:fill="F7F7F8" w:color="auto" w:val="clear"/>
        </w:rPr>
        <w:t>Infectious</w:t>
      </w:r>
      <w:r>
        <w:rPr>
          <w:i/>
          <w:color w:val="374151"/>
          <w:spacing w:val="-13"/>
          <w:shd w:fill="F7F7F8" w:color="auto" w:val="clear"/>
        </w:rPr>
        <w:t> </w:t>
      </w:r>
      <w:r>
        <w:rPr>
          <w:i/>
          <w:color w:val="374151"/>
          <w:shd w:fill="F7F7F8" w:color="auto" w:val="clear"/>
        </w:rPr>
        <w:t>Diseases</w:t>
      </w:r>
      <w:r>
        <w:rPr>
          <w:i/>
          <w:color w:val="374151"/>
          <w:spacing w:val="-9"/>
          <w:shd w:fill="F7F7F8" w:color="auto" w:val="clear"/>
        </w:rPr>
        <w:t> </w:t>
      </w:r>
      <w:r>
        <w:rPr>
          <w:i/>
          <w:color w:val="374151"/>
          <w:shd w:fill="F7F7F8" w:color="auto" w:val="clear"/>
        </w:rPr>
        <w:t>Linked</w:t>
      </w:r>
      <w:r>
        <w:rPr>
          <w:i/>
          <w:color w:val="374151"/>
          <w:spacing w:val="-14"/>
          <w:shd w:fill="F7F7F8" w:color="auto" w:val="clear"/>
        </w:rPr>
        <w:t> </w:t>
      </w:r>
      <w:r>
        <w:rPr>
          <w:i/>
          <w:color w:val="374151"/>
          <w:shd w:fill="F7F7F8" w:color="auto" w:val="clear"/>
        </w:rPr>
        <w:t>With</w:t>
      </w:r>
      <w:r>
        <w:rPr>
          <w:i/>
          <w:color w:val="374151"/>
          <w:spacing w:val="-9"/>
          <w:shd w:fill="F7F7F8" w:color="auto" w:val="clear"/>
        </w:rPr>
        <w:t> </w:t>
      </w:r>
      <w:r>
        <w:rPr>
          <w:i/>
          <w:color w:val="374151"/>
          <w:shd w:fill="F7F7F8" w:color="auto" w:val="clear"/>
        </w:rPr>
        <w:t>Drug</w:t>
      </w:r>
      <w:r>
        <w:rPr>
          <w:i/>
          <w:color w:val="374151"/>
          <w:spacing w:val="-8"/>
          <w:shd w:fill="F7F7F8" w:color="auto" w:val="clear"/>
        </w:rPr>
        <w:t> </w:t>
      </w:r>
      <w:r>
        <w:rPr>
          <w:i/>
          <w:color w:val="374151"/>
          <w:spacing w:val="-5"/>
          <w:shd w:fill="F7F7F8" w:color="auto" w:val="clear"/>
        </w:rPr>
        <w:t>Use</w:t>
      </w:r>
    </w:p>
    <w:p>
      <w:pPr>
        <w:pStyle w:val="BodyText"/>
        <w:spacing w:before="4"/>
        <w:rPr>
          <w:b/>
          <w:i/>
          <w:sz w:val="4"/>
        </w:rPr>
      </w:pPr>
      <w:r>
        <w:rPr/>
        <mc:AlternateContent>
          <mc:Choice Requires="wps">
            <w:drawing>
              <wp:anchor distT="0" distB="0" distL="0" distR="0" allowOverlap="1" layoutInCell="1" locked="0" behindDoc="1" simplePos="0" relativeHeight="487672832">
                <wp:simplePos x="0" y="0"/>
                <wp:positionH relativeFrom="page">
                  <wp:posOffset>901700</wp:posOffset>
                </wp:positionH>
                <wp:positionV relativeFrom="paragraph">
                  <wp:posOffset>46986</wp:posOffset>
                </wp:positionV>
                <wp:extent cx="5486400" cy="1270"/>
                <wp:effectExtent l="0" t="0" r="0" b="0"/>
                <wp:wrapTopAndBottom/>
                <wp:docPr id="337" name="Graphic 337"/>
                <wp:cNvGraphicFramePr>
                  <a:graphicFrameLocks/>
                </wp:cNvGraphicFramePr>
                <a:graphic>
                  <a:graphicData uri="http://schemas.microsoft.com/office/word/2010/wordprocessingShape">
                    <wps:wsp>
                      <wps:cNvPr id="337" name="Graphic 337"/>
                      <wps:cNvSpPr/>
                      <wps:spPr>
                        <a:xfrm>
                          <a:off x="0" y="0"/>
                          <a:ext cx="5486400" cy="1270"/>
                        </a:xfrm>
                        <a:custGeom>
                          <a:avLst/>
                          <a:gdLst/>
                          <a:ahLst/>
                          <a:cxnLst/>
                          <a:rect l="l" t="t" r="r" b="b"/>
                          <a:pathLst>
                            <a:path w="5486400" h="0">
                              <a:moveTo>
                                <a:pt x="0" y="0"/>
                              </a:moveTo>
                              <a:lnTo>
                                <a:pt x="54864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71pt;margin-top:3.699756pt;width:432pt;height:.1pt;mso-position-horizontal-relative:page;mso-position-vertical-relative:paragraph;z-index:-15643648;mso-wrap-distance-left:0;mso-wrap-distance-right:0" id="docshape336" coordorigin="1420,74" coordsize="8640,0" path="m1420,74l10060,74e" filled="false" stroked="true" strokeweight=".75pt" strokecolor="#999999">
                <v:path arrowok="t"/>
                <v:stroke dashstyle="shortdot"/>
                <w10:wrap type="topAndBottom"/>
              </v:shape>
            </w:pict>
          </mc:Fallback>
        </mc:AlternateContent>
      </w:r>
    </w:p>
    <w:p>
      <w:pPr>
        <w:pStyle w:val="BodyText"/>
        <w:spacing w:line="259" w:lineRule="auto"/>
        <w:ind w:left="400" w:right="668"/>
      </w:pPr>
      <w:r>
        <w:rPr/>
        <w:t>Using drugs is an important risk factor for disease. Drug use is associated with such risk behaviors as the sharing of contaminated needles and other drug paraphernalia, and unsafe sexual practices that contribute to transmission</w:t>
      </w:r>
      <w:r>
        <w:rPr>
          <w:spacing w:val="-9"/>
        </w:rPr>
        <w:t> </w:t>
      </w:r>
      <w:r>
        <w:rPr/>
        <w:t>of</w:t>
      </w:r>
      <w:r>
        <w:rPr>
          <w:spacing w:val="-9"/>
        </w:rPr>
        <w:t> </w:t>
      </w:r>
      <w:r>
        <w:rPr/>
        <w:t>certain</w:t>
      </w:r>
      <w:r>
        <w:rPr>
          <w:spacing w:val="-9"/>
        </w:rPr>
        <w:t> </w:t>
      </w:r>
      <w:r>
        <w:rPr/>
        <w:t>infectious</w:t>
      </w:r>
      <w:r>
        <w:rPr>
          <w:spacing w:val="-9"/>
        </w:rPr>
        <w:t> </w:t>
      </w:r>
      <w:r>
        <w:rPr/>
        <w:t>diseases.For</w:t>
      </w:r>
      <w:r>
        <w:rPr>
          <w:spacing w:val="-13"/>
        </w:rPr>
        <w:t> </w:t>
      </w:r>
      <w:r>
        <w:rPr/>
        <w:t>example,</w:t>
      </w:r>
      <w:r>
        <w:rPr>
          <w:spacing w:val="-13"/>
        </w:rPr>
        <w:t> </w:t>
      </w:r>
      <w:r>
        <w:rPr/>
        <w:t>research</w:t>
      </w:r>
      <w:r>
        <w:rPr>
          <w:spacing w:val="-12"/>
        </w:rPr>
        <w:t> </w:t>
      </w:r>
      <w:r>
        <w:rPr/>
        <w:t>indicates:</w:t>
      </w:r>
    </w:p>
    <w:p>
      <w:pPr>
        <w:pStyle w:val="BodyText"/>
        <w:spacing w:before="9"/>
        <w:rPr>
          <w:sz w:val="29"/>
        </w:rPr>
      </w:pPr>
    </w:p>
    <w:p>
      <w:pPr>
        <w:pStyle w:val="ListParagraph"/>
        <w:numPr>
          <w:ilvl w:val="0"/>
          <w:numId w:val="18"/>
        </w:numPr>
        <w:tabs>
          <w:tab w:pos="760" w:val="left" w:leader="none"/>
        </w:tabs>
        <w:spacing w:line="256" w:lineRule="auto" w:before="0" w:after="0"/>
        <w:ind w:left="760" w:right="671" w:hanging="360"/>
        <w:jc w:val="left"/>
        <w:rPr>
          <w:sz w:val="28"/>
        </w:rPr>
      </w:pPr>
      <w:r>
        <w:rPr>
          <w:sz w:val="28"/>
        </w:rPr>
        <w:t>There has been a steady increase in the incidence of hepatitis B despite the</w:t>
      </w:r>
      <w:r>
        <w:rPr>
          <w:spacing w:val="-1"/>
          <w:sz w:val="28"/>
        </w:rPr>
        <w:t> </w:t>
      </w:r>
      <w:r>
        <w:rPr>
          <w:sz w:val="28"/>
        </w:rPr>
        <w:t>availability of a</w:t>
      </w:r>
      <w:r>
        <w:rPr>
          <w:spacing w:val="-1"/>
          <w:sz w:val="28"/>
        </w:rPr>
        <w:t> </w:t>
      </w:r>
      <w:r>
        <w:rPr>
          <w:sz w:val="28"/>
        </w:rPr>
        <w:t>vaccine</w:t>
      </w:r>
      <w:r>
        <w:rPr>
          <w:spacing w:val="-1"/>
          <w:sz w:val="28"/>
        </w:rPr>
        <w:t> </w:t>
      </w:r>
      <w:r>
        <w:rPr>
          <w:sz w:val="28"/>
        </w:rPr>
        <w:t>since</w:t>
      </w:r>
      <w:r>
        <w:rPr>
          <w:spacing w:val="-1"/>
          <w:sz w:val="28"/>
        </w:rPr>
        <w:t> </w:t>
      </w:r>
      <w:r>
        <w:rPr>
          <w:sz w:val="28"/>
        </w:rPr>
        <w:t>1982. Most of the</w:t>
      </w:r>
      <w:r>
        <w:rPr>
          <w:spacing w:val="-1"/>
          <w:sz w:val="28"/>
        </w:rPr>
        <w:t> </w:t>
      </w:r>
      <w:r>
        <w:rPr>
          <w:sz w:val="28"/>
        </w:rPr>
        <w:t>increase</w:t>
      </w:r>
      <w:r>
        <w:rPr>
          <w:spacing w:val="-1"/>
          <w:sz w:val="28"/>
        </w:rPr>
        <w:t> </w:t>
      </w:r>
      <w:r>
        <w:rPr>
          <w:sz w:val="28"/>
        </w:rPr>
        <w:t>is attributed to</w:t>
      </w:r>
      <w:r>
        <w:rPr>
          <w:spacing w:val="-4"/>
          <w:sz w:val="28"/>
        </w:rPr>
        <w:t> </w:t>
      </w:r>
      <w:r>
        <w:rPr>
          <w:sz w:val="28"/>
        </w:rPr>
        <w:t>injection</w:t>
      </w:r>
      <w:r>
        <w:rPr>
          <w:spacing w:val="-4"/>
          <w:sz w:val="28"/>
        </w:rPr>
        <w:t> </w:t>
      </w:r>
      <w:r>
        <w:rPr>
          <w:sz w:val="28"/>
        </w:rPr>
        <w:t>drug</w:t>
      </w:r>
      <w:r>
        <w:rPr>
          <w:spacing w:val="-4"/>
          <w:sz w:val="28"/>
        </w:rPr>
        <w:t> </w:t>
      </w:r>
      <w:r>
        <w:rPr>
          <w:sz w:val="28"/>
        </w:rPr>
        <w:t>use.The</w:t>
      </w:r>
      <w:r>
        <w:rPr>
          <w:spacing w:val="-5"/>
          <w:sz w:val="28"/>
        </w:rPr>
        <w:t> </w:t>
      </w:r>
      <w:r>
        <w:rPr>
          <w:sz w:val="28"/>
        </w:rPr>
        <w:t>prevalence</w:t>
      </w:r>
      <w:r>
        <w:rPr>
          <w:spacing w:val="-5"/>
          <w:sz w:val="28"/>
        </w:rPr>
        <w:t> </w:t>
      </w:r>
      <w:r>
        <w:rPr>
          <w:sz w:val="28"/>
        </w:rPr>
        <w:t>of</w:t>
      </w:r>
      <w:r>
        <w:rPr>
          <w:spacing w:val="-4"/>
          <w:sz w:val="28"/>
        </w:rPr>
        <w:t> </w:t>
      </w:r>
      <w:r>
        <w:rPr>
          <w:sz w:val="28"/>
        </w:rPr>
        <w:t>hepatitis</w:t>
      </w:r>
      <w:r>
        <w:rPr>
          <w:spacing w:val="-4"/>
          <w:sz w:val="28"/>
        </w:rPr>
        <w:t> </w:t>
      </w:r>
      <w:r>
        <w:rPr>
          <w:sz w:val="28"/>
        </w:rPr>
        <w:t>C</w:t>
      </w:r>
      <w:r>
        <w:rPr>
          <w:spacing w:val="-4"/>
          <w:sz w:val="28"/>
        </w:rPr>
        <w:t> </w:t>
      </w:r>
      <w:r>
        <w:rPr>
          <w:sz w:val="28"/>
        </w:rPr>
        <w:t>in</w:t>
      </w:r>
      <w:r>
        <w:rPr>
          <w:spacing w:val="-4"/>
          <w:sz w:val="28"/>
        </w:rPr>
        <w:t> </w:t>
      </w:r>
      <w:r>
        <w:rPr>
          <w:sz w:val="28"/>
        </w:rPr>
        <w:t>injection</w:t>
      </w:r>
      <w:r>
        <w:rPr>
          <w:spacing w:val="-4"/>
          <w:sz w:val="28"/>
        </w:rPr>
        <w:t> </w:t>
      </w:r>
      <w:r>
        <w:rPr>
          <w:sz w:val="28"/>
        </w:rPr>
        <w:t>drug</w:t>
      </w:r>
      <w:r>
        <w:rPr>
          <w:spacing w:val="-4"/>
          <w:sz w:val="28"/>
        </w:rPr>
        <w:t> </w:t>
      </w:r>
      <w:r>
        <w:rPr>
          <w:sz w:val="28"/>
        </w:rPr>
        <w:t>users</w:t>
      </w:r>
    </w:p>
    <w:p>
      <w:pPr>
        <w:spacing w:after="0" w:line="256" w:lineRule="auto"/>
        <w:jc w:val="left"/>
        <w:rPr>
          <w:sz w:val="28"/>
        </w:rPr>
        <w:sectPr>
          <w:pgSz w:w="12240" w:h="15840"/>
          <w:pgMar w:header="0" w:footer="765" w:top="1260" w:bottom="980" w:left="1400" w:right="1180"/>
        </w:sectPr>
      </w:pPr>
    </w:p>
    <w:p>
      <w:pPr>
        <w:pStyle w:val="BodyText"/>
        <w:spacing w:before="66"/>
        <w:ind w:left="760"/>
      </w:pPr>
      <w:r>
        <w:rPr/>
        <w:t>is</w:t>
      </w:r>
      <w:r>
        <w:rPr>
          <w:spacing w:val="-1"/>
        </w:rPr>
        <w:t> </w:t>
      </w:r>
      <w:r>
        <w:rPr/>
        <w:t>also </w:t>
      </w:r>
      <w:r>
        <w:rPr>
          <w:spacing w:val="-2"/>
        </w:rPr>
        <w:t>high.</w:t>
      </w:r>
    </w:p>
    <w:p>
      <w:pPr>
        <w:pStyle w:val="ListParagraph"/>
        <w:numPr>
          <w:ilvl w:val="0"/>
          <w:numId w:val="18"/>
        </w:numPr>
        <w:tabs>
          <w:tab w:pos="760" w:val="left" w:leader="none"/>
        </w:tabs>
        <w:spacing w:line="259" w:lineRule="auto" w:before="5" w:after="0"/>
        <w:ind w:left="760" w:right="669" w:hanging="360"/>
        <w:jc w:val="left"/>
        <w:rPr>
          <w:sz w:val="28"/>
        </w:rPr>
      </w:pPr>
      <w:r>
        <w:rPr>
          <w:sz w:val="28"/>
        </w:rPr>
        <w:t>Injection</w:t>
      </w:r>
      <w:r>
        <w:rPr>
          <w:spacing w:val="-8"/>
          <w:sz w:val="28"/>
        </w:rPr>
        <w:t> </w:t>
      </w:r>
      <w:r>
        <w:rPr>
          <w:sz w:val="28"/>
        </w:rPr>
        <w:t>drug</w:t>
      </w:r>
      <w:r>
        <w:rPr>
          <w:spacing w:val="-8"/>
          <w:sz w:val="28"/>
        </w:rPr>
        <w:t> </w:t>
      </w:r>
      <w:r>
        <w:rPr>
          <w:sz w:val="28"/>
        </w:rPr>
        <w:t>use</w:t>
      </w:r>
      <w:r>
        <w:rPr>
          <w:spacing w:val="-9"/>
          <w:sz w:val="28"/>
        </w:rPr>
        <w:t> </w:t>
      </w:r>
      <w:r>
        <w:rPr>
          <w:sz w:val="28"/>
        </w:rPr>
        <w:t>is</w:t>
      </w:r>
      <w:r>
        <w:rPr>
          <w:spacing w:val="-8"/>
          <w:sz w:val="28"/>
        </w:rPr>
        <w:t> </w:t>
      </w:r>
      <w:r>
        <w:rPr>
          <w:sz w:val="28"/>
        </w:rPr>
        <w:t>closely</w:t>
      </w:r>
      <w:r>
        <w:rPr>
          <w:spacing w:val="-8"/>
          <w:sz w:val="28"/>
        </w:rPr>
        <w:t> </w:t>
      </w:r>
      <w:r>
        <w:rPr>
          <w:sz w:val="28"/>
        </w:rPr>
        <w:t>linked</w:t>
      </w:r>
      <w:r>
        <w:rPr>
          <w:spacing w:val="-8"/>
          <w:sz w:val="28"/>
        </w:rPr>
        <w:t> </w:t>
      </w:r>
      <w:r>
        <w:rPr>
          <w:sz w:val="28"/>
        </w:rPr>
        <w:t>to</w:t>
      </w:r>
      <w:r>
        <w:rPr>
          <w:spacing w:val="-8"/>
          <w:sz w:val="28"/>
        </w:rPr>
        <w:t> </w:t>
      </w:r>
      <w:r>
        <w:rPr>
          <w:sz w:val="28"/>
        </w:rPr>
        <w:t>the</w:t>
      </w:r>
      <w:r>
        <w:rPr>
          <w:spacing w:val="-9"/>
          <w:sz w:val="28"/>
        </w:rPr>
        <w:t> </w:t>
      </w:r>
      <w:r>
        <w:rPr>
          <w:sz w:val="28"/>
        </w:rPr>
        <w:t>spread</w:t>
      </w:r>
      <w:r>
        <w:rPr>
          <w:spacing w:val="-8"/>
          <w:sz w:val="28"/>
        </w:rPr>
        <w:t> </w:t>
      </w:r>
      <w:r>
        <w:rPr>
          <w:sz w:val="28"/>
        </w:rPr>
        <w:t>of</w:t>
      </w:r>
      <w:r>
        <w:rPr>
          <w:spacing w:val="-8"/>
          <w:sz w:val="28"/>
        </w:rPr>
        <w:t> </w:t>
      </w:r>
      <w:r>
        <w:rPr>
          <w:sz w:val="28"/>
        </w:rPr>
        <w:t>HIV.</w:t>
      </w:r>
      <w:r>
        <w:rPr>
          <w:spacing w:val="-8"/>
          <w:sz w:val="28"/>
        </w:rPr>
        <w:t> </w:t>
      </w:r>
      <w:r>
        <w:rPr>
          <w:sz w:val="28"/>
        </w:rPr>
        <w:t>Patients</w:t>
      </w:r>
      <w:r>
        <w:rPr>
          <w:spacing w:val="-8"/>
          <w:sz w:val="28"/>
        </w:rPr>
        <w:t> </w:t>
      </w:r>
      <w:r>
        <w:rPr>
          <w:sz w:val="28"/>
        </w:rPr>
        <w:t>infected with HIV, because of their impaired immune systems, are at increased risk of developing numerous infections, the majority of which represent reactivation of prior infection. However, HIV-infected persons are far more likely to develop active TB after exposure to TB than HIV- negative persons.</w:t>
      </w:r>
    </w:p>
    <w:p>
      <w:pPr>
        <w:pStyle w:val="ListParagraph"/>
        <w:numPr>
          <w:ilvl w:val="0"/>
          <w:numId w:val="18"/>
        </w:numPr>
        <w:tabs>
          <w:tab w:pos="760" w:val="left" w:leader="none"/>
        </w:tabs>
        <w:spacing w:line="346" w:lineRule="exact" w:before="7" w:after="0"/>
        <w:ind w:left="760" w:right="1044" w:hanging="360"/>
        <w:jc w:val="left"/>
        <w:rPr>
          <w:sz w:val="28"/>
        </w:rPr>
      </w:pPr>
      <w:r>
        <w:rPr>
          <w:sz w:val="28"/>
        </w:rPr>
        <w:t>An increase in cases of tuberculosis appears to be related to HIV infection and is seen primarily in the 25- to 44-age group. Multi-drug resistant</w:t>
      </w:r>
      <w:r>
        <w:rPr>
          <w:spacing w:val="-4"/>
          <w:sz w:val="28"/>
        </w:rPr>
        <w:t> </w:t>
      </w:r>
      <w:r>
        <w:rPr>
          <w:sz w:val="28"/>
        </w:rPr>
        <w:t>tuberculosis</w:t>
      </w:r>
      <w:r>
        <w:rPr>
          <w:spacing w:val="-4"/>
          <w:sz w:val="28"/>
        </w:rPr>
        <w:t> </w:t>
      </w:r>
      <w:r>
        <w:rPr>
          <w:sz w:val="28"/>
        </w:rPr>
        <w:t>has</w:t>
      </w:r>
      <w:r>
        <w:rPr>
          <w:spacing w:val="-4"/>
          <w:sz w:val="28"/>
        </w:rPr>
        <w:t> </w:t>
      </w:r>
      <w:r>
        <w:rPr>
          <w:sz w:val="28"/>
        </w:rPr>
        <w:t>been</w:t>
      </w:r>
      <w:r>
        <w:rPr>
          <w:spacing w:val="-4"/>
          <w:sz w:val="28"/>
        </w:rPr>
        <w:t> </w:t>
      </w:r>
      <w:r>
        <w:rPr>
          <w:sz w:val="28"/>
        </w:rPr>
        <w:t>detected</w:t>
      </w:r>
      <w:r>
        <w:rPr>
          <w:spacing w:val="-4"/>
          <w:sz w:val="28"/>
        </w:rPr>
        <w:t> </w:t>
      </w:r>
      <w:r>
        <w:rPr>
          <w:sz w:val="28"/>
        </w:rPr>
        <w:t>in</w:t>
      </w:r>
      <w:r>
        <w:rPr>
          <w:spacing w:val="-4"/>
          <w:sz w:val="28"/>
        </w:rPr>
        <w:t> </w:t>
      </w:r>
      <w:r>
        <w:rPr>
          <w:sz w:val="28"/>
        </w:rPr>
        <w:t>a</w:t>
      </w:r>
      <w:r>
        <w:rPr>
          <w:spacing w:val="-5"/>
          <w:sz w:val="28"/>
        </w:rPr>
        <w:t> </w:t>
      </w:r>
      <w:r>
        <w:rPr>
          <w:sz w:val="28"/>
        </w:rPr>
        <w:t>growing</w:t>
      </w:r>
      <w:r>
        <w:rPr>
          <w:spacing w:val="-4"/>
          <w:sz w:val="28"/>
        </w:rPr>
        <w:t> </w:t>
      </w:r>
      <w:r>
        <w:rPr>
          <w:sz w:val="28"/>
        </w:rPr>
        <w:t>number</w:t>
      </w:r>
      <w:r>
        <w:rPr>
          <w:spacing w:val="-4"/>
          <w:sz w:val="28"/>
        </w:rPr>
        <w:t> </w:t>
      </w:r>
      <w:r>
        <w:rPr>
          <w:sz w:val="28"/>
        </w:rPr>
        <w:t>of</w:t>
      </w:r>
      <w:r>
        <w:rPr>
          <w:spacing w:val="-4"/>
          <w:sz w:val="28"/>
        </w:rPr>
        <w:t> </w:t>
      </w:r>
      <w:r>
        <w:rPr>
          <w:sz w:val="28"/>
        </w:rPr>
        <w:t>States and is seen especially in large cities with high rates of drug use, homelessness, and HIV infection.</w:t>
      </w:r>
    </w:p>
    <w:p>
      <w:pPr>
        <w:pStyle w:val="BodyText"/>
        <w:spacing w:before="3"/>
        <w:rPr>
          <w:sz w:val="41"/>
        </w:rPr>
      </w:pPr>
    </w:p>
    <w:p>
      <w:pPr>
        <w:pStyle w:val="BodyText"/>
        <w:spacing w:line="259" w:lineRule="auto"/>
        <w:ind w:left="400" w:right="676"/>
      </w:pPr>
      <w:r>
        <w:rPr/>
        <w:t>Sexually Transmitted Infections (STIs) and Sexually transmitted diseases (STDs) affect women disproportionately, because women tend to show fewer symptoms and as a consequence they go untreated for longer periods of</w:t>
      </w:r>
      <w:r>
        <w:rPr>
          <w:spacing w:val="-18"/>
        </w:rPr>
        <w:t> </w:t>
      </w:r>
      <w:r>
        <w:rPr/>
        <w:t>time.</w:t>
      </w:r>
      <w:r>
        <w:rPr>
          <w:spacing w:val="-33"/>
        </w:rPr>
        <w:t> </w:t>
      </w:r>
      <w:r>
        <w:rPr/>
        <w:t>A</w:t>
      </w:r>
      <w:r>
        <w:rPr>
          <w:spacing w:val="-33"/>
        </w:rPr>
        <w:t> </w:t>
      </w:r>
      <w:r>
        <w:rPr/>
        <w:t>bacterial</w:t>
      </w:r>
      <w:r>
        <w:rPr>
          <w:spacing w:val="-13"/>
        </w:rPr>
        <w:t> </w:t>
      </w:r>
      <w:r>
        <w:rPr/>
        <w:t>STD</w:t>
      </w:r>
      <w:r>
        <w:rPr>
          <w:spacing w:val="-11"/>
        </w:rPr>
        <w:t> </w:t>
      </w:r>
      <w:r>
        <w:rPr/>
        <w:t>can</w:t>
      </w:r>
      <w:r>
        <w:rPr>
          <w:spacing w:val="-11"/>
        </w:rPr>
        <w:t> </w:t>
      </w:r>
      <w:r>
        <w:rPr/>
        <w:t>usually</w:t>
      </w:r>
      <w:r>
        <w:rPr>
          <w:spacing w:val="-11"/>
        </w:rPr>
        <w:t> </w:t>
      </w:r>
      <w:r>
        <w:rPr/>
        <w:t>be</w:t>
      </w:r>
      <w:r>
        <w:rPr>
          <w:spacing w:val="-13"/>
        </w:rPr>
        <w:t> </w:t>
      </w:r>
      <w:r>
        <w:rPr/>
        <w:t>cured</w:t>
      </w:r>
      <w:r>
        <w:rPr>
          <w:spacing w:val="-11"/>
        </w:rPr>
        <w:t> </w:t>
      </w:r>
      <w:r>
        <w:rPr/>
        <w:t>if</w:t>
      </w:r>
      <w:r>
        <w:rPr>
          <w:spacing w:val="-11"/>
        </w:rPr>
        <w:t> </w:t>
      </w:r>
      <w:r>
        <w:rPr/>
        <w:t>treated</w:t>
      </w:r>
      <w:r>
        <w:rPr>
          <w:spacing w:val="-11"/>
        </w:rPr>
        <w:t> </w:t>
      </w:r>
      <w:r>
        <w:rPr/>
        <w:t>early.</w:t>
      </w:r>
      <w:r>
        <w:rPr>
          <w:spacing w:val="-11"/>
        </w:rPr>
        <w:t> </w:t>
      </w:r>
      <w:r>
        <w:rPr/>
        <w:t>However,</w:t>
      </w:r>
      <w:r>
        <w:rPr>
          <w:spacing w:val="-11"/>
        </w:rPr>
        <w:t> </w:t>
      </w:r>
      <w:r>
        <w:rPr/>
        <w:t>these diseases are often undetected. Many of the most serious problems from STDs</w:t>
      </w:r>
      <w:r>
        <w:rPr>
          <w:spacing w:val="-4"/>
        </w:rPr>
        <w:t> </w:t>
      </w:r>
      <w:r>
        <w:rPr/>
        <w:t>come</w:t>
      </w:r>
      <w:r>
        <w:rPr>
          <w:spacing w:val="-5"/>
        </w:rPr>
        <w:t> </w:t>
      </w:r>
      <w:r>
        <w:rPr/>
        <w:t>from</w:t>
      </w:r>
      <w:r>
        <w:rPr>
          <w:spacing w:val="-4"/>
        </w:rPr>
        <w:t> </w:t>
      </w:r>
      <w:r>
        <w:rPr/>
        <w:t>undetected</w:t>
      </w:r>
      <w:r>
        <w:rPr>
          <w:spacing w:val="-4"/>
        </w:rPr>
        <w:t> </w:t>
      </w:r>
      <w:r>
        <w:rPr/>
        <w:t>Chlamydia</w:t>
      </w:r>
      <w:r>
        <w:rPr>
          <w:spacing w:val="-5"/>
        </w:rPr>
        <w:t> </w:t>
      </w:r>
      <w:r>
        <w:rPr/>
        <w:t>and</w:t>
      </w:r>
      <w:r>
        <w:rPr>
          <w:spacing w:val="-4"/>
        </w:rPr>
        <w:t> </w:t>
      </w:r>
      <w:r>
        <w:rPr/>
        <w:t>gonorrhea;</w:t>
      </w:r>
      <w:r>
        <w:rPr>
          <w:spacing w:val="-4"/>
        </w:rPr>
        <w:t> </w:t>
      </w:r>
      <w:r>
        <w:rPr/>
        <w:t>many</w:t>
      </w:r>
      <w:r>
        <w:rPr>
          <w:spacing w:val="-4"/>
        </w:rPr>
        <w:t> </w:t>
      </w:r>
      <w:r>
        <w:rPr/>
        <w:t>of</w:t>
      </w:r>
      <w:r>
        <w:rPr>
          <w:spacing w:val="-4"/>
        </w:rPr>
        <w:t> </w:t>
      </w:r>
      <w:r>
        <w:rPr/>
        <w:t>these</w:t>
      </w:r>
      <w:r>
        <w:rPr>
          <w:spacing w:val="-5"/>
        </w:rPr>
        <w:t> </w:t>
      </w:r>
      <w:r>
        <w:rPr/>
        <w:t>cases lead to bacterial infection of the uterus, fallopian tubes, or lining of the pelvic organs, sometimes causing infertility.</w:t>
      </w:r>
      <w:r>
        <w:rPr>
          <w:spacing w:val="-1"/>
        </w:rPr>
        <w:t> </w:t>
      </w:r>
      <w:r>
        <w:rPr/>
        <w:t>The transmission of an STD to an unborn child or during childbirth can have devastating effects.</w:t>
      </w:r>
    </w:p>
    <w:p>
      <w:pPr>
        <w:pStyle w:val="BodyText"/>
        <w:spacing w:before="1"/>
      </w:pPr>
    </w:p>
    <w:p>
      <w:pPr>
        <w:pStyle w:val="BodyText"/>
        <w:spacing w:line="259" w:lineRule="auto"/>
        <w:ind w:left="400" w:right="981"/>
        <w:jc w:val="both"/>
      </w:pPr>
      <w:r>
        <w:rPr/>
        <w:t>Substance use is common among people with HIV infection. Unfortunately, substance use can trigger and often complicate mental health</w:t>
      </w:r>
      <w:r>
        <w:rPr>
          <w:spacing w:val="-6"/>
        </w:rPr>
        <w:t> </w:t>
      </w:r>
      <w:r>
        <w:rPr/>
        <w:t>problems.</w:t>
      </w:r>
      <w:r>
        <w:rPr>
          <w:spacing w:val="-7"/>
        </w:rPr>
        <w:t> </w:t>
      </w:r>
      <w:r>
        <w:rPr/>
        <w:t>For</w:t>
      </w:r>
      <w:r>
        <w:rPr>
          <w:spacing w:val="-6"/>
        </w:rPr>
        <w:t> </w:t>
      </w:r>
      <w:r>
        <w:rPr/>
        <w:t>many,</w:t>
      </w:r>
      <w:r>
        <w:rPr>
          <w:spacing w:val="-6"/>
        </w:rPr>
        <w:t> </w:t>
      </w:r>
      <w:r>
        <w:rPr/>
        <w:t>mental</w:t>
      </w:r>
      <w:r>
        <w:rPr>
          <w:spacing w:val="-6"/>
        </w:rPr>
        <w:t> </w:t>
      </w:r>
      <w:r>
        <w:rPr/>
        <w:t>health</w:t>
      </w:r>
      <w:r>
        <w:rPr>
          <w:spacing w:val="-3"/>
        </w:rPr>
        <w:t> </w:t>
      </w:r>
      <w:r>
        <w:rPr/>
        <w:t>problems</w:t>
      </w:r>
      <w:r>
        <w:rPr>
          <w:spacing w:val="-4"/>
        </w:rPr>
        <w:t> </w:t>
      </w:r>
      <w:r>
        <w:rPr/>
        <w:t>predate</w:t>
      </w:r>
      <w:r>
        <w:rPr>
          <w:spacing w:val="-5"/>
        </w:rPr>
        <w:t> </w:t>
      </w:r>
      <w:r>
        <w:rPr/>
        <w:t>substance</w:t>
      </w:r>
      <w:r>
        <w:rPr>
          <w:spacing w:val="-5"/>
        </w:rPr>
        <w:t> </w:t>
      </w:r>
      <w:r>
        <w:rPr/>
        <w:t>use activity. Substance use can increase levels of distress, interfere with treatment adherence, and lead to impairment in thinking and memory.</w:t>
      </w:r>
    </w:p>
    <w:p>
      <w:pPr>
        <w:pStyle w:val="BodyText"/>
        <w:spacing w:before="9"/>
        <w:rPr>
          <w:sz w:val="29"/>
        </w:rPr>
      </w:pPr>
    </w:p>
    <w:p>
      <w:pPr>
        <w:pStyle w:val="BodyText"/>
        <w:spacing w:line="259" w:lineRule="auto"/>
        <w:ind w:left="400" w:right="988"/>
        <w:jc w:val="both"/>
        <w:rPr>
          <w:i/>
        </w:rPr>
      </w:pPr>
      <w:r>
        <w:rPr/>
        <w:t>Diagnosis and treatment by a psychiatrist or other qualified physician is critical as symptoms can mimic psychiatric disorders and other mental health problems</w:t>
      </w:r>
      <w:r>
        <w:rPr>
          <w:i/>
        </w:rPr>
        <w:t>.</w:t>
      </w:r>
    </w:p>
    <w:p>
      <w:pPr>
        <w:pStyle w:val="BodyText"/>
        <w:rPr>
          <w:i/>
          <w:sz w:val="30"/>
        </w:rPr>
      </w:pPr>
    </w:p>
    <w:p>
      <w:pPr>
        <w:pStyle w:val="BodyText"/>
        <w:spacing w:line="259" w:lineRule="auto"/>
        <w:ind w:left="400" w:right="983"/>
        <w:jc w:val="both"/>
      </w:pPr>
      <w:r>
        <w:rPr/>
        <w:t>The Reference Group to the United Nations on HIV and Injecting Drug Use recently estimated that worldwide about three million injecting drug users might be infected with HIV. About 10% of HIV cases worldwide are attributable to injecting drug use (mostly with opioids, although the use</w:t>
      </w:r>
      <w:r>
        <w:rPr>
          <w:spacing w:val="38"/>
        </w:rPr>
        <w:t> </w:t>
      </w:r>
      <w:r>
        <w:rPr/>
        <w:t>of</w:t>
      </w:r>
      <w:r>
        <w:rPr>
          <w:spacing w:val="38"/>
        </w:rPr>
        <w:t> </w:t>
      </w:r>
      <w:r>
        <w:rPr/>
        <w:t>other</w:t>
      </w:r>
      <w:r>
        <w:rPr>
          <w:spacing w:val="38"/>
        </w:rPr>
        <w:t> </w:t>
      </w:r>
      <w:r>
        <w:rPr/>
        <w:t>substances,</w:t>
      </w:r>
      <w:r>
        <w:rPr>
          <w:spacing w:val="38"/>
        </w:rPr>
        <w:t> </w:t>
      </w:r>
      <w:r>
        <w:rPr/>
        <w:t>including</w:t>
      </w:r>
      <w:r>
        <w:rPr>
          <w:spacing w:val="39"/>
        </w:rPr>
        <w:t> </w:t>
      </w:r>
      <w:r>
        <w:rPr/>
        <w:t>stimulants,</w:t>
      </w:r>
      <w:r>
        <w:rPr>
          <w:spacing w:val="38"/>
        </w:rPr>
        <w:t> </w:t>
      </w:r>
      <w:r>
        <w:rPr/>
        <w:t>has</w:t>
      </w:r>
      <w:r>
        <w:rPr>
          <w:spacing w:val="38"/>
        </w:rPr>
        <w:t> </w:t>
      </w:r>
      <w:r>
        <w:rPr/>
        <w:t>been</w:t>
      </w:r>
      <w:r>
        <w:rPr>
          <w:spacing w:val="38"/>
        </w:rPr>
        <w:t> </w:t>
      </w:r>
      <w:r>
        <w:rPr/>
        <w:t>associated</w:t>
      </w:r>
      <w:r>
        <w:rPr>
          <w:spacing w:val="35"/>
        </w:rPr>
        <w:t> </w:t>
      </w:r>
      <w:r>
        <w:rPr>
          <w:spacing w:val="-4"/>
        </w:rPr>
        <w:t>with</w:t>
      </w:r>
    </w:p>
    <w:p>
      <w:pPr>
        <w:spacing w:after="0" w:line="259" w:lineRule="auto"/>
        <w:jc w:val="both"/>
        <w:sectPr>
          <w:pgSz w:w="12240" w:h="15840"/>
          <w:pgMar w:header="0" w:footer="765" w:top="1260" w:bottom="980" w:left="1400" w:right="1180"/>
        </w:sectPr>
      </w:pPr>
    </w:p>
    <w:p>
      <w:pPr>
        <w:pStyle w:val="BodyText"/>
        <w:spacing w:line="259" w:lineRule="auto" w:before="66"/>
        <w:ind w:left="400" w:right="983"/>
        <w:jc w:val="both"/>
      </w:pPr>
      <w:r>
        <w:rPr/>
        <w:t>unsafe injecting practices and sexual risk behaviors). Injecting drug users principally acquire HIV through sharing injection equipment, whereas non-injecting use of drugs, such as cocaine or amphetamine-type stimulants, is associated with transmission of HIV through high-risk sexual behaviors. Some drug users practice unsafe sex with multiple partners in exchange for drugs or money, providing a bridge for HIV to spread from populations with high HIV prevalence to the general </w:t>
      </w:r>
      <w:r>
        <w:rPr>
          <w:spacing w:val="-2"/>
        </w:rPr>
        <w:t>population.</w:t>
      </w:r>
    </w:p>
    <w:p>
      <w:pPr>
        <w:pStyle w:val="BodyText"/>
        <w:spacing w:before="7"/>
        <w:rPr>
          <w:sz w:val="29"/>
        </w:rPr>
      </w:pPr>
    </w:p>
    <w:p>
      <w:pPr>
        <w:pStyle w:val="BodyText"/>
        <w:spacing w:line="259" w:lineRule="auto"/>
        <w:ind w:left="400" w:right="986"/>
        <w:jc w:val="both"/>
      </w:pPr>
      <w:r>
        <w:rPr/>
        <w:t>Interventions that reduce the spread of HIV in injecting drug users include, among others, HIV testing and counseling, needle and syringe programs, opioid substitution therapy and other drug dependence treatment. Drug dependence is associated with particularly high- risk patterns of drug use and related risks of HIV transmission for the following reasons: drug users experience difficulties in controlling drug- taking behaviors and frequent episodes of intoxication and withdrawal (often accompanied by a strong desire to take drugs); furthermore, they persist with drug use despite clear evidence of harmful consequences or high risk of such consequences. Effective and ethical prevention and treatment at the early stages of drug use and dependence can reduce the drug-related risks of HIV transmission. A recent WHO collaborative study on drug dependence treatment and HIV/AIDS found that substitution therapy of opioid dependence significantly reduced risks of HIV transmission in opioid-dependent individuals in low- and middle- income countries, consistent with the findings in high-income countries.</w:t>
      </w:r>
    </w:p>
    <w:p>
      <w:pPr>
        <w:pStyle w:val="BodyText"/>
        <w:spacing w:before="1"/>
        <w:rPr>
          <w:sz w:val="29"/>
        </w:rPr>
      </w:pPr>
    </w:p>
    <w:p>
      <w:pPr>
        <w:pStyle w:val="BodyText"/>
        <w:spacing w:line="259" w:lineRule="auto"/>
        <w:ind w:left="400" w:right="989"/>
        <w:jc w:val="both"/>
      </w:pPr>
      <w:r>
        <w:rPr/>
        <w:t>The</w:t>
      </w:r>
      <w:r>
        <w:rPr>
          <w:spacing w:val="-18"/>
        </w:rPr>
        <w:t> </w:t>
      </w:r>
      <w:r>
        <w:rPr/>
        <w:t>incidence</w:t>
      </w:r>
      <w:r>
        <w:rPr>
          <w:spacing w:val="-3"/>
        </w:rPr>
        <w:t> </w:t>
      </w:r>
      <w:r>
        <w:rPr/>
        <w:t>of</w:t>
      </w:r>
      <w:r>
        <w:rPr>
          <w:spacing w:val="-18"/>
        </w:rPr>
        <w:t> </w:t>
      </w:r>
      <w:r>
        <w:rPr/>
        <w:t>AIDS-defining</w:t>
      </w:r>
      <w:r>
        <w:rPr>
          <w:spacing w:val="-2"/>
        </w:rPr>
        <w:t> </w:t>
      </w:r>
      <w:r>
        <w:rPr/>
        <w:t>illness</w:t>
      </w:r>
      <w:r>
        <w:rPr>
          <w:spacing w:val="-2"/>
        </w:rPr>
        <w:t> </w:t>
      </w:r>
      <w:r>
        <w:rPr/>
        <w:t>in</w:t>
      </w:r>
      <w:r>
        <w:rPr>
          <w:spacing w:val="-2"/>
        </w:rPr>
        <w:t> </w:t>
      </w:r>
      <w:r>
        <w:rPr/>
        <w:t>patients</w:t>
      </w:r>
      <w:r>
        <w:rPr>
          <w:spacing w:val="-2"/>
        </w:rPr>
        <w:t> </w:t>
      </w:r>
      <w:r>
        <w:rPr/>
        <w:t>receiving</w:t>
      </w:r>
      <w:r>
        <w:rPr>
          <w:spacing w:val="-2"/>
        </w:rPr>
        <w:t> </w:t>
      </w:r>
      <w:r>
        <w:rPr/>
        <w:t>highly</w:t>
      </w:r>
      <w:r>
        <w:rPr>
          <w:spacing w:val="-2"/>
        </w:rPr>
        <w:t> </w:t>
      </w:r>
      <w:r>
        <w:rPr/>
        <w:t>active antiretroviral therapy has been reported to be especially high in injecting drug users. In a study conducted in HIV-positive women in the United States of America, chronic depressive symptoms were associated with increased AIDS-related mortality and rapid disease progression independent of treatment and co-morbid substance use.</w:t>
      </w:r>
    </w:p>
    <w:p>
      <w:pPr>
        <w:pStyle w:val="BodyText"/>
        <w:spacing w:before="9"/>
        <w:rPr>
          <w:sz w:val="29"/>
        </w:rPr>
      </w:pPr>
    </w:p>
    <w:p>
      <w:pPr>
        <w:pStyle w:val="BodyText"/>
        <w:spacing w:line="259" w:lineRule="auto"/>
        <w:ind w:left="400" w:right="984"/>
        <w:jc w:val="both"/>
      </w:pPr>
      <w:r>
        <w:rPr/>
        <w:t>Mental and substance-use disorders affect help-seeking behavior or uptake of diagnostic and treatment services for HIV/AIDS. Mental illnesses have been associated with lower likelihood of receiving antiretroviral medication. In a study of women who were medically eligible</w:t>
      </w:r>
      <w:r>
        <w:rPr>
          <w:spacing w:val="3"/>
        </w:rPr>
        <w:t> </w:t>
      </w:r>
      <w:r>
        <w:rPr/>
        <w:t>to</w:t>
      </w:r>
      <w:r>
        <w:rPr>
          <w:spacing w:val="3"/>
        </w:rPr>
        <w:t> </w:t>
      </w:r>
      <w:r>
        <w:rPr/>
        <w:t>receive</w:t>
      </w:r>
      <w:r>
        <w:rPr>
          <w:spacing w:val="4"/>
        </w:rPr>
        <w:t> </w:t>
      </w:r>
      <w:r>
        <w:rPr/>
        <w:t>highly</w:t>
      </w:r>
      <w:r>
        <w:rPr>
          <w:spacing w:val="3"/>
        </w:rPr>
        <w:t> </w:t>
      </w:r>
      <w:r>
        <w:rPr/>
        <w:t>active</w:t>
      </w:r>
      <w:r>
        <w:rPr>
          <w:spacing w:val="3"/>
        </w:rPr>
        <w:t> </w:t>
      </w:r>
      <w:r>
        <w:rPr/>
        <w:t>antiretroviral</w:t>
      </w:r>
      <w:r>
        <w:rPr>
          <w:spacing w:val="4"/>
        </w:rPr>
        <w:t> </w:t>
      </w:r>
      <w:r>
        <w:rPr/>
        <w:t>therapy,</w:t>
      </w:r>
      <w:r>
        <w:rPr>
          <w:spacing w:val="3"/>
        </w:rPr>
        <w:t> </w:t>
      </w:r>
      <w:r>
        <w:rPr/>
        <w:t>its</w:t>
      </w:r>
      <w:r>
        <w:rPr>
          <w:spacing w:val="3"/>
        </w:rPr>
        <w:t> </w:t>
      </w:r>
      <w:r>
        <w:rPr/>
        <w:t>non-receipt</w:t>
      </w:r>
      <w:r>
        <w:rPr>
          <w:spacing w:val="4"/>
        </w:rPr>
        <w:t> </w:t>
      </w:r>
      <w:r>
        <w:rPr>
          <w:spacing w:val="-5"/>
        </w:rPr>
        <w:t>was</w:t>
      </w:r>
    </w:p>
    <w:p>
      <w:pPr>
        <w:spacing w:after="0" w:line="259" w:lineRule="auto"/>
        <w:jc w:val="both"/>
        <w:sectPr>
          <w:pgSz w:w="12240" w:h="15840"/>
          <w:pgMar w:header="0" w:footer="765" w:top="1260" w:bottom="980" w:left="1400" w:right="1180"/>
        </w:sectPr>
      </w:pPr>
    </w:p>
    <w:p>
      <w:pPr>
        <w:pStyle w:val="BodyText"/>
        <w:spacing w:line="259" w:lineRule="auto" w:before="66"/>
        <w:ind w:left="400" w:right="983"/>
        <w:jc w:val="both"/>
      </w:pPr>
      <w:r>
        <w:rPr/>
        <w:t>associated with substance use and with a history of childhood sexual abuse. Among people with HIV/AIDS, those with drug-use disorders typically experience the greatest barriers in accessing treatment because of negative societal attitudes and reluctance to seek any kind of</w:t>
      </w:r>
      <w:r>
        <w:rPr>
          <w:spacing w:val="40"/>
        </w:rPr>
        <w:t> </w:t>
      </w:r>
      <w:r>
        <w:rPr/>
        <w:t>treatment. Injection drug use has consistently been shown to be</w:t>
      </w:r>
      <w:r>
        <w:rPr>
          <w:spacing w:val="40"/>
        </w:rPr>
        <w:t> </w:t>
      </w:r>
      <w:r>
        <w:rPr/>
        <w:t>associated with low uptake of highly active antiretroviral therapy.</w:t>
      </w:r>
    </w:p>
    <w:p>
      <w:pPr>
        <w:pStyle w:val="BodyText"/>
        <w:spacing w:before="9"/>
        <w:rPr>
          <w:sz w:val="29"/>
        </w:rPr>
      </w:pPr>
    </w:p>
    <w:p>
      <w:pPr>
        <w:pStyle w:val="BodyText"/>
        <w:spacing w:line="259" w:lineRule="auto"/>
        <w:ind w:left="400" w:right="983"/>
        <w:jc w:val="both"/>
      </w:pPr>
      <w:r>
        <w:rPr/>
        <w:t>Substance-use disorders affect both the progression of HIV disease and the response to treatment. In untreated co-morbid drug dependence, rates of adherence to highly active antiretroviral therapy are low, and rates of co-infection with hepatitis B and C viruses are high. Several randomized controlled trials have indicated that, with integrated treatment of both drug</w:t>
      </w:r>
      <w:r>
        <w:rPr>
          <w:spacing w:val="-2"/>
        </w:rPr>
        <w:t> </w:t>
      </w:r>
      <w:r>
        <w:rPr/>
        <w:t>dependence</w:t>
      </w:r>
      <w:r>
        <w:rPr>
          <w:spacing w:val="-2"/>
        </w:rPr>
        <w:t> </w:t>
      </w:r>
      <w:r>
        <w:rPr/>
        <w:t>and</w:t>
      </w:r>
      <w:r>
        <w:rPr>
          <w:spacing w:val="-2"/>
        </w:rPr>
        <w:t> </w:t>
      </w:r>
      <w:r>
        <w:rPr/>
        <w:t>HIV/AIDS,</w:t>
      </w:r>
      <w:r>
        <w:rPr>
          <w:spacing w:val="-2"/>
        </w:rPr>
        <w:t> </w:t>
      </w:r>
      <w:r>
        <w:rPr/>
        <w:t>rates</w:t>
      </w:r>
      <w:r>
        <w:rPr>
          <w:spacing w:val="-2"/>
        </w:rPr>
        <w:t> </w:t>
      </w:r>
      <w:r>
        <w:rPr/>
        <w:t>of</w:t>
      </w:r>
      <w:r>
        <w:rPr>
          <w:spacing w:val="-2"/>
        </w:rPr>
        <w:t> </w:t>
      </w:r>
      <w:r>
        <w:rPr/>
        <w:t>adherence</w:t>
      </w:r>
      <w:r>
        <w:rPr>
          <w:spacing w:val="-2"/>
        </w:rPr>
        <w:t> </w:t>
      </w:r>
      <w:r>
        <w:rPr/>
        <w:t>approach</w:t>
      </w:r>
      <w:r>
        <w:rPr>
          <w:spacing w:val="-2"/>
        </w:rPr>
        <w:t> </w:t>
      </w:r>
      <w:r>
        <w:rPr/>
        <w:t>the</w:t>
      </w:r>
      <w:r>
        <w:rPr>
          <w:spacing w:val="-2"/>
        </w:rPr>
        <w:t> </w:t>
      </w:r>
      <w:r>
        <w:rPr/>
        <w:t>rate</w:t>
      </w:r>
      <w:r>
        <w:rPr>
          <w:spacing w:val="-2"/>
        </w:rPr>
        <w:t> </w:t>
      </w:r>
      <w:r>
        <w:rPr/>
        <w:t>for the non-drug-dependent population. Recent research suggests that harmful patterns of alcohol use are associated with higher mortality in patients with HIV/AIDS. Several mechanisms appear to be responsible, including a direct effect of alcohol on HIV disease progression, probably mediated through the immune system, and the undermining of adherence to treatment. Even relatively low levels of alcohol consumption, such as one standard drink per day, have been associated with a reduction in adherence to treatment regimens.</w:t>
      </w:r>
    </w:p>
    <w:p>
      <w:pPr>
        <w:pStyle w:val="BodyText"/>
        <w:spacing w:before="2"/>
        <w:rPr>
          <w:sz w:val="29"/>
        </w:rPr>
      </w:pPr>
    </w:p>
    <w:p>
      <w:pPr>
        <w:pStyle w:val="BodyText"/>
        <w:spacing w:line="259" w:lineRule="auto"/>
        <w:ind w:left="400" w:right="983"/>
        <w:jc w:val="both"/>
      </w:pPr>
      <w:r>
        <w:rPr/>
        <w:t>The use of alcohol is known to be associated with an increased risk of unsafe sexual behavior. Given the widespread harmful use of alcohol in many countries with a high incidence and prevalence of HIV, levels and patterns of alcohol consumption may substantially influence HIV spread in populations. Several studies, including those conducted in African countries</w:t>
      </w:r>
      <w:r>
        <w:rPr>
          <w:spacing w:val="-2"/>
        </w:rPr>
        <w:t> </w:t>
      </w:r>
      <w:r>
        <w:rPr/>
        <w:t>with</w:t>
      </w:r>
      <w:r>
        <w:rPr>
          <w:spacing w:val="-2"/>
        </w:rPr>
        <w:t> </w:t>
      </w:r>
      <w:r>
        <w:rPr/>
        <w:t>high</w:t>
      </w:r>
      <w:r>
        <w:rPr>
          <w:spacing w:val="-2"/>
        </w:rPr>
        <w:t> </w:t>
      </w:r>
      <w:r>
        <w:rPr/>
        <w:t>prevalence</w:t>
      </w:r>
      <w:r>
        <w:rPr>
          <w:spacing w:val="-2"/>
        </w:rPr>
        <w:t> </w:t>
      </w:r>
      <w:r>
        <w:rPr/>
        <w:t>of</w:t>
      </w:r>
      <w:r>
        <w:rPr>
          <w:spacing w:val="-2"/>
        </w:rPr>
        <w:t> </w:t>
      </w:r>
      <w:r>
        <w:rPr/>
        <w:t>HIV,</w:t>
      </w:r>
      <w:r>
        <w:rPr>
          <w:spacing w:val="-2"/>
        </w:rPr>
        <w:t> </w:t>
      </w:r>
      <w:r>
        <w:rPr/>
        <w:t>have</w:t>
      </w:r>
      <w:r>
        <w:rPr>
          <w:spacing w:val="-2"/>
        </w:rPr>
        <w:t> </w:t>
      </w:r>
      <w:r>
        <w:rPr/>
        <w:t>shown</w:t>
      </w:r>
      <w:r>
        <w:rPr>
          <w:spacing w:val="-2"/>
        </w:rPr>
        <w:t> </w:t>
      </w:r>
      <w:r>
        <w:rPr/>
        <w:t>a</w:t>
      </w:r>
      <w:r>
        <w:rPr>
          <w:spacing w:val="-2"/>
        </w:rPr>
        <w:t> </w:t>
      </w:r>
      <w:r>
        <w:rPr/>
        <w:t>positive</w:t>
      </w:r>
      <w:r>
        <w:rPr>
          <w:spacing w:val="-2"/>
        </w:rPr>
        <w:t> </w:t>
      </w:r>
      <w:r>
        <w:rPr/>
        <w:t>association between HIV and alcohol consumption, with a prevalence of HIV infection among people with alcohol-use disorders higher than in the general population.</w:t>
      </w:r>
    </w:p>
    <w:p>
      <w:pPr>
        <w:pStyle w:val="BodyText"/>
        <w:spacing w:before="7"/>
        <w:rPr>
          <w:sz w:val="29"/>
        </w:rPr>
      </w:pPr>
    </w:p>
    <w:p>
      <w:pPr>
        <w:pStyle w:val="BodyText"/>
        <w:spacing w:line="259" w:lineRule="auto"/>
        <w:ind w:left="400" w:right="983"/>
        <w:jc w:val="both"/>
      </w:pPr>
      <w:r>
        <w:rPr>
          <w:i/>
        </w:rPr>
        <w:t>The National Institute on Alcohol Abuse and Alcoholism </w:t>
      </w:r>
      <w:r>
        <w:rPr/>
        <w:t>reports that the changing patterns of HIV transmission in the United States; the role of alcohol in the transmission of HIV within, and potentially beyond, high- risk populations; the potential influence of alcohol abuse on the progression and treatment of HIV-related illness; and the benefits of making</w:t>
      </w:r>
      <w:r>
        <w:rPr>
          <w:spacing w:val="30"/>
        </w:rPr>
        <w:t>  </w:t>
      </w:r>
      <w:r>
        <w:rPr/>
        <w:t>alcoholism</w:t>
      </w:r>
      <w:r>
        <w:rPr>
          <w:spacing w:val="33"/>
        </w:rPr>
        <w:t>  </w:t>
      </w:r>
      <w:r>
        <w:rPr/>
        <w:t>treatment</w:t>
      </w:r>
      <w:r>
        <w:rPr>
          <w:spacing w:val="33"/>
        </w:rPr>
        <w:t>  </w:t>
      </w:r>
      <w:r>
        <w:rPr/>
        <w:t>an</w:t>
      </w:r>
      <w:r>
        <w:rPr>
          <w:spacing w:val="33"/>
        </w:rPr>
        <w:t>  </w:t>
      </w:r>
      <w:r>
        <w:rPr/>
        <w:t>integral</w:t>
      </w:r>
      <w:r>
        <w:rPr>
          <w:spacing w:val="33"/>
        </w:rPr>
        <w:t>  </w:t>
      </w:r>
      <w:r>
        <w:rPr/>
        <w:t>part</w:t>
      </w:r>
      <w:r>
        <w:rPr>
          <w:spacing w:val="32"/>
        </w:rPr>
        <w:t>  </w:t>
      </w:r>
      <w:r>
        <w:rPr/>
        <w:t>of</w:t>
      </w:r>
      <w:r>
        <w:rPr>
          <w:spacing w:val="33"/>
        </w:rPr>
        <w:t>  </w:t>
      </w:r>
      <w:r>
        <w:rPr/>
        <w:t>HIV</w:t>
      </w:r>
      <w:r>
        <w:rPr>
          <w:spacing w:val="31"/>
        </w:rPr>
        <w:t>  </w:t>
      </w:r>
      <w:r>
        <w:rPr>
          <w:spacing w:val="-2"/>
        </w:rPr>
        <w:t>prevention</w:t>
      </w:r>
    </w:p>
    <w:p>
      <w:pPr>
        <w:spacing w:after="0" w:line="259" w:lineRule="auto"/>
        <w:jc w:val="both"/>
        <w:sectPr>
          <w:pgSz w:w="12240" w:h="15840"/>
          <w:pgMar w:header="0" w:footer="765" w:top="1260" w:bottom="980" w:left="1400" w:right="1180"/>
        </w:sectPr>
      </w:pPr>
    </w:p>
    <w:p>
      <w:pPr>
        <w:spacing w:line="259" w:lineRule="auto" w:before="66"/>
        <w:ind w:left="400" w:right="937" w:firstLine="0"/>
        <w:jc w:val="both"/>
        <w:rPr>
          <w:i/>
          <w:sz w:val="28"/>
        </w:rPr>
      </w:pPr>
      <w:r>
        <w:rPr>
          <w:sz w:val="28"/>
        </w:rPr>
        <w:t>programs (</w:t>
      </w:r>
      <w:r>
        <w:rPr>
          <w:i/>
          <w:sz w:val="28"/>
        </w:rPr>
        <w:t>Sources: Health Resources and Services Administration;</w:t>
      </w:r>
      <w:r>
        <w:rPr>
          <w:i/>
          <w:sz w:val="28"/>
        </w:rPr>
        <w:t> </w:t>
      </w:r>
      <w:r>
        <w:rPr>
          <w:i/>
          <w:spacing w:val="11"/>
          <w:sz w:val="28"/>
        </w:rPr>
        <w:t>National</w:t>
      </w:r>
      <w:r>
        <w:rPr>
          <w:i/>
          <w:spacing w:val="11"/>
          <w:sz w:val="28"/>
        </w:rPr>
        <w:t> Institute</w:t>
      </w:r>
      <w:r>
        <w:rPr>
          <w:i/>
          <w:spacing w:val="11"/>
          <w:sz w:val="28"/>
        </w:rPr>
        <w:t> </w:t>
      </w:r>
      <w:r>
        <w:rPr>
          <w:i/>
          <w:sz w:val="28"/>
        </w:rPr>
        <w:t>on </w:t>
      </w:r>
      <w:r>
        <w:rPr>
          <w:i/>
          <w:spacing w:val="9"/>
          <w:sz w:val="28"/>
        </w:rPr>
        <w:t>Drug</w:t>
      </w:r>
      <w:r>
        <w:rPr>
          <w:i/>
          <w:spacing w:val="9"/>
          <w:sz w:val="28"/>
        </w:rPr>
        <w:t> </w:t>
      </w:r>
      <w:r>
        <w:rPr>
          <w:i/>
          <w:spacing w:val="10"/>
          <w:sz w:val="28"/>
        </w:rPr>
        <w:t>Abuse;</w:t>
      </w:r>
      <w:r>
        <w:rPr>
          <w:i/>
          <w:spacing w:val="10"/>
          <w:sz w:val="28"/>
        </w:rPr>
        <w:t> </w:t>
      </w:r>
      <w:r>
        <w:rPr>
          <w:i/>
          <w:spacing w:val="11"/>
          <w:sz w:val="28"/>
        </w:rPr>
        <w:t>Alcoholism:</w:t>
      </w:r>
      <w:r>
        <w:rPr>
          <w:i/>
          <w:spacing w:val="11"/>
          <w:sz w:val="28"/>
        </w:rPr>
        <w:t> Clinical</w:t>
      </w:r>
      <w:r>
        <w:rPr>
          <w:i/>
          <w:spacing w:val="11"/>
          <w:sz w:val="28"/>
        </w:rPr>
        <w:t> </w:t>
      </w:r>
      <w:r>
        <w:rPr>
          <w:i/>
          <w:sz w:val="28"/>
        </w:rPr>
        <w:t>and Experimental Research).</w:t>
      </w:r>
    </w:p>
    <w:p>
      <w:pPr>
        <w:pStyle w:val="BodyText"/>
        <w:spacing w:before="2"/>
        <w:rPr>
          <w:i/>
        </w:rPr>
      </w:pPr>
    </w:p>
    <w:p>
      <w:pPr>
        <w:spacing w:line="259" w:lineRule="auto" w:before="1"/>
        <w:ind w:left="400" w:right="685" w:firstLine="0"/>
        <w:jc w:val="left"/>
        <w:rPr>
          <w:i/>
          <w:sz w:val="28"/>
        </w:rPr>
      </w:pPr>
      <w:r>
        <w:rPr>
          <w:sz w:val="28"/>
        </w:rPr>
        <w:t>With</w:t>
      </w:r>
      <w:r>
        <w:rPr>
          <w:spacing w:val="-9"/>
          <w:sz w:val="28"/>
        </w:rPr>
        <w:t> </w:t>
      </w:r>
      <w:r>
        <w:rPr>
          <w:sz w:val="28"/>
        </w:rPr>
        <w:t>31</w:t>
      </w:r>
      <w:r>
        <w:rPr>
          <w:spacing w:val="-9"/>
          <w:sz w:val="28"/>
        </w:rPr>
        <w:t> </w:t>
      </w:r>
      <w:r>
        <w:rPr>
          <w:sz w:val="28"/>
        </w:rPr>
        <w:t>percent</w:t>
      </w:r>
      <w:r>
        <w:rPr>
          <w:spacing w:val="-9"/>
          <w:sz w:val="28"/>
        </w:rPr>
        <w:t> </w:t>
      </w:r>
      <w:r>
        <w:rPr>
          <w:sz w:val="28"/>
        </w:rPr>
        <w:t>of</w:t>
      </w:r>
      <w:r>
        <w:rPr>
          <w:spacing w:val="-9"/>
          <w:sz w:val="28"/>
        </w:rPr>
        <w:t> </w:t>
      </w:r>
      <w:r>
        <w:rPr>
          <w:sz w:val="28"/>
        </w:rPr>
        <w:t>all</w:t>
      </w:r>
      <w:r>
        <w:rPr>
          <w:spacing w:val="-9"/>
          <w:sz w:val="28"/>
        </w:rPr>
        <w:t> </w:t>
      </w:r>
      <w:r>
        <w:rPr>
          <w:sz w:val="28"/>
        </w:rPr>
        <w:t>HIV</w:t>
      </w:r>
      <w:r>
        <w:rPr>
          <w:spacing w:val="-18"/>
          <w:sz w:val="28"/>
        </w:rPr>
        <w:t> </w:t>
      </w:r>
      <w:r>
        <w:rPr>
          <w:sz w:val="28"/>
        </w:rPr>
        <w:t>cases</w:t>
      </w:r>
      <w:r>
        <w:rPr>
          <w:spacing w:val="-8"/>
          <w:sz w:val="28"/>
        </w:rPr>
        <w:t> </w:t>
      </w:r>
      <w:r>
        <w:rPr>
          <w:sz w:val="28"/>
        </w:rPr>
        <w:t>among</w:t>
      </w:r>
      <w:r>
        <w:rPr>
          <w:spacing w:val="-9"/>
          <w:sz w:val="28"/>
        </w:rPr>
        <w:t> </w:t>
      </w:r>
      <w:r>
        <w:rPr>
          <w:sz w:val="28"/>
        </w:rPr>
        <w:t>men,</w:t>
      </w:r>
      <w:r>
        <w:rPr>
          <w:spacing w:val="-9"/>
          <w:sz w:val="28"/>
        </w:rPr>
        <w:t> </w:t>
      </w:r>
      <w:r>
        <w:rPr>
          <w:sz w:val="28"/>
        </w:rPr>
        <w:t>and</w:t>
      </w:r>
      <w:r>
        <w:rPr>
          <w:spacing w:val="-9"/>
          <w:sz w:val="28"/>
        </w:rPr>
        <w:t> </w:t>
      </w:r>
      <w:r>
        <w:rPr>
          <w:sz w:val="28"/>
        </w:rPr>
        <w:t>57</w:t>
      </w:r>
      <w:r>
        <w:rPr>
          <w:spacing w:val="-9"/>
          <w:sz w:val="28"/>
        </w:rPr>
        <w:t> </w:t>
      </w:r>
      <w:r>
        <w:rPr>
          <w:sz w:val="28"/>
        </w:rPr>
        <w:t>percent</w:t>
      </w:r>
      <w:r>
        <w:rPr>
          <w:spacing w:val="-9"/>
          <w:sz w:val="28"/>
        </w:rPr>
        <w:t> </w:t>
      </w:r>
      <w:r>
        <w:rPr>
          <w:sz w:val="28"/>
        </w:rPr>
        <w:t>among</w:t>
      </w:r>
      <w:r>
        <w:rPr>
          <w:spacing w:val="-9"/>
          <w:sz w:val="28"/>
        </w:rPr>
        <w:t> </w:t>
      </w:r>
      <w:r>
        <w:rPr>
          <w:sz w:val="28"/>
        </w:rPr>
        <w:t>women, attributed to injection drug use, it is obvious the shooting illegal drugs increases the risk of contracting the</w:t>
      </w:r>
      <w:r>
        <w:rPr>
          <w:spacing w:val="-20"/>
          <w:sz w:val="28"/>
        </w:rPr>
        <w:t> </w:t>
      </w:r>
      <w:r>
        <w:rPr>
          <w:sz w:val="28"/>
        </w:rPr>
        <w:t>AIDS virus, but drinking alcohol can also contribute to the spread and progression of the disease.</w:t>
      </w:r>
      <w:r>
        <w:rPr>
          <w:spacing w:val="40"/>
          <w:sz w:val="28"/>
        </w:rPr>
        <w:t> </w:t>
      </w:r>
      <w:r>
        <w:rPr>
          <w:sz w:val="28"/>
        </w:rPr>
        <w:t>According to the </w:t>
      </w:r>
      <w:r>
        <w:rPr>
          <w:i/>
          <w:sz w:val="28"/>
        </w:rPr>
        <w:t>Health Resources and Services Administration</w:t>
      </w:r>
      <w:r>
        <w:rPr>
          <w:sz w:val="28"/>
        </w:rPr>
        <w:t>, non- injection drug use can</w:t>
      </w:r>
      <w:r>
        <w:rPr>
          <w:spacing w:val="-1"/>
          <w:sz w:val="28"/>
        </w:rPr>
        <w:t> </w:t>
      </w:r>
      <w:r>
        <w:rPr>
          <w:sz w:val="28"/>
        </w:rPr>
        <w:t>also</w:t>
      </w:r>
      <w:r>
        <w:rPr>
          <w:spacing w:val="-1"/>
          <w:sz w:val="28"/>
        </w:rPr>
        <w:t> </w:t>
      </w:r>
      <w:r>
        <w:rPr>
          <w:sz w:val="28"/>
        </w:rPr>
        <w:t>lead</w:t>
      </w:r>
      <w:r>
        <w:rPr>
          <w:spacing w:val="-1"/>
          <w:sz w:val="28"/>
        </w:rPr>
        <w:t> </w:t>
      </w:r>
      <w:r>
        <w:rPr>
          <w:sz w:val="28"/>
        </w:rPr>
        <w:t>to</w:t>
      </w:r>
      <w:r>
        <w:rPr>
          <w:spacing w:val="-1"/>
          <w:sz w:val="28"/>
        </w:rPr>
        <w:t> </w:t>
      </w:r>
      <w:r>
        <w:rPr>
          <w:sz w:val="28"/>
        </w:rPr>
        <w:t>contracting</w:t>
      </w:r>
      <w:r>
        <w:rPr>
          <w:spacing w:val="-1"/>
          <w:sz w:val="28"/>
        </w:rPr>
        <w:t> </w:t>
      </w:r>
      <w:r>
        <w:rPr>
          <w:sz w:val="28"/>
        </w:rPr>
        <w:t>the</w:t>
      </w:r>
      <w:r>
        <w:rPr>
          <w:spacing w:val="-2"/>
          <w:sz w:val="28"/>
        </w:rPr>
        <w:t> </w:t>
      </w:r>
      <w:r>
        <w:rPr>
          <w:sz w:val="28"/>
        </w:rPr>
        <w:t>HIV</w:t>
      </w:r>
      <w:r>
        <w:rPr>
          <w:spacing w:val="-7"/>
          <w:sz w:val="28"/>
        </w:rPr>
        <w:t> </w:t>
      </w:r>
      <w:r>
        <w:rPr>
          <w:sz w:val="28"/>
        </w:rPr>
        <w:t>virus,</w:t>
      </w:r>
      <w:r>
        <w:rPr>
          <w:spacing w:val="-1"/>
          <w:sz w:val="28"/>
        </w:rPr>
        <w:t> </w:t>
      </w:r>
      <w:r>
        <w:rPr>
          <w:sz w:val="28"/>
        </w:rPr>
        <w:t>because</w:t>
      </w:r>
      <w:r>
        <w:rPr>
          <w:spacing w:val="-2"/>
          <w:sz w:val="28"/>
        </w:rPr>
        <w:t> </w:t>
      </w:r>
      <w:r>
        <w:rPr>
          <w:sz w:val="28"/>
        </w:rPr>
        <w:t>drug</w:t>
      </w:r>
      <w:r>
        <w:rPr>
          <w:spacing w:val="-1"/>
          <w:sz w:val="28"/>
        </w:rPr>
        <w:t> </w:t>
      </w:r>
      <w:r>
        <w:rPr>
          <w:sz w:val="28"/>
        </w:rPr>
        <w:t>users</w:t>
      </w:r>
      <w:r>
        <w:rPr>
          <w:spacing w:val="-1"/>
          <w:sz w:val="28"/>
        </w:rPr>
        <w:t> </w:t>
      </w:r>
      <w:r>
        <w:rPr>
          <w:sz w:val="28"/>
        </w:rPr>
        <w:t>may</w:t>
      </w:r>
      <w:r>
        <w:rPr>
          <w:spacing w:val="-1"/>
          <w:sz w:val="28"/>
        </w:rPr>
        <w:t> </w:t>
      </w:r>
      <w:r>
        <w:rPr>
          <w:sz w:val="28"/>
        </w:rPr>
        <w:t>trade</w:t>
      </w:r>
      <w:r>
        <w:rPr>
          <w:spacing w:val="-2"/>
          <w:sz w:val="28"/>
        </w:rPr>
        <w:t> </w:t>
      </w:r>
      <w:r>
        <w:rPr>
          <w:sz w:val="28"/>
        </w:rPr>
        <w:t>sex for</w:t>
      </w:r>
      <w:r>
        <w:rPr>
          <w:spacing w:val="-1"/>
          <w:sz w:val="28"/>
        </w:rPr>
        <w:t> </w:t>
      </w:r>
      <w:r>
        <w:rPr>
          <w:sz w:val="28"/>
        </w:rPr>
        <w:t>drugs</w:t>
      </w:r>
      <w:r>
        <w:rPr>
          <w:spacing w:val="-1"/>
          <w:sz w:val="28"/>
        </w:rPr>
        <w:t> </w:t>
      </w:r>
      <w:r>
        <w:rPr>
          <w:sz w:val="28"/>
        </w:rPr>
        <w:t>or</w:t>
      </w:r>
      <w:r>
        <w:rPr>
          <w:spacing w:val="-1"/>
          <w:sz w:val="28"/>
        </w:rPr>
        <w:t> </w:t>
      </w:r>
      <w:r>
        <w:rPr>
          <w:sz w:val="28"/>
        </w:rPr>
        <w:t>money</w:t>
      </w:r>
      <w:r>
        <w:rPr>
          <w:spacing w:val="-1"/>
          <w:sz w:val="28"/>
        </w:rPr>
        <w:t> </w:t>
      </w:r>
      <w:r>
        <w:rPr>
          <w:sz w:val="28"/>
        </w:rPr>
        <w:t>or</w:t>
      </w:r>
      <w:r>
        <w:rPr>
          <w:spacing w:val="-1"/>
          <w:sz w:val="28"/>
        </w:rPr>
        <w:t> </w:t>
      </w:r>
      <w:r>
        <w:rPr>
          <w:sz w:val="28"/>
        </w:rPr>
        <w:t>engage</w:t>
      </w:r>
      <w:r>
        <w:rPr>
          <w:spacing w:val="-2"/>
          <w:sz w:val="28"/>
        </w:rPr>
        <w:t> </w:t>
      </w:r>
      <w:r>
        <w:rPr>
          <w:sz w:val="28"/>
        </w:rPr>
        <w:t>in</w:t>
      </w:r>
      <w:r>
        <w:rPr>
          <w:spacing w:val="-1"/>
          <w:sz w:val="28"/>
        </w:rPr>
        <w:t> </w:t>
      </w:r>
      <w:r>
        <w:rPr>
          <w:sz w:val="28"/>
        </w:rPr>
        <w:t>behaviors</w:t>
      </w:r>
      <w:r>
        <w:rPr>
          <w:spacing w:val="-1"/>
          <w:sz w:val="28"/>
        </w:rPr>
        <w:t> </w:t>
      </w:r>
      <w:r>
        <w:rPr>
          <w:sz w:val="28"/>
        </w:rPr>
        <w:t>under</w:t>
      </w:r>
      <w:r>
        <w:rPr>
          <w:spacing w:val="-1"/>
          <w:sz w:val="28"/>
        </w:rPr>
        <w:t> </w:t>
      </w:r>
      <w:r>
        <w:rPr>
          <w:sz w:val="28"/>
        </w:rPr>
        <w:t>the</w:t>
      </w:r>
      <w:r>
        <w:rPr>
          <w:spacing w:val="-2"/>
          <w:sz w:val="28"/>
        </w:rPr>
        <w:t> </w:t>
      </w:r>
      <w:r>
        <w:rPr>
          <w:sz w:val="28"/>
        </w:rPr>
        <w:t>influence</w:t>
      </w:r>
      <w:r>
        <w:rPr>
          <w:spacing w:val="-2"/>
          <w:sz w:val="28"/>
        </w:rPr>
        <w:t> </w:t>
      </w:r>
      <w:r>
        <w:rPr>
          <w:sz w:val="28"/>
        </w:rPr>
        <w:t>that</w:t>
      </w:r>
      <w:r>
        <w:rPr>
          <w:spacing w:val="-1"/>
          <w:sz w:val="28"/>
        </w:rPr>
        <w:t> </w:t>
      </w:r>
      <w:r>
        <w:rPr>
          <w:sz w:val="28"/>
        </w:rPr>
        <w:t>put</w:t>
      </w:r>
      <w:r>
        <w:rPr>
          <w:spacing w:val="-1"/>
          <w:sz w:val="28"/>
        </w:rPr>
        <w:t> </w:t>
      </w:r>
      <w:r>
        <w:rPr>
          <w:sz w:val="28"/>
        </w:rPr>
        <w:t>them at risk.</w:t>
      </w:r>
      <w:r>
        <w:rPr>
          <w:spacing w:val="40"/>
          <w:sz w:val="28"/>
        </w:rPr>
        <w:t> </w:t>
      </w:r>
      <w:r>
        <w:rPr>
          <w:sz w:val="28"/>
        </w:rPr>
        <w:t>Binge drinking is also risky.</w:t>
      </w:r>
      <w:r>
        <w:rPr>
          <w:spacing w:val="40"/>
          <w:sz w:val="28"/>
        </w:rPr>
        <w:t> </w:t>
      </w:r>
      <w:r>
        <w:rPr>
          <w:sz w:val="28"/>
        </w:rPr>
        <w:t>The same is true for people who drink to excess. People who are intoxicated loose their inhibitions and have their judgment</w:t>
      </w:r>
      <w:r>
        <w:rPr>
          <w:spacing w:val="-1"/>
          <w:sz w:val="28"/>
        </w:rPr>
        <w:t> </w:t>
      </w:r>
      <w:r>
        <w:rPr>
          <w:sz w:val="28"/>
        </w:rPr>
        <w:t>impaired and can easily find themselves involved in behavior that would put them at risk for contracting HIV </w:t>
      </w:r>
      <w:r>
        <w:rPr>
          <w:i/>
          <w:sz w:val="28"/>
        </w:rPr>
        <w:t>(Kranzler HR, Rounsavill BJ,</w:t>
      </w:r>
      <w:r>
        <w:rPr>
          <w:i/>
          <w:sz w:val="28"/>
        </w:rPr>
        <w:t> eds. Dual Diagnosis and Treatment: Substance Abuse and Comorbid Medical and Psychiatric Disorders. New York: Marcel Dekker).</w:t>
      </w:r>
    </w:p>
    <w:p>
      <w:pPr>
        <w:pStyle w:val="BodyText"/>
        <w:spacing w:line="259" w:lineRule="auto" w:before="66"/>
        <w:ind w:left="400" w:right="554"/>
      </w:pPr>
      <w:r>
        <w:rPr>
          <w:i/>
        </w:rPr>
        <w:t>National Institute on Drug Abuse Research </w:t>
      </w:r>
      <w:r>
        <w:rPr/>
        <w:t>reports that most young people are</w:t>
      </w:r>
      <w:r>
        <w:rPr>
          <w:spacing w:val="-7"/>
        </w:rPr>
        <w:t> </w:t>
      </w:r>
      <w:r>
        <w:rPr/>
        <w:t>not</w:t>
      </w:r>
      <w:r>
        <w:rPr>
          <w:spacing w:val="-6"/>
        </w:rPr>
        <w:t> </w:t>
      </w:r>
      <w:r>
        <w:rPr/>
        <w:t>concerned</w:t>
      </w:r>
      <w:r>
        <w:rPr>
          <w:spacing w:val="-13"/>
        </w:rPr>
        <w:t> </w:t>
      </w:r>
      <w:r>
        <w:rPr/>
        <w:t>about</w:t>
      </w:r>
      <w:r>
        <w:rPr>
          <w:spacing w:val="-14"/>
        </w:rPr>
        <w:t> </w:t>
      </w:r>
      <w:r>
        <w:rPr/>
        <w:t>becoming</w:t>
      </w:r>
      <w:r>
        <w:rPr>
          <w:spacing w:val="-12"/>
        </w:rPr>
        <w:t> </w:t>
      </w:r>
      <w:r>
        <w:rPr/>
        <w:t>infected</w:t>
      </w:r>
      <w:r>
        <w:rPr>
          <w:spacing w:val="-12"/>
        </w:rPr>
        <w:t> </w:t>
      </w:r>
      <w:r>
        <w:rPr/>
        <w:t>with</w:t>
      </w:r>
      <w:r>
        <w:rPr>
          <w:spacing w:val="-12"/>
        </w:rPr>
        <w:t> </w:t>
      </w:r>
      <w:r>
        <w:rPr/>
        <w:t>HIV,</w:t>
      </w:r>
      <w:r>
        <w:rPr>
          <w:spacing w:val="-12"/>
        </w:rPr>
        <w:t> </w:t>
      </w:r>
      <w:r>
        <w:rPr/>
        <w:t>but</w:t>
      </w:r>
      <w:r>
        <w:rPr>
          <w:spacing w:val="-14"/>
        </w:rPr>
        <w:t> </w:t>
      </w:r>
      <w:r>
        <w:rPr/>
        <w:t>they</w:t>
      </w:r>
      <w:r>
        <w:rPr>
          <w:spacing w:val="-12"/>
        </w:rPr>
        <w:t> </w:t>
      </w:r>
      <w:r>
        <w:rPr/>
        <w:t>face</w:t>
      </w:r>
      <w:r>
        <w:rPr>
          <w:spacing w:val="-14"/>
        </w:rPr>
        <w:t> </w:t>
      </w:r>
      <w:r>
        <w:rPr/>
        <w:t>a</w:t>
      </w:r>
      <w:r>
        <w:rPr>
          <w:spacing w:val="-13"/>
        </w:rPr>
        <w:t> </w:t>
      </w:r>
      <w:r>
        <w:rPr/>
        <w:t>very</w:t>
      </w:r>
      <w:r>
        <w:rPr>
          <w:spacing w:val="-12"/>
        </w:rPr>
        <w:t> </w:t>
      </w:r>
      <w:r>
        <w:rPr/>
        <w:t>real danger when they engage in risky behaviors, such as unprotected sex with multiple partners.</w:t>
      </w:r>
    </w:p>
    <w:p>
      <w:pPr>
        <w:pStyle w:val="BodyText"/>
        <w:spacing w:before="7"/>
        <w:rPr>
          <w:sz w:val="27"/>
        </w:rPr>
      </w:pPr>
    </w:p>
    <w:p>
      <w:pPr>
        <w:pStyle w:val="Heading3"/>
        <w:ind w:left="400"/>
        <w:rPr>
          <w:b w:val="0"/>
          <w:i/>
        </w:rPr>
      </w:pPr>
      <w:r>
        <w:rPr>
          <w:i/>
        </w:rPr>
        <w:t>Alcohol</w:t>
      </w:r>
      <w:r>
        <w:rPr>
          <w:i/>
          <w:spacing w:val="-9"/>
        </w:rPr>
        <w:t> </w:t>
      </w:r>
      <w:r>
        <w:rPr>
          <w:i/>
        </w:rPr>
        <w:t>Increases</w:t>
      </w:r>
      <w:r>
        <w:rPr>
          <w:i/>
          <w:spacing w:val="-6"/>
        </w:rPr>
        <w:t> </w:t>
      </w:r>
      <w:r>
        <w:rPr>
          <w:i/>
        </w:rPr>
        <w:t>HIV</w:t>
      </w:r>
      <w:r>
        <w:rPr>
          <w:i/>
          <w:spacing w:val="-14"/>
        </w:rPr>
        <w:t> </w:t>
      </w:r>
      <w:r>
        <w:rPr>
          <w:i/>
          <w:spacing w:val="-2"/>
        </w:rPr>
        <w:t>Susceptibility</w:t>
      </w:r>
      <w:r>
        <w:rPr>
          <w:b w:val="0"/>
          <w:i/>
          <w:spacing w:val="-2"/>
        </w:rPr>
        <w:t>:</w:t>
      </w:r>
    </w:p>
    <w:p>
      <w:pPr>
        <w:pStyle w:val="BodyText"/>
        <w:rPr>
          <w:i/>
        </w:rPr>
      </w:pPr>
    </w:p>
    <w:p>
      <w:pPr>
        <w:pStyle w:val="BodyText"/>
        <w:spacing w:line="259" w:lineRule="auto"/>
        <w:ind w:left="400" w:right="697"/>
        <w:rPr>
          <w:i/>
        </w:rPr>
      </w:pPr>
      <w:r>
        <w:rPr/>
        <w:t>Risky</w:t>
      </w:r>
      <w:r>
        <w:rPr>
          <w:spacing w:val="-3"/>
        </w:rPr>
        <w:t> </w:t>
      </w:r>
      <w:r>
        <w:rPr/>
        <w:t>behavior</w:t>
      </w:r>
      <w:r>
        <w:rPr>
          <w:spacing w:val="-3"/>
        </w:rPr>
        <w:t> </w:t>
      </w:r>
      <w:r>
        <w:rPr/>
        <w:t>is</w:t>
      </w:r>
      <w:r>
        <w:rPr>
          <w:spacing w:val="-3"/>
        </w:rPr>
        <w:t> </w:t>
      </w:r>
      <w:r>
        <w:rPr/>
        <w:t>not</w:t>
      </w:r>
      <w:r>
        <w:rPr>
          <w:spacing w:val="-3"/>
        </w:rPr>
        <w:t> </w:t>
      </w:r>
      <w:r>
        <w:rPr/>
        <w:t>the</w:t>
      </w:r>
      <w:r>
        <w:rPr>
          <w:spacing w:val="-4"/>
        </w:rPr>
        <w:t> </w:t>
      </w:r>
      <w:r>
        <w:rPr/>
        <w:t>only</w:t>
      </w:r>
      <w:r>
        <w:rPr>
          <w:spacing w:val="-3"/>
        </w:rPr>
        <w:t> </w:t>
      </w:r>
      <w:r>
        <w:rPr/>
        <w:t>way</w:t>
      </w:r>
      <w:r>
        <w:rPr>
          <w:spacing w:val="-3"/>
        </w:rPr>
        <w:t> </w:t>
      </w:r>
      <w:r>
        <w:rPr/>
        <w:t>drinking</w:t>
      </w:r>
      <w:r>
        <w:rPr>
          <w:spacing w:val="-3"/>
        </w:rPr>
        <w:t> </w:t>
      </w:r>
      <w:r>
        <w:rPr/>
        <w:t>alcohol</w:t>
      </w:r>
      <w:r>
        <w:rPr>
          <w:spacing w:val="-3"/>
        </w:rPr>
        <w:t> </w:t>
      </w:r>
      <w:r>
        <w:rPr/>
        <w:t>can</w:t>
      </w:r>
      <w:r>
        <w:rPr>
          <w:spacing w:val="-3"/>
        </w:rPr>
        <w:t> </w:t>
      </w:r>
      <w:r>
        <w:rPr/>
        <w:t>increase</w:t>
      </w:r>
      <w:r>
        <w:rPr>
          <w:spacing w:val="-4"/>
        </w:rPr>
        <w:t> </w:t>
      </w:r>
      <w:r>
        <w:rPr/>
        <w:t>the</w:t>
      </w:r>
      <w:r>
        <w:rPr>
          <w:spacing w:val="-4"/>
        </w:rPr>
        <w:t> </w:t>
      </w:r>
      <w:r>
        <w:rPr/>
        <w:t>risk</w:t>
      </w:r>
      <w:r>
        <w:rPr>
          <w:spacing w:val="-3"/>
        </w:rPr>
        <w:t> </w:t>
      </w:r>
      <w:r>
        <w:rPr/>
        <w:t>for becoming infected</w:t>
      </w:r>
      <w:r>
        <w:rPr>
          <w:spacing w:val="-4"/>
        </w:rPr>
        <w:t> </w:t>
      </w:r>
      <w:r>
        <w:rPr/>
        <w:t>with HIV.</w:t>
      </w:r>
      <w:r>
        <w:rPr>
          <w:spacing w:val="-28"/>
        </w:rPr>
        <w:t> </w:t>
      </w:r>
      <w:r>
        <w:rPr/>
        <w:t>A</w:t>
      </w:r>
      <w:r>
        <w:rPr>
          <w:spacing w:val="-28"/>
        </w:rPr>
        <w:t> </w:t>
      </w:r>
      <w:r>
        <w:rPr/>
        <w:t>study by Gregory J. Bagby at the Louisiana State University Health Sciences Center found that alcohol consumption may increase host susceptibility to HIV infection.</w:t>
      </w:r>
      <w:r>
        <w:rPr>
          <w:spacing w:val="40"/>
        </w:rPr>
        <w:t> </w:t>
      </w:r>
      <w:r>
        <w:rPr/>
        <w:t>Bagby's student, conducted with rhesus monkeys infected with simian immunodeficiency virus (SIV), found that in the early stages of infection, monkeys who were given alcohol to drink had 64 times the amount of virus in their blood than the</w:t>
      </w:r>
      <w:r>
        <w:rPr>
          <w:spacing w:val="-1"/>
        </w:rPr>
        <w:t> </w:t>
      </w:r>
      <w:r>
        <w:rPr/>
        <w:t>control monkeys. Bagby concluded that the</w:t>
      </w:r>
      <w:r>
        <w:rPr>
          <w:spacing w:val="-1"/>
        </w:rPr>
        <w:t> </w:t>
      </w:r>
      <w:r>
        <w:rPr/>
        <w:t>alcohol increased infectivity of cells or increased the number of susceptible cells (</w:t>
      </w:r>
      <w:r>
        <w:rPr>
          <w:i/>
        </w:rPr>
        <w:t>Sources: Health</w:t>
      </w:r>
      <w:r>
        <w:rPr>
          <w:i/>
        </w:rPr>
        <w:t> Resources and Services Administration;</w:t>
      </w:r>
      <w:r>
        <w:rPr>
          <w:i/>
          <w:spacing w:val="40"/>
        </w:rPr>
        <w:t> </w:t>
      </w:r>
      <w:r>
        <w:rPr>
          <w:i/>
        </w:rPr>
        <w:t>National Institute on Drug Abuse; Alcoholism: Clinical and Experimental Research).</w:t>
      </w:r>
    </w:p>
    <w:p>
      <w:pPr>
        <w:pStyle w:val="BodyText"/>
        <w:spacing w:before="8"/>
        <w:rPr>
          <w:i/>
          <w:sz w:val="27"/>
        </w:rPr>
      </w:pPr>
    </w:p>
    <w:p>
      <w:pPr>
        <w:pStyle w:val="Heading3"/>
        <w:ind w:left="400"/>
        <w:rPr>
          <w:i/>
        </w:rPr>
      </w:pPr>
      <w:r>
        <w:rPr>
          <w:i/>
          <w:spacing w:val="-2"/>
        </w:rPr>
        <w:t>Virus</w:t>
      </w:r>
      <w:r>
        <w:rPr>
          <w:i/>
          <w:spacing w:val="-9"/>
        </w:rPr>
        <w:t> </w:t>
      </w:r>
      <w:r>
        <w:rPr>
          <w:i/>
          <w:spacing w:val="-2"/>
        </w:rPr>
        <w:t>Progresses</w:t>
      </w:r>
      <w:r>
        <w:rPr>
          <w:i/>
          <w:spacing w:val="-6"/>
        </w:rPr>
        <w:t> </w:t>
      </w:r>
      <w:r>
        <w:rPr>
          <w:i/>
          <w:spacing w:val="-2"/>
        </w:rPr>
        <w:t>Faster:</w:t>
      </w:r>
    </w:p>
    <w:p>
      <w:pPr>
        <w:pStyle w:val="BodyText"/>
        <w:spacing w:before="1"/>
        <w:rPr>
          <w:b/>
          <w:i/>
        </w:rPr>
      </w:pPr>
    </w:p>
    <w:p>
      <w:pPr>
        <w:pStyle w:val="BodyText"/>
        <w:ind w:left="400"/>
      </w:pPr>
      <w:r>
        <w:rPr/>
        <w:t>For</w:t>
      </w:r>
      <w:r>
        <w:rPr>
          <w:spacing w:val="-7"/>
        </w:rPr>
        <w:t> </w:t>
      </w:r>
      <w:r>
        <w:rPr/>
        <w:t>people</w:t>
      </w:r>
      <w:r>
        <w:rPr>
          <w:spacing w:val="-6"/>
        </w:rPr>
        <w:t> </w:t>
      </w:r>
      <w:r>
        <w:rPr/>
        <w:t>who</w:t>
      </w:r>
      <w:r>
        <w:rPr>
          <w:spacing w:val="-4"/>
        </w:rPr>
        <w:t> </w:t>
      </w:r>
      <w:r>
        <w:rPr/>
        <w:t>have</w:t>
      </w:r>
      <w:r>
        <w:rPr>
          <w:spacing w:val="-6"/>
        </w:rPr>
        <w:t> </w:t>
      </w:r>
      <w:r>
        <w:rPr/>
        <w:t>already</w:t>
      </w:r>
      <w:r>
        <w:rPr>
          <w:spacing w:val="-4"/>
        </w:rPr>
        <w:t> </w:t>
      </w:r>
      <w:r>
        <w:rPr/>
        <w:t>been</w:t>
      </w:r>
      <w:r>
        <w:rPr>
          <w:spacing w:val="-5"/>
        </w:rPr>
        <w:t> </w:t>
      </w:r>
      <w:r>
        <w:rPr/>
        <w:t>infected</w:t>
      </w:r>
      <w:r>
        <w:rPr>
          <w:spacing w:val="-4"/>
        </w:rPr>
        <w:t> </w:t>
      </w:r>
      <w:r>
        <w:rPr/>
        <w:t>with</w:t>
      </w:r>
      <w:r>
        <w:rPr>
          <w:spacing w:val="-5"/>
        </w:rPr>
        <w:t> </w:t>
      </w:r>
      <w:r>
        <w:rPr/>
        <w:t>HIV,</w:t>
      </w:r>
      <w:r>
        <w:rPr>
          <w:spacing w:val="-4"/>
        </w:rPr>
        <w:t> </w:t>
      </w:r>
      <w:r>
        <w:rPr/>
        <w:t>drinking</w:t>
      </w:r>
      <w:r>
        <w:rPr>
          <w:spacing w:val="-5"/>
        </w:rPr>
        <w:t> </w:t>
      </w:r>
      <w:r>
        <w:rPr/>
        <w:t>alcohol</w:t>
      </w:r>
      <w:r>
        <w:rPr>
          <w:spacing w:val="-4"/>
        </w:rPr>
        <w:t> </w:t>
      </w:r>
      <w:r>
        <w:rPr>
          <w:spacing w:val="-5"/>
        </w:rPr>
        <w:t>can</w:t>
      </w:r>
    </w:p>
    <w:p>
      <w:pPr>
        <w:spacing w:after="0"/>
        <w:sectPr>
          <w:pgSz w:w="12240" w:h="15840"/>
          <w:pgMar w:header="0" w:footer="765" w:top="1260" w:bottom="980" w:left="1400" w:right="1180"/>
        </w:sectPr>
      </w:pPr>
    </w:p>
    <w:p>
      <w:pPr>
        <w:pStyle w:val="BodyText"/>
        <w:spacing w:line="259" w:lineRule="auto" w:before="66"/>
        <w:ind w:left="400" w:right="654"/>
        <w:rPr>
          <w:i/>
        </w:rPr>
      </w:pPr>
      <w:r>
        <w:rPr/>
        <w:t>also may accelerate their HIV disease progression, according to a study by Jeffrey H. Samet at Boston University. The reason for this is both HIV and alcohol suppress the body's immune system.</w:t>
      </w:r>
      <w:r>
        <w:rPr>
          <w:spacing w:val="40"/>
        </w:rPr>
        <w:t> </w:t>
      </w:r>
      <w:r>
        <w:rPr/>
        <w:t>Samet's research found that HIV patients who were receiving highly active antiretroviral therapy (HAART), and were currently drinking, have greater HIV progression than those</w:t>
      </w:r>
      <w:r>
        <w:rPr>
          <w:spacing w:val="-4"/>
        </w:rPr>
        <w:t> </w:t>
      </w:r>
      <w:r>
        <w:rPr/>
        <w:t>who</w:t>
      </w:r>
      <w:r>
        <w:rPr>
          <w:spacing w:val="-3"/>
        </w:rPr>
        <w:t> </w:t>
      </w:r>
      <w:r>
        <w:rPr/>
        <w:t>do</w:t>
      </w:r>
      <w:r>
        <w:rPr>
          <w:spacing w:val="-3"/>
        </w:rPr>
        <w:t> </w:t>
      </w:r>
      <w:r>
        <w:rPr/>
        <w:t>not</w:t>
      </w:r>
      <w:r>
        <w:rPr>
          <w:spacing w:val="-3"/>
        </w:rPr>
        <w:t> </w:t>
      </w:r>
      <w:r>
        <w:rPr/>
        <w:t>drink.</w:t>
      </w:r>
      <w:r>
        <w:rPr>
          <w:spacing w:val="-9"/>
        </w:rPr>
        <w:t> </w:t>
      </w:r>
      <w:r>
        <w:rPr/>
        <w:t>They</w:t>
      </w:r>
      <w:r>
        <w:rPr>
          <w:spacing w:val="-3"/>
        </w:rPr>
        <w:t> </w:t>
      </w:r>
      <w:r>
        <w:rPr/>
        <w:t>found</w:t>
      </w:r>
      <w:r>
        <w:rPr>
          <w:spacing w:val="-3"/>
        </w:rPr>
        <w:t> </w:t>
      </w:r>
      <w:r>
        <w:rPr/>
        <w:t>that</w:t>
      </w:r>
      <w:r>
        <w:rPr>
          <w:spacing w:val="-3"/>
        </w:rPr>
        <w:t> </w:t>
      </w:r>
      <w:r>
        <w:rPr/>
        <w:t>HIV</w:t>
      </w:r>
      <w:r>
        <w:rPr>
          <w:spacing w:val="-9"/>
        </w:rPr>
        <w:t> </w:t>
      </w:r>
      <w:r>
        <w:rPr/>
        <w:t>patients</w:t>
      </w:r>
      <w:r>
        <w:rPr>
          <w:spacing w:val="-3"/>
        </w:rPr>
        <w:t> </w:t>
      </w:r>
      <w:r>
        <w:rPr/>
        <w:t>who</w:t>
      </w:r>
      <w:r>
        <w:rPr>
          <w:spacing w:val="-3"/>
        </w:rPr>
        <w:t> </w:t>
      </w:r>
      <w:r>
        <w:rPr/>
        <w:t>drank</w:t>
      </w:r>
      <w:r>
        <w:rPr>
          <w:spacing w:val="-3"/>
        </w:rPr>
        <w:t> </w:t>
      </w:r>
      <w:r>
        <w:rPr/>
        <w:t>moderately or at at-risk levels had higher HIV</w:t>
      </w:r>
      <w:r>
        <w:rPr>
          <w:spacing w:val="-6"/>
        </w:rPr>
        <w:t> </w:t>
      </w:r>
      <w:r>
        <w:rPr/>
        <w:t>RNA</w:t>
      </w:r>
      <w:r>
        <w:rPr>
          <w:spacing w:val="-27"/>
        </w:rPr>
        <w:t> </w:t>
      </w:r>
      <w:r>
        <w:rPr/>
        <w:t>levels and lower CD4 cell counts, compared with those who did not drink (</w:t>
      </w:r>
      <w:r>
        <w:rPr>
          <w:i/>
        </w:rPr>
        <w:t>Sources: Health Resources and</w:t>
      </w:r>
      <w:r>
        <w:rPr>
          <w:i/>
        </w:rPr>
        <w:t> Services Administration;</w:t>
      </w:r>
      <w:r>
        <w:rPr>
          <w:i/>
          <w:spacing w:val="40"/>
        </w:rPr>
        <w:t> </w:t>
      </w:r>
      <w:r>
        <w:rPr>
          <w:i/>
        </w:rPr>
        <w:t>National Institute on Drug Abuse;</w:t>
      </w:r>
      <w:r>
        <w:rPr>
          <w:i/>
          <w:spacing w:val="40"/>
        </w:rPr>
        <w:t> </w:t>
      </w:r>
      <w:r>
        <w:rPr>
          <w:i/>
        </w:rPr>
        <w:t>Alcoholism: Clinical and Experimental Research).</w:t>
      </w:r>
    </w:p>
    <w:p>
      <w:pPr>
        <w:pStyle w:val="BodyText"/>
        <w:spacing w:before="8"/>
        <w:rPr>
          <w:i/>
          <w:sz w:val="27"/>
        </w:rPr>
      </w:pPr>
    </w:p>
    <w:p>
      <w:pPr>
        <w:pStyle w:val="Heading3"/>
        <w:spacing w:before="1"/>
        <w:ind w:left="400"/>
        <w:rPr>
          <w:i/>
        </w:rPr>
      </w:pPr>
      <w:r>
        <w:rPr>
          <w:i/>
        </w:rPr>
        <w:t>Drinking</w:t>
      </w:r>
      <w:r>
        <w:rPr>
          <w:i/>
          <w:spacing w:val="-7"/>
        </w:rPr>
        <w:t> </w:t>
      </w:r>
      <w:r>
        <w:rPr>
          <w:i/>
        </w:rPr>
        <w:t>Impacts</w:t>
      </w:r>
      <w:r>
        <w:rPr>
          <w:i/>
          <w:spacing w:val="-4"/>
        </w:rPr>
        <w:t> </w:t>
      </w:r>
      <w:r>
        <w:rPr>
          <w:i/>
        </w:rPr>
        <w:t>Medication</w:t>
      </w:r>
      <w:r>
        <w:rPr>
          <w:i/>
          <w:spacing w:val="-4"/>
        </w:rPr>
        <w:t> </w:t>
      </w:r>
      <w:r>
        <w:rPr>
          <w:i/>
          <w:spacing w:val="-2"/>
        </w:rPr>
        <w:t>Compliance:</w:t>
      </w:r>
    </w:p>
    <w:p>
      <w:pPr>
        <w:pStyle w:val="BodyText"/>
        <w:rPr>
          <w:b/>
          <w:i/>
        </w:rPr>
      </w:pPr>
    </w:p>
    <w:p>
      <w:pPr>
        <w:pStyle w:val="BodyText"/>
        <w:spacing w:line="259" w:lineRule="auto"/>
        <w:ind w:left="400" w:right="738"/>
        <w:rPr>
          <w:i/>
        </w:rPr>
      </w:pPr>
      <w:r>
        <w:rPr/>
        <w:t>Patients</w:t>
      </w:r>
      <w:r>
        <w:rPr>
          <w:spacing w:val="-1"/>
        </w:rPr>
        <w:t> </w:t>
      </w:r>
      <w:r>
        <w:rPr/>
        <w:t>with</w:t>
      </w:r>
      <w:r>
        <w:rPr>
          <w:spacing w:val="-1"/>
        </w:rPr>
        <w:t> </w:t>
      </w:r>
      <w:r>
        <w:rPr/>
        <w:t>HIV</w:t>
      </w:r>
      <w:r>
        <w:rPr>
          <w:spacing w:val="-7"/>
        </w:rPr>
        <w:t> </w:t>
      </w:r>
      <w:r>
        <w:rPr/>
        <w:t>who</w:t>
      </w:r>
      <w:r>
        <w:rPr>
          <w:spacing w:val="-1"/>
        </w:rPr>
        <w:t> </w:t>
      </w:r>
      <w:r>
        <w:rPr/>
        <w:t>drink,</w:t>
      </w:r>
      <w:r>
        <w:rPr>
          <w:spacing w:val="-1"/>
        </w:rPr>
        <w:t> </w:t>
      </w:r>
      <w:r>
        <w:rPr/>
        <w:t>especially</w:t>
      </w:r>
      <w:r>
        <w:rPr>
          <w:spacing w:val="-1"/>
        </w:rPr>
        <w:t> </w:t>
      </w:r>
      <w:r>
        <w:rPr/>
        <w:t>those</w:t>
      </w:r>
      <w:r>
        <w:rPr>
          <w:spacing w:val="-2"/>
        </w:rPr>
        <w:t> </w:t>
      </w:r>
      <w:r>
        <w:rPr/>
        <w:t>who</w:t>
      </w:r>
      <w:r>
        <w:rPr>
          <w:spacing w:val="-1"/>
        </w:rPr>
        <w:t> </w:t>
      </w:r>
      <w:r>
        <w:rPr/>
        <w:t>drinking</w:t>
      </w:r>
      <w:r>
        <w:rPr>
          <w:spacing w:val="-1"/>
        </w:rPr>
        <w:t> </w:t>
      </w:r>
      <w:r>
        <w:rPr/>
        <w:t>heavily,</w:t>
      </w:r>
      <w:r>
        <w:rPr>
          <w:spacing w:val="-1"/>
        </w:rPr>
        <w:t> </w:t>
      </w:r>
      <w:r>
        <w:rPr/>
        <w:t>or</w:t>
      </w:r>
      <w:r>
        <w:rPr>
          <w:spacing w:val="-1"/>
        </w:rPr>
        <w:t> </w:t>
      </w:r>
      <w:r>
        <w:rPr/>
        <w:t>less likely to adhere to their prescribed medication schedule. Both the Samet study and research at the Center for Research on Health Care at the University of</w:t>
      </w:r>
      <w:r>
        <w:rPr>
          <w:spacing w:val="40"/>
        </w:rPr>
        <w:t> </w:t>
      </w:r>
      <w:r>
        <w:rPr/>
        <w:t>Pittsburgh School of Medicine found that nearly half of their patients who drank heavily reported taking medication off schedule. The researchers</w:t>
      </w:r>
      <w:r>
        <w:rPr>
          <w:spacing w:val="-4"/>
        </w:rPr>
        <w:t> </w:t>
      </w:r>
      <w:r>
        <w:rPr/>
        <w:t>reported</w:t>
      </w:r>
      <w:r>
        <w:rPr>
          <w:spacing w:val="-4"/>
        </w:rPr>
        <w:t> </w:t>
      </w:r>
      <w:r>
        <w:rPr/>
        <w:t>that</w:t>
      </w:r>
      <w:r>
        <w:rPr>
          <w:spacing w:val="-4"/>
        </w:rPr>
        <w:t> </w:t>
      </w:r>
      <w:r>
        <w:rPr/>
        <w:t>many</w:t>
      </w:r>
      <w:r>
        <w:rPr>
          <w:spacing w:val="-4"/>
        </w:rPr>
        <w:t> </w:t>
      </w:r>
      <w:r>
        <w:rPr/>
        <w:t>of</w:t>
      </w:r>
      <w:r>
        <w:rPr>
          <w:spacing w:val="-4"/>
        </w:rPr>
        <w:t> </w:t>
      </w:r>
      <w:r>
        <w:rPr/>
        <w:t>the</w:t>
      </w:r>
      <w:r>
        <w:rPr>
          <w:spacing w:val="-5"/>
        </w:rPr>
        <w:t> </w:t>
      </w:r>
      <w:r>
        <w:rPr/>
        <w:t>heavy</w:t>
      </w:r>
      <w:r>
        <w:rPr>
          <w:spacing w:val="-4"/>
        </w:rPr>
        <w:t> </w:t>
      </w:r>
      <w:r>
        <w:rPr/>
        <w:t>drinkers</w:t>
      </w:r>
      <w:r>
        <w:rPr>
          <w:spacing w:val="-4"/>
        </w:rPr>
        <w:t> </w:t>
      </w:r>
      <w:r>
        <w:rPr/>
        <w:t>simply</w:t>
      </w:r>
      <w:r>
        <w:rPr>
          <w:spacing w:val="-4"/>
        </w:rPr>
        <w:t> </w:t>
      </w:r>
      <w:r>
        <w:rPr/>
        <w:t>would</w:t>
      </w:r>
      <w:r>
        <w:rPr>
          <w:spacing w:val="-4"/>
        </w:rPr>
        <w:t> </w:t>
      </w:r>
      <w:r>
        <w:rPr/>
        <w:t>forget</w:t>
      </w:r>
      <w:r>
        <w:rPr>
          <w:spacing w:val="-4"/>
        </w:rPr>
        <w:t> </w:t>
      </w:r>
      <w:r>
        <w:rPr/>
        <w:t>to take their medications.</w:t>
      </w:r>
      <w:r>
        <w:rPr>
          <w:spacing w:val="-3"/>
        </w:rPr>
        <w:t> </w:t>
      </w:r>
      <w:r>
        <w:rPr/>
        <w:t>This is potentially a big problem for healthcare providers due to the fact that alcohol dependence in those with HIV runs at rates twice as high as the general population (</w:t>
      </w:r>
      <w:r>
        <w:rPr>
          <w:i/>
        </w:rPr>
        <w:t>Sources: Health Resources</w:t>
      </w:r>
      <w:r>
        <w:rPr>
          <w:i/>
        </w:rPr>
        <w:t> and Services Administration;</w:t>
      </w:r>
      <w:r>
        <w:rPr>
          <w:i/>
          <w:spacing w:val="40"/>
        </w:rPr>
        <w:t> </w:t>
      </w:r>
      <w:r>
        <w:rPr>
          <w:i/>
        </w:rPr>
        <w:t>National Institute on Drug Abuse; Alcoholism: Clinical and Experimental Research).</w:t>
      </w:r>
    </w:p>
    <w:p>
      <w:pPr>
        <w:pStyle w:val="BodyText"/>
        <w:spacing w:before="5"/>
        <w:rPr>
          <w:i/>
          <w:sz w:val="29"/>
        </w:rPr>
      </w:pPr>
    </w:p>
    <w:p>
      <w:pPr>
        <w:pStyle w:val="Heading2"/>
        <w:ind w:left="400"/>
      </w:pPr>
      <w:r>
        <w:rPr/>
        <w:t>Mental</w:t>
      </w:r>
      <w:r>
        <w:rPr>
          <w:spacing w:val="-18"/>
        </w:rPr>
        <w:t> </w:t>
      </w:r>
      <w:r>
        <w:rPr/>
        <w:t>Health</w:t>
      </w:r>
      <w:r>
        <w:rPr>
          <w:spacing w:val="-15"/>
        </w:rPr>
        <w:t> </w:t>
      </w:r>
      <w:r>
        <w:rPr/>
        <w:t>and</w:t>
      </w:r>
      <w:r>
        <w:rPr>
          <w:spacing w:val="-13"/>
        </w:rPr>
        <w:t> </w:t>
      </w:r>
      <w:r>
        <w:rPr/>
        <w:t>Sexually</w:t>
      </w:r>
      <w:r>
        <w:rPr>
          <w:spacing w:val="-18"/>
        </w:rPr>
        <w:t> </w:t>
      </w:r>
      <w:r>
        <w:rPr/>
        <w:t>Transmitted</w:t>
      </w:r>
      <w:r>
        <w:rPr>
          <w:spacing w:val="-12"/>
        </w:rPr>
        <w:t> </w:t>
      </w:r>
      <w:r>
        <w:rPr>
          <w:spacing w:val="-2"/>
        </w:rPr>
        <w:t>Diseases</w:t>
      </w:r>
    </w:p>
    <w:p>
      <w:pPr>
        <w:pStyle w:val="BodyText"/>
        <w:spacing w:line="259" w:lineRule="auto" w:before="156"/>
        <w:ind w:left="400" w:right="718"/>
      </w:pPr>
      <w:r>
        <w:rPr/>
        <w:t>Direct</w:t>
      </w:r>
      <w:r>
        <w:rPr>
          <w:spacing w:val="-11"/>
        </w:rPr>
        <w:t> </w:t>
      </w:r>
      <w:r>
        <w:rPr/>
        <w:t>or</w:t>
      </w:r>
      <w:r>
        <w:rPr>
          <w:spacing w:val="-9"/>
        </w:rPr>
        <w:t> </w:t>
      </w:r>
      <w:r>
        <w:rPr/>
        <w:t>indirect</w:t>
      </w:r>
      <w:r>
        <w:rPr>
          <w:spacing w:val="-9"/>
        </w:rPr>
        <w:t> </w:t>
      </w:r>
      <w:r>
        <w:rPr/>
        <w:t>effects</w:t>
      </w:r>
      <w:r>
        <w:rPr>
          <w:spacing w:val="-9"/>
        </w:rPr>
        <w:t> </w:t>
      </w:r>
      <w:r>
        <w:rPr/>
        <w:t>of</w:t>
      </w:r>
      <w:r>
        <w:rPr>
          <w:spacing w:val="-9"/>
        </w:rPr>
        <w:t> </w:t>
      </w:r>
      <w:r>
        <w:rPr/>
        <w:t>the</w:t>
      </w:r>
      <w:r>
        <w:rPr>
          <w:spacing w:val="-10"/>
        </w:rPr>
        <w:t> </w:t>
      </w:r>
      <w:r>
        <w:rPr/>
        <w:t>HIV</w:t>
      </w:r>
      <w:r>
        <w:rPr>
          <w:spacing w:val="-18"/>
        </w:rPr>
        <w:t> </w:t>
      </w:r>
      <w:r>
        <w:rPr/>
        <w:t>virus</w:t>
      </w:r>
      <w:r>
        <w:rPr>
          <w:spacing w:val="-9"/>
        </w:rPr>
        <w:t> </w:t>
      </w:r>
      <w:r>
        <w:rPr/>
        <w:t>can</w:t>
      </w:r>
      <w:r>
        <w:rPr>
          <w:spacing w:val="-9"/>
        </w:rPr>
        <w:t> </w:t>
      </w:r>
      <w:r>
        <w:rPr/>
        <w:t>affect</w:t>
      </w:r>
      <w:r>
        <w:rPr>
          <w:spacing w:val="-9"/>
        </w:rPr>
        <w:t> </w:t>
      </w:r>
      <w:r>
        <w:rPr/>
        <w:t>brain</w:t>
      </w:r>
      <w:r>
        <w:rPr>
          <w:spacing w:val="-9"/>
        </w:rPr>
        <w:t> </w:t>
      </w:r>
      <w:r>
        <w:rPr/>
        <w:t>functioning.</w:t>
      </w:r>
      <w:r>
        <w:rPr>
          <w:spacing w:val="-9"/>
        </w:rPr>
        <w:t> </w:t>
      </w:r>
      <w:r>
        <w:rPr/>
        <w:t>Some medications used to treat HIV infection can also cause similar complications. In people with HIV infection or</w:t>
      </w:r>
      <w:r>
        <w:rPr>
          <w:spacing w:val="-12"/>
        </w:rPr>
        <w:t> </w:t>
      </w:r>
      <w:r>
        <w:rPr/>
        <w:t>AIDS, these complications can have significant impact on daily functioning and greatly diminish quality of life.</w:t>
      </w:r>
      <w:r>
        <w:rPr>
          <w:spacing w:val="-14"/>
        </w:rPr>
        <w:t> </w:t>
      </w:r>
      <w:r>
        <w:rPr/>
        <w:t>Among the most common disorders are </w:t>
      </w:r>
      <w:r>
        <w:rPr>
          <w:i/>
        </w:rPr>
        <w:t>HIV- associated</w:t>
      </w:r>
      <w:r>
        <w:rPr>
          <w:i/>
        </w:rPr>
        <w:t> minor cognitive motor disorder, HIV-associated dementia, delirium, and psychosis</w:t>
      </w:r>
      <w:r>
        <w:rPr/>
        <w:t>. Signs of trouble may include forgetfulness, confusion, attention deficits, slurred or changed speech, sudden changes in mood or behavior, difficulty walking, muscle</w:t>
      </w:r>
      <w:r>
        <w:rPr>
          <w:spacing w:val="-1"/>
        </w:rPr>
        <w:t> </w:t>
      </w:r>
      <w:r>
        <w:rPr/>
        <w:t>weakness, slowed thinking and difficulty finding words. People with HIV who have any of these problems should discuss their concerns with their physician immediately. New anti-HIV</w:t>
      </w:r>
      <w:r>
        <w:rPr>
          <w:spacing w:val="-3"/>
        </w:rPr>
        <w:t> </w:t>
      </w:r>
      <w:r>
        <w:rPr/>
        <w:t>therapies in combination</w:t>
      </w:r>
      <w:r>
        <w:rPr>
          <w:spacing w:val="-2"/>
        </w:rPr>
        <w:t> </w:t>
      </w:r>
      <w:r>
        <w:rPr/>
        <w:t>with</w:t>
      </w:r>
      <w:r>
        <w:rPr>
          <w:spacing w:val="-2"/>
        </w:rPr>
        <w:t> </w:t>
      </w:r>
      <w:r>
        <w:rPr/>
        <w:t>psychiatric</w:t>
      </w:r>
      <w:r>
        <w:rPr>
          <w:spacing w:val="-3"/>
        </w:rPr>
        <w:t> </w:t>
      </w:r>
      <w:r>
        <w:rPr/>
        <w:t>medication</w:t>
      </w:r>
      <w:r>
        <w:rPr>
          <w:spacing w:val="-2"/>
        </w:rPr>
        <w:t> </w:t>
      </w:r>
      <w:r>
        <w:rPr/>
        <w:t>can</w:t>
      </w:r>
      <w:r>
        <w:rPr>
          <w:spacing w:val="-2"/>
        </w:rPr>
        <w:t> </w:t>
      </w:r>
      <w:r>
        <w:rPr/>
        <w:t>reverse</w:t>
      </w:r>
      <w:r>
        <w:rPr>
          <w:spacing w:val="-3"/>
        </w:rPr>
        <w:t> </w:t>
      </w:r>
      <w:r>
        <w:rPr/>
        <w:t>delirium</w:t>
      </w:r>
      <w:r>
        <w:rPr>
          <w:spacing w:val="-2"/>
        </w:rPr>
        <w:t> </w:t>
      </w:r>
      <w:r>
        <w:rPr/>
        <w:t>and</w:t>
      </w:r>
      <w:r>
        <w:rPr>
          <w:spacing w:val="-2"/>
        </w:rPr>
        <w:t> </w:t>
      </w:r>
      <w:r>
        <w:rPr/>
        <w:t>dementia</w:t>
      </w:r>
    </w:p>
    <w:p>
      <w:pPr>
        <w:spacing w:after="0" w:line="259" w:lineRule="auto"/>
        <w:sectPr>
          <w:pgSz w:w="12240" w:h="15840"/>
          <w:pgMar w:header="0" w:footer="765" w:top="1260" w:bottom="980" w:left="1400" w:right="1180"/>
        </w:sectPr>
      </w:pPr>
    </w:p>
    <w:p>
      <w:pPr>
        <w:pStyle w:val="BodyText"/>
        <w:spacing w:line="259" w:lineRule="auto" w:before="66"/>
        <w:ind w:left="400" w:right="1128"/>
        <w:jc w:val="both"/>
      </w:pPr>
      <w:r>
        <w:rPr/>
        <w:t>and</w:t>
      </w:r>
      <w:r>
        <w:rPr>
          <w:spacing w:val="-5"/>
        </w:rPr>
        <w:t> </w:t>
      </w:r>
      <w:r>
        <w:rPr/>
        <w:t>markedly</w:t>
      </w:r>
      <w:r>
        <w:rPr>
          <w:spacing w:val="-5"/>
        </w:rPr>
        <w:t> </w:t>
      </w:r>
      <w:r>
        <w:rPr/>
        <w:t>improve</w:t>
      </w:r>
      <w:r>
        <w:rPr>
          <w:spacing w:val="-6"/>
        </w:rPr>
        <w:t> </w:t>
      </w:r>
      <w:r>
        <w:rPr/>
        <w:t>cognition;</w:t>
      </w:r>
      <w:r>
        <w:rPr>
          <w:spacing w:val="-5"/>
        </w:rPr>
        <w:t> </w:t>
      </w:r>
      <w:r>
        <w:rPr/>
        <w:t>however,</w:t>
      </w:r>
      <w:r>
        <w:rPr>
          <w:spacing w:val="-5"/>
        </w:rPr>
        <w:t> </w:t>
      </w:r>
      <w:r>
        <w:rPr/>
        <w:t>special</w:t>
      </w:r>
      <w:r>
        <w:rPr>
          <w:spacing w:val="-5"/>
        </w:rPr>
        <w:t> </w:t>
      </w:r>
      <w:r>
        <w:rPr/>
        <w:t>care</w:t>
      </w:r>
      <w:r>
        <w:rPr>
          <w:spacing w:val="-6"/>
        </w:rPr>
        <w:t> </w:t>
      </w:r>
      <w:r>
        <w:rPr/>
        <w:t>must</w:t>
      </w:r>
      <w:r>
        <w:rPr>
          <w:spacing w:val="-5"/>
        </w:rPr>
        <w:t> </w:t>
      </w:r>
      <w:r>
        <w:rPr/>
        <w:t>be</w:t>
      </w:r>
      <w:r>
        <w:rPr>
          <w:spacing w:val="-6"/>
        </w:rPr>
        <w:t> </w:t>
      </w:r>
      <w:r>
        <w:rPr/>
        <w:t>taken</w:t>
      </w:r>
      <w:r>
        <w:rPr>
          <w:spacing w:val="-5"/>
        </w:rPr>
        <w:t> </w:t>
      </w:r>
      <w:r>
        <w:rPr/>
        <w:t>to ensure that the drugs do not interact with HIV medications.</w:t>
      </w:r>
    </w:p>
    <w:p>
      <w:pPr>
        <w:spacing w:line="259" w:lineRule="auto" w:before="0"/>
        <w:ind w:left="400" w:right="1369" w:firstLine="0"/>
        <w:jc w:val="both"/>
        <w:rPr>
          <w:i/>
          <w:sz w:val="28"/>
        </w:rPr>
      </w:pPr>
      <w:r>
        <w:rPr>
          <w:sz w:val="28"/>
        </w:rPr>
        <w:t>Psychotherapy can also help patients understand their condition and adapt to their diminished level of functioning </w:t>
      </w:r>
      <w:r>
        <w:rPr>
          <w:i/>
          <w:sz w:val="28"/>
        </w:rPr>
        <w:t>(Gray F,</w:t>
      </w:r>
      <w:r>
        <w:rPr>
          <w:i/>
          <w:spacing w:val="-7"/>
          <w:sz w:val="28"/>
        </w:rPr>
        <w:t> </w:t>
      </w:r>
      <w:r>
        <w:rPr>
          <w:i/>
          <w:sz w:val="28"/>
        </w:rPr>
        <w:t>Adle-Biassette</w:t>
      </w:r>
      <w:r>
        <w:rPr>
          <w:i/>
          <w:sz w:val="28"/>
        </w:rPr>
        <w:t> H,</w:t>
      </w:r>
      <w:r>
        <w:rPr>
          <w:i/>
          <w:spacing w:val="-3"/>
          <w:sz w:val="28"/>
        </w:rPr>
        <w:t> </w:t>
      </w:r>
      <w:r>
        <w:rPr>
          <w:i/>
          <w:sz w:val="28"/>
        </w:rPr>
        <w:t>Chrétien</w:t>
      </w:r>
      <w:r>
        <w:rPr>
          <w:i/>
          <w:spacing w:val="-3"/>
          <w:sz w:val="28"/>
        </w:rPr>
        <w:t> </w:t>
      </w:r>
      <w:r>
        <w:rPr>
          <w:i/>
          <w:sz w:val="28"/>
        </w:rPr>
        <w:t>F,</w:t>
      </w:r>
      <w:r>
        <w:rPr>
          <w:i/>
          <w:spacing w:val="-3"/>
          <w:sz w:val="28"/>
        </w:rPr>
        <w:t> </w:t>
      </w:r>
      <w:r>
        <w:rPr>
          <w:i/>
          <w:sz w:val="28"/>
        </w:rPr>
        <w:t>Lorin</w:t>
      </w:r>
      <w:r>
        <w:rPr>
          <w:i/>
          <w:spacing w:val="-3"/>
          <w:sz w:val="28"/>
        </w:rPr>
        <w:t> </w:t>
      </w:r>
      <w:r>
        <w:rPr>
          <w:i/>
          <w:sz w:val="28"/>
        </w:rPr>
        <w:t>de</w:t>
      </w:r>
      <w:r>
        <w:rPr>
          <w:i/>
          <w:spacing w:val="-3"/>
          <w:sz w:val="28"/>
        </w:rPr>
        <w:t> </w:t>
      </w:r>
      <w:r>
        <w:rPr>
          <w:i/>
          <w:sz w:val="28"/>
        </w:rPr>
        <w:t>la Grandmaison G, Force G, Keohane C).</w:t>
      </w:r>
    </w:p>
    <w:p>
      <w:pPr>
        <w:pStyle w:val="BodyText"/>
        <w:spacing w:before="5"/>
        <w:rPr>
          <w:i/>
          <w:sz w:val="27"/>
        </w:rPr>
      </w:pPr>
    </w:p>
    <w:p>
      <w:pPr>
        <w:pStyle w:val="BodyText"/>
        <w:spacing w:line="259" w:lineRule="auto" w:before="1"/>
        <w:ind w:left="400" w:right="738"/>
        <w:rPr>
          <w:i/>
        </w:rPr>
      </w:pPr>
      <w:r>
        <w:rPr/>
        <w:t>The prevalence of mental illnesses in HIV-infected individuals is substantially</w:t>
      </w:r>
      <w:r>
        <w:rPr>
          <w:spacing w:val="-5"/>
        </w:rPr>
        <w:t> </w:t>
      </w:r>
      <w:r>
        <w:rPr/>
        <w:t>higher</w:t>
      </w:r>
      <w:r>
        <w:rPr>
          <w:spacing w:val="-5"/>
        </w:rPr>
        <w:t> </w:t>
      </w:r>
      <w:r>
        <w:rPr/>
        <w:t>than</w:t>
      </w:r>
      <w:r>
        <w:rPr>
          <w:spacing w:val="-5"/>
        </w:rPr>
        <w:t> </w:t>
      </w:r>
      <w:r>
        <w:rPr/>
        <w:t>in</w:t>
      </w:r>
      <w:r>
        <w:rPr>
          <w:spacing w:val="-5"/>
        </w:rPr>
        <w:t> </w:t>
      </w:r>
      <w:r>
        <w:rPr/>
        <w:t>the</w:t>
      </w:r>
      <w:r>
        <w:rPr>
          <w:spacing w:val="-5"/>
        </w:rPr>
        <w:t> </w:t>
      </w:r>
      <w:r>
        <w:rPr/>
        <w:t>general</w:t>
      </w:r>
      <w:r>
        <w:rPr>
          <w:spacing w:val="-5"/>
        </w:rPr>
        <w:t> </w:t>
      </w:r>
      <w:r>
        <w:rPr/>
        <w:t>population.</w:t>
      </w:r>
      <w:r>
        <w:rPr>
          <w:spacing w:val="-5"/>
        </w:rPr>
        <w:t> </w:t>
      </w:r>
      <w:r>
        <w:rPr/>
        <w:t>Furthermore,</w:t>
      </w:r>
      <w:r>
        <w:rPr>
          <w:spacing w:val="-5"/>
        </w:rPr>
        <w:t> </w:t>
      </w:r>
      <w:r>
        <w:rPr/>
        <w:t>HIV</w:t>
      </w:r>
      <w:r>
        <w:rPr>
          <w:spacing w:val="-10"/>
        </w:rPr>
        <w:t> </w:t>
      </w:r>
      <w:r>
        <w:rPr/>
        <w:t>tends to be concentrated in highly vulnerable, marginalized and stigmatized populations; in particular, sex workers, men who have sex with men, drug users and prisoners have higher levels of mental health disorders than the general population. Increased psychological distress among people with HIV infection is common. Studies in both low- and high income countries have reported higher rates of depression in HIV-positive people compared with HIV negative control groups.</w:t>
      </w:r>
      <w:r>
        <w:rPr>
          <w:spacing w:val="-5"/>
        </w:rPr>
        <w:t> </w:t>
      </w:r>
      <w:r>
        <w:rPr/>
        <w:t>The level of distress often seems to be related to the severity of symptoms of HIV infection. Coping styles and learned resourcefulness may shape the experience of depressive symptoms and</w:t>
      </w:r>
      <w:r>
        <w:rPr>
          <w:spacing w:val="-2"/>
        </w:rPr>
        <w:t> </w:t>
      </w:r>
      <w:r>
        <w:rPr/>
        <w:t>the</w:t>
      </w:r>
      <w:r>
        <w:rPr>
          <w:spacing w:val="-3"/>
        </w:rPr>
        <w:t> </w:t>
      </w:r>
      <w:r>
        <w:rPr/>
        <w:t>ability</w:t>
      </w:r>
      <w:r>
        <w:rPr>
          <w:spacing w:val="-2"/>
        </w:rPr>
        <w:t> </w:t>
      </w:r>
      <w:r>
        <w:rPr/>
        <w:t>to</w:t>
      </w:r>
      <w:r>
        <w:rPr>
          <w:spacing w:val="-2"/>
        </w:rPr>
        <w:t> </w:t>
      </w:r>
      <w:r>
        <w:rPr/>
        <w:t>care</w:t>
      </w:r>
      <w:r>
        <w:rPr>
          <w:spacing w:val="-3"/>
        </w:rPr>
        <w:t> </w:t>
      </w:r>
      <w:r>
        <w:rPr/>
        <w:t>for</w:t>
      </w:r>
      <w:r>
        <w:rPr>
          <w:spacing w:val="-2"/>
        </w:rPr>
        <w:t> </w:t>
      </w:r>
      <w:r>
        <w:rPr/>
        <w:t>oneself.</w:t>
      </w:r>
      <w:r>
        <w:rPr>
          <w:spacing w:val="-2"/>
        </w:rPr>
        <w:t> </w:t>
      </w:r>
      <w:r>
        <w:rPr/>
        <w:t>Family</w:t>
      </w:r>
      <w:r>
        <w:rPr>
          <w:spacing w:val="-2"/>
        </w:rPr>
        <w:t> </w:t>
      </w:r>
      <w:r>
        <w:rPr/>
        <w:t>relationships</w:t>
      </w:r>
      <w:r>
        <w:rPr>
          <w:spacing w:val="-2"/>
        </w:rPr>
        <w:t> </w:t>
      </w:r>
      <w:r>
        <w:rPr/>
        <w:t>and</w:t>
      </w:r>
      <w:r>
        <w:rPr>
          <w:spacing w:val="-2"/>
        </w:rPr>
        <w:t> </w:t>
      </w:r>
      <w:r>
        <w:rPr/>
        <w:t>the</w:t>
      </w:r>
      <w:r>
        <w:rPr>
          <w:spacing w:val="-3"/>
        </w:rPr>
        <w:t> </w:t>
      </w:r>
      <w:r>
        <w:rPr/>
        <w:t>support</w:t>
      </w:r>
      <w:r>
        <w:rPr>
          <w:spacing w:val="-2"/>
        </w:rPr>
        <w:t> </w:t>
      </w:r>
      <w:r>
        <w:rPr/>
        <w:t>of</w:t>
      </w:r>
      <w:r>
        <w:rPr>
          <w:spacing w:val="-2"/>
        </w:rPr>
        <w:t> </w:t>
      </w:r>
      <w:r>
        <w:rPr/>
        <w:t>a partner can also influence mental health consequences (</w:t>
      </w:r>
      <w:r>
        <w:rPr>
          <w:i/>
        </w:rPr>
        <w:t>World Health</w:t>
      </w:r>
      <w:r>
        <w:rPr>
          <w:i/>
        </w:rPr>
        <w:t> Organization, Executive Board EB124/6, 124th Session).</w:t>
      </w:r>
    </w:p>
    <w:p>
      <w:pPr>
        <w:pStyle w:val="BodyText"/>
        <w:spacing w:before="1"/>
        <w:rPr>
          <w:i/>
          <w:sz w:val="27"/>
        </w:rPr>
      </w:pPr>
    </w:p>
    <w:p>
      <w:pPr>
        <w:pStyle w:val="BodyText"/>
        <w:spacing w:line="259" w:lineRule="auto"/>
        <w:ind w:left="400" w:right="628"/>
        <w:rPr>
          <w:i/>
        </w:rPr>
      </w:pPr>
      <w:r>
        <w:rPr/>
        <w:t>When faced with a diagnosis of HIV or</w:t>
      </w:r>
      <w:r>
        <w:rPr>
          <w:spacing w:val="-16"/>
        </w:rPr>
        <w:t> </w:t>
      </w:r>
      <w:r>
        <w:rPr/>
        <w:t>AIDS, there are many emotional issues that a person may experience. Some of the common concerns or</w:t>
      </w:r>
      <w:r>
        <w:rPr>
          <w:spacing w:val="40"/>
        </w:rPr>
        <w:t> </w:t>
      </w:r>
      <w:r>
        <w:rPr/>
        <w:t>issues include anger, loss (health, job, relationships), stigma and fear of disclosure.</w:t>
      </w:r>
      <w:r>
        <w:rPr>
          <w:spacing w:val="40"/>
        </w:rPr>
        <w:t> </w:t>
      </w:r>
      <w:r>
        <w:rPr/>
        <w:t>There may also be a general fear, as well as anxiety, isolation, and depression.</w:t>
      </w:r>
      <w:r>
        <w:rPr>
          <w:spacing w:val="40"/>
        </w:rPr>
        <w:t> </w:t>
      </w:r>
      <w:r>
        <w:rPr/>
        <w:t>People with HIV</w:t>
      </w:r>
      <w:r>
        <w:rPr>
          <w:spacing w:val="-5"/>
        </w:rPr>
        <w:t> </w:t>
      </w:r>
      <w:r>
        <w:rPr/>
        <w:t>must also cope with the psychological effects</w:t>
      </w:r>
      <w:r>
        <w:rPr>
          <w:spacing w:val="-6"/>
        </w:rPr>
        <w:t> </w:t>
      </w:r>
      <w:r>
        <w:rPr/>
        <w:t>of</w:t>
      </w:r>
      <w:r>
        <w:rPr>
          <w:spacing w:val="-6"/>
        </w:rPr>
        <w:t> </w:t>
      </w:r>
      <w:r>
        <w:rPr/>
        <w:t>fatigue,</w:t>
      </w:r>
      <w:r>
        <w:rPr>
          <w:spacing w:val="-6"/>
        </w:rPr>
        <w:t> </w:t>
      </w:r>
      <w:r>
        <w:rPr/>
        <w:t>medication</w:t>
      </w:r>
      <w:r>
        <w:rPr>
          <w:spacing w:val="-6"/>
        </w:rPr>
        <w:t> </w:t>
      </w:r>
      <w:r>
        <w:rPr/>
        <w:t>side</w:t>
      </w:r>
      <w:r>
        <w:rPr>
          <w:spacing w:val="-7"/>
        </w:rPr>
        <w:t> </w:t>
      </w:r>
      <w:r>
        <w:rPr/>
        <w:t>effects,</w:t>
      </w:r>
      <w:r>
        <w:rPr>
          <w:spacing w:val="-6"/>
        </w:rPr>
        <w:t> </w:t>
      </w:r>
      <w:r>
        <w:rPr/>
        <w:t>insomnia,</w:t>
      </w:r>
      <w:r>
        <w:rPr>
          <w:spacing w:val="-6"/>
        </w:rPr>
        <w:t> </w:t>
      </w:r>
      <w:r>
        <w:rPr/>
        <w:t>irritability</w:t>
      </w:r>
      <w:r>
        <w:rPr>
          <w:spacing w:val="-6"/>
        </w:rPr>
        <w:t> </w:t>
      </w:r>
      <w:r>
        <w:rPr/>
        <w:t>and</w:t>
      </w:r>
      <w:r>
        <w:rPr>
          <w:spacing w:val="-6"/>
        </w:rPr>
        <w:t> </w:t>
      </w:r>
      <w:r>
        <w:rPr/>
        <w:t>difficulty with concentration.</w:t>
      </w:r>
      <w:r>
        <w:rPr>
          <w:spacing w:val="40"/>
        </w:rPr>
        <w:t> </w:t>
      </w:r>
      <w:r>
        <w:rPr/>
        <w:t>Substance abuse also frequently either co-occurs or develops after a diagnosis of HIV or</w:t>
      </w:r>
      <w:r>
        <w:rPr>
          <w:spacing w:val="-13"/>
        </w:rPr>
        <w:t> </w:t>
      </w:r>
      <w:r>
        <w:rPr/>
        <w:t>AIDS </w:t>
      </w:r>
      <w:r>
        <w:rPr>
          <w:i/>
        </w:rPr>
        <w:t>(Blechner MJ, Hope and</w:t>
      </w:r>
      <w:r>
        <w:rPr>
          <w:i/>
        </w:rPr>
        <w:t> mortality: psychodynamic approaches to AIDS and HIV. Hillsdale, NJ: Analytic Press.)</w:t>
      </w:r>
    </w:p>
    <w:p>
      <w:pPr>
        <w:pStyle w:val="BodyText"/>
        <w:spacing w:before="8"/>
        <w:rPr>
          <w:i/>
          <w:sz w:val="27"/>
        </w:rPr>
      </w:pPr>
    </w:p>
    <w:p>
      <w:pPr>
        <w:pStyle w:val="BodyText"/>
        <w:spacing w:line="259" w:lineRule="auto"/>
        <w:ind w:left="400" w:right="766"/>
      </w:pPr>
      <w:r>
        <w:rPr/>
        <w:t>HIV/AIDS imposes a significant psychological burden. People with HIV often suffer from depression and anxiety as they adjust to the impact of the diagnosis of being infected and face the difficulties of living with a chronic life-threatening illness, for instance shortened life expectancy, complicated therapeutic regimens, stigmatization, and loss of social support, family or friends. HIV</w:t>
      </w:r>
      <w:r>
        <w:rPr>
          <w:spacing w:val="-4"/>
        </w:rPr>
        <w:t> </w:t>
      </w:r>
      <w:r>
        <w:rPr/>
        <w:t>infection can be associated with high risk of suicide or attempted</w:t>
      </w:r>
      <w:r>
        <w:rPr>
          <w:spacing w:val="-7"/>
        </w:rPr>
        <w:t> </w:t>
      </w:r>
      <w:r>
        <w:rPr/>
        <w:t>suicide.</w:t>
      </w:r>
      <w:r>
        <w:rPr>
          <w:spacing w:val="-13"/>
        </w:rPr>
        <w:t> </w:t>
      </w:r>
      <w:r>
        <w:rPr/>
        <w:t>The</w:t>
      </w:r>
      <w:r>
        <w:rPr>
          <w:spacing w:val="-8"/>
        </w:rPr>
        <w:t> </w:t>
      </w:r>
      <w:r>
        <w:rPr/>
        <w:t>psychological</w:t>
      </w:r>
      <w:r>
        <w:rPr>
          <w:spacing w:val="-7"/>
        </w:rPr>
        <w:t> </w:t>
      </w:r>
      <w:r>
        <w:rPr/>
        <w:t>predictors</w:t>
      </w:r>
      <w:r>
        <w:rPr>
          <w:spacing w:val="-7"/>
        </w:rPr>
        <w:t> </w:t>
      </w:r>
      <w:r>
        <w:rPr/>
        <w:t>of</w:t>
      </w:r>
      <w:r>
        <w:rPr>
          <w:spacing w:val="-7"/>
        </w:rPr>
        <w:t> </w:t>
      </w:r>
      <w:r>
        <w:rPr/>
        <w:t>suicidal</w:t>
      </w:r>
      <w:r>
        <w:rPr>
          <w:spacing w:val="-7"/>
        </w:rPr>
        <w:t> </w:t>
      </w:r>
      <w:r>
        <w:rPr/>
        <w:t>ideation</w:t>
      </w:r>
      <w:r>
        <w:rPr>
          <w:spacing w:val="-7"/>
        </w:rPr>
        <w:t> </w:t>
      </w:r>
      <w:r>
        <w:rPr/>
        <w:t>in</w:t>
      </w:r>
      <w:r>
        <w:rPr>
          <w:spacing w:val="-7"/>
        </w:rPr>
        <w:t> </w:t>
      </w:r>
      <w:r>
        <w:rPr/>
        <w:t>HIV-</w:t>
      </w:r>
    </w:p>
    <w:p>
      <w:pPr>
        <w:spacing w:after="0" w:line="259" w:lineRule="auto"/>
        <w:sectPr>
          <w:pgSz w:w="12240" w:h="15840"/>
          <w:pgMar w:header="0" w:footer="765" w:top="1260" w:bottom="980" w:left="1400" w:right="1180"/>
        </w:sectPr>
      </w:pPr>
    </w:p>
    <w:p>
      <w:pPr>
        <w:spacing w:line="259" w:lineRule="auto" w:before="66"/>
        <w:ind w:left="400" w:right="925" w:firstLine="0"/>
        <w:jc w:val="left"/>
        <w:rPr>
          <w:i/>
          <w:sz w:val="28"/>
        </w:rPr>
      </w:pPr>
      <w:r>
        <w:rPr>
          <w:sz w:val="28"/>
        </w:rPr>
        <w:t>infected</w:t>
      </w:r>
      <w:r>
        <w:rPr>
          <w:spacing w:val="-6"/>
          <w:sz w:val="28"/>
        </w:rPr>
        <w:t> </w:t>
      </w:r>
      <w:r>
        <w:rPr>
          <w:sz w:val="28"/>
        </w:rPr>
        <w:t>individuals</w:t>
      </w:r>
      <w:r>
        <w:rPr>
          <w:spacing w:val="-6"/>
          <w:sz w:val="28"/>
        </w:rPr>
        <w:t> </w:t>
      </w:r>
      <w:r>
        <w:rPr>
          <w:sz w:val="28"/>
        </w:rPr>
        <w:t>include</w:t>
      </w:r>
      <w:r>
        <w:rPr>
          <w:spacing w:val="-7"/>
          <w:sz w:val="28"/>
        </w:rPr>
        <w:t> </w:t>
      </w:r>
      <w:r>
        <w:rPr>
          <w:sz w:val="28"/>
        </w:rPr>
        <w:t>concurrent</w:t>
      </w:r>
      <w:r>
        <w:rPr>
          <w:spacing w:val="-6"/>
          <w:sz w:val="28"/>
        </w:rPr>
        <w:t> </w:t>
      </w:r>
      <w:r>
        <w:rPr>
          <w:sz w:val="28"/>
        </w:rPr>
        <w:t>substance-use</w:t>
      </w:r>
      <w:r>
        <w:rPr>
          <w:spacing w:val="-7"/>
          <w:sz w:val="28"/>
        </w:rPr>
        <w:t> </w:t>
      </w:r>
      <w:r>
        <w:rPr>
          <w:sz w:val="28"/>
        </w:rPr>
        <w:t>disorders,</w:t>
      </w:r>
      <w:r>
        <w:rPr>
          <w:spacing w:val="-6"/>
          <w:sz w:val="28"/>
        </w:rPr>
        <w:t> </w:t>
      </w:r>
      <w:r>
        <w:rPr>
          <w:sz w:val="28"/>
        </w:rPr>
        <w:t>past history of depression and presence of hopelessness (</w:t>
      </w:r>
      <w:r>
        <w:rPr>
          <w:i/>
          <w:sz w:val="28"/>
        </w:rPr>
        <w:t>World Health</w:t>
      </w:r>
      <w:r>
        <w:rPr>
          <w:i/>
          <w:sz w:val="28"/>
        </w:rPr>
        <w:t> Organization, Executive Board EB124/6, 124th Session).</w:t>
      </w:r>
    </w:p>
    <w:p>
      <w:pPr>
        <w:pStyle w:val="BodyText"/>
        <w:spacing w:before="2"/>
        <w:rPr>
          <w:i/>
        </w:rPr>
      </w:pPr>
    </w:p>
    <w:p>
      <w:pPr>
        <w:pStyle w:val="BodyText"/>
        <w:spacing w:line="259" w:lineRule="auto" w:before="1"/>
        <w:ind w:left="400" w:right="655"/>
      </w:pPr>
      <w:r>
        <w:rPr/>
        <w:t>Studies have demonstrated a high prevalence of HIV infection in people with serious chronic mental illnesses. Prevalence rates in mentally ill inpatients and outpatients have been reported to be between 5% and 23%, compared with a range of 0.3% to 0.4% in the general population in the United States of</w:t>
      </w:r>
      <w:r>
        <w:rPr>
          <w:spacing w:val="-14"/>
        </w:rPr>
        <w:t> </w:t>
      </w:r>
      <w:r>
        <w:rPr/>
        <w:t>America over comparable time periods. Some studies have reported</w:t>
      </w:r>
      <w:r>
        <w:rPr>
          <w:spacing w:val="-3"/>
        </w:rPr>
        <w:t> </w:t>
      </w:r>
      <w:r>
        <w:rPr/>
        <w:t>behavioral</w:t>
      </w:r>
      <w:r>
        <w:rPr>
          <w:spacing w:val="-3"/>
        </w:rPr>
        <w:t> </w:t>
      </w:r>
      <w:r>
        <w:rPr/>
        <w:t>risk</w:t>
      </w:r>
      <w:r>
        <w:rPr>
          <w:spacing w:val="-3"/>
        </w:rPr>
        <w:t> </w:t>
      </w:r>
      <w:r>
        <w:rPr/>
        <w:t>factors</w:t>
      </w:r>
      <w:r>
        <w:rPr>
          <w:spacing w:val="-3"/>
        </w:rPr>
        <w:t> </w:t>
      </w:r>
      <w:r>
        <w:rPr/>
        <w:t>for</w:t>
      </w:r>
      <w:r>
        <w:rPr>
          <w:spacing w:val="-3"/>
        </w:rPr>
        <w:t> </w:t>
      </w:r>
      <w:r>
        <w:rPr/>
        <w:t>transmission</w:t>
      </w:r>
      <w:r>
        <w:rPr>
          <w:spacing w:val="-3"/>
        </w:rPr>
        <w:t> </w:t>
      </w:r>
      <w:r>
        <w:rPr/>
        <w:t>of</w:t>
      </w:r>
      <w:r>
        <w:rPr>
          <w:spacing w:val="-3"/>
        </w:rPr>
        <w:t> </w:t>
      </w:r>
      <w:r>
        <w:rPr/>
        <w:t>HIV</w:t>
      </w:r>
      <w:r>
        <w:rPr>
          <w:spacing w:val="-14"/>
        </w:rPr>
        <w:t> </w:t>
      </w:r>
      <w:r>
        <w:rPr/>
        <w:t>in</w:t>
      </w:r>
      <w:r>
        <w:rPr>
          <w:spacing w:val="-3"/>
        </w:rPr>
        <w:t> </w:t>
      </w:r>
      <w:r>
        <w:rPr/>
        <w:t>between</w:t>
      </w:r>
      <w:r>
        <w:rPr>
          <w:spacing w:val="-3"/>
        </w:rPr>
        <w:t> </w:t>
      </w:r>
      <w:r>
        <w:rPr/>
        <w:t>30%</w:t>
      </w:r>
      <w:r>
        <w:rPr>
          <w:spacing w:val="-3"/>
        </w:rPr>
        <w:t> </w:t>
      </w:r>
      <w:r>
        <w:rPr/>
        <w:t>and 60%</w:t>
      </w:r>
      <w:r>
        <w:rPr>
          <w:spacing w:val="-3"/>
        </w:rPr>
        <w:t> </w:t>
      </w:r>
      <w:r>
        <w:rPr/>
        <w:t>of</w:t>
      </w:r>
      <w:r>
        <w:rPr>
          <w:spacing w:val="-3"/>
        </w:rPr>
        <w:t> </w:t>
      </w:r>
      <w:r>
        <w:rPr/>
        <w:t>people</w:t>
      </w:r>
      <w:r>
        <w:rPr>
          <w:spacing w:val="-4"/>
        </w:rPr>
        <w:t> </w:t>
      </w:r>
      <w:r>
        <w:rPr/>
        <w:t>with</w:t>
      </w:r>
      <w:r>
        <w:rPr>
          <w:spacing w:val="-3"/>
        </w:rPr>
        <w:t> </w:t>
      </w:r>
      <w:r>
        <w:rPr/>
        <w:t>severe</w:t>
      </w:r>
      <w:r>
        <w:rPr>
          <w:spacing w:val="-4"/>
        </w:rPr>
        <w:t> </w:t>
      </w:r>
      <w:r>
        <w:rPr/>
        <w:t>mental</w:t>
      </w:r>
      <w:r>
        <w:rPr>
          <w:spacing w:val="-3"/>
        </w:rPr>
        <w:t> </w:t>
      </w:r>
      <w:r>
        <w:rPr/>
        <w:t>illnesses.</w:t>
      </w:r>
      <w:r>
        <w:rPr>
          <w:spacing w:val="-9"/>
        </w:rPr>
        <w:t> </w:t>
      </w:r>
      <w:r>
        <w:rPr/>
        <w:t>These</w:t>
      </w:r>
      <w:r>
        <w:rPr>
          <w:spacing w:val="-4"/>
        </w:rPr>
        <w:t> </w:t>
      </w:r>
      <w:r>
        <w:rPr/>
        <w:t>risks</w:t>
      </w:r>
      <w:r>
        <w:rPr>
          <w:spacing w:val="-3"/>
        </w:rPr>
        <w:t> </w:t>
      </w:r>
      <w:r>
        <w:rPr/>
        <w:t>include</w:t>
      </w:r>
      <w:r>
        <w:rPr>
          <w:spacing w:val="-4"/>
        </w:rPr>
        <w:t> </w:t>
      </w:r>
      <w:r>
        <w:rPr/>
        <w:t>high</w:t>
      </w:r>
      <w:r>
        <w:rPr>
          <w:spacing w:val="-3"/>
        </w:rPr>
        <w:t> </w:t>
      </w:r>
      <w:r>
        <w:rPr/>
        <w:t>rates</w:t>
      </w:r>
      <w:r>
        <w:rPr>
          <w:spacing w:val="-3"/>
        </w:rPr>
        <w:t> </w:t>
      </w:r>
      <w:r>
        <w:rPr/>
        <w:t>of sexual</w:t>
      </w:r>
      <w:r>
        <w:rPr>
          <w:spacing w:val="-2"/>
        </w:rPr>
        <w:t> </w:t>
      </w:r>
      <w:r>
        <w:rPr/>
        <w:t>contact</w:t>
      </w:r>
      <w:r>
        <w:rPr>
          <w:spacing w:val="-2"/>
        </w:rPr>
        <w:t> </w:t>
      </w:r>
      <w:r>
        <w:rPr/>
        <w:t>with</w:t>
      </w:r>
      <w:r>
        <w:rPr>
          <w:spacing w:val="-2"/>
        </w:rPr>
        <w:t> </w:t>
      </w:r>
      <w:r>
        <w:rPr/>
        <w:t>multiple</w:t>
      </w:r>
      <w:r>
        <w:rPr>
          <w:spacing w:val="-3"/>
        </w:rPr>
        <w:t> </w:t>
      </w:r>
      <w:r>
        <w:rPr/>
        <w:t>partners,</w:t>
      </w:r>
      <w:r>
        <w:rPr>
          <w:spacing w:val="-2"/>
        </w:rPr>
        <w:t> </w:t>
      </w:r>
      <w:r>
        <w:rPr/>
        <w:t>injecting</w:t>
      </w:r>
      <w:r>
        <w:rPr>
          <w:spacing w:val="-2"/>
        </w:rPr>
        <w:t> </w:t>
      </w:r>
      <w:r>
        <w:rPr/>
        <w:t>drug</w:t>
      </w:r>
      <w:r>
        <w:rPr>
          <w:spacing w:val="-2"/>
        </w:rPr>
        <w:t> </w:t>
      </w:r>
      <w:r>
        <w:rPr/>
        <w:t>use,</w:t>
      </w:r>
      <w:r>
        <w:rPr>
          <w:spacing w:val="-2"/>
        </w:rPr>
        <w:t> </w:t>
      </w:r>
      <w:r>
        <w:rPr/>
        <w:t>sexual</w:t>
      </w:r>
      <w:r>
        <w:rPr>
          <w:spacing w:val="-2"/>
        </w:rPr>
        <w:t> </w:t>
      </w:r>
      <w:r>
        <w:rPr/>
        <w:t>contact</w:t>
      </w:r>
      <w:r>
        <w:rPr>
          <w:spacing w:val="-2"/>
        </w:rPr>
        <w:t> </w:t>
      </w:r>
      <w:r>
        <w:rPr/>
        <w:t>with injecting drug users, sexual abuse (in which women are particularly vulnerable to HIV infection), unprotected sex between men and low use of condoms.</w:t>
      </w:r>
      <w:r>
        <w:rPr>
          <w:spacing w:val="-4"/>
        </w:rPr>
        <w:t> </w:t>
      </w:r>
      <w:r>
        <w:rPr/>
        <w:t>Besides</w:t>
      </w:r>
      <w:r>
        <w:rPr>
          <w:spacing w:val="-4"/>
        </w:rPr>
        <w:t> </w:t>
      </w:r>
      <w:r>
        <w:rPr/>
        <w:t>these</w:t>
      </w:r>
      <w:r>
        <w:rPr>
          <w:spacing w:val="-5"/>
        </w:rPr>
        <w:t> </w:t>
      </w:r>
      <w:r>
        <w:rPr/>
        <w:t>behavioral</w:t>
      </w:r>
      <w:r>
        <w:rPr>
          <w:spacing w:val="-4"/>
        </w:rPr>
        <w:t> </w:t>
      </w:r>
      <w:r>
        <w:rPr/>
        <w:t>risks,</w:t>
      </w:r>
      <w:r>
        <w:rPr>
          <w:spacing w:val="-4"/>
        </w:rPr>
        <w:t> </w:t>
      </w:r>
      <w:r>
        <w:rPr/>
        <w:t>mental</w:t>
      </w:r>
      <w:r>
        <w:rPr>
          <w:spacing w:val="-4"/>
        </w:rPr>
        <w:t> </w:t>
      </w:r>
      <w:r>
        <w:rPr/>
        <w:t>disorders</w:t>
      </w:r>
      <w:r>
        <w:rPr>
          <w:spacing w:val="-4"/>
        </w:rPr>
        <w:t> </w:t>
      </w:r>
      <w:r>
        <w:rPr/>
        <w:t>may</w:t>
      </w:r>
      <w:r>
        <w:rPr>
          <w:spacing w:val="-4"/>
        </w:rPr>
        <w:t> </w:t>
      </w:r>
      <w:r>
        <w:rPr/>
        <w:t>also</w:t>
      </w:r>
      <w:r>
        <w:rPr>
          <w:spacing w:val="-4"/>
        </w:rPr>
        <w:t> </w:t>
      </w:r>
      <w:r>
        <w:rPr/>
        <w:t>interfere with the ability to acquire and/or use information about HIV/AIDS and thus to practice safer behaviors or increase the likelihood of situations occurring in which risk behaviors are more common. Inadequate provision of integrated services for people with mental-health and substance-use disorders, HIV/AIDS and related physical, psychological and social problems creates an additional serious barrier to treatment and care for HIV/ </w:t>
      </w:r>
      <w:r>
        <w:rPr>
          <w:spacing w:val="-2"/>
        </w:rPr>
        <w:t>AIDS.</w:t>
      </w:r>
    </w:p>
    <w:p>
      <w:pPr>
        <w:pStyle w:val="BodyText"/>
        <w:spacing w:before="7"/>
        <w:rPr>
          <w:sz w:val="26"/>
        </w:rPr>
      </w:pPr>
    </w:p>
    <w:p>
      <w:pPr>
        <w:pStyle w:val="BodyText"/>
        <w:spacing w:line="259" w:lineRule="auto" w:before="1"/>
        <w:ind w:left="400" w:right="502"/>
      </w:pPr>
      <w:r>
        <w:rPr/>
        <w:t>There is consistently strong evidence from high-income countries that adherence</w:t>
      </w:r>
      <w:r>
        <w:rPr>
          <w:spacing w:val="-5"/>
        </w:rPr>
        <w:t> </w:t>
      </w:r>
      <w:r>
        <w:rPr/>
        <w:t>to</w:t>
      </w:r>
      <w:r>
        <w:rPr>
          <w:spacing w:val="-4"/>
        </w:rPr>
        <w:t> </w:t>
      </w:r>
      <w:r>
        <w:rPr/>
        <w:t>highly</w:t>
      </w:r>
      <w:r>
        <w:rPr>
          <w:spacing w:val="-4"/>
        </w:rPr>
        <w:t> </w:t>
      </w:r>
      <w:r>
        <w:rPr/>
        <w:t>active</w:t>
      </w:r>
      <w:r>
        <w:rPr>
          <w:spacing w:val="-5"/>
        </w:rPr>
        <w:t> </w:t>
      </w:r>
      <w:r>
        <w:rPr/>
        <w:t>antiretroviral</w:t>
      </w:r>
      <w:r>
        <w:rPr>
          <w:spacing w:val="-4"/>
        </w:rPr>
        <w:t> </w:t>
      </w:r>
      <w:r>
        <w:rPr/>
        <w:t>therapy</w:t>
      </w:r>
      <w:r>
        <w:rPr>
          <w:spacing w:val="-4"/>
        </w:rPr>
        <w:t> </w:t>
      </w:r>
      <w:r>
        <w:rPr/>
        <w:t>is</w:t>
      </w:r>
      <w:r>
        <w:rPr>
          <w:spacing w:val="-4"/>
        </w:rPr>
        <w:t> </w:t>
      </w:r>
      <w:r>
        <w:rPr/>
        <w:t>lowered</w:t>
      </w:r>
      <w:r>
        <w:rPr>
          <w:spacing w:val="-4"/>
        </w:rPr>
        <w:t> </w:t>
      </w:r>
      <w:r>
        <w:rPr/>
        <w:t>by</w:t>
      </w:r>
      <w:r>
        <w:rPr>
          <w:spacing w:val="-4"/>
        </w:rPr>
        <w:t> </w:t>
      </w:r>
      <w:r>
        <w:rPr/>
        <w:t>depression, cognitive impairment, alcohol use and substance-use disorders.</w:t>
      </w:r>
    </w:p>
    <w:p>
      <w:pPr>
        <w:pStyle w:val="BodyText"/>
        <w:spacing w:line="259" w:lineRule="auto"/>
        <w:ind w:left="400" w:right="867"/>
      </w:pPr>
      <w:r>
        <w:rPr/>
        <w:t>Furthermore, such therapy, especially with efivarenz, can be associated with a range of side effects on the central nervous system, including depression, nervousness, euphoria, hallucination and psychosis.</w:t>
      </w:r>
      <w:r>
        <w:rPr>
          <w:spacing w:val="40"/>
        </w:rPr>
        <w:t> </w:t>
      </w:r>
      <w:r>
        <w:rPr/>
        <w:t>Mental disorders,</w:t>
      </w:r>
      <w:r>
        <w:rPr>
          <w:spacing w:val="-12"/>
        </w:rPr>
        <w:t> </w:t>
      </w:r>
      <w:r>
        <w:rPr/>
        <w:t>including</w:t>
      </w:r>
      <w:r>
        <w:rPr>
          <w:spacing w:val="-12"/>
        </w:rPr>
        <w:t> </w:t>
      </w:r>
      <w:r>
        <w:rPr/>
        <w:t>substance</w:t>
      </w:r>
      <w:r>
        <w:rPr>
          <w:spacing w:val="-13"/>
        </w:rPr>
        <w:t> </w:t>
      </w:r>
      <w:r>
        <w:rPr/>
        <w:t>use</w:t>
      </w:r>
      <w:r>
        <w:rPr>
          <w:spacing w:val="-13"/>
        </w:rPr>
        <w:t> </w:t>
      </w:r>
      <w:r>
        <w:rPr/>
        <w:t>disorders,</w:t>
      </w:r>
      <w:r>
        <w:rPr>
          <w:spacing w:val="-12"/>
        </w:rPr>
        <w:t> </w:t>
      </w:r>
      <w:r>
        <w:rPr/>
        <w:t>are</w:t>
      </w:r>
      <w:r>
        <w:rPr>
          <w:spacing w:val="-13"/>
        </w:rPr>
        <w:t> </w:t>
      </w:r>
      <w:r>
        <w:rPr/>
        <w:t>risk</w:t>
      </w:r>
      <w:r>
        <w:rPr>
          <w:spacing w:val="-12"/>
        </w:rPr>
        <w:t> </w:t>
      </w:r>
      <w:r>
        <w:rPr/>
        <w:t>factors</w:t>
      </w:r>
      <w:r>
        <w:rPr>
          <w:spacing w:val="-11"/>
        </w:rPr>
        <w:t> </w:t>
      </w:r>
      <w:r>
        <w:rPr/>
        <w:t>for</w:t>
      </w:r>
      <w:r>
        <w:rPr>
          <w:spacing w:val="-11"/>
        </w:rPr>
        <w:t> </w:t>
      </w:r>
      <w:r>
        <w:rPr/>
        <w:t>contracting HIV, and the presence of HIV/AIDS increases the risk of development of mental disorders. The resulting comorbidity complicates help-seeking, diagnosis, quality of care provided, treatment and its outcomes, and adherence. The diagnosis of mental health problems in HIV-infected individuals faces several barriers. Patients often do not reveal their psychological state to health-care professionals for fear of being stigmatized further.</w:t>
      </w:r>
      <w:r>
        <w:rPr>
          <w:spacing w:val="-8"/>
        </w:rPr>
        <w:t> </w:t>
      </w:r>
      <w:r>
        <w:rPr/>
        <w:t>Also, health-care professionals are often not skilled in detecting psychological symptoms and, even when they do, they often fail</w:t>
      </w:r>
    </w:p>
    <w:p>
      <w:pPr>
        <w:spacing w:after="0" w:line="259" w:lineRule="auto"/>
        <w:sectPr>
          <w:pgSz w:w="12240" w:h="15840"/>
          <w:pgMar w:header="0" w:footer="765" w:top="1260" w:bottom="980" w:left="1400" w:right="1180"/>
        </w:sectPr>
      </w:pPr>
    </w:p>
    <w:p>
      <w:pPr>
        <w:pStyle w:val="BodyText"/>
        <w:spacing w:line="259" w:lineRule="auto" w:before="66"/>
        <w:ind w:left="400" w:right="925"/>
      </w:pPr>
      <w:r>
        <w:rPr/>
        <w:t>to</w:t>
      </w:r>
      <w:r>
        <w:rPr>
          <w:spacing w:val="-4"/>
        </w:rPr>
        <w:t> </w:t>
      </w:r>
      <w:r>
        <w:rPr/>
        <w:t>take</w:t>
      </w:r>
      <w:r>
        <w:rPr>
          <w:spacing w:val="-5"/>
        </w:rPr>
        <w:t> </w:t>
      </w:r>
      <w:r>
        <w:rPr/>
        <w:t>the</w:t>
      </w:r>
      <w:r>
        <w:rPr>
          <w:spacing w:val="-5"/>
        </w:rPr>
        <w:t> </w:t>
      </w:r>
      <w:r>
        <w:rPr/>
        <w:t>necessary</w:t>
      </w:r>
      <w:r>
        <w:rPr>
          <w:spacing w:val="-4"/>
        </w:rPr>
        <w:t> </w:t>
      </w:r>
      <w:r>
        <w:rPr/>
        <w:t>action</w:t>
      </w:r>
      <w:r>
        <w:rPr>
          <w:spacing w:val="-4"/>
        </w:rPr>
        <w:t> </w:t>
      </w:r>
      <w:r>
        <w:rPr/>
        <w:t>for</w:t>
      </w:r>
      <w:r>
        <w:rPr>
          <w:spacing w:val="-4"/>
        </w:rPr>
        <w:t> </w:t>
      </w:r>
      <w:r>
        <w:rPr/>
        <w:t>further</w:t>
      </w:r>
      <w:r>
        <w:rPr>
          <w:spacing w:val="-4"/>
        </w:rPr>
        <w:t> </w:t>
      </w:r>
      <w:r>
        <w:rPr/>
        <w:t>assessment,</w:t>
      </w:r>
      <w:r>
        <w:rPr>
          <w:spacing w:val="-4"/>
        </w:rPr>
        <w:t> </w:t>
      </w:r>
      <w:r>
        <w:rPr/>
        <w:t>management</w:t>
      </w:r>
      <w:r>
        <w:rPr>
          <w:spacing w:val="-4"/>
        </w:rPr>
        <w:t> </w:t>
      </w:r>
      <w:r>
        <w:rPr/>
        <w:t>and </w:t>
      </w:r>
      <w:r>
        <w:rPr>
          <w:spacing w:val="-2"/>
        </w:rPr>
        <w:t>referral.</w:t>
      </w:r>
    </w:p>
    <w:p>
      <w:pPr>
        <w:pStyle w:val="BodyText"/>
        <w:spacing w:before="9"/>
        <w:rPr>
          <w:sz w:val="27"/>
        </w:rPr>
      </w:pPr>
    </w:p>
    <w:p>
      <w:pPr>
        <w:pStyle w:val="Heading2"/>
        <w:ind w:left="400" w:right="502"/>
      </w:pPr>
      <w:r>
        <w:rPr/>
        <w:t>Counseling</w:t>
      </w:r>
      <w:r>
        <w:rPr>
          <w:spacing w:val="-9"/>
        </w:rPr>
        <w:t> </w:t>
      </w:r>
      <w:r>
        <w:rPr/>
        <w:t>Clients</w:t>
      </w:r>
      <w:r>
        <w:rPr>
          <w:spacing w:val="-5"/>
        </w:rPr>
        <w:t> </w:t>
      </w:r>
      <w:r>
        <w:rPr/>
        <w:t>with</w:t>
      </w:r>
      <w:r>
        <w:rPr>
          <w:spacing w:val="-6"/>
        </w:rPr>
        <w:t> </w:t>
      </w:r>
      <w:r>
        <w:rPr/>
        <w:t>STDs</w:t>
      </w:r>
      <w:r>
        <w:rPr>
          <w:spacing w:val="-5"/>
        </w:rPr>
        <w:t> </w:t>
      </w:r>
      <w:r>
        <w:rPr/>
        <w:t>Such</w:t>
      </w:r>
      <w:r>
        <w:rPr>
          <w:spacing w:val="-6"/>
        </w:rPr>
        <w:t> </w:t>
      </w:r>
      <w:r>
        <w:rPr/>
        <w:t>as</w:t>
      </w:r>
      <w:r>
        <w:rPr>
          <w:spacing w:val="-5"/>
        </w:rPr>
        <w:t> </w:t>
      </w:r>
      <w:r>
        <w:rPr/>
        <w:t>HIV</w:t>
      </w:r>
      <w:r>
        <w:rPr>
          <w:spacing w:val="-15"/>
        </w:rPr>
        <w:t> </w:t>
      </w:r>
      <w:r>
        <w:rPr/>
        <w:t>and</w:t>
      </w:r>
      <w:r>
        <w:rPr>
          <w:spacing w:val="-6"/>
        </w:rPr>
        <w:t> </w:t>
      </w:r>
      <w:r>
        <w:rPr/>
        <w:t>Substance</w:t>
      </w:r>
      <w:r>
        <w:rPr>
          <w:spacing w:val="-32"/>
        </w:rPr>
        <w:t> </w:t>
      </w:r>
      <w:r>
        <w:rPr/>
        <w:t>Abuse </w:t>
      </w:r>
      <w:r>
        <w:rPr>
          <w:spacing w:val="-2"/>
        </w:rPr>
        <w:t>Disorders</w:t>
      </w:r>
    </w:p>
    <w:p>
      <w:pPr>
        <w:pStyle w:val="BodyText"/>
        <w:spacing w:before="7"/>
        <w:rPr>
          <w:b/>
          <w:sz w:val="27"/>
        </w:rPr>
      </w:pPr>
    </w:p>
    <w:p>
      <w:pPr>
        <w:pStyle w:val="BodyText"/>
        <w:spacing w:line="259" w:lineRule="auto"/>
        <w:ind w:left="400" w:right="676"/>
      </w:pPr>
      <w:r>
        <w:rPr/>
        <w:t>The pandemics of substance abuse and HIV/AIDS are clearly moving along similar paths, and each continues to present unique, yet interrelated, challenges. First, both disorders are considered to be chronic--that is, lifelong diseases. Second, substance abuse is a primary risk behavior for HIV infection. Third, a diagnosis of HIV infection or related conditions can be a stressor for an individual already in recovery from a substance abuse disorder. However, the diagnosis of HIV infection may motivate a client to enter substance abuse treatment. Injection drug users who test positive for HIV are more likely to enter treatment than those who test negative.</w:t>
      </w:r>
      <w:r>
        <w:rPr>
          <w:spacing w:val="-16"/>
        </w:rPr>
        <w:t> </w:t>
      </w:r>
      <w:r>
        <w:rPr/>
        <w:t>Also, studies</w:t>
      </w:r>
      <w:r>
        <w:rPr>
          <w:spacing w:val="-4"/>
        </w:rPr>
        <w:t> </w:t>
      </w:r>
      <w:r>
        <w:rPr/>
        <w:t>have</w:t>
      </w:r>
      <w:r>
        <w:rPr>
          <w:spacing w:val="-5"/>
        </w:rPr>
        <w:t> </w:t>
      </w:r>
      <w:r>
        <w:rPr/>
        <w:t>noted</w:t>
      </w:r>
      <w:r>
        <w:rPr>
          <w:spacing w:val="-4"/>
        </w:rPr>
        <w:t> </w:t>
      </w:r>
      <w:r>
        <w:rPr/>
        <w:t>a</w:t>
      </w:r>
      <w:r>
        <w:rPr>
          <w:spacing w:val="-5"/>
        </w:rPr>
        <w:t> </w:t>
      </w:r>
      <w:r>
        <w:rPr/>
        <w:t>reduction</w:t>
      </w:r>
      <w:r>
        <w:rPr>
          <w:spacing w:val="-4"/>
        </w:rPr>
        <w:t> </w:t>
      </w:r>
      <w:r>
        <w:rPr/>
        <w:t>in</w:t>
      </w:r>
      <w:r>
        <w:rPr>
          <w:spacing w:val="-4"/>
        </w:rPr>
        <w:t> </w:t>
      </w:r>
      <w:r>
        <w:rPr/>
        <w:t>risk-taking</w:t>
      </w:r>
      <w:r>
        <w:rPr>
          <w:spacing w:val="-4"/>
        </w:rPr>
        <w:t> </w:t>
      </w:r>
      <w:r>
        <w:rPr/>
        <w:t>behaviors</w:t>
      </w:r>
      <w:r>
        <w:rPr>
          <w:spacing w:val="-4"/>
        </w:rPr>
        <w:t> </w:t>
      </w:r>
      <w:r>
        <w:rPr/>
        <w:t>among</w:t>
      </w:r>
      <w:r>
        <w:rPr>
          <w:spacing w:val="-4"/>
        </w:rPr>
        <w:t> </w:t>
      </w:r>
      <w:r>
        <w:rPr/>
        <w:t>injection</w:t>
      </w:r>
      <w:r>
        <w:rPr>
          <w:spacing w:val="-4"/>
        </w:rPr>
        <w:t> </w:t>
      </w:r>
      <w:r>
        <w:rPr/>
        <w:t>drug users</w:t>
      </w:r>
      <w:r>
        <w:rPr>
          <w:spacing w:val="-5"/>
        </w:rPr>
        <w:t> </w:t>
      </w:r>
      <w:r>
        <w:rPr/>
        <w:t>who</w:t>
      </w:r>
      <w:r>
        <w:rPr>
          <w:spacing w:val="-5"/>
        </w:rPr>
        <w:t> </w:t>
      </w:r>
      <w:r>
        <w:rPr/>
        <w:t>test</w:t>
      </w:r>
      <w:r>
        <w:rPr>
          <w:spacing w:val="-5"/>
        </w:rPr>
        <w:t> </w:t>
      </w:r>
      <w:r>
        <w:rPr/>
        <w:t>positive</w:t>
      </w:r>
      <w:r>
        <w:rPr>
          <w:spacing w:val="-6"/>
        </w:rPr>
        <w:t> </w:t>
      </w:r>
      <w:r>
        <w:rPr/>
        <w:t>for</w:t>
      </w:r>
      <w:r>
        <w:rPr>
          <w:spacing w:val="-5"/>
        </w:rPr>
        <w:t> </w:t>
      </w:r>
      <w:r>
        <w:rPr/>
        <w:t>HIV.</w:t>
      </w:r>
      <w:r>
        <w:rPr>
          <w:spacing w:val="-10"/>
        </w:rPr>
        <w:t> </w:t>
      </w:r>
      <w:r>
        <w:rPr/>
        <w:t>The</w:t>
      </w:r>
      <w:r>
        <w:rPr>
          <w:spacing w:val="-6"/>
        </w:rPr>
        <w:t> </w:t>
      </w:r>
      <w:r>
        <w:rPr/>
        <w:t>diagnoses</w:t>
      </w:r>
      <w:r>
        <w:rPr>
          <w:spacing w:val="-5"/>
        </w:rPr>
        <w:t> </w:t>
      </w:r>
      <w:r>
        <w:rPr/>
        <w:t>of</w:t>
      </w:r>
      <w:r>
        <w:rPr>
          <w:spacing w:val="-5"/>
        </w:rPr>
        <w:t> </w:t>
      </w:r>
      <w:r>
        <w:rPr/>
        <w:t>a</w:t>
      </w:r>
      <w:r>
        <w:rPr>
          <w:spacing w:val="-6"/>
        </w:rPr>
        <w:t> </w:t>
      </w:r>
      <w:r>
        <w:rPr/>
        <w:t>substance</w:t>
      </w:r>
      <w:r>
        <w:rPr>
          <w:spacing w:val="-6"/>
        </w:rPr>
        <w:t> </w:t>
      </w:r>
      <w:r>
        <w:rPr/>
        <w:t>abuse</w:t>
      </w:r>
      <w:r>
        <w:rPr>
          <w:spacing w:val="-6"/>
        </w:rPr>
        <w:t> </w:t>
      </w:r>
      <w:r>
        <w:rPr/>
        <w:t>disorder and HIV/AIDS require extensive physical and mental health care and counseling in conjunction with extensive social services. To deal with the myriad issues surrounding substance abusers who are HIV positive, substance abuse treatment professionals must continually update their skills and knowledge as well as reexamine their own attitudes and biases.</w:t>
      </w:r>
    </w:p>
    <w:p>
      <w:pPr>
        <w:pStyle w:val="BodyText"/>
        <w:rPr>
          <w:sz w:val="20"/>
        </w:rPr>
      </w:pPr>
    </w:p>
    <w:p>
      <w:pPr>
        <w:pStyle w:val="BodyText"/>
        <w:rPr>
          <w:sz w:val="20"/>
        </w:rPr>
      </w:pPr>
    </w:p>
    <w:p>
      <w:pPr>
        <w:pStyle w:val="BodyText"/>
        <w:spacing w:before="7"/>
        <w:rPr>
          <w:sz w:val="10"/>
        </w:rPr>
      </w:pPr>
      <w:r>
        <w:rPr/>
        <mc:AlternateContent>
          <mc:Choice Requires="wps">
            <w:drawing>
              <wp:anchor distT="0" distB="0" distL="0" distR="0" allowOverlap="1" layoutInCell="1" locked="0" behindDoc="1" simplePos="0" relativeHeight="487673344">
                <wp:simplePos x="0" y="0"/>
                <wp:positionH relativeFrom="page">
                  <wp:posOffset>1143000</wp:posOffset>
                </wp:positionH>
                <wp:positionV relativeFrom="paragraph">
                  <wp:posOffset>92703</wp:posOffset>
                </wp:positionV>
                <wp:extent cx="5486400" cy="1270"/>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5486400" cy="1270"/>
                        </a:xfrm>
                        <a:custGeom>
                          <a:avLst/>
                          <a:gdLst/>
                          <a:ahLst/>
                          <a:cxnLst/>
                          <a:rect l="l" t="t" r="r" b="b"/>
                          <a:pathLst>
                            <a:path w="5486400" h="0">
                              <a:moveTo>
                                <a:pt x="0" y="0"/>
                              </a:moveTo>
                              <a:lnTo>
                                <a:pt x="54864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90pt;margin-top:7.299512pt;width:432pt;height:.1pt;mso-position-horizontal-relative:page;mso-position-vertical-relative:paragraph;z-index:-15643136;mso-wrap-distance-left:0;mso-wrap-distance-right:0" id="docshape337" coordorigin="1800,146" coordsize="8640,0" path="m1800,146l10440,146e" filled="false" stroked="true" strokeweight=".75pt" strokecolor="#999999">
                <v:path arrowok="t"/>
                <v:stroke dashstyle="shortdot"/>
                <w10:wrap type="topAndBottom"/>
              </v:shape>
            </w:pict>
          </mc:Fallback>
        </mc:AlternateContent>
      </w:r>
    </w:p>
    <w:p>
      <w:pPr>
        <w:pStyle w:val="Heading2"/>
        <w:ind w:left="400"/>
      </w:pPr>
      <w:r>
        <w:rPr>
          <w:spacing w:val="-2"/>
        </w:rPr>
        <w:t>Training,</w:t>
      </w:r>
      <w:r>
        <w:rPr>
          <w:spacing w:val="-28"/>
        </w:rPr>
        <w:t> </w:t>
      </w:r>
      <w:r>
        <w:rPr>
          <w:spacing w:val="-2"/>
        </w:rPr>
        <w:t>Attitudes,</w:t>
      </w:r>
      <w:r>
        <w:rPr>
          <w:spacing w:val="-28"/>
        </w:rPr>
        <w:t> </w:t>
      </w:r>
      <w:r>
        <w:rPr>
          <w:spacing w:val="-2"/>
        </w:rPr>
        <w:t>And</w:t>
      </w:r>
      <w:r>
        <w:rPr>
          <w:spacing w:val="-3"/>
        </w:rPr>
        <w:t> </w:t>
      </w:r>
      <w:r>
        <w:rPr>
          <w:spacing w:val="-2"/>
        </w:rPr>
        <w:t>Issues</w:t>
      </w:r>
    </w:p>
    <w:p>
      <w:pPr>
        <w:pStyle w:val="BodyText"/>
        <w:spacing w:before="3"/>
        <w:rPr>
          <w:b/>
          <w:sz w:val="27"/>
        </w:rPr>
      </w:pPr>
    </w:p>
    <w:p>
      <w:pPr>
        <w:pStyle w:val="BodyText"/>
        <w:spacing w:line="259" w:lineRule="auto"/>
        <w:ind w:left="400" w:right="650"/>
      </w:pPr>
      <w:r>
        <w:rPr/>
        <w:t>Before conducting any screening, assessment, or treatment planning, clinicians should reassess their personal attitudes and experiences in</w:t>
      </w:r>
      <w:r>
        <w:rPr>
          <w:spacing w:val="40"/>
        </w:rPr>
        <w:t> </w:t>
      </w:r>
      <w:r>
        <w:rPr/>
        <w:t>working</w:t>
      </w:r>
      <w:r>
        <w:rPr>
          <w:spacing w:val="-4"/>
        </w:rPr>
        <w:t> </w:t>
      </w:r>
      <w:r>
        <w:rPr/>
        <w:t>with</w:t>
      </w:r>
      <w:r>
        <w:rPr>
          <w:spacing w:val="-4"/>
        </w:rPr>
        <w:t> </w:t>
      </w:r>
      <w:r>
        <w:rPr/>
        <w:t>HIV-infected</w:t>
      </w:r>
      <w:r>
        <w:rPr>
          <w:spacing w:val="-4"/>
        </w:rPr>
        <w:t> </w:t>
      </w:r>
      <w:r>
        <w:rPr/>
        <w:t>substance</w:t>
      </w:r>
      <w:r>
        <w:rPr>
          <w:spacing w:val="-5"/>
        </w:rPr>
        <w:t> </w:t>
      </w:r>
      <w:r>
        <w:rPr/>
        <w:t>abusers.</w:t>
      </w:r>
      <w:r>
        <w:rPr>
          <w:spacing w:val="-10"/>
        </w:rPr>
        <w:t> </w:t>
      </w:r>
      <w:r>
        <w:rPr/>
        <w:t>This</w:t>
      </w:r>
      <w:r>
        <w:rPr>
          <w:spacing w:val="-4"/>
        </w:rPr>
        <w:t> </w:t>
      </w:r>
      <w:r>
        <w:rPr/>
        <w:t>section</w:t>
      </w:r>
      <w:r>
        <w:rPr>
          <w:spacing w:val="-4"/>
        </w:rPr>
        <w:t> </w:t>
      </w:r>
      <w:r>
        <w:rPr/>
        <w:t>discusses</w:t>
      </w:r>
      <w:r>
        <w:rPr>
          <w:spacing w:val="-4"/>
        </w:rPr>
        <w:t> </w:t>
      </w:r>
      <w:r>
        <w:rPr/>
        <w:t>several ways in which clinicians can accomplish this, including formal training programs, examining personal attitudes (e.g., countertransference and homophobia), examining fears of infection, and avoiding burnout. It is important</w:t>
      </w:r>
      <w:r>
        <w:rPr>
          <w:spacing w:val="-4"/>
        </w:rPr>
        <w:t> </w:t>
      </w:r>
      <w:r>
        <w:rPr/>
        <w:t>to</w:t>
      </w:r>
      <w:r>
        <w:rPr>
          <w:spacing w:val="-4"/>
        </w:rPr>
        <w:t> </w:t>
      </w:r>
      <w:r>
        <w:rPr/>
        <w:t>reassess</w:t>
      </w:r>
      <w:r>
        <w:rPr>
          <w:spacing w:val="-4"/>
        </w:rPr>
        <w:t> </w:t>
      </w:r>
      <w:r>
        <w:rPr/>
        <w:t>comfort</w:t>
      </w:r>
      <w:r>
        <w:rPr>
          <w:spacing w:val="-4"/>
        </w:rPr>
        <w:t> </w:t>
      </w:r>
      <w:r>
        <w:rPr/>
        <w:t>levels</w:t>
      </w:r>
      <w:r>
        <w:rPr>
          <w:spacing w:val="-4"/>
        </w:rPr>
        <w:t> </w:t>
      </w:r>
      <w:r>
        <w:rPr/>
        <w:t>with</w:t>
      </w:r>
      <w:r>
        <w:rPr>
          <w:spacing w:val="-4"/>
        </w:rPr>
        <w:t> </w:t>
      </w:r>
      <w:r>
        <w:rPr/>
        <w:t>each</w:t>
      </w:r>
      <w:r>
        <w:rPr>
          <w:spacing w:val="-4"/>
        </w:rPr>
        <w:t> </w:t>
      </w:r>
      <w:r>
        <w:rPr/>
        <w:t>client</w:t>
      </w:r>
      <w:r>
        <w:rPr>
          <w:spacing w:val="-4"/>
        </w:rPr>
        <w:t> </w:t>
      </w:r>
      <w:r>
        <w:rPr/>
        <w:t>because</w:t>
      </w:r>
      <w:r>
        <w:rPr>
          <w:spacing w:val="-5"/>
        </w:rPr>
        <w:t> </w:t>
      </w:r>
      <w:r>
        <w:rPr/>
        <w:t>each</w:t>
      </w:r>
      <w:r>
        <w:rPr>
          <w:spacing w:val="-4"/>
        </w:rPr>
        <w:t> </w:t>
      </w:r>
      <w:r>
        <w:rPr/>
        <w:t>client</w:t>
      </w:r>
      <w:r>
        <w:rPr>
          <w:spacing w:val="-4"/>
        </w:rPr>
        <w:t> </w:t>
      </w:r>
      <w:r>
        <w:rPr/>
        <w:t>will vary in demographic and cultural background. For instance, a service provider may feel comfortable working with a young</w:t>
      </w:r>
      <w:r>
        <w:rPr>
          <w:spacing w:val="-13"/>
        </w:rPr>
        <w:t> </w:t>
      </w:r>
      <w:r>
        <w:rPr/>
        <w:t>Asian</w:t>
      </w:r>
      <w:r>
        <w:rPr>
          <w:spacing w:val="-13"/>
        </w:rPr>
        <w:t> </w:t>
      </w:r>
      <w:r>
        <w:rPr/>
        <w:t>American male with a history of alcohol use, yet the same provider may not be at all comfortable with a pregnant Hispanic woman who is an active injection</w:t>
      </w:r>
      <w:r>
        <w:rPr>
          <w:spacing w:val="40"/>
        </w:rPr>
        <w:t> </w:t>
      </w:r>
      <w:r>
        <w:rPr/>
        <w:t>drug user and wishes to have her baby.</w:t>
      </w:r>
    </w:p>
    <w:p>
      <w:pPr>
        <w:spacing w:after="0" w:line="259" w:lineRule="auto"/>
        <w:sectPr>
          <w:pgSz w:w="12240" w:h="15840"/>
          <w:pgMar w:header="0" w:footer="765" w:top="1260" w:bottom="980" w:left="1400" w:right="1180"/>
        </w:sectPr>
      </w:pPr>
    </w:p>
    <w:p>
      <w:pPr>
        <w:pStyle w:val="Heading2"/>
        <w:spacing w:before="146"/>
        <w:ind w:left="400"/>
      </w:pPr>
      <w:r>
        <w:rPr>
          <w:spacing w:val="-2"/>
        </w:rPr>
        <w:t>Training</w:t>
      </w:r>
    </w:p>
    <w:p>
      <w:pPr>
        <w:pStyle w:val="BodyText"/>
        <w:spacing w:before="9"/>
        <w:rPr>
          <w:b/>
          <w:sz w:val="27"/>
        </w:rPr>
      </w:pPr>
    </w:p>
    <w:p>
      <w:pPr>
        <w:pStyle w:val="BodyText"/>
        <w:spacing w:line="259" w:lineRule="auto"/>
        <w:ind w:left="400" w:right="668"/>
      </w:pPr>
      <w:r>
        <w:rPr/>
        <w:t>Clinicians must have the proper training to screen, assess, and counsel clients.</w:t>
      </w:r>
      <w:r>
        <w:rPr>
          <w:spacing w:val="-23"/>
        </w:rPr>
        <w:t> </w:t>
      </w:r>
      <w:r>
        <w:rPr/>
        <w:t>Achieving competency is an ongoing process. The complexities related to people with HIV/</w:t>
      </w:r>
      <w:r>
        <w:rPr>
          <w:spacing w:val="-5"/>
        </w:rPr>
        <w:t> </w:t>
      </w:r>
      <w:r>
        <w:rPr/>
        <w:t>AIDS and substance abuse disorders are constantly changing and do not allow staff members to defer learning or training</w:t>
      </w:r>
      <w:r>
        <w:rPr>
          <w:spacing w:val="-5"/>
        </w:rPr>
        <w:t> </w:t>
      </w:r>
      <w:r>
        <w:rPr/>
        <w:t>or</w:t>
      </w:r>
      <w:r>
        <w:rPr>
          <w:spacing w:val="-5"/>
        </w:rPr>
        <w:t> </w:t>
      </w:r>
      <w:r>
        <w:rPr/>
        <w:t>even</w:t>
      </w:r>
      <w:r>
        <w:rPr>
          <w:spacing w:val="-5"/>
        </w:rPr>
        <w:t> </w:t>
      </w:r>
      <w:r>
        <w:rPr/>
        <w:t>to</w:t>
      </w:r>
      <w:r>
        <w:rPr>
          <w:spacing w:val="-5"/>
        </w:rPr>
        <w:t> </w:t>
      </w:r>
      <w:r>
        <w:rPr/>
        <w:t>maintain</w:t>
      </w:r>
      <w:r>
        <w:rPr>
          <w:spacing w:val="-5"/>
        </w:rPr>
        <w:t> </w:t>
      </w:r>
      <w:r>
        <w:rPr/>
        <w:t>a</w:t>
      </w:r>
      <w:r>
        <w:rPr>
          <w:spacing w:val="-6"/>
        </w:rPr>
        <w:t> </w:t>
      </w:r>
      <w:r>
        <w:rPr/>
        <w:t>"status</w:t>
      </w:r>
      <w:r>
        <w:rPr>
          <w:spacing w:val="-5"/>
        </w:rPr>
        <w:t> </w:t>
      </w:r>
      <w:r>
        <w:rPr/>
        <w:t>quo"</w:t>
      </w:r>
      <w:r>
        <w:rPr>
          <w:spacing w:val="-5"/>
        </w:rPr>
        <w:t> </w:t>
      </w:r>
      <w:r>
        <w:rPr/>
        <w:t>attitude</w:t>
      </w:r>
      <w:r>
        <w:rPr>
          <w:spacing w:val="-6"/>
        </w:rPr>
        <w:t> </w:t>
      </w:r>
      <w:r>
        <w:rPr/>
        <w:t>about</w:t>
      </w:r>
      <w:r>
        <w:rPr>
          <w:spacing w:val="-5"/>
        </w:rPr>
        <w:t> </w:t>
      </w:r>
      <w:r>
        <w:rPr/>
        <w:t>their</w:t>
      </w:r>
      <w:r>
        <w:rPr>
          <w:spacing w:val="-5"/>
        </w:rPr>
        <w:t> </w:t>
      </w:r>
      <w:r>
        <w:rPr/>
        <w:t>competency. Examples of methods to help staff grow in the areas of assessment, screening, and treatment planning include the following:</w:t>
      </w:r>
    </w:p>
    <w:p>
      <w:pPr>
        <w:pStyle w:val="ListParagraph"/>
        <w:numPr>
          <w:ilvl w:val="0"/>
          <w:numId w:val="19"/>
        </w:numPr>
        <w:tabs>
          <w:tab w:pos="1216" w:val="left" w:leader="none"/>
          <w:tab w:pos="1219" w:val="left" w:leader="none"/>
        </w:tabs>
        <w:spacing w:line="242" w:lineRule="auto" w:before="162" w:after="0"/>
        <w:ind w:left="1219" w:right="808" w:hanging="460"/>
        <w:jc w:val="left"/>
        <w:rPr>
          <w:sz w:val="28"/>
        </w:rPr>
      </w:pPr>
      <w:r>
        <w:rPr>
          <w:i/>
          <w:sz w:val="28"/>
        </w:rPr>
        <w:t>Model skills and competencies</w:t>
      </w:r>
      <w:r>
        <w:rPr>
          <w:sz w:val="28"/>
        </w:rPr>
        <w:t>. Less experienced staff can observe supervisors</w:t>
      </w:r>
      <w:r>
        <w:rPr>
          <w:spacing w:val="-8"/>
          <w:sz w:val="28"/>
        </w:rPr>
        <w:t> </w:t>
      </w:r>
      <w:r>
        <w:rPr>
          <w:sz w:val="28"/>
        </w:rPr>
        <w:t>or</w:t>
      </w:r>
      <w:r>
        <w:rPr>
          <w:spacing w:val="-8"/>
          <w:sz w:val="28"/>
        </w:rPr>
        <w:t> </w:t>
      </w:r>
      <w:r>
        <w:rPr>
          <w:sz w:val="28"/>
        </w:rPr>
        <w:t>more</w:t>
      </w:r>
      <w:r>
        <w:rPr>
          <w:spacing w:val="-9"/>
          <w:sz w:val="28"/>
        </w:rPr>
        <w:t> </w:t>
      </w:r>
      <w:r>
        <w:rPr>
          <w:sz w:val="28"/>
        </w:rPr>
        <w:t>tenured</w:t>
      </w:r>
      <w:r>
        <w:rPr>
          <w:spacing w:val="-8"/>
          <w:sz w:val="28"/>
        </w:rPr>
        <w:t> </w:t>
      </w:r>
      <w:r>
        <w:rPr>
          <w:sz w:val="28"/>
        </w:rPr>
        <w:t>staff</w:t>
      </w:r>
      <w:r>
        <w:rPr>
          <w:spacing w:val="-8"/>
          <w:sz w:val="28"/>
        </w:rPr>
        <w:t> </w:t>
      </w:r>
      <w:r>
        <w:rPr>
          <w:sz w:val="28"/>
        </w:rPr>
        <w:t>who</w:t>
      </w:r>
      <w:r>
        <w:rPr>
          <w:spacing w:val="-8"/>
          <w:sz w:val="28"/>
        </w:rPr>
        <w:t> </w:t>
      </w:r>
      <w:r>
        <w:rPr>
          <w:sz w:val="28"/>
        </w:rPr>
        <w:t>demonstrate</w:t>
      </w:r>
      <w:r>
        <w:rPr>
          <w:spacing w:val="-9"/>
          <w:sz w:val="28"/>
        </w:rPr>
        <w:t> </w:t>
      </w:r>
      <w:r>
        <w:rPr>
          <w:sz w:val="28"/>
        </w:rPr>
        <w:t>desired</w:t>
      </w:r>
      <w:r>
        <w:rPr>
          <w:spacing w:val="-9"/>
          <w:sz w:val="28"/>
        </w:rPr>
        <w:t> </w:t>
      </w:r>
      <w:r>
        <w:rPr>
          <w:sz w:val="28"/>
        </w:rPr>
        <w:t>qualities.</w:t>
      </w:r>
    </w:p>
    <w:p>
      <w:pPr>
        <w:pStyle w:val="ListParagraph"/>
        <w:numPr>
          <w:ilvl w:val="0"/>
          <w:numId w:val="19"/>
        </w:numPr>
        <w:tabs>
          <w:tab w:pos="1216" w:val="left" w:leader="none"/>
          <w:tab w:pos="1219" w:val="left" w:leader="none"/>
        </w:tabs>
        <w:spacing w:line="196" w:lineRule="auto" w:before="0" w:after="0"/>
        <w:ind w:left="1219" w:right="658" w:hanging="460"/>
        <w:jc w:val="left"/>
        <w:rPr>
          <w:sz w:val="28"/>
        </w:rPr>
      </w:pPr>
      <w:r>
        <w:rPr>
          <w:i/>
          <w:sz w:val="28"/>
        </w:rPr>
        <w:t>Peer</w:t>
      </w:r>
      <w:r>
        <w:rPr>
          <w:i/>
          <w:spacing w:val="-11"/>
          <w:sz w:val="28"/>
        </w:rPr>
        <w:t> </w:t>
      </w:r>
      <w:r>
        <w:rPr>
          <w:i/>
          <w:sz w:val="28"/>
        </w:rPr>
        <w:t>training</w:t>
      </w:r>
      <w:r>
        <w:rPr>
          <w:i/>
          <w:spacing w:val="-9"/>
          <w:sz w:val="28"/>
        </w:rPr>
        <w:t> </w:t>
      </w:r>
      <w:r>
        <w:rPr>
          <w:i/>
          <w:sz w:val="28"/>
        </w:rPr>
        <w:t>and</w:t>
      </w:r>
      <w:r>
        <w:rPr>
          <w:i/>
          <w:spacing w:val="-9"/>
          <w:sz w:val="28"/>
        </w:rPr>
        <w:t> </w:t>
      </w:r>
      <w:r>
        <w:rPr>
          <w:i/>
          <w:sz w:val="28"/>
        </w:rPr>
        <w:t>feedback</w:t>
      </w:r>
      <w:r>
        <w:rPr>
          <w:sz w:val="28"/>
        </w:rPr>
        <w:t>.</w:t>
      </w:r>
      <w:r>
        <w:rPr>
          <w:spacing w:val="-9"/>
          <w:sz w:val="28"/>
        </w:rPr>
        <w:t> </w:t>
      </w:r>
      <w:r>
        <w:rPr>
          <w:sz w:val="28"/>
        </w:rPr>
        <w:t>Peer</w:t>
      </w:r>
      <w:r>
        <w:rPr>
          <w:spacing w:val="-8"/>
          <w:sz w:val="28"/>
        </w:rPr>
        <w:t> </w:t>
      </w:r>
      <w:r>
        <w:rPr>
          <w:sz w:val="28"/>
        </w:rPr>
        <w:t>teams</w:t>
      </w:r>
      <w:r>
        <w:rPr>
          <w:spacing w:val="-8"/>
          <w:sz w:val="28"/>
        </w:rPr>
        <w:t> </w:t>
      </w:r>
      <w:r>
        <w:rPr>
          <w:sz w:val="28"/>
        </w:rPr>
        <w:t>can</w:t>
      </w:r>
      <w:r>
        <w:rPr>
          <w:spacing w:val="-9"/>
          <w:sz w:val="28"/>
        </w:rPr>
        <w:t> </w:t>
      </w:r>
      <w:r>
        <w:rPr>
          <w:sz w:val="28"/>
        </w:rPr>
        <w:t>provide</w:t>
      </w:r>
      <w:r>
        <w:rPr>
          <w:spacing w:val="-9"/>
          <w:sz w:val="28"/>
        </w:rPr>
        <w:t> </w:t>
      </w:r>
      <w:r>
        <w:rPr>
          <w:sz w:val="28"/>
        </w:rPr>
        <w:t>feedback</w:t>
      </w:r>
      <w:r>
        <w:rPr>
          <w:spacing w:val="-11"/>
          <w:sz w:val="28"/>
        </w:rPr>
        <w:t> </w:t>
      </w:r>
      <w:r>
        <w:rPr>
          <w:sz w:val="28"/>
        </w:rPr>
        <w:t>through direct observation of staff members' interactions with clients, as well</w:t>
      </w:r>
    </w:p>
    <w:p>
      <w:pPr>
        <w:pStyle w:val="BodyText"/>
        <w:spacing w:line="241" w:lineRule="exact"/>
        <w:ind w:left="1219"/>
      </w:pPr>
      <w:r>
        <w:rPr/>
        <w:t>as</w:t>
      </w:r>
      <w:r>
        <w:rPr>
          <w:spacing w:val="-5"/>
        </w:rPr>
        <w:t> </w:t>
      </w:r>
      <w:r>
        <w:rPr/>
        <w:t>review</w:t>
      </w:r>
      <w:r>
        <w:rPr>
          <w:spacing w:val="-2"/>
        </w:rPr>
        <w:t> </w:t>
      </w:r>
      <w:r>
        <w:rPr/>
        <w:t>of</w:t>
      </w:r>
      <w:r>
        <w:rPr>
          <w:spacing w:val="-3"/>
        </w:rPr>
        <w:t> </w:t>
      </w:r>
      <w:r>
        <w:rPr/>
        <w:t>staff</w:t>
      </w:r>
      <w:r>
        <w:rPr>
          <w:spacing w:val="-2"/>
        </w:rPr>
        <w:t> </w:t>
      </w:r>
      <w:r>
        <w:rPr/>
        <w:t>members'</w:t>
      </w:r>
      <w:r>
        <w:rPr>
          <w:spacing w:val="-3"/>
        </w:rPr>
        <w:t> </w:t>
      </w:r>
      <w:r>
        <w:rPr/>
        <w:t>client</w:t>
      </w:r>
      <w:r>
        <w:rPr>
          <w:spacing w:val="-2"/>
        </w:rPr>
        <w:t> charts.</w:t>
      </w:r>
    </w:p>
    <w:p>
      <w:pPr>
        <w:pStyle w:val="ListParagraph"/>
        <w:numPr>
          <w:ilvl w:val="0"/>
          <w:numId w:val="19"/>
        </w:numPr>
        <w:tabs>
          <w:tab w:pos="1216" w:val="left" w:leader="none"/>
          <w:tab w:pos="1219" w:val="left" w:leader="none"/>
        </w:tabs>
        <w:spacing w:line="206" w:lineRule="auto" w:before="0" w:after="0"/>
        <w:ind w:left="1219" w:right="597" w:hanging="460"/>
        <w:jc w:val="left"/>
        <w:rPr>
          <w:sz w:val="28"/>
        </w:rPr>
      </w:pPr>
      <w:r>
        <w:rPr>
          <w:i/>
          <w:sz w:val="28"/>
        </w:rPr>
        <w:t>Case presentations</w:t>
      </w:r>
      <w:r>
        <w:rPr>
          <w:sz w:val="28"/>
        </w:rPr>
        <w:t>.</w:t>
      </w:r>
      <w:r>
        <w:rPr>
          <w:spacing w:val="-5"/>
          <w:sz w:val="28"/>
        </w:rPr>
        <w:t> </w:t>
      </w:r>
      <w:r>
        <w:rPr>
          <w:sz w:val="28"/>
        </w:rPr>
        <w:t>Weekly or monthly group case presentations conducted by a different staff member each time can be effective for building</w:t>
      </w:r>
      <w:r>
        <w:rPr>
          <w:spacing w:val="-7"/>
          <w:sz w:val="28"/>
        </w:rPr>
        <w:t> </w:t>
      </w:r>
      <w:r>
        <w:rPr>
          <w:sz w:val="28"/>
        </w:rPr>
        <w:t>skills</w:t>
      </w:r>
      <w:r>
        <w:rPr>
          <w:spacing w:val="-7"/>
          <w:sz w:val="28"/>
        </w:rPr>
        <w:t> </w:t>
      </w:r>
      <w:r>
        <w:rPr>
          <w:sz w:val="28"/>
        </w:rPr>
        <w:t>and</w:t>
      </w:r>
      <w:r>
        <w:rPr>
          <w:spacing w:val="-7"/>
          <w:sz w:val="28"/>
        </w:rPr>
        <w:t> </w:t>
      </w:r>
      <w:r>
        <w:rPr>
          <w:sz w:val="28"/>
        </w:rPr>
        <w:t>monitoring</w:t>
      </w:r>
      <w:r>
        <w:rPr>
          <w:spacing w:val="-7"/>
          <w:sz w:val="28"/>
        </w:rPr>
        <w:t> </w:t>
      </w:r>
      <w:r>
        <w:rPr>
          <w:sz w:val="28"/>
        </w:rPr>
        <w:t>quality.</w:t>
      </w:r>
      <w:r>
        <w:rPr>
          <w:spacing w:val="-7"/>
          <w:sz w:val="28"/>
        </w:rPr>
        <w:t> </w:t>
      </w:r>
      <w:r>
        <w:rPr>
          <w:sz w:val="28"/>
        </w:rPr>
        <w:t>Case</w:t>
      </w:r>
      <w:r>
        <w:rPr>
          <w:spacing w:val="-8"/>
          <w:sz w:val="28"/>
        </w:rPr>
        <w:t> </w:t>
      </w:r>
      <w:r>
        <w:rPr>
          <w:sz w:val="28"/>
        </w:rPr>
        <w:t>simulation,</w:t>
      </w:r>
      <w:r>
        <w:rPr>
          <w:spacing w:val="-7"/>
          <w:sz w:val="28"/>
        </w:rPr>
        <w:t> </w:t>
      </w:r>
      <w:r>
        <w:rPr>
          <w:sz w:val="28"/>
        </w:rPr>
        <w:t>in</w:t>
      </w:r>
      <w:r>
        <w:rPr>
          <w:spacing w:val="-7"/>
          <w:sz w:val="28"/>
        </w:rPr>
        <w:t> </w:t>
      </w:r>
      <w:r>
        <w:rPr>
          <w:sz w:val="28"/>
        </w:rPr>
        <w:t>which</w:t>
      </w:r>
      <w:r>
        <w:rPr>
          <w:spacing w:val="-9"/>
          <w:sz w:val="28"/>
        </w:rPr>
        <w:t> </w:t>
      </w:r>
      <w:r>
        <w:rPr>
          <w:sz w:val="28"/>
        </w:rPr>
        <w:t>each staff member has an opportunity to ask the "client" a question, is a highly useful training tool.</w:t>
      </w:r>
      <w:r>
        <w:rPr>
          <w:spacing w:val="-11"/>
          <w:sz w:val="28"/>
        </w:rPr>
        <w:t> </w:t>
      </w:r>
      <w:r>
        <w:rPr>
          <w:sz w:val="28"/>
        </w:rPr>
        <w:t>At the end of the presentation, everyone attending can provide feedback about the activity.</w:t>
      </w:r>
    </w:p>
    <w:p>
      <w:pPr>
        <w:pStyle w:val="ListParagraph"/>
        <w:numPr>
          <w:ilvl w:val="0"/>
          <w:numId w:val="19"/>
        </w:numPr>
        <w:tabs>
          <w:tab w:pos="1217" w:val="left" w:leader="none"/>
        </w:tabs>
        <w:spacing w:line="276" w:lineRule="exact" w:before="0" w:after="0"/>
        <w:ind w:left="1217" w:right="0" w:hanging="457"/>
        <w:jc w:val="left"/>
        <w:rPr>
          <w:sz w:val="28"/>
        </w:rPr>
      </w:pPr>
      <w:r>
        <w:rPr>
          <w:i/>
          <w:sz w:val="28"/>
        </w:rPr>
        <w:t>Experiential</w:t>
      </w:r>
      <w:r>
        <w:rPr>
          <w:i/>
          <w:spacing w:val="-15"/>
          <w:sz w:val="28"/>
        </w:rPr>
        <w:t> </w:t>
      </w:r>
      <w:r>
        <w:rPr>
          <w:i/>
          <w:sz w:val="28"/>
        </w:rPr>
        <w:t>skills-building</w:t>
      </w:r>
      <w:r>
        <w:rPr>
          <w:i/>
          <w:spacing w:val="-10"/>
          <w:sz w:val="28"/>
        </w:rPr>
        <w:t> </w:t>
      </w:r>
      <w:r>
        <w:rPr>
          <w:i/>
          <w:sz w:val="28"/>
        </w:rPr>
        <w:t>exercises</w:t>
      </w:r>
      <w:r>
        <w:rPr>
          <w:sz w:val="28"/>
        </w:rPr>
        <w:t>.</w:t>
      </w:r>
      <w:r>
        <w:rPr>
          <w:spacing w:val="-11"/>
          <w:sz w:val="28"/>
        </w:rPr>
        <w:t> </w:t>
      </w:r>
      <w:r>
        <w:rPr>
          <w:sz w:val="28"/>
        </w:rPr>
        <w:t>Many</w:t>
      </w:r>
      <w:r>
        <w:rPr>
          <w:spacing w:val="-11"/>
          <w:sz w:val="28"/>
        </w:rPr>
        <w:t> </w:t>
      </w:r>
      <w:r>
        <w:rPr>
          <w:sz w:val="28"/>
        </w:rPr>
        <w:t>activities</w:t>
      </w:r>
      <w:r>
        <w:rPr>
          <w:spacing w:val="-11"/>
          <w:sz w:val="28"/>
        </w:rPr>
        <w:t> </w:t>
      </w:r>
      <w:r>
        <w:rPr>
          <w:sz w:val="28"/>
        </w:rPr>
        <w:t>can</w:t>
      </w:r>
      <w:r>
        <w:rPr>
          <w:spacing w:val="-11"/>
          <w:sz w:val="28"/>
        </w:rPr>
        <w:t> </w:t>
      </w:r>
      <w:r>
        <w:rPr>
          <w:sz w:val="28"/>
        </w:rPr>
        <w:t>be</w:t>
      </w:r>
      <w:r>
        <w:rPr>
          <w:spacing w:val="-10"/>
          <w:sz w:val="28"/>
        </w:rPr>
        <w:t> </w:t>
      </w:r>
      <w:r>
        <w:rPr>
          <w:sz w:val="28"/>
        </w:rPr>
        <w:t>used</w:t>
      </w:r>
      <w:r>
        <w:rPr>
          <w:spacing w:val="-15"/>
          <w:sz w:val="28"/>
        </w:rPr>
        <w:t> </w:t>
      </w:r>
      <w:r>
        <w:rPr>
          <w:spacing w:val="-5"/>
          <w:sz w:val="28"/>
        </w:rPr>
        <w:t>to</w:t>
      </w:r>
    </w:p>
    <w:p>
      <w:pPr>
        <w:pStyle w:val="BodyText"/>
        <w:spacing w:line="208" w:lineRule="auto"/>
        <w:ind w:left="1219" w:right="668"/>
      </w:pPr>
      <w:r>
        <w:rPr/>
        <w:t>sensitize staff to the client's experiences.</w:t>
      </w:r>
      <w:r>
        <w:rPr>
          <w:spacing w:val="-19"/>
        </w:rPr>
        <w:t> </w:t>
      </w:r>
      <w:r>
        <w:rPr/>
        <w:t>Activities can include encouraging staff members to go to a confidential and anonymous HIV/AIDS test site, or anonymously sit in the waiting room of the local food stamp office, HIV/AIDS clinic, or county jail. Staff must use</w:t>
      </w:r>
      <w:r>
        <w:rPr>
          <w:spacing w:val="-5"/>
        </w:rPr>
        <w:t> </w:t>
      </w:r>
      <w:r>
        <w:rPr/>
        <w:t>different</w:t>
      </w:r>
      <w:r>
        <w:rPr>
          <w:spacing w:val="-5"/>
        </w:rPr>
        <w:t> </w:t>
      </w:r>
      <w:r>
        <w:rPr/>
        <w:t>avenues</w:t>
      </w:r>
      <w:r>
        <w:rPr>
          <w:spacing w:val="-5"/>
        </w:rPr>
        <w:t> </w:t>
      </w:r>
      <w:r>
        <w:rPr/>
        <w:t>to</w:t>
      </w:r>
      <w:r>
        <w:rPr>
          <w:spacing w:val="-5"/>
        </w:rPr>
        <w:t> </w:t>
      </w:r>
      <w:r>
        <w:rPr/>
        <w:t>maintain</w:t>
      </w:r>
      <w:r>
        <w:rPr>
          <w:spacing w:val="-5"/>
        </w:rPr>
        <w:t> </w:t>
      </w:r>
      <w:r>
        <w:rPr/>
        <w:t>a</w:t>
      </w:r>
      <w:r>
        <w:rPr>
          <w:spacing w:val="-5"/>
        </w:rPr>
        <w:t> </w:t>
      </w:r>
      <w:r>
        <w:rPr/>
        <w:t>keen</w:t>
      </w:r>
      <w:r>
        <w:rPr>
          <w:spacing w:val="-5"/>
        </w:rPr>
        <w:t> </w:t>
      </w:r>
      <w:r>
        <w:rPr/>
        <w:t>sensitivity</w:t>
      </w:r>
      <w:r>
        <w:rPr>
          <w:spacing w:val="-5"/>
        </w:rPr>
        <w:t> </w:t>
      </w:r>
      <w:r>
        <w:rPr/>
        <w:t>to</w:t>
      </w:r>
      <w:r>
        <w:rPr>
          <w:spacing w:val="-5"/>
        </w:rPr>
        <w:t> </w:t>
      </w:r>
      <w:r>
        <w:rPr/>
        <w:t>and</w:t>
      </w:r>
      <w:r>
        <w:rPr>
          <w:spacing w:val="-5"/>
        </w:rPr>
        <w:t> </w:t>
      </w:r>
      <w:r>
        <w:rPr/>
        <w:t>awareness of the client's issues.</w:t>
      </w:r>
    </w:p>
    <w:p>
      <w:pPr>
        <w:pStyle w:val="ListParagraph"/>
        <w:numPr>
          <w:ilvl w:val="0"/>
          <w:numId w:val="19"/>
        </w:numPr>
        <w:tabs>
          <w:tab w:pos="1217" w:val="left" w:leader="none"/>
        </w:tabs>
        <w:spacing w:line="275" w:lineRule="exact" w:before="0" w:after="0"/>
        <w:ind w:left="1217" w:right="0" w:hanging="457"/>
        <w:jc w:val="left"/>
        <w:rPr>
          <w:sz w:val="28"/>
        </w:rPr>
      </w:pPr>
      <w:r>
        <w:rPr>
          <w:i/>
          <w:sz w:val="28"/>
        </w:rPr>
        <w:t>Assessment</w:t>
      </w:r>
      <w:r>
        <w:rPr>
          <w:i/>
          <w:spacing w:val="-10"/>
          <w:sz w:val="28"/>
        </w:rPr>
        <w:t> </w:t>
      </w:r>
      <w:r>
        <w:rPr>
          <w:i/>
          <w:sz w:val="28"/>
        </w:rPr>
        <w:t>instruments</w:t>
      </w:r>
      <w:r>
        <w:rPr>
          <w:sz w:val="28"/>
        </w:rPr>
        <w:t>.</w:t>
      </w:r>
      <w:r>
        <w:rPr>
          <w:spacing w:val="-5"/>
          <w:sz w:val="28"/>
        </w:rPr>
        <w:t> </w:t>
      </w:r>
      <w:r>
        <w:rPr>
          <w:sz w:val="28"/>
        </w:rPr>
        <w:t>Use</w:t>
      </w:r>
      <w:r>
        <w:rPr>
          <w:spacing w:val="-6"/>
          <w:sz w:val="28"/>
        </w:rPr>
        <w:t> </w:t>
      </w:r>
      <w:r>
        <w:rPr>
          <w:sz w:val="28"/>
        </w:rPr>
        <w:t>specific</w:t>
      </w:r>
      <w:r>
        <w:rPr>
          <w:spacing w:val="-4"/>
          <w:sz w:val="28"/>
        </w:rPr>
        <w:t> </w:t>
      </w:r>
      <w:r>
        <w:rPr>
          <w:sz w:val="28"/>
        </w:rPr>
        <w:t>assessment</w:t>
      </w:r>
      <w:r>
        <w:rPr>
          <w:spacing w:val="-6"/>
          <w:sz w:val="28"/>
        </w:rPr>
        <w:t> </w:t>
      </w:r>
      <w:r>
        <w:rPr>
          <w:sz w:val="28"/>
        </w:rPr>
        <w:t>tools,</w:t>
      </w:r>
      <w:r>
        <w:rPr>
          <w:spacing w:val="-5"/>
          <w:sz w:val="28"/>
        </w:rPr>
        <w:t> </w:t>
      </w:r>
      <w:r>
        <w:rPr>
          <w:sz w:val="28"/>
        </w:rPr>
        <w:t>such</w:t>
      </w:r>
      <w:r>
        <w:rPr>
          <w:spacing w:val="-3"/>
          <w:sz w:val="28"/>
        </w:rPr>
        <w:t> </w:t>
      </w:r>
      <w:r>
        <w:rPr>
          <w:spacing w:val="-5"/>
          <w:sz w:val="28"/>
        </w:rPr>
        <w:t>as</w:t>
      </w:r>
    </w:p>
    <w:p>
      <w:pPr>
        <w:pStyle w:val="BodyText"/>
        <w:spacing w:line="208" w:lineRule="auto"/>
        <w:ind w:left="1219"/>
      </w:pPr>
      <w:r>
        <w:rPr/>
        <w:t>substance</w:t>
      </w:r>
      <w:r>
        <w:rPr>
          <w:spacing w:val="-15"/>
        </w:rPr>
        <w:t> </w:t>
      </w:r>
      <w:r>
        <w:rPr/>
        <w:t>abuse</w:t>
      </w:r>
      <w:r>
        <w:rPr>
          <w:spacing w:val="-13"/>
        </w:rPr>
        <w:t> </w:t>
      </w:r>
      <w:r>
        <w:rPr/>
        <w:t>and</w:t>
      </w:r>
      <w:r>
        <w:rPr>
          <w:spacing w:val="-12"/>
        </w:rPr>
        <w:t> </w:t>
      </w:r>
      <w:r>
        <w:rPr/>
        <w:t>sexual</w:t>
      </w:r>
      <w:r>
        <w:rPr>
          <w:spacing w:val="-12"/>
        </w:rPr>
        <w:t> </w:t>
      </w:r>
      <w:r>
        <w:rPr/>
        <w:t>history</w:t>
      </w:r>
      <w:r>
        <w:rPr>
          <w:spacing w:val="-13"/>
        </w:rPr>
        <w:t> </w:t>
      </w:r>
      <w:r>
        <w:rPr/>
        <w:t>questionnaires</w:t>
      </w:r>
      <w:r>
        <w:rPr>
          <w:spacing w:val="-12"/>
        </w:rPr>
        <w:t> </w:t>
      </w:r>
      <w:r>
        <w:rPr/>
        <w:t>(e.g.,</w:t>
      </w:r>
      <w:r>
        <w:rPr>
          <w:spacing w:val="-13"/>
        </w:rPr>
        <w:t> </w:t>
      </w:r>
      <w:r>
        <w:rPr/>
        <w:t>the</w:t>
      </w:r>
      <w:r>
        <w:rPr>
          <w:spacing w:val="-18"/>
        </w:rPr>
        <w:t> </w:t>
      </w:r>
      <w:r>
        <w:rPr/>
        <w:t>Addiction Severity Index [ASI]).</w:t>
      </w:r>
    </w:p>
    <w:p>
      <w:pPr>
        <w:pStyle w:val="ListParagraph"/>
        <w:numPr>
          <w:ilvl w:val="0"/>
          <w:numId w:val="19"/>
        </w:numPr>
        <w:tabs>
          <w:tab w:pos="1217" w:val="left" w:leader="none"/>
        </w:tabs>
        <w:spacing w:line="275" w:lineRule="exact" w:before="0" w:after="0"/>
        <w:ind w:left="1217" w:right="0" w:hanging="457"/>
        <w:jc w:val="left"/>
        <w:rPr>
          <w:sz w:val="28"/>
        </w:rPr>
      </w:pPr>
      <w:r>
        <w:rPr>
          <w:i/>
          <w:sz w:val="28"/>
        </w:rPr>
        <w:t>Formal</w:t>
      </w:r>
      <w:r>
        <w:rPr>
          <w:i/>
          <w:spacing w:val="-14"/>
          <w:sz w:val="28"/>
        </w:rPr>
        <w:t> </w:t>
      </w:r>
      <w:r>
        <w:rPr>
          <w:i/>
          <w:sz w:val="28"/>
        </w:rPr>
        <w:t>conferences,</w:t>
      </w:r>
      <w:r>
        <w:rPr>
          <w:i/>
          <w:spacing w:val="-9"/>
          <w:sz w:val="28"/>
        </w:rPr>
        <w:t> </w:t>
      </w:r>
      <w:r>
        <w:rPr>
          <w:i/>
          <w:sz w:val="28"/>
        </w:rPr>
        <w:t>training,</w:t>
      </w:r>
      <w:r>
        <w:rPr>
          <w:i/>
          <w:spacing w:val="-10"/>
          <w:sz w:val="28"/>
        </w:rPr>
        <w:t> </w:t>
      </w:r>
      <w:r>
        <w:rPr>
          <w:i/>
          <w:sz w:val="28"/>
        </w:rPr>
        <w:t>consultations</w:t>
      </w:r>
      <w:r>
        <w:rPr>
          <w:i/>
          <w:spacing w:val="-9"/>
          <w:sz w:val="28"/>
        </w:rPr>
        <w:t> </w:t>
      </w:r>
      <w:r>
        <w:rPr>
          <w:i/>
          <w:sz w:val="28"/>
        </w:rPr>
        <w:t>with</w:t>
      </w:r>
      <w:r>
        <w:rPr>
          <w:i/>
          <w:spacing w:val="-10"/>
          <w:sz w:val="28"/>
        </w:rPr>
        <w:t> </w:t>
      </w:r>
      <w:r>
        <w:rPr>
          <w:i/>
          <w:sz w:val="28"/>
        </w:rPr>
        <w:t>clinicians</w:t>
      </w:r>
      <w:r>
        <w:rPr>
          <w:sz w:val="28"/>
        </w:rPr>
        <w:t>.</w:t>
      </w:r>
      <w:r>
        <w:rPr>
          <w:spacing w:val="-9"/>
          <w:sz w:val="28"/>
        </w:rPr>
        <w:t> </w:t>
      </w:r>
      <w:r>
        <w:rPr>
          <w:spacing w:val="-2"/>
          <w:sz w:val="28"/>
        </w:rPr>
        <w:t>Often</w:t>
      </w:r>
    </w:p>
    <w:p>
      <w:pPr>
        <w:pStyle w:val="BodyText"/>
        <w:spacing w:line="208" w:lineRule="auto" w:before="3"/>
        <w:ind w:left="1219" w:right="502"/>
      </w:pPr>
      <w:r>
        <w:rPr/>
        <w:t>agency budgets are tight, and the first expense to be cut is staff development. This is a major problem for many programs. Programs must establish that improvement and excellence are serious goals and that</w:t>
      </w:r>
      <w:r>
        <w:rPr>
          <w:spacing w:val="-11"/>
        </w:rPr>
        <w:t> </w:t>
      </w:r>
      <w:r>
        <w:rPr/>
        <w:t>attending</w:t>
      </w:r>
      <w:r>
        <w:rPr>
          <w:spacing w:val="-11"/>
        </w:rPr>
        <w:t> </w:t>
      </w:r>
      <w:r>
        <w:rPr/>
        <w:t>treatment-oriented</w:t>
      </w:r>
      <w:r>
        <w:rPr>
          <w:spacing w:val="-11"/>
        </w:rPr>
        <w:t> </w:t>
      </w:r>
      <w:r>
        <w:rPr/>
        <w:t>conferences</w:t>
      </w:r>
      <w:r>
        <w:rPr>
          <w:spacing w:val="-11"/>
        </w:rPr>
        <w:t> </w:t>
      </w:r>
      <w:r>
        <w:rPr/>
        <w:t>is</w:t>
      </w:r>
      <w:r>
        <w:rPr>
          <w:spacing w:val="-11"/>
        </w:rPr>
        <w:t> </w:t>
      </w:r>
      <w:r>
        <w:rPr/>
        <w:t>a</w:t>
      </w:r>
      <w:r>
        <w:rPr>
          <w:spacing w:val="-6"/>
        </w:rPr>
        <w:t> </w:t>
      </w:r>
      <w:r>
        <w:rPr/>
        <w:t>part</w:t>
      </w:r>
      <w:r>
        <w:rPr>
          <w:spacing w:val="-5"/>
        </w:rPr>
        <w:t> </w:t>
      </w:r>
      <w:r>
        <w:rPr/>
        <w:t>of</w:t>
      </w:r>
      <w:r>
        <w:rPr>
          <w:spacing w:val="-5"/>
        </w:rPr>
        <w:t> </w:t>
      </w:r>
      <w:r>
        <w:rPr/>
        <w:t>building</w:t>
      </w:r>
      <w:r>
        <w:rPr>
          <w:spacing w:val="-5"/>
        </w:rPr>
        <w:t> </w:t>
      </w:r>
      <w:r>
        <w:rPr/>
        <w:t>staff competency and moving toward these goals.</w:t>
      </w:r>
    </w:p>
    <w:p>
      <w:pPr>
        <w:pStyle w:val="Heading2"/>
        <w:spacing w:before="195"/>
        <w:ind w:left="400"/>
      </w:pPr>
      <w:r>
        <w:rPr>
          <w:spacing w:val="-2"/>
        </w:rPr>
        <w:t>Attitudes</w:t>
      </w:r>
    </w:p>
    <w:p>
      <w:pPr>
        <w:pStyle w:val="BodyText"/>
        <w:spacing w:before="10"/>
        <w:rPr>
          <w:b/>
          <w:sz w:val="27"/>
        </w:rPr>
      </w:pPr>
    </w:p>
    <w:p>
      <w:pPr>
        <w:pStyle w:val="BodyText"/>
        <w:spacing w:line="259" w:lineRule="auto" w:before="1"/>
        <w:ind w:left="400" w:right="925"/>
      </w:pPr>
      <w:r>
        <w:rPr/>
        <w:t>It</w:t>
      </w:r>
      <w:r>
        <w:rPr>
          <w:spacing w:val="-8"/>
        </w:rPr>
        <w:t> </w:t>
      </w:r>
      <w:r>
        <w:rPr/>
        <w:t>is</w:t>
      </w:r>
      <w:r>
        <w:rPr>
          <w:spacing w:val="-7"/>
        </w:rPr>
        <w:t> </w:t>
      </w:r>
      <w:r>
        <w:rPr/>
        <w:t>important</w:t>
      </w:r>
      <w:r>
        <w:rPr>
          <w:spacing w:val="-8"/>
        </w:rPr>
        <w:t> </w:t>
      </w:r>
      <w:r>
        <w:rPr/>
        <w:t>that</w:t>
      </w:r>
      <w:r>
        <w:rPr>
          <w:spacing w:val="-7"/>
        </w:rPr>
        <w:t> </w:t>
      </w:r>
      <w:r>
        <w:rPr/>
        <w:t>clinicians</w:t>
      </w:r>
      <w:r>
        <w:rPr>
          <w:spacing w:val="-7"/>
        </w:rPr>
        <w:t> </w:t>
      </w:r>
      <w:r>
        <w:rPr/>
        <w:t>be</w:t>
      </w:r>
      <w:r>
        <w:rPr>
          <w:spacing w:val="-8"/>
        </w:rPr>
        <w:t> </w:t>
      </w:r>
      <w:r>
        <w:rPr/>
        <w:t>aware</w:t>
      </w:r>
      <w:r>
        <w:rPr>
          <w:spacing w:val="-8"/>
        </w:rPr>
        <w:t> </w:t>
      </w:r>
      <w:r>
        <w:rPr/>
        <w:t>of</w:t>
      </w:r>
      <w:r>
        <w:rPr>
          <w:spacing w:val="-7"/>
        </w:rPr>
        <w:t> </w:t>
      </w:r>
      <w:r>
        <w:rPr/>
        <w:t>any</w:t>
      </w:r>
      <w:r>
        <w:rPr>
          <w:spacing w:val="-7"/>
        </w:rPr>
        <w:t> </w:t>
      </w:r>
      <w:r>
        <w:rPr/>
        <w:t>of</w:t>
      </w:r>
      <w:r>
        <w:rPr>
          <w:spacing w:val="-7"/>
        </w:rPr>
        <w:t> </w:t>
      </w:r>
      <w:r>
        <w:rPr/>
        <w:t>their</w:t>
      </w:r>
      <w:r>
        <w:rPr>
          <w:spacing w:val="-7"/>
        </w:rPr>
        <w:t> </w:t>
      </w:r>
      <w:r>
        <w:rPr/>
        <w:t>own</w:t>
      </w:r>
      <w:r>
        <w:rPr>
          <w:spacing w:val="-7"/>
        </w:rPr>
        <w:t> </w:t>
      </w:r>
      <w:r>
        <w:rPr/>
        <w:t>attitudes</w:t>
      </w:r>
      <w:r>
        <w:rPr>
          <w:spacing w:val="-7"/>
        </w:rPr>
        <w:t> </w:t>
      </w:r>
      <w:r>
        <w:rPr/>
        <w:t>that might interfere with helping a client. By learning to put aside personal</w:t>
      </w:r>
    </w:p>
    <w:p>
      <w:pPr>
        <w:spacing w:after="0" w:line="259" w:lineRule="auto"/>
        <w:sectPr>
          <w:pgSz w:w="12240" w:h="15840"/>
          <w:pgMar w:header="0" w:footer="765" w:top="1820" w:bottom="980" w:left="1400" w:right="1180"/>
        </w:sectPr>
      </w:pPr>
    </w:p>
    <w:p>
      <w:pPr>
        <w:pStyle w:val="BodyText"/>
        <w:spacing w:line="259" w:lineRule="auto" w:before="66"/>
        <w:ind w:left="400" w:right="604"/>
      </w:pPr>
      <w:r>
        <w:rPr/>
        <w:t>judgments and focus on client needs, staff members can build trust and rapport</w:t>
      </w:r>
      <w:r>
        <w:rPr>
          <w:spacing w:val="-3"/>
        </w:rPr>
        <w:t> </w:t>
      </w:r>
      <w:r>
        <w:rPr/>
        <w:t>with</w:t>
      </w:r>
      <w:r>
        <w:rPr>
          <w:spacing w:val="-3"/>
        </w:rPr>
        <w:t> </w:t>
      </w:r>
      <w:r>
        <w:rPr/>
        <w:t>the</w:t>
      </w:r>
      <w:r>
        <w:rPr>
          <w:spacing w:val="-4"/>
        </w:rPr>
        <w:t> </w:t>
      </w:r>
      <w:r>
        <w:rPr/>
        <w:t>client.</w:t>
      </w:r>
      <w:r>
        <w:rPr>
          <w:spacing w:val="-9"/>
        </w:rPr>
        <w:t> </w:t>
      </w:r>
      <w:r>
        <w:rPr/>
        <w:t>When</w:t>
      </w:r>
      <w:r>
        <w:rPr>
          <w:spacing w:val="-3"/>
        </w:rPr>
        <w:t> </w:t>
      </w:r>
      <w:r>
        <w:rPr/>
        <w:t>a</w:t>
      </w:r>
      <w:r>
        <w:rPr>
          <w:spacing w:val="-4"/>
        </w:rPr>
        <w:t> </w:t>
      </w:r>
      <w:r>
        <w:rPr/>
        <w:t>clinician</w:t>
      </w:r>
      <w:r>
        <w:rPr>
          <w:spacing w:val="-3"/>
        </w:rPr>
        <w:t> </w:t>
      </w:r>
      <w:r>
        <w:rPr/>
        <w:t>can</w:t>
      </w:r>
      <w:r>
        <w:rPr>
          <w:spacing w:val="-3"/>
        </w:rPr>
        <w:t> </w:t>
      </w:r>
      <w:r>
        <w:rPr/>
        <w:t>deal</w:t>
      </w:r>
      <w:r>
        <w:rPr>
          <w:spacing w:val="-3"/>
        </w:rPr>
        <w:t> </w:t>
      </w:r>
      <w:r>
        <w:rPr/>
        <w:t>with</w:t>
      </w:r>
      <w:r>
        <w:rPr>
          <w:spacing w:val="-3"/>
        </w:rPr>
        <w:t> </w:t>
      </w:r>
      <w:r>
        <w:rPr/>
        <w:t>a</w:t>
      </w:r>
      <w:r>
        <w:rPr>
          <w:spacing w:val="-4"/>
        </w:rPr>
        <w:t> </w:t>
      </w:r>
      <w:r>
        <w:rPr/>
        <w:t>client</w:t>
      </w:r>
      <w:r>
        <w:rPr>
          <w:spacing w:val="-3"/>
        </w:rPr>
        <w:t> </w:t>
      </w:r>
      <w:r>
        <w:rPr/>
        <w:t>in</w:t>
      </w:r>
      <w:r>
        <w:rPr>
          <w:spacing w:val="-3"/>
        </w:rPr>
        <w:t> </w:t>
      </w:r>
      <w:r>
        <w:rPr/>
        <w:t>a</w:t>
      </w:r>
      <w:r>
        <w:rPr>
          <w:spacing w:val="-4"/>
        </w:rPr>
        <w:t> </w:t>
      </w:r>
      <w:r>
        <w:rPr/>
        <w:t>sensitive, empathic manner, there is a much greater chance that both will have a positive and successful encounter.</w:t>
      </w:r>
    </w:p>
    <w:p>
      <w:pPr>
        <w:pStyle w:val="BodyText"/>
        <w:spacing w:before="3"/>
      </w:pPr>
    </w:p>
    <w:p>
      <w:pPr>
        <w:pStyle w:val="BodyText"/>
        <w:spacing w:line="259" w:lineRule="auto"/>
        <w:ind w:left="400" w:right="628"/>
        <w:rPr>
          <w:sz w:val="24"/>
        </w:rPr>
      </w:pPr>
      <w:r>
        <w:rPr/>
        <w:t>Countertransference</w:t>
      </w:r>
      <w:r>
        <w:rPr>
          <w:spacing w:val="-4"/>
        </w:rPr>
        <w:t> </w:t>
      </w:r>
      <w:r>
        <w:rPr/>
        <w:t>is</w:t>
      </w:r>
      <w:r>
        <w:rPr>
          <w:spacing w:val="-3"/>
        </w:rPr>
        <w:t> </w:t>
      </w:r>
      <w:r>
        <w:rPr/>
        <w:t>a</w:t>
      </w:r>
      <w:r>
        <w:rPr>
          <w:spacing w:val="-4"/>
        </w:rPr>
        <w:t> </w:t>
      </w:r>
      <w:r>
        <w:rPr/>
        <w:t>set</w:t>
      </w:r>
      <w:r>
        <w:rPr>
          <w:spacing w:val="-3"/>
        </w:rPr>
        <w:t> </w:t>
      </w:r>
      <w:r>
        <w:rPr/>
        <w:t>of</w:t>
      </w:r>
      <w:r>
        <w:rPr>
          <w:spacing w:val="-3"/>
        </w:rPr>
        <w:t> </w:t>
      </w:r>
      <w:r>
        <w:rPr/>
        <w:t>thoughts,</w:t>
      </w:r>
      <w:r>
        <w:rPr>
          <w:spacing w:val="-3"/>
        </w:rPr>
        <w:t> </w:t>
      </w:r>
      <w:r>
        <w:rPr/>
        <w:t>feelings,</w:t>
      </w:r>
      <w:r>
        <w:rPr>
          <w:spacing w:val="-3"/>
        </w:rPr>
        <w:t> </w:t>
      </w:r>
      <w:r>
        <w:rPr/>
        <w:t>and</w:t>
      </w:r>
      <w:r>
        <w:rPr>
          <w:spacing w:val="-3"/>
        </w:rPr>
        <w:t> </w:t>
      </w:r>
      <w:r>
        <w:rPr/>
        <w:t>beliefs</w:t>
      </w:r>
      <w:r>
        <w:rPr>
          <w:spacing w:val="-3"/>
        </w:rPr>
        <w:t> </w:t>
      </w:r>
      <w:r>
        <w:rPr/>
        <w:t>experienced</w:t>
      </w:r>
      <w:r>
        <w:rPr>
          <w:spacing w:val="-3"/>
        </w:rPr>
        <w:t> </w:t>
      </w:r>
      <w:r>
        <w:rPr/>
        <w:t>by a service provider that occurs in response to the client.</w:t>
      </w:r>
      <w:r>
        <w:rPr>
          <w:spacing w:val="-16"/>
        </w:rPr>
        <w:t> </w:t>
      </w:r>
      <w:r>
        <w:rPr/>
        <w:t>Although sometimes these beliefs and feelings are conscious, generally they are not. It is thus unrealistic</w:t>
      </w:r>
      <w:r>
        <w:rPr>
          <w:spacing w:val="-6"/>
        </w:rPr>
        <w:t> </w:t>
      </w:r>
      <w:r>
        <w:rPr/>
        <w:t>to</w:t>
      </w:r>
      <w:r>
        <w:rPr>
          <w:spacing w:val="-5"/>
        </w:rPr>
        <w:t> </w:t>
      </w:r>
      <w:r>
        <w:rPr/>
        <w:t>expect</w:t>
      </w:r>
      <w:r>
        <w:rPr>
          <w:spacing w:val="-5"/>
        </w:rPr>
        <w:t> </w:t>
      </w:r>
      <w:r>
        <w:rPr/>
        <w:t>counselors,</w:t>
      </w:r>
      <w:r>
        <w:rPr>
          <w:spacing w:val="-5"/>
        </w:rPr>
        <w:t> </w:t>
      </w:r>
      <w:r>
        <w:rPr/>
        <w:t>usually</w:t>
      </w:r>
      <w:r>
        <w:rPr>
          <w:spacing w:val="-5"/>
        </w:rPr>
        <w:t> </w:t>
      </w:r>
      <w:r>
        <w:rPr/>
        <w:t>untrained</w:t>
      </w:r>
      <w:r>
        <w:rPr>
          <w:spacing w:val="-5"/>
        </w:rPr>
        <w:t> </w:t>
      </w:r>
      <w:r>
        <w:rPr/>
        <w:t>in</w:t>
      </w:r>
      <w:r>
        <w:rPr>
          <w:spacing w:val="-5"/>
        </w:rPr>
        <w:t> </w:t>
      </w:r>
      <w:r>
        <w:rPr/>
        <w:t>addressing</w:t>
      </w:r>
      <w:r>
        <w:rPr>
          <w:spacing w:val="-5"/>
        </w:rPr>
        <w:t> </w:t>
      </w:r>
      <w:r>
        <w:rPr/>
        <w:t>unconscious mental processing, to be aware of countertransference. Regular clinical supervision, which should be integrated into the staffing</w:t>
      </w:r>
      <w:r>
        <w:rPr>
          <w:spacing w:val="-4"/>
        </w:rPr>
        <w:t> </w:t>
      </w:r>
      <w:r>
        <w:rPr/>
        <w:t>of</w:t>
      </w:r>
      <w:r>
        <w:rPr>
          <w:spacing w:val="-3"/>
        </w:rPr>
        <w:t> </w:t>
      </w:r>
      <w:r>
        <w:rPr/>
        <w:t>the</w:t>
      </w:r>
      <w:r>
        <w:rPr>
          <w:spacing w:val="-4"/>
        </w:rPr>
        <w:t> </w:t>
      </w:r>
      <w:r>
        <w:rPr/>
        <w:t>program,</w:t>
      </w:r>
      <w:r>
        <w:rPr>
          <w:spacing w:val="-3"/>
        </w:rPr>
        <w:t> </w:t>
      </w:r>
      <w:r>
        <w:rPr/>
        <w:t>can help raise their awareness. If such resources exist, counselors may, with caution, address this issu</w:t>
      </w:r>
      <w:r>
        <w:rPr>
          <w:sz w:val="24"/>
        </w:rPr>
        <w:t>e.</w:t>
      </w:r>
    </w:p>
    <w:p>
      <w:pPr>
        <w:pStyle w:val="BodyText"/>
        <w:spacing w:before="8"/>
        <w:rPr>
          <w:sz w:val="27"/>
        </w:rPr>
      </w:pPr>
    </w:p>
    <w:p>
      <w:pPr>
        <w:pStyle w:val="BodyText"/>
        <w:spacing w:line="259" w:lineRule="auto"/>
        <w:ind w:left="400" w:right="502"/>
      </w:pPr>
      <w:r>
        <w:rPr/>
        <w:t>In order to deal with countertransference issues, clinicians must be willing to examine their skills and attitudes. Working with clients who have HIV/AIDS and substance abuse disorders brings up issues for treatment staff that can be both physically and emotionally demanding. Clinicians see a broad range of diverse clients from all walks of life. To work in both these fields, providers must learn to be comfortable in discussing topics they may never have talked about</w:t>
      </w:r>
      <w:r>
        <w:rPr>
          <w:spacing w:val="-6"/>
        </w:rPr>
        <w:t> </w:t>
      </w:r>
      <w:r>
        <w:rPr/>
        <w:t>openly--sex,</w:t>
      </w:r>
      <w:r>
        <w:rPr>
          <w:spacing w:val="-6"/>
        </w:rPr>
        <w:t> </w:t>
      </w:r>
      <w:r>
        <w:rPr/>
        <w:t>drug</w:t>
      </w:r>
      <w:r>
        <w:rPr>
          <w:spacing w:val="-6"/>
        </w:rPr>
        <w:t> </w:t>
      </w:r>
      <w:r>
        <w:rPr/>
        <w:t>use,</w:t>
      </w:r>
      <w:r>
        <w:rPr>
          <w:spacing w:val="-6"/>
        </w:rPr>
        <w:t> </w:t>
      </w:r>
      <w:r>
        <w:rPr/>
        <w:t>death,</w:t>
      </w:r>
      <w:r>
        <w:rPr>
          <w:spacing w:val="-6"/>
        </w:rPr>
        <w:t> </w:t>
      </w:r>
      <w:r>
        <w:rPr/>
        <w:t>grief,</w:t>
      </w:r>
      <w:r>
        <w:rPr>
          <w:spacing w:val="-6"/>
        </w:rPr>
        <w:t> </w:t>
      </w:r>
      <w:r>
        <w:rPr/>
        <w:t>and</w:t>
      </w:r>
      <w:r>
        <w:rPr>
          <w:spacing w:val="-6"/>
        </w:rPr>
        <w:t> </w:t>
      </w:r>
      <w:r>
        <w:rPr/>
        <w:t>so</w:t>
      </w:r>
      <w:r>
        <w:rPr>
          <w:spacing w:val="-6"/>
        </w:rPr>
        <w:t> </w:t>
      </w:r>
      <w:r>
        <w:rPr/>
        <w:t>on.</w:t>
      </w:r>
      <w:r>
        <w:rPr>
          <w:spacing w:val="-11"/>
        </w:rPr>
        <w:t> </w:t>
      </w:r>
      <w:r>
        <w:rPr/>
        <w:t>To</w:t>
      </w:r>
      <w:r>
        <w:rPr>
          <w:spacing w:val="-6"/>
        </w:rPr>
        <w:t> </w:t>
      </w:r>
      <w:r>
        <w:rPr/>
        <w:t>effect</w:t>
      </w:r>
      <w:r>
        <w:rPr>
          <w:spacing w:val="-6"/>
        </w:rPr>
        <w:t> </w:t>
      </w:r>
      <w:r>
        <w:rPr/>
        <w:t>positive</w:t>
      </w:r>
      <w:r>
        <w:rPr>
          <w:spacing w:val="-6"/>
        </w:rPr>
        <w:t> </w:t>
      </w:r>
      <w:r>
        <w:rPr/>
        <w:t>change, clinicians also must be willing to seek additional specialized training and </w:t>
      </w:r>
      <w:r>
        <w:rPr>
          <w:spacing w:val="-2"/>
        </w:rPr>
        <w:t>support.</w:t>
      </w:r>
    </w:p>
    <w:p>
      <w:pPr>
        <w:pStyle w:val="BodyText"/>
        <w:spacing w:before="9"/>
        <w:rPr>
          <w:sz w:val="27"/>
        </w:rPr>
      </w:pPr>
    </w:p>
    <w:p>
      <w:pPr>
        <w:pStyle w:val="Heading2"/>
        <w:ind w:left="400"/>
      </w:pPr>
      <w:r>
        <w:rPr/>
        <w:t>Examining</w:t>
      </w:r>
      <w:r>
        <w:rPr>
          <w:spacing w:val="-3"/>
        </w:rPr>
        <w:t> </w:t>
      </w:r>
      <w:r>
        <w:rPr/>
        <w:t>attitudes</w:t>
      </w:r>
      <w:r>
        <w:rPr>
          <w:spacing w:val="-3"/>
        </w:rPr>
        <w:t> </w:t>
      </w:r>
      <w:r>
        <w:rPr/>
        <w:t>and</w:t>
      </w:r>
      <w:r>
        <w:rPr>
          <w:spacing w:val="-3"/>
        </w:rPr>
        <w:t> </w:t>
      </w:r>
      <w:r>
        <w:rPr>
          <w:spacing w:val="-2"/>
        </w:rPr>
        <w:t>skills</w:t>
      </w:r>
    </w:p>
    <w:p>
      <w:pPr>
        <w:pStyle w:val="BodyText"/>
        <w:spacing w:before="9"/>
        <w:rPr>
          <w:b/>
          <w:sz w:val="27"/>
        </w:rPr>
      </w:pPr>
    </w:p>
    <w:p>
      <w:pPr>
        <w:pStyle w:val="BodyText"/>
        <w:spacing w:line="259" w:lineRule="auto" w:before="1"/>
        <w:ind w:left="400" w:right="668"/>
      </w:pPr>
      <w:r>
        <w:rPr/>
        <w:t>Countertransference</w:t>
      </w:r>
      <w:r>
        <w:rPr>
          <w:spacing w:val="-1"/>
        </w:rPr>
        <w:t> </w:t>
      </w:r>
      <w:r>
        <w:rPr/>
        <w:t>can manifest itself in many different ways.</w:t>
      </w:r>
      <w:r>
        <w:rPr>
          <w:spacing w:val="-6"/>
        </w:rPr>
        <w:t> </w:t>
      </w:r>
      <w:r>
        <w:rPr/>
        <w:t>The</w:t>
      </w:r>
      <w:r>
        <w:rPr>
          <w:spacing w:val="-1"/>
        </w:rPr>
        <w:t> </w:t>
      </w:r>
      <w:r>
        <w:rPr/>
        <w:t>key to seeing countertransference issues is awareness and consciousness-raising. The</w:t>
      </w:r>
      <w:r>
        <w:rPr>
          <w:spacing w:val="-1"/>
        </w:rPr>
        <w:t> </w:t>
      </w:r>
      <w:r>
        <w:rPr/>
        <w:t>commitment to "do</w:t>
      </w:r>
      <w:r>
        <w:rPr>
          <w:spacing w:val="-4"/>
        </w:rPr>
        <w:t> </w:t>
      </w:r>
      <w:r>
        <w:rPr/>
        <w:t>no</w:t>
      </w:r>
      <w:r>
        <w:rPr>
          <w:spacing w:val="-4"/>
        </w:rPr>
        <w:t> </w:t>
      </w:r>
      <w:r>
        <w:rPr/>
        <w:t>harm"</w:t>
      </w:r>
      <w:r>
        <w:rPr>
          <w:spacing w:val="-4"/>
        </w:rPr>
        <w:t> </w:t>
      </w:r>
      <w:r>
        <w:rPr/>
        <w:t>to</w:t>
      </w:r>
      <w:r>
        <w:rPr>
          <w:spacing w:val="-4"/>
        </w:rPr>
        <w:t> </w:t>
      </w:r>
      <w:r>
        <w:rPr/>
        <w:t>clients</w:t>
      </w:r>
      <w:r>
        <w:rPr>
          <w:spacing w:val="-4"/>
        </w:rPr>
        <w:t> </w:t>
      </w:r>
      <w:r>
        <w:rPr/>
        <w:t>and</w:t>
      </w:r>
      <w:r>
        <w:rPr>
          <w:spacing w:val="-4"/>
        </w:rPr>
        <w:t> </w:t>
      </w:r>
      <w:r>
        <w:rPr/>
        <w:t>their</w:t>
      </w:r>
      <w:r>
        <w:rPr>
          <w:spacing w:val="-4"/>
        </w:rPr>
        <w:t> </w:t>
      </w:r>
      <w:r>
        <w:rPr/>
        <w:t>families,</w:t>
      </w:r>
      <w:r>
        <w:rPr>
          <w:spacing w:val="-4"/>
        </w:rPr>
        <w:t> </w:t>
      </w:r>
      <w:r>
        <w:rPr/>
        <w:t>along</w:t>
      </w:r>
      <w:r>
        <w:rPr>
          <w:spacing w:val="-4"/>
        </w:rPr>
        <w:t> </w:t>
      </w:r>
      <w:r>
        <w:rPr/>
        <w:t>with</w:t>
      </w:r>
      <w:r>
        <w:rPr>
          <w:spacing w:val="-4"/>
        </w:rPr>
        <w:t> </w:t>
      </w:r>
      <w:r>
        <w:rPr/>
        <w:t>a desire</w:t>
      </w:r>
      <w:r>
        <w:rPr>
          <w:spacing w:val="-8"/>
        </w:rPr>
        <w:t> </w:t>
      </w:r>
      <w:r>
        <w:rPr/>
        <w:t>to</w:t>
      </w:r>
      <w:r>
        <w:rPr>
          <w:spacing w:val="-7"/>
        </w:rPr>
        <w:t> </w:t>
      </w:r>
      <w:r>
        <w:rPr/>
        <w:t>provide</w:t>
      </w:r>
      <w:r>
        <w:rPr>
          <w:spacing w:val="-8"/>
        </w:rPr>
        <w:t> </w:t>
      </w:r>
      <w:r>
        <w:rPr/>
        <w:t>quality</w:t>
      </w:r>
      <w:r>
        <w:rPr>
          <w:spacing w:val="-7"/>
        </w:rPr>
        <w:t> </w:t>
      </w:r>
      <w:r>
        <w:rPr/>
        <w:t>services,</w:t>
      </w:r>
      <w:r>
        <w:rPr>
          <w:spacing w:val="-4"/>
        </w:rPr>
        <w:t> </w:t>
      </w:r>
      <w:r>
        <w:rPr/>
        <w:t>should</w:t>
      </w:r>
      <w:r>
        <w:rPr>
          <w:spacing w:val="-4"/>
        </w:rPr>
        <w:t> </w:t>
      </w:r>
      <w:r>
        <w:rPr/>
        <w:t>be</w:t>
      </w:r>
      <w:r>
        <w:rPr>
          <w:spacing w:val="-5"/>
        </w:rPr>
        <w:t> </w:t>
      </w:r>
      <w:r>
        <w:rPr/>
        <w:t>the</w:t>
      </w:r>
      <w:r>
        <w:rPr>
          <w:spacing w:val="-5"/>
        </w:rPr>
        <w:t> </w:t>
      </w:r>
      <w:r>
        <w:rPr/>
        <w:t>driving</w:t>
      </w:r>
      <w:r>
        <w:rPr>
          <w:spacing w:val="-4"/>
        </w:rPr>
        <w:t> </w:t>
      </w:r>
      <w:r>
        <w:rPr/>
        <w:t>forces</w:t>
      </w:r>
      <w:r>
        <w:rPr>
          <w:spacing w:val="-4"/>
        </w:rPr>
        <w:t> </w:t>
      </w:r>
      <w:r>
        <w:rPr/>
        <w:t>for</w:t>
      </w:r>
      <w:r>
        <w:rPr>
          <w:spacing w:val="-4"/>
        </w:rPr>
        <w:t> </w:t>
      </w:r>
      <w:r>
        <w:rPr/>
        <w:t>willingly examining these issues.</w:t>
      </w:r>
    </w:p>
    <w:p>
      <w:pPr>
        <w:pStyle w:val="BodyText"/>
        <w:spacing w:before="9"/>
        <w:rPr>
          <w:sz w:val="29"/>
        </w:rPr>
      </w:pPr>
    </w:p>
    <w:p>
      <w:pPr>
        <w:spacing w:line="259" w:lineRule="auto" w:before="0"/>
        <w:ind w:left="400" w:right="502" w:firstLine="0"/>
        <w:jc w:val="left"/>
        <w:rPr>
          <w:sz w:val="28"/>
        </w:rPr>
      </w:pPr>
      <w:r>
        <w:rPr>
          <w:sz w:val="28"/>
        </w:rPr>
        <w:t>The following are some common countertransference issues for providers working</w:t>
      </w:r>
      <w:r>
        <w:rPr>
          <w:spacing w:val="-8"/>
          <w:sz w:val="28"/>
        </w:rPr>
        <w:t> </w:t>
      </w:r>
      <w:r>
        <w:rPr>
          <w:sz w:val="28"/>
        </w:rPr>
        <w:t>with</w:t>
      </w:r>
      <w:r>
        <w:rPr>
          <w:spacing w:val="-5"/>
          <w:sz w:val="28"/>
        </w:rPr>
        <w:t> </w:t>
      </w:r>
      <w:r>
        <w:rPr>
          <w:sz w:val="28"/>
        </w:rPr>
        <w:t>substance</w:t>
      </w:r>
      <w:r>
        <w:rPr>
          <w:spacing w:val="-11"/>
          <w:sz w:val="28"/>
        </w:rPr>
        <w:t> </w:t>
      </w:r>
      <w:r>
        <w:rPr>
          <w:sz w:val="28"/>
        </w:rPr>
        <w:t>abusers</w:t>
      </w:r>
      <w:r>
        <w:rPr>
          <w:spacing w:val="-10"/>
          <w:sz w:val="28"/>
        </w:rPr>
        <w:t> </w:t>
      </w:r>
      <w:r>
        <w:rPr>
          <w:sz w:val="28"/>
        </w:rPr>
        <w:t>who</w:t>
      </w:r>
      <w:r>
        <w:rPr>
          <w:spacing w:val="-10"/>
          <w:sz w:val="28"/>
        </w:rPr>
        <w:t> </w:t>
      </w:r>
      <w:r>
        <w:rPr>
          <w:sz w:val="28"/>
        </w:rPr>
        <w:t>are</w:t>
      </w:r>
      <w:r>
        <w:rPr>
          <w:spacing w:val="-11"/>
          <w:sz w:val="28"/>
        </w:rPr>
        <w:t> </w:t>
      </w:r>
      <w:r>
        <w:rPr>
          <w:sz w:val="28"/>
        </w:rPr>
        <w:t>HIV</w:t>
      </w:r>
      <w:r>
        <w:rPr>
          <w:spacing w:val="-18"/>
          <w:sz w:val="28"/>
        </w:rPr>
        <w:t> </w:t>
      </w:r>
      <w:r>
        <w:rPr>
          <w:sz w:val="28"/>
        </w:rPr>
        <w:t>positive</w:t>
      </w:r>
      <w:r>
        <w:rPr>
          <w:spacing w:val="-10"/>
          <w:sz w:val="28"/>
        </w:rPr>
        <w:t> </w:t>
      </w:r>
      <w:r>
        <w:rPr>
          <w:i/>
          <w:sz w:val="28"/>
        </w:rPr>
        <w:t>(adapted</w:t>
      </w:r>
      <w:r>
        <w:rPr>
          <w:i/>
          <w:spacing w:val="-10"/>
          <w:sz w:val="28"/>
        </w:rPr>
        <w:t> </w:t>
      </w:r>
      <w:r>
        <w:rPr>
          <w:i/>
          <w:sz w:val="28"/>
        </w:rPr>
        <w:t>from</w:t>
      </w:r>
      <w:r>
        <w:rPr>
          <w:i/>
          <w:spacing w:val="-10"/>
          <w:sz w:val="28"/>
        </w:rPr>
        <w:t> </w:t>
      </w:r>
      <w:r>
        <w:rPr>
          <w:i/>
          <w:sz w:val="28"/>
        </w:rPr>
        <w:t>National</w:t>
      </w:r>
      <w:r>
        <w:rPr>
          <w:i/>
          <w:sz w:val="28"/>
        </w:rPr>
        <w:t> Association of Social Workers, NASW)</w:t>
      </w:r>
      <w:r>
        <w:rPr>
          <w:sz w:val="28"/>
        </w:rPr>
        <w:t>:</w:t>
      </w:r>
    </w:p>
    <w:p>
      <w:pPr>
        <w:pStyle w:val="ListParagraph"/>
        <w:numPr>
          <w:ilvl w:val="0"/>
          <w:numId w:val="19"/>
        </w:numPr>
        <w:tabs>
          <w:tab w:pos="1217" w:val="left" w:leader="none"/>
        </w:tabs>
        <w:spacing w:line="234" w:lineRule="exact" w:before="0" w:after="0"/>
        <w:ind w:left="1217" w:right="0" w:hanging="457"/>
        <w:jc w:val="left"/>
        <w:rPr>
          <w:sz w:val="28"/>
        </w:rPr>
      </w:pPr>
      <w:r>
        <w:rPr>
          <w:sz w:val="28"/>
        </w:rPr>
        <w:t>Fear</w:t>
      </w:r>
      <w:r>
        <w:rPr>
          <w:spacing w:val="-2"/>
          <w:sz w:val="28"/>
        </w:rPr>
        <w:t> </w:t>
      </w:r>
      <w:r>
        <w:rPr>
          <w:sz w:val="28"/>
        </w:rPr>
        <w:t>of</w:t>
      </w:r>
      <w:r>
        <w:rPr>
          <w:spacing w:val="-2"/>
          <w:sz w:val="28"/>
        </w:rPr>
        <w:t> contagion</w:t>
      </w:r>
    </w:p>
    <w:p>
      <w:pPr>
        <w:pStyle w:val="ListParagraph"/>
        <w:numPr>
          <w:ilvl w:val="0"/>
          <w:numId w:val="19"/>
        </w:numPr>
        <w:tabs>
          <w:tab w:pos="1217" w:val="left" w:leader="none"/>
        </w:tabs>
        <w:spacing w:line="295" w:lineRule="exact" w:before="0" w:after="0"/>
        <w:ind w:left="1217" w:right="0" w:hanging="457"/>
        <w:jc w:val="left"/>
        <w:rPr>
          <w:sz w:val="28"/>
        </w:rPr>
      </w:pPr>
      <w:r>
        <w:rPr>
          <w:sz w:val="28"/>
        </w:rPr>
        <w:t>Fear</w:t>
      </w:r>
      <w:r>
        <w:rPr>
          <w:spacing w:val="-2"/>
          <w:sz w:val="28"/>
        </w:rPr>
        <w:t> </w:t>
      </w:r>
      <w:r>
        <w:rPr>
          <w:sz w:val="28"/>
        </w:rPr>
        <w:t>of</w:t>
      </w:r>
      <w:r>
        <w:rPr>
          <w:spacing w:val="-2"/>
          <w:sz w:val="28"/>
        </w:rPr>
        <w:t> </w:t>
      </w:r>
      <w:r>
        <w:rPr>
          <w:sz w:val="28"/>
        </w:rPr>
        <w:t>the</w:t>
      </w:r>
      <w:r>
        <w:rPr>
          <w:spacing w:val="-2"/>
          <w:sz w:val="28"/>
        </w:rPr>
        <w:t> unknown</w:t>
      </w:r>
    </w:p>
    <w:p>
      <w:pPr>
        <w:pStyle w:val="ListParagraph"/>
        <w:numPr>
          <w:ilvl w:val="0"/>
          <w:numId w:val="19"/>
        </w:numPr>
        <w:tabs>
          <w:tab w:pos="1217" w:val="left" w:leader="none"/>
        </w:tabs>
        <w:spacing w:line="314" w:lineRule="exact" w:before="0" w:after="0"/>
        <w:ind w:left="1217" w:right="0" w:hanging="457"/>
        <w:jc w:val="left"/>
        <w:rPr>
          <w:sz w:val="28"/>
        </w:rPr>
      </w:pPr>
      <w:r>
        <w:rPr>
          <w:sz w:val="28"/>
        </w:rPr>
        <w:t>Fear</w:t>
      </w:r>
      <w:r>
        <w:rPr>
          <w:spacing w:val="-6"/>
          <w:sz w:val="28"/>
        </w:rPr>
        <w:t> </w:t>
      </w:r>
      <w:r>
        <w:rPr>
          <w:sz w:val="28"/>
        </w:rPr>
        <w:t>of</w:t>
      </w:r>
      <w:r>
        <w:rPr>
          <w:spacing w:val="-3"/>
          <w:sz w:val="28"/>
        </w:rPr>
        <w:t> </w:t>
      </w:r>
      <w:r>
        <w:rPr>
          <w:sz w:val="28"/>
        </w:rPr>
        <w:t>death,</w:t>
      </w:r>
      <w:r>
        <w:rPr>
          <w:spacing w:val="-2"/>
          <w:sz w:val="28"/>
        </w:rPr>
        <w:t> </w:t>
      </w:r>
      <w:r>
        <w:rPr>
          <w:sz w:val="28"/>
        </w:rPr>
        <w:t>dying,</w:t>
      </w:r>
      <w:r>
        <w:rPr>
          <w:spacing w:val="-4"/>
          <w:sz w:val="28"/>
        </w:rPr>
        <w:t> </w:t>
      </w:r>
      <w:r>
        <w:rPr>
          <w:sz w:val="28"/>
        </w:rPr>
        <w:t>grief,</w:t>
      </w:r>
      <w:r>
        <w:rPr>
          <w:spacing w:val="-3"/>
          <w:sz w:val="28"/>
        </w:rPr>
        <w:t> </w:t>
      </w:r>
      <w:r>
        <w:rPr>
          <w:sz w:val="28"/>
        </w:rPr>
        <w:t>and</w:t>
      </w:r>
      <w:r>
        <w:rPr>
          <w:spacing w:val="-2"/>
          <w:sz w:val="28"/>
        </w:rPr>
        <w:t> </w:t>
      </w:r>
      <w:r>
        <w:rPr>
          <w:spacing w:val="-4"/>
          <w:sz w:val="28"/>
        </w:rPr>
        <w:t>loss</w:t>
      </w:r>
    </w:p>
    <w:p>
      <w:pPr>
        <w:pStyle w:val="ListParagraph"/>
        <w:numPr>
          <w:ilvl w:val="0"/>
          <w:numId w:val="19"/>
        </w:numPr>
        <w:tabs>
          <w:tab w:pos="1217" w:val="left" w:leader="none"/>
        </w:tabs>
        <w:spacing w:line="364" w:lineRule="exact" w:before="0" w:after="0"/>
        <w:ind w:left="1217" w:right="0" w:hanging="457"/>
        <w:jc w:val="left"/>
        <w:rPr>
          <w:sz w:val="28"/>
        </w:rPr>
      </w:pPr>
      <w:r>
        <w:rPr>
          <w:sz w:val="28"/>
        </w:rPr>
        <w:t>Stigmatization</w:t>
      </w:r>
      <w:r>
        <w:rPr>
          <w:spacing w:val="-11"/>
          <w:sz w:val="28"/>
        </w:rPr>
        <w:t> </w:t>
      </w:r>
      <w:r>
        <w:rPr>
          <w:sz w:val="28"/>
        </w:rPr>
        <w:t>(e.g.,</w:t>
      </w:r>
      <w:r>
        <w:rPr>
          <w:spacing w:val="-9"/>
          <w:sz w:val="28"/>
        </w:rPr>
        <w:t> </w:t>
      </w:r>
      <w:r>
        <w:rPr>
          <w:sz w:val="28"/>
        </w:rPr>
        <w:t>of</w:t>
      </w:r>
      <w:r>
        <w:rPr>
          <w:spacing w:val="-8"/>
          <w:sz w:val="28"/>
        </w:rPr>
        <w:t> </w:t>
      </w:r>
      <w:r>
        <w:rPr>
          <w:sz w:val="28"/>
        </w:rPr>
        <w:t>people</w:t>
      </w:r>
      <w:r>
        <w:rPr>
          <w:spacing w:val="-11"/>
          <w:sz w:val="28"/>
        </w:rPr>
        <w:t> </w:t>
      </w:r>
      <w:r>
        <w:rPr>
          <w:sz w:val="28"/>
        </w:rPr>
        <w:t>with</w:t>
      </w:r>
      <w:r>
        <w:rPr>
          <w:spacing w:val="-9"/>
          <w:sz w:val="28"/>
        </w:rPr>
        <w:t> </w:t>
      </w:r>
      <w:r>
        <w:rPr>
          <w:sz w:val="28"/>
        </w:rPr>
        <w:t>mental</w:t>
      </w:r>
      <w:r>
        <w:rPr>
          <w:spacing w:val="-8"/>
          <w:sz w:val="28"/>
        </w:rPr>
        <w:t> </w:t>
      </w:r>
      <w:r>
        <w:rPr>
          <w:sz w:val="28"/>
        </w:rPr>
        <w:t>health</w:t>
      </w:r>
      <w:r>
        <w:rPr>
          <w:spacing w:val="-8"/>
          <w:sz w:val="28"/>
        </w:rPr>
        <w:t> </w:t>
      </w:r>
      <w:r>
        <w:rPr>
          <w:spacing w:val="-2"/>
          <w:sz w:val="28"/>
        </w:rPr>
        <w:t>problems,</w:t>
      </w:r>
    </w:p>
    <w:p>
      <w:pPr>
        <w:spacing w:after="0" w:line="364" w:lineRule="exact"/>
        <w:jc w:val="left"/>
        <w:rPr>
          <w:sz w:val="28"/>
        </w:rPr>
        <w:sectPr>
          <w:pgSz w:w="12240" w:h="15840"/>
          <w:pgMar w:header="0" w:footer="765" w:top="1260" w:bottom="980" w:left="1400" w:right="1180"/>
        </w:sectPr>
      </w:pPr>
    </w:p>
    <w:p>
      <w:pPr>
        <w:pStyle w:val="BodyText"/>
        <w:spacing w:line="269" w:lineRule="exact" w:before="58"/>
        <w:ind w:left="1219"/>
      </w:pPr>
      <w:r>
        <w:rPr/>
        <w:t>"addicts,"</w:t>
      </w:r>
      <w:r>
        <w:rPr>
          <w:spacing w:val="-4"/>
        </w:rPr>
        <w:t> </w:t>
      </w:r>
      <w:r>
        <w:rPr/>
        <w:t>people</w:t>
      </w:r>
      <w:r>
        <w:rPr>
          <w:spacing w:val="-3"/>
        </w:rPr>
        <w:t> </w:t>
      </w:r>
      <w:r>
        <w:rPr/>
        <w:t>who</w:t>
      </w:r>
      <w:r>
        <w:rPr>
          <w:spacing w:val="-1"/>
        </w:rPr>
        <w:t> </w:t>
      </w:r>
      <w:r>
        <w:rPr/>
        <w:t>are</w:t>
      </w:r>
      <w:r>
        <w:rPr>
          <w:spacing w:val="-3"/>
        </w:rPr>
        <w:t> </w:t>
      </w:r>
      <w:r>
        <w:rPr/>
        <w:t>HIV</w:t>
      </w:r>
      <w:r>
        <w:rPr>
          <w:spacing w:val="-7"/>
        </w:rPr>
        <w:t> </w:t>
      </w:r>
      <w:r>
        <w:rPr/>
        <w:t>positive,</w:t>
      </w:r>
      <w:r>
        <w:rPr>
          <w:spacing w:val="-1"/>
        </w:rPr>
        <w:t> </w:t>
      </w:r>
      <w:r>
        <w:rPr>
          <w:spacing w:val="-2"/>
        </w:rPr>
        <w:t>homosexuals)</w:t>
      </w:r>
    </w:p>
    <w:p>
      <w:pPr>
        <w:pStyle w:val="ListParagraph"/>
        <w:numPr>
          <w:ilvl w:val="0"/>
          <w:numId w:val="19"/>
        </w:numPr>
        <w:tabs>
          <w:tab w:pos="1217" w:val="left" w:leader="none"/>
        </w:tabs>
        <w:spacing w:line="294" w:lineRule="exact" w:before="0" w:after="0"/>
        <w:ind w:left="1217" w:right="0" w:hanging="457"/>
        <w:jc w:val="left"/>
        <w:rPr>
          <w:sz w:val="28"/>
        </w:rPr>
      </w:pPr>
      <w:r>
        <w:rPr>
          <w:sz w:val="28"/>
        </w:rPr>
        <w:t>Powerlessness,</w:t>
      </w:r>
      <w:r>
        <w:rPr>
          <w:spacing w:val="-5"/>
          <w:sz w:val="28"/>
        </w:rPr>
        <w:t> </w:t>
      </w:r>
      <w:r>
        <w:rPr>
          <w:sz w:val="28"/>
        </w:rPr>
        <w:t>helplessness,</w:t>
      </w:r>
      <w:r>
        <w:rPr>
          <w:spacing w:val="-5"/>
          <w:sz w:val="28"/>
        </w:rPr>
        <w:t> </w:t>
      </w:r>
      <w:r>
        <w:rPr>
          <w:sz w:val="28"/>
        </w:rPr>
        <w:t>and</w:t>
      </w:r>
      <w:r>
        <w:rPr>
          <w:spacing w:val="-5"/>
          <w:sz w:val="28"/>
        </w:rPr>
        <w:t> </w:t>
      </w:r>
      <w:r>
        <w:rPr>
          <w:sz w:val="28"/>
        </w:rPr>
        <w:t>loss</w:t>
      </w:r>
      <w:r>
        <w:rPr>
          <w:spacing w:val="-5"/>
          <w:sz w:val="28"/>
        </w:rPr>
        <w:t> </w:t>
      </w:r>
      <w:r>
        <w:rPr>
          <w:sz w:val="28"/>
        </w:rPr>
        <w:t>of</w:t>
      </w:r>
      <w:r>
        <w:rPr>
          <w:spacing w:val="-3"/>
          <w:sz w:val="28"/>
        </w:rPr>
        <w:t> </w:t>
      </w:r>
      <w:r>
        <w:rPr>
          <w:spacing w:val="-2"/>
          <w:sz w:val="28"/>
        </w:rPr>
        <w:t>control</w:t>
      </w:r>
    </w:p>
    <w:p>
      <w:pPr>
        <w:pStyle w:val="ListParagraph"/>
        <w:numPr>
          <w:ilvl w:val="0"/>
          <w:numId w:val="19"/>
        </w:numPr>
        <w:tabs>
          <w:tab w:pos="1217" w:val="left" w:leader="none"/>
        </w:tabs>
        <w:spacing w:line="297" w:lineRule="exact" w:before="0" w:after="0"/>
        <w:ind w:left="1217" w:right="0" w:hanging="457"/>
        <w:jc w:val="left"/>
        <w:rPr>
          <w:sz w:val="28"/>
        </w:rPr>
      </w:pPr>
      <w:r>
        <w:rPr>
          <w:sz w:val="28"/>
        </w:rPr>
        <w:t>Shame</w:t>
      </w:r>
      <w:r>
        <w:rPr>
          <w:spacing w:val="-4"/>
          <w:sz w:val="28"/>
        </w:rPr>
        <w:t> </w:t>
      </w:r>
      <w:r>
        <w:rPr>
          <w:sz w:val="28"/>
        </w:rPr>
        <w:t>and</w:t>
      </w:r>
      <w:r>
        <w:rPr>
          <w:spacing w:val="-3"/>
          <w:sz w:val="28"/>
        </w:rPr>
        <w:t> </w:t>
      </w:r>
      <w:r>
        <w:rPr>
          <w:spacing w:val="-2"/>
          <w:sz w:val="28"/>
        </w:rPr>
        <w:t>guilt</w:t>
      </w:r>
    </w:p>
    <w:p>
      <w:pPr>
        <w:pStyle w:val="ListParagraph"/>
        <w:numPr>
          <w:ilvl w:val="0"/>
          <w:numId w:val="19"/>
        </w:numPr>
        <w:tabs>
          <w:tab w:pos="1217" w:val="left" w:leader="none"/>
        </w:tabs>
        <w:spacing w:line="300" w:lineRule="exact" w:before="0" w:after="0"/>
        <w:ind w:left="1217" w:right="0" w:hanging="457"/>
        <w:jc w:val="left"/>
        <w:rPr>
          <w:sz w:val="28"/>
        </w:rPr>
      </w:pPr>
      <w:r>
        <w:rPr>
          <w:spacing w:val="-2"/>
          <w:sz w:val="28"/>
        </w:rPr>
        <w:t>Homophobia</w:t>
      </w:r>
    </w:p>
    <w:p>
      <w:pPr>
        <w:pStyle w:val="ListParagraph"/>
        <w:numPr>
          <w:ilvl w:val="0"/>
          <w:numId w:val="19"/>
        </w:numPr>
        <w:tabs>
          <w:tab w:pos="1217" w:val="left" w:leader="none"/>
        </w:tabs>
        <w:spacing w:line="300" w:lineRule="exact" w:before="0" w:after="0"/>
        <w:ind w:left="1217" w:right="0" w:hanging="457"/>
        <w:jc w:val="left"/>
        <w:rPr>
          <w:sz w:val="28"/>
        </w:rPr>
      </w:pPr>
      <w:r>
        <w:rPr>
          <w:sz w:val="28"/>
        </w:rPr>
        <w:t>Anger,</w:t>
      </w:r>
      <w:r>
        <w:rPr>
          <w:spacing w:val="-12"/>
          <w:sz w:val="28"/>
        </w:rPr>
        <w:t> </w:t>
      </w:r>
      <w:r>
        <w:rPr>
          <w:sz w:val="28"/>
        </w:rPr>
        <w:t>rage,</w:t>
      </w:r>
      <w:r>
        <w:rPr>
          <w:spacing w:val="-11"/>
          <w:sz w:val="28"/>
        </w:rPr>
        <w:t> </w:t>
      </w:r>
      <w:r>
        <w:rPr>
          <w:sz w:val="28"/>
        </w:rPr>
        <w:t>and</w:t>
      </w:r>
      <w:r>
        <w:rPr>
          <w:spacing w:val="-10"/>
          <w:sz w:val="28"/>
        </w:rPr>
        <w:t> </w:t>
      </w:r>
      <w:r>
        <w:rPr>
          <w:spacing w:val="-2"/>
          <w:sz w:val="28"/>
        </w:rPr>
        <w:t>hostility</w:t>
      </w:r>
    </w:p>
    <w:p>
      <w:pPr>
        <w:pStyle w:val="ListParagraph"/>
        <w:numPr>
          <w:ilvl w:val="0"/>
          <w:numId w:val="19"/>
        </w:numPr>
        <w:tabs>
          <w:tab w:pos="1217" w:val="left" w:leader="none"/>
        </w:tabs>
        <w:spacing w:line="300" w:lineRule="exact" w:before="0" w:after="0"/>
        <w:ind w:left="1217" w:right="0" w:hanging="457"/>
        <w:jc w:val="left"/>
        <w:rPr>
          <w:sz w:val="28"/>
        </w:rPr>
      </w:pPr>
      <w:r>
        <w:rPr>
          <w:spacing w:val="-2"/>
          <w:sz w:val="28"/>
        </w:rPr>
        <w:t>Frustration</w:t>
      </w:r>
    </w:p>
    <w:p>
      <w:pPr>
        <w:pStyle w:val="ListParagraph"/>
        <w:numPr>
          <w:ilvl w:val="0"/>
          <w:numId w:val="19"/>
        </w:numPr>
        <w:tabs>
          <w:tab w:pos="1217" w:val="left" w:leader="none"/>
        </w:tabs>
        <w:spacing w:line="300" w:lineRule="exact" w:before="0" w:after="0"/>
        <w:ind w:left="1217" w:right="0" w:hanging="457"/>
        <w:jc w:val="left"/>
        <w:rPr>
          <w:sz w:val="28"/>
        </w:rPr>
      </w:pPr>
      <w:r>
        <w:rPr>
          <w:spacing w:val="-2"/>
          <w:sz w:val="28"/>
        </w:rPr>
        <w:t>Overidentification</w:t>
      </w:r>
    </w:p>
    <w:p>
      <w:pPr>
        <w:pStyle w:val="ListParagraph"/>
        <w:numPr>
          <w:ilvl w:val="0"/>
          <w:numId w:val="19"/>
        </w:numPr>
        <w:tabs>
          <w:tab w:pos="1217" w:val="left" w:leader="none"/>
        </w:tabs>
        <w:spacing w:line="300" w:lineRule="exact" w:before="0" w:after="0"/>
        <w:ind w:left="1217" w:right="0" w:hanging="457"/>
        <w:jc w:val="left"/>
        <w:rPr>
          <w:sz w:val="28"/>
        </w:rPr>
      </w:pPr>
      <w:r>
        <w:rPr>
          <w:spacing w:val="-2"/>
          <w:sz w:val="28"/>
        </w:rPr>
        <w:t>Denial</w:t>
      </w:r>
    </w:p>
    <w:p>
      <w:pPr>
        <w:pStyle w:val="ListParagraph"/>
        <w:numPr>
          <w:ilvl w:val="0"/>
          <w:numId w:val="19"/>
        </w:numPr>
        <w:tabs>
          <w:tab w:pos="1152" w:val="left" w:leader="none"/>
        </w:tabs>
        <w:spacing w:line="300" w:lineRule="exact" w:before="0" w:after="0"/>
        <w:ind w:left="1152" w:right="0" w:hanging="392"/>
        <w:jc w:val="left"/>
        <w:rPr>
          <w:sz w:val="28"/>
        </w:rPr>
      </w:pPr>
      <w:r>
        <w:rPr>
          <w:sz w:val="28"/>
        </w:rPr>
        <w:t>Differences</w:t>
      </w:r>
      <w:r>
        <w:rPr>
          <w:spacing w:val="-8"/>
          <w:sz w:val="28"/>
        </w:rPr>
        <w:t> </w:t>
      </w:r>
      <w:r>
        <w:rPr>
          <w:sz w:val="28"/>
        </w:rPr>
        <w:t>in</w:t>
      </w:r>
      <w:r>
        <w:rPr>
          <w:spacing w:val="-8"/>
          <w:sz w:val="28"/>
        </w:rPr>
        <w:t> </w:t>
      </w:r>
      <w:r>
        <w:rPr>
          <w:sz w:val="28"/>
        </w:rPr>
        <w:t>culture,</w:t>
      </w:r>
      <w:r>
        <w:rPr>
          <w:spacing w:val="-7"/>
          <w:sz w:val="28"/>
        </w:rPr>
        <w:t> </w:t>
      </w:r>
      <w:r>
        <w:rPr>
          <w:sz w:val="28"/>
        </w:rPr>
        <w:t>race,</w:t>
      </w:r>
      <w:r>
        <w:rPr>
          <w:spacing w:val="-8"/>
          <w:sz w:val="28"/>
        </w:rPr>
        <w:t> </w:t>
      </w:r>
      <w:r>
        <w:rPr>
          <w:sz w:val="28"/>
        </w:rPr>
        <w:t>class,</w:t>
      </w:r>
      <w:r>
        <w:rPr>
          <w:spacing w:val="-8"/>
          <w:sz w:val="28"/>
        </w:rPr>
        <w:t> </w:t>
      </w:r>
      <w:r>
        <w:rPr>
          <w:sz w:val="28"/>
        </w:rPr>
        <w:t>and</w:t>
      </w:r>
      <w:r>
        <w:rPr>
          <w:spacing w:val="-7"/>
          <w:sz w:val="28"/>
        </w:rPr>
        <w:t> </w:t>
      </w:r>
      <w:r>
        <w:rPr>
          <w:spacing w:val="-2"/>
          <w:sz w:val="28"/>
        </w:rPr>
        <w:t>lifestyle</w:t>
      </w:r>
    </w:p>
    <w:p>
      <w:pPr>
        <w:pStyle w:val="ListParagraph"/>
        <w:numPr>
          <w:ilvl w:val="0"/>
          <w:numId w:val="19"/>
        </w:numPr>
        <w:tabs>
          <w:tab w:pos="1152" w:val="left" w:leader="none"/>
        </w:tabs>
        <w:spacing w:line="300" w:lineRule="exact" w:before="0" w:after="0"/>
        <w:ind w:left="1152" w:right="0" w:hanging="392"/>
        <w:jc w:val="left"/>
        <w:rPr>
          <w:sz w:val="28"/>
        </w:rPr>
      </w:pPr>
      <w:r>
        <w:rPr>
          <w:sz w:val="28"/>
        </w:rPr>
        <w:t>Fantasies</w:t>
      </w:r>
      <w:r>
        <w:rPr>
          <w:spacing w:val="-7"/>
          <w:sz w:val="28"/>
        </w:rPr>
        <w:t> </w:t>
      </w:r>
      <w:r>
        <w:rPr>
          <w:sz w:val="28"/>
        </w:rPr>
        <w:t>of</w:t>
      </w:r>
      <w:r>
        <w:rPr>
          <w:spacing w:val="-5"/>
          <w:sz w:val="28"/>
        </w:rPr>
        <w:t> </w:t>
      </w:r>
      <w:r>
        <w:rPr>
          <w:sz w:val="28"/>
        </w:rPr>
        <w:t>professional</w:t>
      </w:r>
      <w:r>
        <w:rPr>
          <w:spacing w:val="-4"/>
          <w:sz w:val="28"/>
        </w:rPr>
        <w:t> </w:t>
      </w:r>
      <w:r>
        <w:rPr>
          <w:spacing w:val="-2"/>
          <w:sz w:val="28"/>
        </w:rPr>
        <w:t>omnipotence</w:t>
      </w:r>
    </w:p>
    <w:p>
      <w:pPr>
        <w:pStyle w:val="ListParagraph"/>
        <w:numPr>
          <w:ilvl w:val="0"/>
          <w:numId w:val="19"/>
        </w:numPr>
        <w:tabs>
          <w:tab w:pos="1152" w:val="left" w:leader="none"/>
        </w:tabs>
        <w:spacing w:line="309" w:lineRule="exact" w:before="0" w:after="0"/>
        <w:ind w:left="1152" w:right="0" w:hanging="392"/>
        <w:jc w:val="left"/>
        <w:rPr>
          <w:sz w:val="28"/>
        </w:rPr>
      </w:pPr>
      <w:r>
        <w:rPr>
          <w:spacing w:val="-2"/>
          <w:sz w:val="28"/>
        </w:rPr>
        <w:t>Burnout</w:t>
      </w:r>
    </w:p>
    <w:p>
      <w:pPr>
        <w:pStyle w:val="ListParagraph"/>
        <w:numPr>
          <w:ilvl w:val="0"/>
          <w:numId w:val="19"/>
        </w:numPr>
        <w:tabs>
          <w:tab w:pos="1152" w:val="left" w:leader="none"/>
        </w:tabs>
        <w:spacing w:line="358" w:lineRule="exact" w:before="0" w:after="0"/>
        <w:ind w:left="1152" w:right="0" w:hanging="392"/>
        <w:jc w:val="left"/>
        <w:rPr>
          <w:sz w:val="28"/>
        </w:rPr>
      </w:pPr>
      <w:r>
        <w:rPr>
          <w:sz w:val="28"/>
        </w:rPr>
        <w:t>Measures</w:t>
      </w:r>
      <w:r>
        <w:rPr>
          <w:spacing w:val="-7"/>
          <w:sz w:val="28"/>
        </w:rPr>
        <w:t> </w:t>
      </w:r>
      <w:r>
        <w:rPr>
          <w:sz w:val="28"/>
        </w:rPr>
        <w:t>of</w:t>
      </w:r>
      <w:r>
        <w:rPr>
          <w:spacing w:val="-5"/>
          <w:sz w:val="28"/>
        </w:rPr>
        <w:t> </w:t>
      </w:r>
      <w:r>
        <w:rPr>
          <w:sz w:val="28"/>
        </w:rPr>
        <w:t>success</w:t>
      </w:r>
      <w:r>
        <w:rPr>
          <w:spacing w:val="-5"/>
          <w:sz w:val="28"/>
        </w:rPr>
        <w:t> </w:t>
      </w:r>
      <w:r>
        <w:rPr>
          <w:sz w:val="28"/>
        </w:rPr>
        <w:t>and</w:t>
      </w:r>
      <w:r>
        <w:rPr>
          <w:spacing w:val="-5"/>
          <w:sz w:val="28"/>
        </w:rPr>
        <w:t> </w:t>
      </w:r>
      <w:r>
        <w:rPr>
          <w:sz w:val="28"/>
        </w:rPr>
        <w:t>personal</w:t>
      </w:r>
      <w:r>
        <w:rPr>
          <w:spacing w:val="-4"/>
          <w:sz w:val="28"/>
        </w:rPr>
        <w:t> </w:t>
      </w:r>
      <w:r>
        <w:rPr>
          <w:spacing w:val="-2"/>
          <w:sz w:val="28"/>
        </w:rPr>
        <w:t>reward</w:t>
      </w:r>
    </w:p>
    <w:p>
      <w:pPr>
        <w:pStyle w:val="BodyText"/>
        <w:spacing w:before="11"/>
        <w:rPr>
          <w:sz w:val="24"/>
        </w:rPr>
      </w:pPr>
    </w:p>
    <w:p>
      <w:pPr>
        <w:pStyle w:val="Heading2"/>
        <w:ind w:left="400"/>
      </w:pPr>
      <w:r>
        <w:rPr>
          <w:spacing w:val="-2"/>
        </w:rPr>
        <w:t>Homophobia</w:t>
      </w:r>
    </w:p>
    <w:p>
      <w:pPr>
        <w:pStyle w:val="BodyText"/>
        <w:spacing w:before="9"/>
        <w:rPr>
          <w:b/>
          <w:sz w:val="27"/>
        </w:rPr>
      </w:pPr>
    </w:p>
    <w:p>
      <w:pPr>
        <w:pStyle w:val="BodyText"/>
        <w:spacing w:line="259" w:lineRule="auto" w:before="1"/>
        <w:ind w:left="400" w:right="502"/>
      </w:pPr>
      <w:r>
        <w:rPr/>
        <w:t>To be aware of homophobic responses among treatment professionals and of their own countertransference issues, it is important that counselors understand how the client is handling his homosexuality.</w:t>
      </w:r>
      <w:r>
        <w:rPr>
          <w:spacing w:val="-6"/>
        </w:rPr>
        <w:t> </w:t>
      </w:r>
      <w:r>
        <w:rPr/>
        <w:t>The counselor should understand the possible link between substance abuse and gay or lesbian</w:t>
      </w:r>
      <w:r>
        <w:rPr>
          <w:spacing w:val="-4"/>
        </w:rPr>
        <w:t> </w:t>
      </w:r>
      <w:r>
        <w:rPr/>
        <w:t>identity</w:t>
      </w:r>
      <w:r>
        <w:rPr>
          <w:spacing w:val="-4"/>
        </w:rPr>
        <w:t> </w:t>
      </w:r>
      <w:r>
        <w:rPr/>
        <w:t>formation.</w:t>
      </w:r>
      <w:r>
        <w:rPr>
          <w:spacing w:val="-4"/>
        </w:rPr>
        <w:t> </w:t>
      </w:r>
      <w:r>
        <w:rPr/>
        <w:t>Substance</w:t>
      </w:r>
      <w:r>
        <w:rPr>
          <w:spacing w:val="-5"/>
        </w:rPr>
        <w:t> </w:t>
      </w:r>
      <w:r>
        <w:rPr/>
        <w:t>abuse</w:t>
      </w:r>
      <w:r>
        <w:rPr>
          <w:spacing w:val="-5"/>
        </w:rPr>
        <w:t> </w:t>
      </w:r>
      <w:r>
        <w:rPr/>
        <w:t>can</w:t>
      </w:r>
      <w:r>
        <w:rPr>
          <w:spacing w:val="-4"/>
        </w:rPr>
        <w:t> </w:t>
      </w:r>
      <w:r>
        <w:rPr/>
        <w:t>be</w:t>
      </w:r>
      <w:r>
        <w:rPr>
          <w:spacing w:val="-5"/>
        </w:rPr>
        <w:t> </w:t>
      </w:r>
      <w:r>
        <w:rPr/>
        <w:t>an</w:t>
      </w:r>
      <w:r>
        <w:rPr>
          <w:spacing w:val="-4"/>
        </w:rPr>
        <w:t> </w:t>
      </w:r>
      <w:r>
        <w:rPr/>
        <w:t>easy</w:t>
      </w:r>
      <w:r>
        <w:rPr>
          <w:spacing w:val="-4"/>
        </w:rPr>
        <w:t> </w:t>
      </w:r>
      <w:r>
        <w:rPr/>
        <w:t>relief,</w:t>
      </w:r>
      <w:r>
        <w:rPr>
          <w:spacing w:val="-4"/>
        </w:rPr>
        <w:t> </w:t>
      </w:r>
      <w:r>
        <w:rPr/>
        <w:t>can</w:t>
      </w:r>
      <w:r>
        <w:rPr>
          <w:spacing w:val="-4"/>
        </w:rPr>
        <w:t> </w:t>
      </w:r>
      <w:r>
        <w:rPr/>
        <w:t>provide acceptance, and, more important, can mirror the "comforting" dissociation developed in childhood. The "symptom-relieving" aspects of substance</w:t>
      </w:r>
    </w:p>
    <w:p>
      <w:pPr>
        <w:pStyle w:val="BodyText"/>
        <w:spacing w:line="259" w:lineRule="auto" w:before="70"/>
        <w:ind w:left="400" w:right="654"/>
      </w:pPr>
      <w:r>
        <w:rPr/>
        <w:t>abuse help fight the effects of homophobia; substance abuse can allow "forbidden" behavior, allow social comfort in bars or other unfamiliar social settings and provide comfort just from the dissociative state itself. For example, some men have their first homosexual sexual experience while drinking</w:t>
      </w:r>
      <w:r>
        <w:rPr>
          <w:spacing w:val="-7"/>
        </w:rPr>
        <w:t> </w:t>
      </w:r>
      <w:r>
        <w:rPr/>
        <w:t>or</w:t>
      </w:r>
      <w:r>
        <w:rPr>
          <w:spacing w:val="-7"/>
        </w:rPr>
        <w:t> </w:t>
      </w:r>
      <w:r>
        <w:rPr/>
        <w:t>being</w:t>
      </w:r>
      <w:r>
        <w:rPr>
          <w:spacing w:val="-7"/>
        </w:rPr>
        <w:t> </w:t>
      </w:r>
      <w:r>
        <w:rPr/>
        <w:t>drunk.</w:t>
      </w:r>
      <w:r>
        <w:rPr>
          <w:spacing w:val="-18"/>
        </w:rPr>
        <w:t> </w:t>
      </w:r>
      <w:r>
        <w:rPr/>
        <w:t>This</w:t>
      </w:r>
      <w:r>
        <w:rPr>
          <w:spacing w:val="-7"/>
        </w:rPr>
        <w:t> </w:t>
      </w:r>
      <w:r>
        <w:rPr/>
        <w:t>connection</w:t>
      </w:r>
      <w:r>
        <w:rPr>
          <w:spacing w:val="-7"/>
        </w:rPr>
        <w:t> </w:t>
      </w:r>
      <w:r>
        <w:rPr/>
        <w:t>is</w:t>
      </w:r>
      <w:r>
        <w:rPr>
          <w:spacing w:val="-7"/>
        </w:rPr>
        <w:t> </w:t>
      </w:r>
      <w:r>
        <w:rPr/>
        <w:t>a</w:t>
      </w:r>
      <w:r>
        <w:rPr>
          <w:spacing w:val="-8"/>
        </w:rPr>
        <w:t> </w:t>
      </w:r>
      <w:r>
        <w:rPr/>
        <w:t>very</w:t>
      </w:r>
      <w:r>
        <w:rPr>
          <w:spacing w:val="-4"/>
        </w:rPr>
        <w:t> </w:t>
      </w:r>
      <w:r>
        <w:rPr/>
        <w:t>powerful</w:t>
      </w:r>
      <w:r>
        <w:rPr>
          <w:spacing w:val="-6"/>
        </w:rPr>
        <w:t> </w:t>
      </w:r>
      <w:r>
        <w:rPr/>
        <w:t>behavioral</w:t>
      </w:r>
      <w:r>
        <w:rPr>
          <w:spacing w:val="-5"/>
        </w:rPr>
        <w:t> </w:t>
      </w:r>
      <w:r>
        <w:rPr/>
        <w:t>link-- the pleasure and release of substance abuse with the pleasure and release of sex--and is very difficult to change or "unlink" later in life.</w:t>
      </w:r>
    </w:p>
    <w:p>
      <w:pPr>
        <w:pStyle w:val="BodyText"/>
      </w:pPr>
    </w:p>
    <w:p>
      <w:pPr>
        <w:pStyle w:val="BodyText"/>
        <w:spacing w:line="259" w:lineRule="auto"/>
        <w:ind w:left="400" w:right="634"/>
      </w:pPr>
      <w:r>
        <w:rPr/>
        <w:t>In regard to the issue of homophobia, it is also critical to understand how stereotypes</w:t>
      </w:r>
      <w:r>
        <w:rPr>
          <w:spacing w:val="-6"/>
        </w:rPr>
        <w:t> </w:t>
      </w:r>
      <w:r>
        <w:rPr/>
        <w:t>affect</w:t>
      </w:r>
      <w:r>
        <w:rPr>
          <w:spacing w:val="-6"/>
        </w:rPr>
        <w:t> </w:t>
      </w:r>
      <w:r>
        <w:rPr/>
        <w:t>the</w:t>
      </w:r>
      <w:r>
        <w:rPr>
          <w:spacing w:val="-7"/>
        </w:rPr>
        <w:t> </w:t>
      </w:r>
      <w:r>
        <w:rPr/>
        <w:t>treatment</w:t>
      </w:r>
      <w:r>
        <w:rPr>
          <w:spacing w:val="-6"/>
        </w:rPr>
        <w:t> </w:t>
      </w:r>
      <w:r>
        <w:rPr/>
        <w:t>options</w:t>
      </w:r>
      <w:r>
        <w:rPr>
          <w:spacing w:val="-6"/>
        </w:rPr>
        <w:t> </w:t>
      </w:r>
      <w:r>
        <w:rPr/>
        <w:t>offered.</w:t>
      </w:r>
      <w:r>
        <w:rPr>
          <w:spacing w:val="-13"/>
        </w:rPr>
        <w:t> </w:t>
      </w:r>
      <w:r>
        <w:rPr/>
        <w:t>The</w:t>
      </w:r>
      <w:r>
        <w:rPr>
          <w:spacing w:val="-7"/>
        </w:rPr>
        <w:t> </w:t>
      </w:r>
      <w:r>
        <w:rPr/>
        <w:t>professional</w:t>
      </w:r>
      <w:r>
        <w:rPr>
          <w:spacing w:val="-6"/>
        </w:rPr>
        <w:t> </w:t>
      </w:r>
      <w:r>
        <w:rPr/>
        <w:t>should</w:t>
      </w:r>
      <w:r>
        <w:rPr>
          <w:spacing w:val="-6"/>
        </w:rPr>
        <w:t> </w:t>
      </w:r>
      <w:r>
        <w:rPr/>
        <w:t>take an inventory of these stereotypes to assess her homophobia potential and should be aware of the roles countertransference can play. The short assessment</w:t>
      </w:r>
      <w:r>
        <w:rPr>
          <w:spacing w:val="-2"/>
        </w:rPr>
        <w:t> </w:t>
      </w:r>
      <w:r>
        <w:rPr/>
        <w:t>tool</w:t>
      </w:r>
      <w:r>
        <w:rPr>
          <w:spacing w:val="-2"/>
        </w:rPr>
        <w:t> </w:t>
      </w:r>
      <w:r>
        <w:rPr/>
        <w:t>provided</w:t>
      </w:r>
      <w:r>
        <w:rPr>
          <w:spacing w:val="-2"/>
        </w:rPr>
        <w:t> </w:t>
      </w:r>
      <w:r>
        <w:rPr/>
        <w:t>below</w:t>
      </w:r>
      <w:r>
        <w:rPr>
          <w:spacing w:val="-2"/>
        </w:rPr>
        <w:t> </w:t>
      </w:r>
      <w:r>
        <w:rPr/>
        <w:t>can</w:t>
      </w:r>
      <w:r>
        <w:rPr>
          <w:spacing w:val="-2"/>
        </w:rPr>
        <w:t> </w:t>
      </w:r>
      <w:r>
        <w:rPr/>
        <w:t>be</w:t>
      </w:r>
      <w:r>
        <w:rPr>
          <w:spacing w:val="-3"/>
        </w:rPr>
        <w:t> </w:t>
      </w:r>
      <w:r>
        <w:rPr/>
        <w:t>used</w:t>
      </w:r>
      <w:r>
        <w:rPr>
          <w:spacing w:val="-2"/>
        </w:rPr>
        <w:t> </w:t>
      </w:r>
      <w:r>
        <w:rPr/>
        <w:t>to</w:t>
      </w:r>
      <w:r>
        <w:rPr>
          <w:spacing w:val="-2"/>
        </w:rPr>
        <w:t> </w:t>
      </w:r>
      <w:r>
        <w:rPr/>
        <w:t>examine</w:t>
      </w:r>
      <w:r>
        <w:rPr>
          <w:spacing w:val="-3"/>
        </w:rPr>
        <w:t> </w:t>
      </w:r>
      <w:r>
        <w:rPr/>
        <w:t>where</w:t>
      </w:r>
      <w:r>
        <w:rPr>
          <w:spacing w:val="-3"/>
        </w:rPr>
        <w:t> </w:t>
      </w:r>
      <w:r>
        <w:rPr/>
        <w:t>providers</w:t>
      </w:r>
      <w:r>
        <w:rPr>
          <w:spacing w:val="-2"/>
        </w:rPr>
        <w:t> </w:t>
      </w:r>
      <w:r>
        <w:rPr/>
        <w:t>and clients alike might rank on a continuum of homophobic reactions.</w:t>
      </w:r>
      <w:r>
        <w:rPr>
          <w:spacing w:val="-5"/>
        </w:rPr>
        <w:t> </w:t>
      </w:r>
      <w:r>
        <w:rPr/>
        <w:t>This tool is also useful in group supervision sessions or discussions with both gay/ lesbian and heterosexual colleagues.</w:t>
      </w:r>
    </w:p>
    <w:p>
      <w:pPr>
        <w:pStyle w:val="BodyText"/>
        <w:spacing w:line="259" w:lineRule="auto"/>
        <w:ind w:left="400"/>
      </w:pPr>
      <w:r>
        <w:rPr/>
        <w:t>It is important that counselors have a working knowledge of some of the terminology</w:t>
      </w:r>
      <w:r>
        <w:rPr>
          <w:spacing w:val="-8"/>
        </w:rPr>
        <w:t> </w:t>
      </w:r>
      <w:r>
        <w:rPr/>
        <w:t>and</w:t>
      </w:r>
      <w:r>
        <w:rPr>
          <w:spacing w:val="-4"/>
        </w:rPr>
        <w:t> </w:t>
      </w:r>
      <w:r>
        <w:rPr/>
        <w:t>definitions</w:t>
      </w:r>
      <w:r>
        <w:rPr>
          <w:spacing w:val="-4"/>
        </w:rPr>
        <w:t> </w:t>
      </w:r>
      <w:r>
        <w:rPr/>
        <w:t>pertaining</w:t>
      </w:r>
      <w:r>
        <w:rPr>
          <w:spacing w:val="-4"/>
        </w:rPr>
        <w:t> </w:t>
      </w:r>
      <w:r>
        <w:rPr/>
        <w:t>to</w:t>
      </w:r>
      <w:r>
        <w:rPr>
          <w:spacing w:val="-4"/>
        </w:rPr>
        <w:t> </w:t>
      </w:r>
      <w:r>
        <w:rPr/>
        <w:t>homophobia.</w:t>
      </w:r>
      <w:r>
        <w:rPr>
          <w:spacing w:val="-4"/>
        </w:rPr>
        <w:t> </w:t>
      </w:r>
      <w:r>
        <w:rPr/>
        <w:t>Following</w:t>
      </w:r>
      <w:r>
        <w:rPr>
          <w:spacing w:val="-4"/>
        </w:rPr>
        <w:t> </w:t>
      </w:r>
      <w:r>
        <w:rPr/>
        <w:t>is</w:t>
      </w:r>
      <w:r>
        <w:rPr>
          <w:spacing w:val="-4"/>
        </w:rPr>
        <w:t> </w:t>
      </w:r>
      <w:r>
        <w:rPr/>
        <w:t>a</w:t>
      </w:r>
      <w:r>
        <w:rPr>
          <w:spacing w:val="-5"/>
        </w:rPr>
        <w:t> </w:t>
      </w:r>
      <w:r>
        <w:rPr/>
        <w:t>brief</w:t>
      </w:r>
    </w:p>
    <w:p>
      <w:pPr>
        <w:spacing w:after="0" w:line="259" w:lineRule="auto"/>
        <w:sectPr>
          <w:pgSz w:w="12240" w:h="15840"/>
          <w:pgMar w:header="0" w:footer="765" w:top="1260" w:bottom="980" w:left="1400" w:right="1180"/>
        </w:sectPr>
      </w:pPr>
    </w:p>
    <w:p>
      <w:pPr>
        <w:pStyle w:val="BodyText"/>
        <w:spacing w:before="66"/>
        <w:ind w:left="400"/>
      </w:pPr>
      <w:r>
        <w:rPr/>
        <w:t>list</w:t>
      </w:r>
      <w:r>
        <w:rPr>
          <w:spacing w:val="-1"/>
        </w:rPr>
        <w:t> </w:t>
      </w:r>
      <w:r>
        <w:rPr/>
        <w:t>of terms</w:t>
      </w:r>
      <w:r>
        <w:rPr>
          <w:spacing w:val="-1"/>
        </w:rPr>
        <w:t> </w:t>
      </w:r>
      <w:r>
        <w:rPr/>
        <w:t>and </w:t>
      </w:r>
      <w:r>
        <w:rPr>
          <w:spacing w:val="-2"/>
        </w:rPr>
        <w:t>definitions.</w:t>
      </w:r>
    </w:p>
    <w:p>
      <w:pPr>
        <w:pStyle w:val="ListParagraph"/>
        <w:numPr>
          <w:ilvl w:val="0"/>
          <w:numId w:val="19"/>
        </w:numPr>
        <w:tabs>
          <w:tab w:pos="1216" w:val="left" w:leader="none"/>
          <w:tab w:pos="1219" w:val="left" w:leader="none"/>
        </w:tabs>
        <w:spacing w:line="242" w:lineRule="auto" w:before="191" w:after="0"/>
        <w:ind w:left="1219" w:right="1498" w:hanging="460"/>
        <w:jc w:val="left"/>
        <w:rPr>
          <w:sz w:val="28"/>
        </w:rPr>
      </w:pPr>
      <w:r>
        <w:rPr>
          <w:i/>
          <w:sz w:val="28"/>
        </w:rPr>
        <w:t>Overt</w:t>
      </w:r>
      <w:r>
        <w:rPr>
          <w:i/>
          <w:spacing w:val="-13"/>
          <w:sz w:val="28"/>
        </w:rPr>
        <w:t> </w:t>
      </w:r>
      <w:r>
        <w:rPr>
          <w:i/>
          <w:sz w:val="28"/>
        </w:rPr>
        <w:t>homophobia</w:t>
      </w:r>
      <w:r>
        <w:rPr>
          <w:i/>
          <w:spacing w:val="-13"/>
          <w:sz w:val="28"/>
        </w:rPr>
        <w:t> </w:t>
      </w:r>
      <w:r>
        <w:rPr>
          <w:sz w:val="28"/>
        </w:rPr>
        <w:t>includes</w:t>
      </w:r>
      <w:r>
        <w:rPr>
          <w:spacing w:val="-13"/>
          <w:sz w:val="28"/>
        </w:rPr>
        <w:t> </w:t>
      </w:r>
      <w:r>
        <w:rPr>
          <w:sz w:val="28"/>
        </w:rPr>
        <w:t>violence,</w:t>
      </w:r>
      <w:r>
        <w:rPr>
          <w:spacing w:val="-13"/>
          <w:sz w:val="28"/>
        </w:rPr>
        <w:t> </w:t>
      </w:r>
      <w:r>
        <w:rPr>
          <w:sz w:val="28"/>
        </w:rPr>
        <w:t>verbal</w:t>
      </w:r>
      <w:r>
        <w:rPr>
          <w:spacing w:val="-13"/>
          <w:sz w:val="28"/>
        </w:rPr>
        <w:t> </w:t>
      </w:r>
      <w:r>
        <w:rPr>
          <w:sz w:val="28"/>
        </w:rPr>
        <w:t>abuse,</w:t>
      </w:r>
      <w:r>
        <w:rPr>
          <w:spacing w:val="-12"/>
          <w:sz w:val="28"/>
        </w:rPr>
        <w:t> </w:t>
      </w:r>
      <w:r>
        <w:rPr>
          <w:sz w:val="28"/>
        </w:rPr>
        <w:t>and</w:t>
      </w:r>
      <w:r>
        <w:rPr>
          <w:spacing w:val="-12"/>
          <w:sz w:val="28"/>
        </w:rPr>
        <w:t> </w:t>
      </w:r>
      <w:r>
        <w:rPr>
          <w:sz w:val="28"/>
        </w:rPr>
        <w:t>name- </w:t>
      </w:r>
      <w:r>
        <w:rPr>
          <w:spacing w:val="-2"/>
          <w:sz w:val="28"/>
        </w:rPr>
        <w:t>calling.</w:t>
      </w:r>
    </w:p>
    <w:p>
      <w:pPr>
        <w:pStyle w:val="ListParagraph"/>
        <w:numPr>
          <w:ilvl w:val="0"/>
          <w:numId w:val="19"/>
        </w:numPr>
        <w:tabs>
          <w:tab w:pos="1216" w:val="left" w:leader="none"/>
          <w:tab w:pos="1219" w:val="left" w:leader="none"/>
        </w:tabs>
        <w:spacing w:line="201" w:lineRule="auto" w:before="0" w:after="0"/>
        <w:ind w:left="1219" w:right="589" w:hanging="460"/>
        <w:jc w:val="left"/>
        <w:rPr>
          <w:sz w:val="28"/>
        </w:rPr>
      </w:pPr>
      <w:r>
        <w:rPr>
          <w:i/>
          <w:sz w:val="28"/>
        </w:rPr>
        <w:t>Institutional homophobia </w:t>
      </w:r>
      <w:r>
        <w:rPr>
          <w:sz w:val="28"/>
        </w:rPr>
        <w:t>describes the way in which governments, businesses,</w:t>
      </w:r>
      <w:r>
        <w:rPr>
          <w:spacing w:val="-7"/>
          <w:sz w:val="28"/>
        </w:rPr>
        <w:t> </w:t>
      </w:r>
      <w:r>
        <w:rPr>
          <w:sz w:val="28"/>
        </w:rPr>
        <w:t>schools,</w:t>
      </w:r>
      <w:r>
        <w:rPr>
          <w:spacing w:val="-7"/>
          <w:sz w:val="28"/>
        </w:rPr>
        <w:t> </w:t>
      </w:r>
      <w:r>
        <w:rPr>
          <w:sz w:val="28"/>
        </w:rPr>
        <w:t>churches,</w:t>
      </w:r>
      <w:r>
        <w:rPr>
          <w:spacing w:val="-7"/>
          <w:sz w:val="28"/>
        </w:rPr>
        <w:t> </w:t>
      </w:r>
      <w:r>
        <w:rPr>
          <w:sz w:val="28"/>
        </w:rPr>
        <w:t>and</w:t>
      </w:r>
      <w:r>
        <w:rPr>
          <w:spacing w:val="-7"/>
          <w:sz w:val="28"/>
        </w:rPr>
        <w:t> </w:t>
      </w:r>
      <w:r>
        <w:rPr>
          <w:sz w:val="28"/>
        </w:rPr>
        <w:t>other</w:t>
      </w:r>
      <w:r>
        <w:rPr>
          <w:spacing w:val="-7"/>
          <w:sz w:val="28"/>
        </w:rPr>
        <w:t> </w:t>
      </w:r>
      <w:r>
        <w:rPr>
          <w:sz w:val="28"/>
        </w:rPr>
        <w:t>institutions</w:t>
      </w:r>
      <w:r>
        <w:rPr>
          <w:spacing w:val="-7"/>
          <w:sz w:val="28"/>
        </w:rPr>
        <w:t> </w:t>
      </w:r>
      <w:r>
        <w:rPr>
          <w:sz w:val="28"/>
        </w:rPr>
        <w:t>and</w:t>
      </w:r>
      <w:r>
        <w:rPr>
          <w:spacing w:val="-7"/>
          <w:sz w:val="28"/>
        </w:rPr>
        <w:t> </w:t>
      </w:r>
      <w:r>
        <w:rPr>
          <w:sz w:val="28"/>
        </w:rPr>
        <w:t>organizations treat people differently and less favorably based on their sexual</w:t>
      </w:r>
    </w:p>
    <w:p>
      <w:pPr>
        <w:pStyle w:val="BodyText"/>
        <w:spacing w:line="234" w:lineRule="exact"/>
        <w:ind w:left="1219"/>
      </w:pPr>
      <w:r>
        <w:rPr>
          <w:spacing w:val="-2"/>
        </w:rPr>
        <w:t>orientation.</w:t>
      </w:r>
    </w:p>
    <w:p>
      <w:pPr>
        <w:pStyle w:val="ListParagraph"/>
        <w:numPr>
          <w:ilvl w:val="0"/>
          <w:numId w:val="19"/>
        </w:numPr>
        <w:tabs>
          <w:tab w:pos="1216" w:val="left" w:leader="none"/>
          <w:tab w:pos="1219" w:val="left" w:leader="none"/>
        </w:tabs>
        <w:spacing w:line="194" w:lineRule="auto" w:before="0" w:after="0"/>
        <w:ind w:left="1219" w:right="854" w:hanging="460"/>
        <w:jc w:val="left"/>
        <w:rPr>
          <w:sz w:val="28"/>
        </w:rPr>
      </w:pPr>
      <w:r>
        <w:rPr>
          <w:i/>
          <w:sz w:val="28"/>
        </w:rPr>
        <w:t>Cultural</w:t>
      </w:r>
      <w:r>
        <w:rPr>
          <w:i/>
          <w:spacing w:val="-12"/>
          <w:sz w:val="28"/>
        </w:rPr>
        <w:t> </w:t>
      </w:r>
      <w:r>
        <w:rPr>
          <w:i/>
          <w:sz w:val="28"/>
        </w:rPr>
        <w:t>homophobia</w:t>
      </w:r>
      <w:r>
        <w:rPr>
          <w:i/>
          <w:spacing w:val="-8"/>
          <w:sz w:val="28"/>
        </w:rPr>
        <w:t> </w:t>
      </w:r>
      <w:r>
        <w:rPr>
          <w:sz w:val="28"/>
        </w:rPr>
        <w:t>includes</w:t>
      </w:r>
      <w:r>
        <w:rPr>
          <w:spacing w:val="-9"/>
          <w:sz w:val="28"/>
        </w:rPr>
        <w:t> </w:t>
      </w:r>
      <w:r>
        <w:rPr>
          <w:sz w:val="28"/>
        </w:rPr>
        <w:t>social</w:t>
      </w:r>
      <w:r>
        <w:rPr>
          <w:spacing w:val="-8"/>
          <w:sz w:val="28"/>
        </w:rPr>
        <w:t> </w:t>
      </w:r>
      <w:r>
        <w:rPr>
          <w:sz w:val="28"/>
        </w:rPr>
        <w:t>standards</w:t>
      </w:r>
      <w:r>
        <w:rPr>
          <w:spacing w:val="-9"/>
          <w:sz w:val="28"/>
        </w:rPr>
        <w:t> </w:t>
      </w:r>
      <w:r>
        <w:rPr>
          <w:sz w:val="28"/>
        </w:rPr>
        <w:t>and</w:t>
      </w:r>
      <w:r>
        <w:rPr>
          <w:spacing w:val="-8"/>
          <w:sz w:val="28"/>
        </w:rPr>
        <w:t> </w:t>
      </w:r>
      <w:r>
        <w:rPr>
          <w:sz w:val="28"/>
        </w:rPr>
        <w:t>norms</w:t>
      </w:r>
      <w:r>
        <w:rPr>
          <w:spacing w:val="-11"/>
          <w:sz w:val="28"/>
        </w:rPr>
        <w:t> </w:t>
      </w:r>
      <w:r>
        <w:rPr>
          <w:sz w:val="28"/>
        </w:rPr>
        <w:t>requiring </w:t>
      </w:r>
      <w:r>
        <w:rPr>
          <w:spacing w:val="-2"/>
          <w:sz w:val="28"/>
        </w:rPr>
        <w:t>heterosexuality.</w:t>
      </w:r>
    </w:p>
    <w:p>
      <w:pPr>
        <w:pStyle w:val="ListParagraph"/>
        <w:numPr>
          <w:ilvl w:val="0"/>
          <w:numId w:val="19"/>
        </w:numPr>
        <w:tabs>
          <w:tab w:pos="1216" w:val="left" w:leader="none"/>
          <w:tab w:pos="1219" w:val="left" w:leader="none"/>
        </w:tabs>
        <w:spacing w:line="211" w:lineRule="auto" w:before="0" w:after="0"/>
        <w:ind w:left="1219" w:right="787" w:hanging="460"/>
        <w:jc w:val="left"/>
        <w:rPr>
          <w:sz w:val="28"/>
        </w:rPr>
      </w:pPr>
      <w:r>
        <w:rPr>
          <w:i/>
          <w:sz w:val="28"/>
        </w:rPr>
        <w:t>Internalized homophobia </w:t>
      </w:r>
      <w:r>
        <w:rPr>
          <w:sz w:val="28"/>
        </w:rPr>
        <w:t>is acceptance and integration by lesbians and</w:t>
      </w:r>
      <w:r>
        <w:rPr>
          <w:spacing w:val="-6"/>
          <w:sz w:val="28"/>
        </w:rPr>
        <w:t> </w:t>
      </w:r>
      <w:r>
        <w:rPr>
          <w:sz w:val="28"/>
        </w:rPr>
        <w:t>gays</w:t>
      </w:r>
      <w:r>
        <w:rPr>
          <w:spacing w:val="-6"/>
          <w:sz w:val="28"/>
        </w:rPr>
        <w:t> </w:t>
      </w:r>
      <w:r>
        <w:rPr>
          <w:sz w:val="28"/>
        </w:rPr>
        <w:t>of</w:t>
      </w:r>
      <w:r>
        <w:rPr>
          <w:spacing w:val="-6"/>
          <w:sz w:val="28"/>
        </w:rPr>
        <w:t> </w:t>
      </w:r>
      <w:r>
        <w:rPr>
          <w:sz w:val="28"/>
        </w:rPr>
        <w:t>the</w:t>
      </w:r>
      <w:r>
        <w:rPr>
          <w:spacing w:val="-7"/>
          <w:sz w:val="28"/>
        </w:rPr>
        <w:t> </w:t>
      </w:r>
      <w:r>
        <w:rPr>
          <w:sz w:val="28"/>
        </w:rPr>
        <w:t>negative</w:t>
      </w:r>
      <w:r>
        <w:rPr>
          <w:spacing w:val="-7"/>
          <w:sz w:val="28"/>
        </w:rPr>
        <w:t> </w:t>
      </w:r>
      <w:r>
        <w:rPr>
          <w:sz w:val="28"/>
        </w:rPr>
        <w:t>attitudes</w:t>
      </w:r>
      <w:r>
        <w:rPr>
          <w:spacing w:val="-6"/>
          <w:sz w:val="28"/>
        </w:rPr>
        <w:t> </w:t>
      </w:r>
      <w:r>
        <w:rPr>
          <w:sz w:val="28"/>
        </w:rPr>
        <w:t>expressed</w:t>
      </w:r>
      <w:r>
        <w:rPr>
          <w:spacing w:val="-6"/>
          <w:sz w:val="28"/>
        </w:rPr>
        <w:t> </w:t>
      </w:r>
      <w:r>
        <w:rPr>
          <w:sz w:val="28"/>
        </w:rPr>
        <w:t>by</w:t>
      </w:r>
      <w:r>
        <w:rPr>
          <w:spacing w:val="-6"/>
          <w:sz w:val="28"/>
        </w:rPr>
        <w:t> </w:t>
      </w:r>
      <w:r>
        <w:rPr>
          <w:sz w:val="28"/>
        </w:rPr>
        <w:t>society</w:t>
      </w:r>
      <w:r>
        <w:rPr>
          <w:spacing w:val="-6"/>
          <w:sz w:val="28"/>
        </w:rPr>
        <w:t> </w:t>
      </w:r>
      <w:r>
        <w:rPr>
          <w:sz w:val="28"/>
        </w:rPr>
        <w:t>toward</w:t>
      </w:r>
      <w:r>
        <w:rPr>
          <w:spacing w:val="-7"/>
          <w:sz w:val="28"/>
        </w:rPr>
        <w:t> </w:t>
      </w:r>
      <w:r>
        <w:rPr>
          <w:sz w:val="28"/>
        </w:rPr>
        <w:t>them.</w:t>
      </w:r>
    </w:p>
    <w:p>
      <w:pPr>
        <w:pStyle w:val="ListParagraph"/>
        <w:numPr>
          <w:ilvl w:val="0"/>
          <w:numId w:val="19"/>
        </w:numPr>
        <w:tabs>
          <w:tab w:pos="1217" w:val="left" w:leader="none"/>
        </w:tabs>
        <w:spacing w:line="306" w:lineRule="exact" w:before="0" w:after="0"/>
        <w:ind w:left="1217" w:right="0" w:hanging="457"/>
        <w:jc w:val="left"/>
        <w:rPr>
          <w:sz w:val="28"/>
        </w:rPr>
      </w:pPr>
      <w:r>
        <w:rPr>
          <w:i/>
          <w:sz w:val="28"/>
        </w:rPr>
        <w:t>Heterosexism</w:t>
      </w:r>
      <w:r>
        <w:rPr>
          <w:i/>
          <w:spacing w:val="-6"/>
          <w:sz w:val="28"/>
        </w:rPr>
        <w:t> </w:t>
      </w:r>
      <w:r>
        <w:rPr>
          <w:sz w:val="28"/>
        </w:rPr>
        <w:t>is</w:t>
      </w:r>
      <w:r>
        <w:rPr>
          <w:spacing w:val="-4"/>
          <w:sz w:val="28"/>
        </w:rPr>
        <w:t> </w:t>
      </w:r>
      <w:r>
        <w:rPr>
          <w:sz w:val="28"/>
        </w:rPr>
        <w:t>the</w:t>
      </w:r>
      <w:r>
        <w:rPr>
          <w:spacing w:val="-4"/>
          <w:sz w:val="28"/>
        </w:rPr>
        <w:t> </w:t>
      </w:r>
      <w:r>
        <w:rPr>
          <w:sz w:val="28"/>
        </w:rPr>
        <w:t>system</w:t>
      </w:r>
      <w:r>
        <w:rPr>
          <w:spacing w:val="-4"/>
          <w:sz w:val="28"/>
        </w:rPr>
        <w:t> </w:t>
      </w:r>
      <w:r>
        <w:rPr>
          <w:sz w:val="28"/>
        </w:rPr>
        <w:t>of</w:t>
      </w:r>
      <w:r>
        <w:rPr>
          <w:spacing w:val="-3"/>
          <w:sz w:val="28"/>
        </w:rPr>
        <w:t> </w:t>
      </w:r>
      <w:r>
        <w:rPr>
          <w:sz w:val="28"/>
        </w:rPr>
        <w:t>advantages</w:t>
      </w:r>
      <w:r>
        <w:rPr>
          <w:spacing w:val="-4"/>
          <w:sz w:val="28"/>
        </w:rPr>
        <w:t> </w:t>
      </w:r>
      <w:r>
        <w:rPr>
          <w:sz w:val="28"/>
        </w:rPr>
        <w:t>bestowed</w:t>
      </w:r>
      <w:r>
        <w:rPr>
          <w:spacing w:val="-3"/>
          <w:sz w:val="28"/>
        </w:rPr>
        <w:t> </w:t>
      </w:r>
      <w:r>
        <w:rPr>
          <w:spacing w:val="-5"/>
          <w:sz w:val="28"/>
        </w:rPr>
        <w:t>on</w:t>
      </w:r>
    </w:p>
    <w:p>
      <w:pPr>
        <w:pStyle w:val="BodyText"/>
        <w:spacing w:line="223" w:lineRule="auto"/>
        <w:ind w:left="1219" w:right="1016"/>
      </w:pPr>
      <w:r>
        <w:rPr/>
        <w:t>heterosexuals. It is the institutional form of homophobia that assumes</w:t>
      </w:r>
      <w:r>
        <w:rPr>
          <w:spacing w:val="-9"/>
        </w:rPr>
        <w:t> </w:t>
      </w:r>
      <w:r>
        <w:rPr/>
        <w:t>all</w:t>
      </w:r>
      <w:r>
        <w:rPr>
          <w:spacing w:val="-9"/>
        </w:rPr>
        <w:t> </w:t>
      </w:r>
      <w:r>
        <w:rPr/>
        <w:t>people</w:t>
      </w:r>
      <w:r>
        <w:rPr>
          <w:spacing w:val="-10"/>
        </w:rPr>
        <w:t> </w:t>
      </w:r>
      <w:r>
        <w:rPr/>
        <w:t>are</w:t>
      </w:r>
      <w:r>
        <w:rPr>
          <w:spacing w:val="-10"/>
        </w:rPr>
        <w:t> </w:t>
      </w:r>
      <w:r>
        <w:rPr/>
        <w:t>or</w:t>
      </w:r>
      <w:r>
        <w:rPr>
          <w:spacing w:val="-9"/>
        </w:rPr>
        <w:t> </w:t>
      </w:r>
      <w:r>
        <w:rPr/>
        <w:t>should</w:t>
      </w:r>
      <w:r>
        <w:rPr>
          <w:spacing w:val="-9"/>
        </w:rPr>
        <w:t> </w:t>
      </w:r>
      <w:r>
        <w:rPr/>
        <w:t>be</w:t>
      </w:r>
      <w:r>
        <w:rPr>
          <w:spacing w:val="-10"/>
        </w:rPr>
        <w:t> </w:t>
      </w:r>
      <w:r>
        <w:rPr/>
        <w:t>heterosexual</w:t>
      </w:r>
      <w:r>
        <w:rPr>
          <w:spacing w:val="-9"/>
        </w:rPr>
        <w:t> </w:t>
      </w:r>
      <w:r>
        <w:rPr/>
        <w:t>and</w:t>
      </w:r>
      <w:r>
        <w:rPr>
          <w:spacing w:val="-9"/>
        </w:rPr>
        <w:t> </w:t>
      </w:r>
      <w:r>
        <w:rPr/>
        <w:t>therefore excludes</w:t>
      </w:r>
      <w:r>
        <w:rPr>
          <w:spacing w:val="-5"/>
        </w:rPr>
        <w:t> </w:t>
      </w:r>
      <w:r>
        <w:rPr/>
        <w:t>the</w:t>
      </w:r>
      <w:r>
        <w:rPr>
          <w:spacing w:val="-6"/>
        </w:rPr>
        <w:t> </w:t>
      </w:r>
      <w:r>
        <w:rPr/>
        <w:t>needs,</w:t>
      </w:r>
      <w:r>
        <w:rPr>
          <w:spacing w:val="-5"/>
        </w:rPr>
        <w:t> </w:t>
      </w:r>
      <w:r>
        <w:rPr/>
        <w:t>concerns,</w:t>
      </w:r>
      <w:r>
        <w:rPr>
          <w:spacing w:val="-5"/>
        </w:rPr>
        <w:t> </w:t>
      </w:r>
      <w:r>
        <w:rPr/>
        <w:t>and</w:t>
      </w:r>
      <w:r>
        <w:rPr>
          <w:spacing w:val="-5"/>
        </w:rPr>
        <w:t> </w:t>
      </w:r>
      <w:r>
        <w:rPr/>
        <w:t>life</w:t>
      </w:r>
      <w:r>
        <w:rPr>
          <w:spacing w:val="-6"/>
        </w:rPr>
        <w:t> </w:t>
      </w:r>
      <w:r>
        <w:rPr/>
        <w:t>experiences</w:t>
      </w:r>
      <w:r>
        <w:rPr>
          <w:spacing w:val="-5"/>
        </w:rPr>
        <w:t> </w:t>
      </w:r>
      <w:r>
        <w:rPr/>
        <w:t>of</w:t>
      </w:r>
      <w:r>
        <w:rPr>
          <w:spacing w:val="-5"/>
        </w:rPr>
        <w:t> </w:t>
      </w:r>
      <w:r>
        <w:rPr/>
        <w:t>lesbians, gays, and bisexuals.</w:t>
      </w:r>
    </w:p>
    <w:p>
      <w:pPr>
        <w:pStyle w:val="ListParagraph"/>
        <w:numPr>
          <w:ilvl w:val="0"/>
          <w:numId w:val="19"/>
        </w:numPr>
        <w:tabs>
          <w:tab w:pos="1217" w:val="left" w:leader="none"/>
        </w:tabs>
        <w:spacing w:line="304" w:lineRule="exact" w:before="0" w:after="0"/>
        <w:ind w:left="1217" w:right="0" w:hanging="457"/>
        <w:jc w:val="left"/>
        <w:rPr>
          <w:sz w:val="28"/>
        </w:rPr>
      </w:pPr>
      <w:r>
        <w:rPr>
          <w:i/>
          <w:sz w:val="28"/>
        </w:rPr>
        <w:t>Coming</w:t>
      </w:r>
      <w:r>
        <w:rPr>
          <w:i/>
          <w:spacing w:val="-3"/>
          <w:sz w:val="28"/>
        </w:rPr>
        <w:t> </w:t>
      </w:r>
      <w:r>
        <w:rPr>
          <w:i/>
          <w:sz w:val="28"/>
        </w:rPr>
        <w:t>out</w:t>
      </w:r>
      <w:r>
        <w:rPr>
          <w:i/>
          <w:spacing w:val="-1"/>
          <w:sz w:val="28"/>
        </w:rPr>
        <w:t> </w:t>
      </w:r>
      <w:r>
        <w:rPr>
          <w:sz w:val="28"/>
        </w:rPr>
        <w:t>may</w:t>
      </w:r>
      <w:r>
        <w:rPr>
          <w:spacing w:val="-1"/>
          <w:sz w:val="28"/>
        </w:rPr>
        <w:t> </w:t>
      </w:r>
      <w:r>
        <w:rPr>
          <w:sz w:val="28"/>
        </w:rPr>
        <w:t>possibly</w:t>
      </w:r>
      <w:r>
        <w:rPr>
          <w:spacing w:val="-1"/>
          <w:sz w:val="28"/>
        </w:rPr>
        <w:t> </w:t>
      </w:r>
      <w:r>
        <w:rPr>
          <w:sz w:val="28"/>
        </w:rPr>
        <w:t>be</w:t>
      </w:r>
      <w:r>
        <w:rPr>
          <w:spacing w:val="-2"/>
          <w:sz w:val="28"/>
        </w:rPr>
        <w:t> </w:t>
      </w:r>
      <w:r>
        <w:rPr>
          <w:sz w:val="28"/>
        </w:rPr>
        <w:t>the</w:t>
      </w:r>
      <w:r>
        <w:rPr>
          <w:spacing w:val="-1"/>
          <w:sz w:val="28"/>
        </w:rPr>
        <w:t> </w:t>
      </w:r>
      <w:r>
        <w:rPr>
          <w:sz w:val="28"/>
        </w:rPr>
        <w:t>most</w:t>
      </w:r>
      <w:r>
        <w:rPr>
          <w:spacing w:val="-1"/>
          <w:sz w:val="28"/>
        </w:rPr>
        <w:t> </w:t>
      </w:r>
      <w:r>
        <w:rPr>
          <w:sz w:val="28"/>
        </w:rPr>
        <w:t>important</w:t>
      </w:r>
      <w:r>
        <w:rPr>
          <w:spacing w:val="-1"/>
          <w:sz w:val="28"/>
        </w:rPr>
        <w:t> </w:t>
      </w:r>
      <w:r>
        <w:rPr>
          <w:sz w:val="28"/>
        </w:rPr>
        <w:t>part</w:t>
      </w:r>
      <w:r>
        <w:rPr>
          <w:spacing w:val="-1"/>
          <w:sz w:val="28"/>
        </w:rPr>
        <w:t> </w:t>
      </w:r>
      <w:r>
        <w:rPr>
          <w:sz w:val="28"/>
        </w:rPr>
        <w:t>of</w:t>
      </w:r>
      <w:r>
        <w:rPr>
          <w:spacing w:val="-1"/>
          <w:sz w:val="28"/>
        </w:rPr>
        <w:t> </w:t>
      </w:r>
      <w:r>
        <w:rPr>
          <w:sz w:val="28"/>
        </w:rPr>
        <w:t>gay </w:t>
      </w:r>
      <w:r>
        <w:rPr>
          <w:spacing w:val="-5"/>
          <w:sz w:val="28"/>
        </w:rPr>
        <w:t>and</w:t>
      </w:r>
    </w:p>
    <w:p>
      <w:pPr>
        <w:pStyle w:val="BodyText"/>
        <w:spacing w:line="223" w:lineRule="auto"/>
        <w:ind w:left="1219" w:right="738"/>
      </w:pPr>
      <w:r>
        <w:rPr/>
        <w:t>lesbian development.</w:t>
      </w:r>
      <w:r>
        <w:rPr>
          <w:spacing w:val="-7"/>
        </w:rPr>
        <w:t> </w:t>
      </w:r>
      <w:r>
        <w:rPr/>
        <w:t>This is the process, often lifelong, in which a person</w:t>
      </w:r>
      <w:r>
        <w:rPr>
          <w:spacing w:val="-5"/>
        </w:rPr>
        <w:t> </w:t>
      </w:r>
      <w:r>
        <w:rPr/>
        <w:t>acknowledges,</w:t>
      </w:r>
      <w:r>
        <w:rPr>
          <w:spacing w:val="-5"/>
        </w:rPr>
        <w:t> </w:t>
      </w:r>
      <w:r>
        <w:rPr/>
        <w:t>accepts,</w:t>
      </w:r>
      <w:r>
        <w:rPr>
          <w:spacing w:val="-5"/>
        </w:rPr>
        <w:t> </w:t>
      </w:r>
      <w:r>
        <w:rPr/>
        <w:t>and</w:t>
      </w:r>
      <w:r>
        <w:rPr>
          <w:spacing w:val="-5"/>
        </w:rPr>
        <w:t> </w:t>
      </w:r>
      <w:r>
        <w:rPr/>
        <w:t>in</w:t>
      </w:r>
      <w:r>
        <w:rPr>
          <w:spacing w:val="-5"/>
        </w:rPr>
        <w:t> </w:t>
      </w:r>
      <w:r>
        <w:rPr/>
        <w:t>many</w:t>
      </w:r>
      <w:r>
        <w:rPr>
          <w:spacing w:val="-5"/>
        </w:rPr>
        <w:t> </w:t>
      </w:r>
      <w:r>
        <w:rPr/>
        <w:t>cases</w:t>
      </w:r>
      <w:r>
        <w:rPr>
          <w:spacing w:val="-5"/>
        </w:rPr>
        <w:t> </w:t>
      </w:r>
      <w:r>
        <w:rPr/>
        <w:t>appreciates</w:t>
      </w:r>
      <w:r>
        <w:rPr>
          <w:spacing w:val="-5"/>
        </w:rPr>
        <w:t> </w:t>
      </w:r>
      <w:r>
        <w:rPr/>
        <w:t>his</w:t>
      </w:r>
      <w:r>
        <w:rPr>
          <w:spacing w:val="-5"/>
        </w:rPr>
        <w:t> </w:t>
      </w:r>
      <w:r>
        <w:rPr/>
        <w:t>or her own lesbian, gay, bisexual, or transgender identity. This often involves sharing this information with others. Family members of gay and lesbian individuals go through a similar process.</w:t>
      </w:r>
    </w:p>
    <w:p>
      <w:pPr>
        <w:pStyle w:val="ListParagraph"/>
        <w:numPr>
          <w:ilvl w:val="0"/>
          <w:numId w:val="19"/>
        </w:numPr>
        <w:tabs>
          <w:tab w:pos="1217" w:val="left" w:leader="none"/>
        </w:tabs>
        <w:spacing w:line="304" w:lineRule="exact" w:before="0" w:after="0"/>
        <w:ind w:left="1217" w:right="0" w:hanging="457"/>
        <w:jc w:val="left"/>
        <w:rPr>
          <w:sz w:val="28"/>
        </w:rPr>
      </w:pPr>
      <w:r>
        <w:rPr>
          <w:i/>
          <w:sz w:val="28"/>
        </w:rPr>
        <w:t>Oppression</w:t>
      </w:r>
      <w:r>
        <w:rPr>
          <w:i/>
          <w:spacing w:val="-5"/>
          <w:sz w:val="28"/>
        </w:rPr>
        <w:t> </w:t>
      </w:r>
      <w:r>
        <w:rPr>
          <w:sz w:val="28"/>
        </w:rPr>
        <w:t>is</w:t>
      </w:r>
      <w:r>
        <w:rPr>
          <w:spacing w:val="-3"/>
          <w:sz w:val="28"/>
        </w:rPr>
        <w:t> </w:t>
      </w:r>
      <w:r>
        <w:rPr>
          <w:sz w:val="28"/>
        </w:rPr>
        <w:t>the</w:t>
      </w:r>
      <w:r>
        <w:rPr>
          <w:spacing w:val="-3"/>
          <w:sz w:val="28"/>
        </w:rPr>
        <w:t> </w:t>
      </w:r>
      <w:r>
        <w:rPr>
          <w:sz w:val="28"/>
        </w:rPr>
        <w:t>systematic</w:t>
      </w:r>
      <w:r>
        <w:rPr>
          <w:spacing w:val="-4"/>
          <w:sz w:val="28"/>
        </w:rPr>
        <w:t> </w:t>
      </w:r>
      <w:r>
        <w:rPr>
          <w:sz w:val="28"/>
        </w:rPr>
        <w:t>subjugation</w:t>
      </w:r>
      <w:r>
        <w:rPr>
          <w:spacing w:val="-3"/>
          <w:sz w:val="28"/>
        </w:rPr>
        <w:t> </w:t>
      </w:r>
      <w:r>
        <w:rPr>
          <w:sz w:val="28"/>
        </w:rPr>
        <w:t>of</w:t>
      </w:r>
      <w:r>
        <w:rPr>
          <w:spacing w:val="-2"/>
          <w:sz w:val="28"/>
        </w:rPr>
        <w:t> </w:t>
      </w:r>
      <w:r>
        <w:rPr>
          <w:sz w:val="28"/>
        </w:rPr>
        <w:t>a</w:t>
      </w:r>
      <w:r>
        <w:rPr>
          <w:spacing w:val="-4"/>
          <w:sz w:val="28"/>
        </w:rPr>
        <w:t> </w:t>
      </w:r>
      <w:r>
        <w:rPr>
          <w:sz w:val="28"/>
        </w:rPr>
        <w:t>particular</w:t>
      </w:r>
      <w:r>
        <w:rPr>
          <w:spacing w:val="-2"/>
          <w:sz w:val="28"/>
        </w:rPr>
        <w:t> social</w:t>
      </w:r>
    </w:p>
    <w:p>
      <w:pPr>
        <w:pStyle w:val="BodyText"/>
        <w:spacing w:line="223" w:lineRule="auto"/>
        <w:ind w:left="1219"/>
      </w:pPr>
      <w:r>
        <w:rPr/>
        <w:t>group</w:t>
      </w:r>
      <w:r>
        <w:rPr>
          <w:spacing w:val="-11"/>
        </w:rPr>
        <w:t> </w:t>
      </w:r>
      <w:r>
        <w:rPr/>
        <w:t>by</w:t>
      </w:r>
      <w:r>
        <w:rPr>
          <w:spacing w:val="-11"/>
        </w:rPr>
        <w:t> </w:t>
      </w:r>
      <w:r>
        <w:rPr/>
        <w:t>another</w:t>
      </w:r>
      <w:r>
        <w:rPr>
          <w:spacing w:val="-11"/>
        </w:rPr>
        <w:t> </w:t>
      </w:r>
      <w:r>
        <w:rPr/>
        <w:t>group</w:t>
      </w:r>
      <w:r>
        <w:rPr>
          <w:spacing w:val="-11"/>
        </w:rPr>
        <w:t> </w:t>
      </w:r>
      <w:r>
        <w:rPr/>
        <w:t>with</w:t>
      </w:r>
      <w:r>
        <w:rPr>
          <w:spacing w:val="-11"/>
        </w:rPr>
        <w:t> </w:t>
      </w:r>
      <w:r>
        <w:rPr/>
        <w:t>access</w:t>
      </w:r>
      <w:r>
        <w:rPr>
          <w:spacing w:val="-11"/>
        </w:rPr>
        <w:t> </w:t>
      </w:r>
      <w:r>
        <w:rPr/>
        <w:t>to</w:t>
      </w:r>
      <w:r>
        <w:rPr>
          <w:spacing w:val="-11"/>
        </w:rPr>
        <w:t> </w:t>
      </w:r>
      <w:r>
        <w:rPr/>
        <w:t>social</w:t>
      </w:r>
      <w:r>
        <w:rPr>
          <w:spacing w:val="-11"/>
        </w:rPr>
        <w:t> </w:t>
      </w:r>
      <w:r>
        <w:rPr/>
        <w:t>and</w:t>
      </w:r>
      <w:r>
        <w:rPr>
          <w:spacing w:val="-11"/>
        </w:rPr>
        <w:t> </w:t>
      </w:r>
      <w:r>
        <w:rPr/>
        <w:t>political</w:t>
      </w:r>
      <w:r>
        <w:rPr>
          <w:spacing w:val="-11"/>
        </w:rPr>
        <w:t> </w:t>
      </w:r>
      <w:r>
        <w:rPr/>
        <w:t>power,</w:t>
      </w:r>
      <w:r>
        <w:rPr>
          <w:spacing w:val="-5"/>
        </w:rPr>
        <w:t> </w:t>
      </w:r>
      <w:r>
        <w:rPr/>
        <w:t>by withholding access to that power.</w:t>
      </w:r>
    </w:p>
    <w:p>
      <w:pPr>
        <w:pStyle w:val="ListParagraph"/>
        <w:numPr>
          <w:ilvl w:val="0"/>
          <w:numId w:val="19"/>
        </w:numPr>
        <w:tabs>
          <w:tab w:pos="1217" w:val="left" w:leader="none"/>
        </w:tabs>
        <w:spacing w:line="302" w:lineRule="exact" w:before="0" w:after="0"/>
        <w:ind w:left="1217" w:right="0" w:hanging="457"/>
        <w:jc w:val="left"/>
        <w:rPr>
          <w:sz w:val="28"/>
        </w:rPr>
      </w:pPr>
      <w:r>
        <w:rPr>
          <w:i/>
          <w:sz w:val="28"/>
        </w:rPr>
        <w:t>Lesbian/gay</w:t>
      </w:r>
      <w:r>
        <w:rPr>
          <w:i/>
          <w:spacing w:val="-9"/>
          <w:sz w:val="28"/>
        </w:rPr>
        <w:t> </w:t>
      </w:r>
      <w:r>
        <w:rPr>
          <w:i/>
          <w:sz w:val="28"/>
        </w:rPr>
        <w:t>baiting</w:t>
      </w:r>
      <w:r>
        <w:rPr>
          <w:i/>
          <w:spacing w:val="-6"/>
          <w:sz w:val="28"/>
        </w:rPr>
        <w:t> </w:t>
      </w:r>
      <w:r>
        <w:rPr>
          <w:sz w:val="28"/>
        </w:rPr>
        <w:t>involves</w:t>
      </w:r>
      <w:r>
        <w:rPr>
          <w:spacing w:val="-6"/>
          <w:sz w:val="28"/>
        </w:rPr>
        <w:t> </w:t>
      </w:r>
      <w:r>
        <w:rPr>
          <w:sz w:val="28"/>
        </w:rPr>
        <w:t>actions</w:t>
      </w:r>
      <w:r>
        <w:rPr>
          <w:spacing w:val="-6"/>
          <w:sz w:val="28"/>
        </w:rPr>
        <w:t> </w:t>
      </w:r>
      <w:r>
        <w:rPr>
          <w:sz w:val="28"/>
        </w:rPr>
        <w:t>or</w:t>
      </w:r>
      <w:r>
        <w:rPr>
          <w:spacing w:val="-6"/>
          <w:sz w:val="28"/>
        </w:rPr>
        <w:t> </w:t>
      </w:r>
      <w:r>
        <w:rPr>
          <w:sz w:val="28"/>
        </w:rPr>
        <w:t>words</w:t>
      </w:r>
      <w:r>
        <w:rPr>
          <w:spacing w:val="-6"/>
          <w:sz w:val="28"/>
        </w:rPr>
        <w:t> </w:t>
      </w:r>
      <w:r>
        <w:rPr>
          <w:sz w:val="28"/>
        </w:rPr>
        <w:t>that</w:t>
      </w:r>
      <w:r>
        <w:rPr>
          <w:spacing w:val="-6"/>
          <w:sz w:val="28"/>
        </w:rPr>
        <w:t> </w:t>
      </w:r>
      <w:r>
        <w:rPr>
          <w:sz w:val="28"/>
        </w:rPr>
        <w:t>imply</w:t>
      </w:r>
      <w:r>
        <w:rPr>
          <w:spacing w:val="-6"/>
          <w:sz w:val="28"/>
        </w:rPr>
        <w:t> </w:t>
      </w:r>
      <w:r>
        <w:rPr>
          <w:sz w:val="28"/>
        </w:rPr>
        <w:t>or</w:t>
      </w:r>
      <w:r>
        <w:rPr>
          <w:spacing w:val="-6"/>
          <w:sz w:val="28"/>
        </w:rPr>
        <w:t> </w:t>
      </w:r>
      <w:r>
        <w:rPr>
          <w:spacing w:val="-2"/>
          <w:sz w:val="28"/>
        </w:rPr>
        <w:t>state</w:t>
      </w:r>
    </w:p>
    <w:p>
      <w:pPr>
        <w:pStyle w:val="BodyText"/>
        <w:spacing w:line="223" w:lineRule="auto"/>
        <w:ind w:left="1219" w:right="867"/>
      </w:pPr>
      <w:r>
        <w:rPr/>
        <w:t>that</w:t>
      </w:r>
      <w:r>
        <w:rPr>
          <w:spacing w:val="-3"/>
        </w:rPr>
        <w:t> </w:t>
      </w:r>
      <w:r>
        <w:rPr/>
        <w:t>the</w:t>
      </w:r>
      <w:r>
        <w:rPr>
          <w:spacing w:val="-4"/>
        </w:rPr>
        <w:t> </w:t>
      </w:r>
      <w:r>
        <w:rPr/>
        <w:t>presence</w:t>
      </w:r>
      <w:r>
        <w:rPr>
          <w:spacing w:val="-4"/>
        </w:rPr>
        <w:t> </w:t>
      </w:r>
      <w:r>
        <w:rPr/>
        <w:t>of</w:t>
      </w:r>
      <w:r>
        <w:rPr>
          <w:spacing w:val="-3"/>
        </w:rPr>
        <w:t> </w:t>
      </w:r>
      <w:r>
        <w:rPr/>
        <w:t>a</w:t>
      </w:r>
      <w:r>
        <w:rPr>
          <w:spacing w:val="-4"/>
        </w:rPr>
        <w:t> </w:t>
      </w:r>
      <w:r>
        <w:rPr/>
        <w:t>gay</w:t>
      </w:r>
      <w:r>
        <w:rPr>
          <w:spacing w:val="-3"/>
        </w:rPr>
        <w:t> </w:t>
      </w:r>
      <w:r>
        <w:rPr/>
        <w:t>man</w:t>
      </w:r>
      <w:r>
        <w:rPr>
          <w:spacing w:val="-3"/>
        </w:rPr>
        <w:t> </w:t>
      </w:r>
      <w:r>
        <w:rPr/>
        <w:t>or</w:t>
      </w:r>
      <w:r>
        <w:rPr>
          <w:spacing w:val="-3"/>
        </w:rPr>
        <w:t> </w:t>
      </w:r>
      <w:r>
        <w:rPr/>
        <w:t>lesbian</w:t>
      </w:r>
      <w:r>
        <w:rPr>
          <w:spacing w:val="-3"/>
        </w:rPr>
        <w:t> </w:t>
      </w:r>
      <w:r>
        <w:rPr/>
        <w:t>hurts</w:t>
      </w:r>
      <w:r>
        <w:rPr>
          <w:spacing w:val="-3"/>
        </w:rPr>
        <w:t> </w:t>
      </w:r>
      <w:r>
        <w:rPr/>
        <w:t>or</w:t>
      </w:r>
      <w:r>
        <w:rPr>
          <w:spacing w:val="-3"/>
        </w:rPr>
        <w:t> </w:t>
      </w:r>
      <w:r>
        <w:rPr/>
        <w:t>discredits</w:t>
      </w:r>
      <w:r>
        <w:rPr>
          <w:spacing w:val="-3"/>
        </w:rPr>
        <w:t> </w:t>
      </w:r>
      <w:r>
        <w:rPr/>
        <w:t>a</w:t>
      </w:r>
      <w:r>
        <w:rPr>
          <w:spacing w:val="-4"/>
        </w:rPr>
        <w:t> </w:t>
      </w:r>
      <w:r>
        <w:rPr/>
        <w:t>social system. The purpose is to hurt, demean, intimidate, or control, and to stop social change or acceptance of lesbians and gays within the social system.</w:t>
      </w:r>
    </w:p>
    <w:p>
      <w:pPr>
        <w:pStyle w:val="BodyText"/>
        <w:spacing w:before="3"/>
        <w:rPr>
          <w:sz w:val="24"/>
        </w:rPr>
      </w:pPr>
    </w:p>
    <w:p>
      <w:pPr>
        <w:pStyle w:val="BodyText"/>
        <w:spacing w:line="259" w:lineRule="auto" w:before="1"/>
        <w:ind w:left="400" w:right="502"/>
      </w:pPr>
      <w:r>
        <w:rPr/>
        <w:t>These definitions can help the clinician become aware of the added layer of discrimination</w:t>
      </w:r>
      <w:r>
        <w:rPr>
          <w:spacing w:val="-7"/>
        </w:rPr>
        <w:t> </w:t>
      </w:r>
      <w:r>
        <w:rPr/>
        <w:t>felt</w:t>
      </w:r>
      <w:r>
        <w:rPr>
          <w:spacing w:val="-7"/>
        </w:rPr>
        <w:t> </w:t>
      </w:r>
      <w:r>
        <w:rPr/>
        <w:t>by</w:t>
      </w:r>
      <w:r>
        <w:rPr>
          <w:spacing w:val="-7"/>
        </w:rPr>
        <w:t> </w:t>
      </w:r>
      <w:r>
        <w:rPr/>
        <w:t>gay</w:t>
      </w:r>
      <w:r>
        <w:rPr>
          <w:spacing w:val="-7"/>
        </w:rPr>
        <w:t> </w:t>
      </w:r>
      <w:r>
        <w:rPr/>
        <w:t>men</w:t>
      </w:r>
      <w:r>
        <w:rPr>
          <w:spacing w:val="-7"/>
        </w:rPr>
        <w:t> </w:t>
      </w:r>
      <w:r>
        <w:rPr/>
        <w:t>and</w:t>
      </w:r>
      <w:r>
        <w:rPr>
          <w:spacing w:val="-7"/>
        </w:rPr>
        <w:t> </w:t>
      </w:r>
      <w:r>
        <w:rPr/>
        <w:t>lesbians</w:t>
      </w:r>
      <w:r>
        <w:rPr>
          <w:spacing w:val="-7"/>
        </w:rPr>
        <w:t> </w:t>
      </w:r>
      <w:r>
        <w:rPr/>
        <w:t>in</w:t>
      </w:r>
      <w:r>
        <w:rPr>
          <w:spacing w:val="-7"/>
        </w:rPr>
        <w:t> </w:t>
      </w:r>
      <w:r>
        <w:rPr/>
        <w:t>treatment</w:t>
      </w:r>
      <w:r>
        <w:rPr>
          <w:spacing w:val="-8"/>
        </w:rPr>
        <w:t> </w:t>
      </w:r>
      <w:r>
        <w:rPr/>
        <w:t>for</w:t>
      </w:r>
      <w:r>
        <w:rPr>
          <w:spacing w:val="-7"/>
        </w:rPr>
        <w:t> </w:t>
      </w:r>
      <w:r>
        <w:rPr/>
        <w:t>HIV/AIDS</w:t>
      </w:r>
      <w:r>
        <w:rPr>
          <w:spacing w:val="-7"/>
        </w:rPr>
        <w:t> </w:t>
      </w:r>
      <w:r>
        <w:rPr/>
        <w:t>and</w:t>
      </w:r>
      <w:r>
        <w:rPr>
          <w:spacing w:val="-7"/>
        </w:rPr>
        <w:t> </w:t>
      </w:r>
      <w:r>
        <w:rPr/>
        <w:t>a substance abuse disorder. Following is a list of some "Do's" to keep in mind when working with homosexual clients </w:t>
      </w:r>
      <w:r>
        <w:rPr>
          <w:i/>
        </w:rPr>
        <w:t>(adapted from Storms)</w:t>
      </w:r>
      <w:r>
        <w:rPr/>
        <w:t>.</w:t>
      </w:r>
    </w:p>
    <w:p>
      <w:pPr>
        <w:pStyle w:val="ListParagraph"/>
        <w:numPr>
          <w:ilvl w:val="0"/>
          <w:numId w:val="19"/>
        </w:numPr>
        <w:tabs>
          <w:tab w:pos="1217" w:val="left" w:leader="none"/>
        </w:tabs>
        <w:spacing w:line="359" w:lineRule="exact" w:before="167" w:after="0"/>
        <w:ind w:left="1217" w:right="0" w:hanging="457"/>
        <w:jc w:val="left"/>
        <w:rPr>
          <w:sz w:val="28"/>
        </w:rPr>
      </w:pPr>
      <w:r>
        <w:rPr>
          <w:sz w:val="28"/>
        </w:rPr>
        <w:t>Identify</w:t>
      </w:r>
      <w:r>
        <w:rPr>
          <w:spacing w:val="-7"/>
          <w:sz w:val="28"/>
        </w:rPr>
        <w:t> </w:t>
      </w:r>
      <w:r>
        <w:rPr>
          <w:sz w:val="28"/>
        </w:rPr>
        <w:t>the</w:t>
      </w:r>
      <w:r>
        <w:rPr>
          <w:spacing w:val="-7"/>
          <w:sz w:val="28"/>
        </w:rPr>
        <w:t> </w:t>
      </w:r>
      <w:r>
        <w:rPr>
          <w:sz w:val="28"/>
        </w:rPr>
        <w:t>client's</w:t>
      </w:r>
      <w:r>
        <w:rPr>
          <w:spacing w:val="-6"/>
          <w:sz w:val="28"/>
        </w:rPr>
        <w:t> </w:t>
      </w:r>
      <w:r>
        <w:rPr>
          <w:sz w:val="28"/>
        </w:rPr>
        <w:t>strengths</w:t>
      </w:r>
      <w:r>
        <w:rPr>
          <w:spacing w:val="-6"/>
          <w:sz w:val="28"/>
        </w:rPr>
        <w:t> </w:t>
      </w:r>
      <w:r>
        <w:rPr>
          <w:sz w:val="28"/>
        </w:rPr>
        <w:t>and</w:t>
      </w:r>
      <w:r>
        <w:rPr>
          <w:spacing w:val="-6"/>
          <w:sz w:val="28"/>
        </w:rPr>
        <w:t> </w:t>
      </w:r>
      <w:r>
        <w:rPr>
          <w:sz w:val="28"/>
        </w:rPr>
        <w:t>accept</w:t>
      </w:r>
      <w:r>
        <w:rPr>
          <w:spacing w:val="-8"/>
          <w:sz w:val="28"/>
        </w:rPr>
        <w:t> </w:t>
      </w:r>
      <w:r>
        <w:rPr>
          <w:sz w:val="28"/>
        </w:rPr>
        <w:t>them</w:t>
      </w:r>
      <w:r>
        <w:rPr>
          <w:spacing w:val="-6"/>
          <w:sz w:val="28"/>
        </w:rPr>
        <w:t> </w:t>
      </w:r>
      <w:r>
        <w:rPr>
          <w:sz w:val="28"/>
        </w:rPr>
        <w:t>as</w:t>
      </w:r>
      <w:r>
        <w:rPr>
          <w:spacing w:val="-6"/>
          <w:sz w:val="28"/>
        </w:rPr>
        <w:t> </w:t>
      </w:r>
      <w:r>
        <w:rPr>
          <w:sz w:val="28"/>
        </w:rPr>
        <w:t>you</w:t>
      </w:r>
      <w:r>
        <w:rPr>
          <w:spacing w:val="-1"/>
          <w:sz w:val="28"/>
        </w:rPr>
        <w:t> </w:t>
      </w:r>
      <w:r>
        <w:rPr>
          <w:sz w:val="28"/>
        </w:rPr>
        <w:t>find</w:t>
      </w:r>
      <w:r>
        <w:rPr>
          <w:spacing w:val="-1"/>
          <w:sz w:val="28"/>
        </w:rPr>
        <w:t> </w:t>
      </w:r>
      <w:r>
        <w:rPr>
          <w:spacing w:val="-2"/>
          <w:sz w:val="28"/>
        </w:rPr>
        <w:t>them.</w:t>
      </w:r>
    </w:p>
    <w:p>
      <w:pPr>
        <w:pStyle w:val="ListParagraph"/>
        <w:numPr>
          <w:ilvl w:val="0"/>
          <w:numId w:val="19"/>
        </w:numPr>
        <w:tabs>
          <w:tab w:pos="1216" w:val="left" w:leader="none"/>
          <w:tab w:pos="1219" w:val="left" w:leader="none"/>
        </w:tabs>
        <w:spacing w:line="196" w:lineRule="auto" w:before="18" w:after="0"/>
        <w:ind w:left="1219" w:right="1108" w:hanging="460"/>
        <w:jc w:val="left"/>
        <w:rPr>
          <w:sz w:val="28"/>
        </w:rPr>
      </w:pPr>
      <w:r>
        <w:rPr>
          <w:sz w:val="28"/>
        </w:rPr>
        <w:t>Listen</w:t>
      </w:r>
      <w:r>
        <w:rPr>
          <w:spacing w:val="-11"/>
          <w:sz w:val="28"/>
        </w:rPr>
        <w:t> </w:t>
      </w:r>
      <w:r>
        <w:rPr>
          <w:sz w:val="28"/>
        </w:rPr>
        <w:t>empathically</w:t>
      </w:r>
      <w:r>
        <w:rPr>
          <w:spacing w:val="-10"/>
          <w:sz w:val="28"/>
        </w:rPr>
        <w:t> </w:t>
      </w:r>
      <w:r>
        <w:rPr>
          <w:sz w:val="28"/>
        </w:rPr>
        <w:t>and</w:t>
      </w:r>
      <w:r>
        <w:rPr>
          <w:spacing w:val="-10"/>
          <w:sz w:val="28"/>
        </w:rPr>
        <w:t> </w:t>
      </w:r>
      <w:r>
        <w:rPr>
          <w:sz w:val="28"/>
        </w:rPr>
        <w:t>refrain</w:t>
      </w:r>
      <w:r>
        <w:rPr>
          <w:spacing w:val="-10"/>
          <w:sz w:val="28"/>
        </w:rPr>
        <w:t> </w:t>
      </w:r>
      <w:r>
        <w:rPr>
          <w:sz w:val="28"/>
        </w:rPr>
        <w:t>from</w:t>
      </w:r>
      <w:r>
        <w:rPr>
          <w:spacing w:val="-10"/>
          <w:sz w:val="28"/>
        </w:rPr>
        <w:t> </w:t>
      </w:r>
      <w:r>
        <w:rPr>
          <w:sz w:val="28"/>
        </w:rPr>
        <w:t>making</w:t>
      </w:r>
      <w:r>
        <w:rPr>
          <w:spacing w:val="-10"/>
          <w:sz w:val="28"/>
        </w:rPr>
        <w:t> </w:t>
      </w:r>
      <w:r>
        <w:rPr>
          <w:sz w:val="28"/>
        </w:rPr>
        <w:t>judgments</w:t>
      </w:r>
      <w:r>
        <w:rPr>
          <w:spacing w:val="-10"/>
          <w:sz w:val="28"/>
        </w:rPr>
        <w:t> </w:t>
      </w:r>
      <w:r>
        <w:rPr>
          <w:sz w:val="28"/>
        </w:rPr>
        <w:t>about</w:t>
      </w:r>
      <w:r>
        <w:rPr>
          <w:spacing w:val="-10"/>
          <w:sz w:val="28"/>
        </w:rPr>
        <w:t> </w:t>
      </w:r>
      <w:r>
        <w:rPr>
          <w:sz w:val="28"/>
        </w:rPr>
        <w:t>the client's lifestyle.</w:t>
      </w:r>
    </w:p>
    <w:p>
      <w:pPr>
        <w:pStyle w:val="ListParagraph"/>
        <w:numPr>
          <w:ilvl w:val="0"/>
          <w:numId w:val="19"/>
        </w:numPr>
        <w:tabs>
          <w:tab w:pos="1216" w:val="left" w:leader="none"/>
          <w:tab w:pos="1219" w:val="left" w:leader="none"/>
        </w:tabs>
        <w:spacing w:line="211" w:lineRule="auto" w:before="0" w:after="0"/>
        <w:ind w:left="1219" w:right="1367" w:hanging="460"/>
        <w:jc w:val="left"/>
        <w:rPr>
          <w:sz w:val="28"/>
        </w:rPr>
      </w:pPr>
      <w:r>
        <w:rPr>
          <w:sz w:val="28"/>
        </w:rPr>
        <w:t>Remain</w:t>
      </w:r>
      <w:r>
        <w:rPr>
          <w:spacing w:val="-9"/>
          <w:sz w:val="28"/>
        </w:rPr>
        <w:t> </w:t>
      </w:r>
      <w:r>
        <w:rPr>
          <w:sz w:val="28"/>
        </w:rPr>
        <w:t>aware</w:t>
      </w:r>
      <w:r>
        <w:rPr>
          <w:spacing w:val="-10"/>
          <w:sz w:val="28"/>
        </w:rPr>
        <w:t> </w:t>
      </w:r>
      <w:r>
        <w:rPr>
          <w:sz w:val="28"/>
        </w:rPr>
        <w:t>of</w:t>
      </w:r>
      <w:r>
        <w:rPr>
          <w:spacing w:val="-9"/>
          <w:sz w:val="28"/>
        </w:rPr>
        <w:t> </w:t>
      </w:r>
      <w:r>
        <w:rPr>
          <w:sz w:val="28"/>
        </w:rPr>
        <w:t>the</w:t>
      </w:r>
      <w:r>
        <w:rPr>
          <w:spacing w:val="-10"/>
          <w:sz w:val="28"/>
        </w:rPr>
        <w:t> </w:t>
      </w:r>
      <w:r>
        <w:rPr>
          <w:sz w:val="28"/>
        </w:rPr>
        <w:t>client's</w:t>
      </w:r>
      <w:r>
        <w:rPr>
          <w:spacing w:val="-9"/>
          <w:sz w:val="28"/>
        </w:rPr>
        <w:t> </w:t>
      </w:r>
      <w:r>
        <w:rPr>
          <w:sz w:val="28"/>
        </w:rPr>
        <w:t>sexual</w:t>
      </w:r>
      <w:r>
        <w:rPr>
          <w:spacing w:val="-9"/>
          <w:sz w:val="28"/>
        </w:rPr>
        <w:t> </w:t>
      </w:r>
      <w:r>
        <w:rPr>
          <w:sz w:val="28"/>
        </w:rPr>
        <w:t>orientation</w:t>
      </w:r>
      <w:r>
        <w:rPr>
          <w:spacing w:val="-9"/>
          <w:sz w:val="28"/>
        </w:rPr>
        <w:t> </w:t>
      </w:r>
      <w:r>
        <w:rPr>
          <w:sz w:val="28"/>
        </w:rPr>
        <w:t>and</w:t>
      </w:r>
      <w:r>
        <w:rPr>
          <w:spacing w:val="-9"/>
          <w:sz w:val="28"/>
        </w:rPr>
        <w:t> </w:t>
      </w:r>
      <w:r>
        <w:rPr>
          <w:sz w:val="28"/>
        </w:rPr>
        <w:t>the</w:t>
      </w:r>
      <w:r>
        <w:rPr>
          <w:spacing w:val="-10"/>
          <w:sz w:val="28"/>
        </w:rPr>
        <w:t> </w:t>
      </w:r>
      <w:r>
        <w:rPr>
          <w:sz w:val="28"/>
        </w:rPr>
        <w:t>possible effects of this orientation on the client's experience and world-</w:t>
      </w:r>
    </w:p>
    <w:p>
      <w:pPr>
        <w:pStyle w:val="BodyText"/>
        <w:spacing w:line="268" w:lineRule="exact"/>
        <w:ind w:left="1219"/>
      </w:pPr>
      <w:r>
        <w:rPr>
          <w:spacing w:val="-2"/>
        </w:rPr>
        <w:t>view.</w:t>
      </w:r>
    </w:p>
    <w:p>
      <w:pPr>
        <w:pStyle w:val="ListParagraph"/>
        <w:numPr>
          <w:ilvl w:val="0"/>
          <w:numId w:val="19"/>
        </w:numPr>
        <w:tabs>
          <w:tab w:pos="1217" w:val="left" w:leader="none"/>
        </w:tabs>
        <w:spacing w:line="358" w:lineRule="exact" w:before="0" w:after="0"/>
        <w:ind w:left="1217" w:right="0" w:hanging="457"/>
        <w:jc w:val="left"/>
        <w:rPr>
          <w:sz w:val="28"/>
        </w:rPr>
      </w:pPr>
      <w:r>
        <w:rPr>
          <w:sz w:val="28"/>
        </w:rPr>
        <w:t>Explore</w:t>
      </w:r>
      <w:r>
        <w:rPr>
          <w:spacing w:val="-12"/>
          <w:sz w:val="28"/>
        </w:rPr>
        <w:t> </w:t>
      </w:r>
      <w:r>
        <w:rPr>
          <w:sz w:val="28"/>
        </w:rPr>
        <w:t>the</w:t>
      </w:r>
      <w:r>
        <w:rPr>
          <w:spacing w:val="-9"/>
          <w:sz w:val="28"/>
        </w:rPr>
        <w:t> </w:t>
      </w:r>
      <w:r>
        <w:rPr>
          <w:sz w:val="28"/>
        </w:rPr>
        <w:t>client's</w:t>
      </w:r>
      <w:r>
        <w:rPr>
          <w:spacing w:val="-8"/>
          <w:sz w:val="28"/>
        </w:rPr>
        <w:t> </w:t>
      </w:r>
      <w:r>
        <w:rPr>
          <w:sz w:val="28"/>
        </w:rPr>
        <w:t>sexual</w:t>
      </w:r>
      <w:r>
        <w:rPr>
          <w:spacing w:val="-7"/>
          <w:sz w:val="28"/>
        </w:rPr>
        <w:t> </w:t>
      </w:r>
      <w:r>
        <w:rPr>
          <w:sz w:val="28"/>
        </w:rPr>
        <w:t>practices</w:t>
      </w:r>
      <w:r>
        <w:rPr>
          <w:spacing w:val="-7"/>
          <w:sz w:val="28"/>
        </w:rPr>
        <w:t> </w:t>
      </w:r>
      <w:r>
        <w:rPr>
          <w:sz w:val="28"/>
        </w:rPr>
        <w:t>with</w:t>
      </w:r>
      <w:r>
        <w:rPr>
          <w:spacing w:val="-8"/>
          <w:sz w:val="28"/>
        </w:rPr>
        <w:t> </w:t>
      </w:r>
      <w:r>
        <w:rPr>
          <w:sz w:val="28"/>
        </w:rPr>
        <w:t>an</w:t>
      </w:r>
      <w:r>
        <w:rPr>
          <w:spacing w:val="-7"/>
          <w:sz w:val="28"/>
        </w:rPr>
        <w:t> </w:t>
      </w:r>
      <w:r>
        <w:rPr>
          <w:sz w:val="28"/>
        </w:rPr>
        <w:t>eye</w:t>
      </w:r>
      <w:r>
        <w:rPr>
          <w:spacing w:val="-9"/>
          <w:sz w:val="28"/>
        </w:rPr>
        <w:t> </w:t>
      </w:r>
      <w:r>
        <w:rPr>
          <w:spacing w:val="-2"/>
          <w:sz w:val="28"/>
        </w:rPr>
        <w:t>toward</w:t>
      </w:r>
    </w:p>
    <w:p>
      <w:pPr>
        <w:spacing w:after="0" w:line="358" w:lineRule="exact"/>
        <w:jc w:val="left"/>
        <w:rPr>
          <w:sz w:val="28"/>
        </w:rPr>
        <w:sectPr>
          <w:pgSz w:w="12240" w:h="15840"/>
          <w:pgMar w:header="0" w:footer="765" w:top="1260" w:bottom="980" w:left="1400" w:right="1180"/>
        </w:sectPr>
      </w:pPr>
    </w:p>
    <w:p>
      <w:pPr>
        <w:pStyle w:val="BodyText"/>
        <w:spacing w:line="281" w:lineRule="exact" w:before="58"/>
        <w:ind w:left="1219"/>
      </w:pPr>
      <w:r>
        <w:rPr/>
        <w:t>internalized</w:t>
      </w:r>
      <w:r>
        <w:rPr>
          <w:spacing w:val="-4"/>
        </w:rPr>
        <w:t> </w:t>
      </w:r>
      <w:r>
        <w:rPr>
          <w:spacing w:val="-2"/>
        </w:rPr>
        <w:t>homophobia.</w:t>
      </w:r>
    </w:p>
    <w:p>
      <w:pPr>
        <w:pStyle w:val="ListParagraph"/>
        <w:numPr>
          <w:ilvl w:val="0"/>
          <w:numId w:val="19"/>
        </w:numPr>
        <w:tabs>
          <w:tab w:pos="1216" w:val="left" w:leader="none"/>
          <w:tab w:pos="1219" w:val="left" w:leader="none"/>
        </w:tabs>
        <w:spacing w:line="211" w:lineRule="auto" w:before="0" w:after="0"/>
        <w:ind w:left="1219" w:right="2025" w:hanging="460"/>
        <w:jc w:val="left"/>
        <w:rPr>
          <w:sz w:val="28"/>
        </w:rPr>
      </w:pPr>
      <w:r>
        <w:rPr>
          <w:sz w:val="28"/>
        </w:rPr>
        <w:t>Be</w:t>
      </w:r>
      <w:r>
        <w:rPr>
          <w:spacing w:val="-10"/>
          <w:sz w:val="28"/>
        </w:rPr>
        <w:t> </w:t>
      </w:r>
      <w:r>
        <w:rPr>
          <w:sz w:val="28"/>
        </w:rPr>
        <w:t>aware</w:t>
      </w:r>
      <w:r>
        <w:rPr>
          <w:spacing w:val="-10"/>
          <w:sz w:val="28"/>
        </w:rPr>
        <w:t> </w:t>
      </w:r>
      <w:r>
        <w:rPr>
          <w:sz w:val="28"/>
        </w:rPr>
        <w:t>of</w:t>
      </w:r>
      <w:r>
        <w:rPr>
          <w:spacing w:val="-9"/>
          <w:sz w:val="28"/>
        </w:rPr>
        <w:t> </w:t>
      </w:r>
      <w:r>
        <w:rPr>
          <w:sz w:val="28"/>
        </w:rPr>
        <w:t>your</w:t>
      </w:r>
      <w:r>
        <w:rPr>
          <w:spacing w:val="-9"/>
          <w:sz w:val="28"/>
        </w:rPr>
        <w:t> </w:t>
      </w:r>
      <w:r>
        <w:rPr>
          <w:sz w:val="28"/>
        </w:rPr>
        <w:t>own</w:t>
      </w:r>
      <w:r>
        <w:rPr>
          <w:spacing w:val="-9"/>
          <w:sz w:val="28"/>
        </w:rPr>
        <w:t> </w:t>
      </w:r>
      <w:r>
        <w:rPr>
          <w:sz w:val="28"/>
        </w:rPr>
        <w:t>preference</w:t>
      </w:r>
      <w:r>
        <w:rPr>
          <w:spacing w:val="-10"/>
          <w:sz w:val="28"/>
        </w:rPr>
        <w:t> </w:t>
      </w:r>
      <w:r>
        <w:rPr>
          <w:sz w:val="28"/>
        </w:rPr>
        <w:t>and</w:t>
      </w:r>
      <w:r>
        <w:rPr>
          <w:spacing w:val="-9"/>
          <w:sz w:val="28"/>
        </w:rPr>
        <w:t> </w:t>
      </w:r>
      <w:r>
        <w:rPr>
          <w:sz w:val="28"/>
        </w:rPr>
        <w:t>mindful</w:t>
      </w:r>
      <w:r>
        <w:rPr>
          <w:spacing w:val="-10"/>
          <w:sz w:val="28"/>
        </w:rPr>
        <w:t> </w:t>
      </w:r>
      <w:r>
        <w:rPr>
          <w:sz w:val="28"/>
        </w:rPr>
        <w:t>of</w:t>
      </w:r>
      <w:r>
        <w:rPr>
          <w:spacing w:val="-9"/>
          <w:sz w:val="28"/>
        </w:rPr>
        <w:t> </w:t>
      </w:r>
      <w:r>
        <w:rPr>
          <w:sz w:val="28"/>
        </w:rPr>
        <w:t>possible homophobia or confusion in your own sexual identity.</w:t>
      </w:r>
    </w:p>
    <w:p>
      <w:pPr>
        <w:pStyle w:val="ListParagraph"/>
        <w:numPr>
          <w:ilvl w:val="0"/>
          <w:numId w:val="19"/>
        </w:numPr>
        <w:tabs>
          <w:tab w:pos="1217" w:val="left" w:leader="none"/>
        </w:tabs>
        <w:spacing w:line="306" w:lineRule="exact" w:before="0" w:after="0"/>
        <w:ind w:left="1217" w:right="0" w:hanging="457"/>
        <w:jc w:val="left"/>
        <w:rPr>
          <w:sz w:val="28"/>
        </w:rPr>
      </w:pPr>
      <w:r>
        <w:rPr>
          <w:sz w:val="28"/>
        </w:rPr>
        <w:t>Be</w:t>
      </w:r>
      <w:r>
        <w:rPr>
          <w:spacing w:val="-12"/>
          <w:sz w:val="28"/>
        </w:rPr>
        <w:t> </w:t>
      </w:r>
      <w:r>
        <w:rPr>
          <w:sz w:val="28"/>
        </w:rPr>
        <w:t>knowledgeable</w:t>
      </w:r>
      <w:r>
        <w:rPr>
          <w:spacing w:val="-9"/>
          <w:sz w:val="28"/>
        </w:rPr>
        <w:t> </w:t>
      </w:r>
      <w:r>
        <w:rPr>
          <w:sz w:val="28"/>
        </w:rPr>
        <w:t>about</w:t>
      </w:r>
      <w:r>
        <w:rPr>
          <w:spacing w:val="-10"/>
          <w:sz w:val="28"/>
        </w:rPr>
        <w:t> </w:t>
      </w:r>
      <w:r>
        <w:rPr>
          <w:sz w:val="28"/>
        </w:rPr>
        <w:t>compulsive</w:t>
      </w:r>
      <w:r>
        <w:rPr>
          <w:spacing w:val="-10"/>
          <w:sz w:val="28"/>
        </w:rPr>
        <w:t> </w:t>
      </w:r>
      <w:r>
        <w:rPr>
          <w:sz w:val="28"/>
        </w:rPr>
        <w:t>sexual</w:t>
      </w:r>
      <w:r>
        <w:rPr>
          <w:spacing w:val="-8"/>
          <w:sz w:val="28"/>
        </w:rPr>
        <w:t> </w:t>
      </w:r>
      <w:r>
        <w:rPr>
          <w:sz w:val="28"/>
        </w:rPr>
        <w:t>behavior</w:t>
      </w:r>
      <w:r>
        <w:rPr>
          <w:spacing w:val="-8"/>
          <w:sz w:val="28"/>
        </w:rPr>
        <w:t> </w:t>
      </w:r>
      <w:r>
        <w:rPr>
          <w:sz w:val="28"/>
        </w:rPr>
        <w:t>and</w:t>
      </w:r>
      <w:r>
        <w:rPr>
          <w:spacing w:val="-7"/>
          <w:sz w:val="28"/>
        </w:rPr>
        <w:t> </w:t>
      </w:r>
      <w:r>
        <w:rPr>
          <w:spacing w:val="-2"/>
          <w:sz w:val="28"/>
        </w:rPr>
        <w:t>sexual</w:t>
      </w:r>
    </w:p>
    <w:p>
      <w:pPr>
        <w:pStyle w:val="BodyText"/>
        <w:spacing w:line="261" w:lineRule="exact"/>
        <w:ind w:left="1219"/>
      </w:pPr>
      <w:r>
        <w:rPr/>
        <w:t>practices</w:t>
      </w:r>
      <w:r>
        <w:rPr>
          <w:spacing w:val="-2"/>
        </w:rPr>
        <w:t> </w:t>
      </w:r>
      <w:r>
        <w:rPr/>
        <w:t>in</w:t>
      </w:r>
      <w:r>
        <w:rPr>
          <w:spacing w:val="-2"/>
        </w:rPr>
        <w:t> </w:t>
      </w:r>
      <w:r>
        <w:rPr/>
        <w:t>the</w:t>
      </w:r>
      <w:r>
        <w:rPr>
          <w:spacing w:val="-3"/>
        </w:rPr>
        <w:t> </w:t>
      </w:r>
      <w:r>
        <w:rPr/>
        <w:t>lesbian/gay</w:t>
      </w:r>
      <w:r>
        <w:rPr>
          <w:spacing w:val="-1"/>
        </w:rPr>
        <w:t> </w:t>
      </w:r>
      <w:r>
        <w:rPr>
          <w:spacing w:val="-2"/>
        </w:rPr>
        <w:t>community.</w:t>
      </w:r>
    </w:p>
    <w:p>
      <w:pPr>
        <w:pStyle w:val="ListParagraph"/>
        <w:numPr>
          <w:ilvl w:val="0"/>
          <w:numId w:val="19"/>
        </w:numPr>
        <w:tabs>
          <w:tab w:pos="1216" w:val="left" w:leader="none"/>
          <w:tab w:pos="1219" w:val="left" w:leader="none"/>
        </w:tabs>
        <w:spacing w:line="211" w:lineRule="auto" w:before="0" w:after="0"/>
        <w:ind w:left="1219" w:right="2032" w:hanging="460"/>
        <w:jc w:val="left"/>
        <w:rPr>
          <w:sz w:val="28"/>
        </w:rPr>
      </w:pPr>
      <w:r>
        <w:rPr>
          <w:sz w:val="28"/>
        </w:rPr>
        <w:t>Ask</w:t>
      </w:r>
      <w:r>
        <w:rPr>
          <w:spacing w:val="-11"/>
          <w:sz w:val="28"/>
        </w:rPr>
        <w:t> </w:t>
      </w:r>
      <w:r>
        <w:rPr>
          <w:sz w:val="28"/>
        </w:rPr>
        <w:t>your</w:t>
      </w:r>
      <w:r>
        <w:rPr>
          <w:spacing w:val="-11"/>
          <w:sz w:val="28"/>
        </w:rPr>
        <w:t> </w:t>
      </w:r>
      <w:r>
        <w:rPr>
          <w:sz w:val="28"/>
        </w:rPr>
        <w:t>lesbian/gay</w:t>
      </w:r>
      <w:r>
        <w:rPr>
          <w:spacing w:val="-11"/>
          <w:sz w:val="28"/>
        </w:rPr>
        <w:t> </w:t>
      </w:r>
      <w:r>
        <w:rPr>
          <w:sz w:val="28"/>
        </w:rPr>
        <w:t>clients</w:t>
      </w:r>
      <w:r>
        <w:rPr>
          <w:spacing w:val="-11"/>
          <w:sz w:val="28"/>
        </w:rPr>
        <w:t> </w:t>
      </w:r>
      <w:r>
        <w:rPr>
          <w:sz w:val="28"/>
        </w:rPr>
        <w:t>what</w:t>
      </w:r>
      <w:r>
        <w:rPr>
          <w:spacing w:val="-11"/>
          <w:sz w:val="28"/>
        </w:rPr>
        <w:t> </w:t>
      </w:r>
      <w:r>
        <w:rPr>
          <w:sz w:val="28"/>
        </w:rPr>
        <w:t>terms</w:t>
      </w:r>
      <w:r>
        <w:rPr>
          <w:spacing w:val="-11"/>
          <w:sz w:val="28"/>
        </w:rPr>
        <w:t> </w:t>
      </w:r>
      <w:r>
        <w:rPr>
          <w:sz w:val="28"/>
        </w:rPr>
        <w:t>they</w:t>
      </w:r>
      <w:r>
        <w:rPr>
          <w:spacing w:val="-11"/>
          <w:sz w:val="28"/>
        </w:rPr>
        <w:t> </w:t>
      </w:r>
      <w:r>
        <w:rPr>
          <w:sz w:val="28"/>
        </w:rPr>
        <w:t>prefer</w:t>
      </w:r>
      <w:r>
        <w:rPr>
          <w:spacing w:val="-11"/>
          <w:sz w:val="28"/>
        </w:rPr>
        <w:t> </w:t>
      </w:r>
      <w:r>
        <w:rPr>
          <w:sz w:val="28"/>
        </w:rPr>
        <w:t>when discussing their sexual orientation and those of others.</w:t>
      </w:r>
    </w:p>
    <w:p>
      <w:pPr>
        <w:pStyle w:val="ListParagraph"/>
        <w:numPr>
          <w:ilvl w:val="0"/>
          <w:numId w:val="19"/>
        </w:numPr>
        <w:tabs>
          <w:tab w:pos="1217" w:val="left" w:leader="none"/>
        </w:tabs>
        <w:spacing w:line="306" w:lineRule="exact" w:before="0" w:after="0"/>
        <w:ind w:left="1217" w:right="0" w:hanging="457"/>
        <w:jc w:val="left"/>
        <w:rPr>
          <w:sz w:val="28"/>
        </w:rPr>
      </w:pPr>
      <w:r>
        <w:rPr>
          <w:spacing w:val="-2"/>
          <w:sz w:val="28"/>
        </w:rPr>
        <w:t>Encourage</w:t>
      </w:r>
      <w:r>
        <w:rPr>
          <w:spacing w:val="8"/>
          <w:sz w:val="28"/>
        </w:rPr>
        <w:t> </w:t>
      </w:r>
      <w:r>
        <w:rPr>
          <w:spacing w:val="-2"/>
          <w:sz w:val="28"/>
        </w:rPr>
        <w:t>self-empowerment,</w:t>
      </w:r>
      <w:r>
        <w:rPr>
          <w:spacing w:val="10"/>
          <w:sz w:val="28"/>
        </w:rPr>
        <w:t> </w:t>
      </w:r>
      <w:r>
        <w:rPr>
          <w:spacing w:val="-2"/>
          <w:sz w:val="28"/>
        </w:rPr>
        <w:t>consciousness-raising,</w:t>
      </w:r>
      <w:r>
        <w:rPr>
          <w:spacing w:val="11"/>
          <w:sz w:val="28"/>
        </w:rPr>
        <w:t> </w:t>
      </w:r>
      <w:r>
        <w:rPr>
          <w:spacing w:val="-5"/>
          <w:sz w:val="28"/>
        </w:rPr>
        <w:t>and</w:t>
      </w:r>
    </w:p>
    <w:p>
      <w:pPr>
        <w:pStyle w:val="BodyText"/>
        <w:spacing w:line="261" w:lineRule="exact"/>
        <w:ind w:left="1219"/>
      </w:pPr>
      <w:r>
        <w:rPr/>
        <w:t>participation</w:t>
      </w:r>
      <w:r>
        <w:rPr>
          <w:spacing w:val="-4"/>
        </w:rPr>
        <w:t> </w:t>
      </w:r>
      <w:r>
        <w:rPr/>
        <w:t>in</w:t>
      </w:r>
      <w:r>
        <w:rPr>
          <w:spacing w:val="-1"/>
        </w:rPr>
        <w:t> </w:t>
      </w:r>
      <w:r>
        <w:rPr/>
        <w:t>the</w:t>
      </w:r>
      <w:r>
        <w:rPr>
          <w:spacing w:val="-2"/>
        </w:rPr>
        <w:t> </w:t>
      </w:r>
      <w:r>
        <w:rPr/>
        <w:t>lesbian</w:t>
      </w:r>
      <w:r>
        <w:rPr>
          <w:spacing w:val="-1"/>
        </w:rPr>
        <w:t> </w:t>
      </w:r>
      <w:r>
        <w:rPr/>
        <w:t>and</w:t>
      </w:r>
      <w:r>
        <w:rPr>
          <w:spacing w:val="-1"/>
        </w:rPr>
        <w:t> </w:t>
      </w:r>
      <w:r>
        <w:rPr/>
        <w:t>gay</w:t>
      </w:r>
      <w:r>
        <w:rPr>
          <w:spacing w:val="-1"/>
        </w:rPr>
        <w:t> </w:t>
      </w:r>
      <w:r>
        <w:rPr>
          <w:spacing w:val="-2"/>
        </w:rPr>
        <w:t>community.</w:t>
      </w:r>
    </w:p>
    <w:p>
      <w:pPr>
        <w:pStyle w:val="ListParagraph"/>
        <w:numPr>
          <w:ilvl w:val="0"/>
          <w:numId w:val="19"/>
        </w:numPr>
        <w:tabs>
          <w:tab w:pos="1216" w:val="left" w:leader="none"/>
          <w:tab w:pos="1219" w:val="left" w:leader="none"/>
        </w:tabs>
        <w:spacing w:line="211" w:lineRule="auto" w:before="0" w:after="0"/>
        <w:ind w:left="1219" w:right="2253" w:hanging="460"/>
        <w:jc w:val="left"/>
        <w:rPr>
          <w:sz w:val="28"/>
        </w:rPr>
      </w:pPr>
      <w:r>
        <w:rPr>
          <w:sz w:val="28"/>
        </w:rPr>
        <w:t>Encourage</w:t>
      </w:r>
      <w:r>
        <w:rPr>
          <w:spacing w:val="-12"/>
          <w:sz w:val="28"/>
        </w:rPr>
        <w:t> </w:t>
      </w:r>
      <w:r>
        <w:rPr>
          <w:sz w:val="28"/>
        </w:rPr>
        <w:t>your</w:t>
      </w:r>
      <w:r>
        <w:rPr>
          <w:spacing w:val="-11"/>
          <w:sz w:val="28"/>
        </w:rPr>
        <w:t> </w:t>
      </w:r>
      <w:r>
        <w:rPr>
          <w:sz w:val="28"/>
        </w:rPr>
        <w:t>program</w:t>
      </w:r>
      <w:r>
        <w:rPr>
          <w:spacing w:val="-11"/>
          <w:sz w:val="28"/>
        </w:rPr>
        <w:t> </w:t>
      </w:r>
      <w:r>
        <w:rPr>
          <w:sz w:val="28"/>
        </w:rPr>
        <w:t>to</w:t>
      </w:r>
      <w:r>
        <w:rPr>
          <w:spacing w:val="-11"/>
          <w:sz w:val="28"/>
        </w:rPr>
        <w:t> </w:t>
      </w:r>
      <w:r>
        <w:rPr>
          <w:sz w:val="28"/>
        </w:rPr>
        <w:t>hire</w:t>
      </w:r>
      <w:r>
        <w:rPr>
          <w:spacing w:val="-12"/>
          <w:sz w:val="28"/>
        </w:rPr>
        <w:t> </w:t>
      </w:r>
      <w:r>
        <w:rPr>
          <w:sz w:val="28"/>
        </w:rPr>
        <w:t>openly</w:t>
      </w:r>
      <w:r>
        <w:rPr>
          <w:spacing w:val="-11"/>
          <w:sz w:val="28"/>
        </w:rPr>
        <w:t> </w:t>
      </w:r>
      <w:r>
        <w:rPr>
          <w:sz w:val="28"/>
        </w:rPr>
        <w:t>lesbian</w:t>
      </w:r>
      <w:r>
        <w:rPr>
          <w:spacing w:val="-11"/>
          <w:sz w:val="28"/>
        </w:rPr>
        <w:t> </w:t>
      </w:r>
      <w:r>
        <w:rPr>
          <w:sz w:val="28"/>
        </w:rPr>
        <w:t>and</w:t>
      </w:r>
      <w:r>
        <w:rPr>
          <w:spacing w:val="-11"/>
          <w:sz w:val="28"/>
        </w:rPr>
        <w:t> </w:t>
      </w:r>
      <w:r>
        <w:rPr>
          <w:sz w:val="28"/>
        </w:rPr>
        <w:t>gay </w:t>
      </w:r>
      <w:r>
        <w:rPr>
          <w:spacing w:val="-2"/>
          <w:sz w:val="28"/>
        </w:rPr>
        <w:t>counselors/therapists.</w:t>
      </w:r>
    </w:p>
    <w:p>
      <w:pPr>
        <w:pStyle w:val="ListParagraph"/>
        <w:numPr>
          <w:ilvl w:val="0"/>
          <w:numId w:val="19"/>
        </w:numPr>
        <w:tabs>
          <w:tab w:pos="1217" w:val="left" w:leader="none"/>
        </w:tabs>
        <w:spacing w:line="306" w:lineRule="exact" w:before="0" w:after="0"/>
        <w:ind w:left="1217" w:right="0" w:hanging="457"/>
        <w:jc w:val="left"/>
        <w:rPr>
          <w:sz w:val="28"/>
        </w:rPr>
      </w:pPr>
      <w:r>
        <w:rPr>
          <w:sz w:val="28"/>
        </w:rPr>
        <w:t>Educate</w:t>
      </w:r>
      <w:r>
        <w:rPr>
          <w:spacing w:val="-13"/>
          <w:sz w:val="28"/>
        </w:rPr>
        <w:t> </w:t>
      </w:r>
      <w:r>
        <w:rPr>
          <w:sz w:val="28"/>
        </w:rPr>
        <w:t>others</w:t>
      </w:r>
      <w:r>
        <w:rPr>
          <w:spacing w:val="-10"/>
          <w:sz w:val="28"/>
        </w:rPr>
        <w:t> </w:t>
      </w:r>
      <w:r>
        <w:rPr>
          <w:sz w:val="28"/>
        </w:rPr>
        <w:t>about</w:t>
      </w:r>
      <w:r>
        <w:rPr>
          <w:spacing w:val="-11"/>
          <w:sz w:val="28"/>
        </w:rPr>
        <w:t> </w:t>
      </w:r>
      <w:r>
        <w:rPr>
          <w:sz w:val="28"/>
        </w:rPr>
        <w:t>internalized</w:t>
      </w:r>
      <w:r>
        <w:rPr>
          <w:spacing w:val="-10"/>
          <w:sz w:val="28"/>
        </w:rPr>
        <w:t> </w:t>
      </w:r>
      <w:r>
        <w:rPr>
          <w:sz w:val="28"/>
        </w:rPr>
        <w:t>homophobia</w:t>
      </w:r>
      <w:r>
        <w:rPr>
          <w:spacing w:val="-11"/>
          <w:sz w:val="28"/>
        </w:rPr>
        <w:t> </w:t>
      </w:r>
      <w:r>
        <w:rPr>
          <w:sz w:val="28"/>
        </w:rPr>
        <w:t>and</w:t>
      </w:r>
      <w:r>
        <w:rPr>
          <w:spacing w:val="-8"/>
          <w:sz w:val="28"/>
        </w:rPr>
        <w:t> </w:t>
      </w:r>
      <w:r>
        <w:rPr>
          <w:spacing w:val="-2"/>
          <w:sz w:val="28"/>
        </w:rPr>
        <w:t>heterosexism.</w:t>
      </w:r>
    </w:p>
    <w:p>
      <w:pPr>
        <w:pStyle w:val="BodyText"/>
        <w:spacing w:line="223" w:lineRule="auto"/>
        <w:ind w:left="1219" w:right="502"/>
      </w:pPr>
      <w:r>
        <w:rPr/>
        <w:t>Be</w:t>
      </w:r>
      <w:r>
        <w:rPr>
          <w:spacing w:val="-6"/>
        </w:rPr>
        <w:t> </w:t>
      </w:r>
      <w:r>
        <w:rPr/>
        <w:t>gay-</w:t>
      </w:r>
      <w:r>
        <w:rPr>
          <w:spacing w:val="-5"/>
        </w:rPr>
        <w:t> </w:t>
      </w:r>
      <w:r>
        <w:rPr/>
        <w:t>and</w:t>
      </w:r>
      <w:r>
        <w:rPr>
          <w:spacing w:val="-5"/>
        </w:rPr>
        <w:t> </w:t>
      </w:r>
      <w:r>
        <w:rPr/>
        <w:t>lesbian-affirming</w:t>
      </w:r>
      <w:r>
        <w:rPr>
          <w:spacing w:val="-5"/>
        </w:rPr>
        <w:t> </w:t>
      </w:r>
      <w:r>
        <w:rPr/>
        <w:t>rather</w:t>
      </w:r>
      <w:r>
        <w:rPr>
          <w:spacing w:val="-5"/>
        </w:rPr>
        <w:t> </w:t>
      </w:r>
      <w:r>
        <w:rPr/>
        <w:t>than</w:t>
      </w:r>
      <w:r>
        <w:rPr>
          <w:spacing w:val="-5"/>
        </w:rPr>
        <w:t> </w:t>
      </w:r>
      <w:r>
        <w:rPr/>
        <w:t>just</w:t>
      </w:r>
      <w:r>
        <w:rPr>
          <w:spacing w:val="-5"/>
        </w:rPr>
        <w:t> </w:t>
      </w:r>
      <w:r>
        <w:rPr/>
        <w:t>gay-</w:t>
      </w:r>
      <w:r>
        <w:rPr>
          <w:spacing w:val="-5"/>
        </w:rPr>
        <w:t> </w:t>
      </w:r>
      <w:r>
        <w:rPr/>
        <w:t>and</w:t>
      </w:r>
      <w:r>
        <w:rPr>
          <w:spacing w:val="-5"/>
        </w:rPr>
        <w:t> </w:t>
      </w:r>
      <w:r>
        <w:rPr/>
        <w:t>lesbian- </w:t>
      </w:r>
      <w:r>
        <w:rPr>
          <w:spacing w:val="-2"/>
        </w:rPr>
        <w:t>tolerant.</w:t>
      </w:r>
    </w:p>
    <w:p>
      <w:pPr>
        <w:pStyle w:val="ListParagraph"/>
        <w:numPr>
          <w:ilvl w:val="0"/>
          <w:numId w:val="19"/>
        </w:numPr>
        <w:tabs>
          <w:tab w:pos="1217" w:val="left" w:leader="none"/>
        </w:tabs>
        <w:spacing w:line="302" w:lineRule="exact" w:before="0" w:after="0"/>
        <w:ind w:left="1217" w:right="0" w:hanging="457"/>
        <w:jc w:val="left"/>
        <w:rPr>
          <w:sz w:val="28"/>
        </w:rPr>
      </w:pPr>
      <w:r>
        <w:rPr>
          <w:sz w:val="28"/>
        </w:rPr>
        <w:t>Stay</w:t>
      </w:r>
      <w:r>
        <w:rPr>
          <w:spacing w:val="-9"/>
          <w:sz w:val="28"/>
        </w:rPr>
        <w:t> </w:t>
      </w:r>
      <w:r>
        <w:rPr>
          <w:sz w:val="28"/>
        </w:rPr>
        <w:t>abreast</w:t>
      </w:r>
      <w:r>
        <w:rPr>
          <w:spacing w:val="-6"/>
          <w:sz w:val="28"/>
        </w:rPr>
        <w:t> </w:t>
      </w:r>
      <w:r>
        <w:rPr>
          <w:sz w:val="28"/>
        </w:rPr>
        <w:t>of</w:t>
      </w:r>
      <w:r>
        <w:rPr>
          <w:spacing w:val="-6"/>
          <w:sz w:val="28"/>
        </w:rPr>
        <w:t> </w:t>
      </w:r>
      <w:r>
        <w:rPr>
          <w:sz w:val="28"/>
        </w:rPr>
        <w:t>current</w:t>
      </w:r>
      <w:r>
        <w:rPr>
          <w:spacing w:val="-7"/>
          <w:sz w:val="28"/>
        </w:rPr>
        <w:t> </w:t>
      </w:r>
      <w:r>
        <w:rPr>
          <w:sz w:val="28"/>
        </w:rPr>
        <w:t>information</w:t>
      </w:r>
      <w:r>
        <w:rPr>
          <w:spacing w:val="-7"/>
          <w:sz w:val="28"/>
        </w:rPr>
        <w:t> </w:t>
      </w:r>
      <w:r>
        <w:rPr>
          <w:sz w:val="28"/>
        </w:rPr>
        <w:t>on</w:t>
      </w:r>
      <w:r>
        <w:rPr>
          <w:spacing w:val="-6"/>
          <w:sz w:val="28"/>
        </w:rPr>
        <w:t> </w:t>
      </w:r>
      <w:r>
        <w:rPr>
          <w:sz w:val="28"/>
        </w:rPr>
        <w:t>resources</w:t>
      </w:r>
      <w:r>
        <w:rPr>
          <w:spacing w:val="-6"/>
          <w:sz w:val="28"/>
        </w:rPr>
        <w:t> </w:t>
      </w:r>
      <w:r>
        <w:rPr>
          <w:sz w:val="28"/>
        </w:rPr>
        <w:t>and</w:t>
      </w:r>
      <w:r>
        <w:rPr>
          <w:spacing w:val="-6"/>
          <w:sz w:val="28"/>
        </w:rPr>
        <w:t> </w:t>
      </w:r>
      <w:r>
        <w:rPr>
          <w:sz w:val="28"/>
        </w:rPr>
        <w:t>display</w:t>
      </w:r>
      <w:r>
        <w:rPr>
          <w:spacing w:val="-6"/>
          <w:sz w:val="28"/>
        </w:rPr>
        <w:t> </w:t>
      </w:r>
      <w:r>
        <w:rPr>
          <w:spacing w:val="-4"/>
          <w:sz w:val="28"/>
        </w:rPr>
        <w:t>this</w:t>
      </w:r>
    </w:p>
    <w:p>
      <w:pPr>
        <w:pStyle w:val="BodyText"/>
        <w:spacing w:line="223" w:lineRule="auto"/>
        <w:ind w:left="1219" w:right="515"/>
      </w:pPr>
      <w:r>
        <w:rPr/>
        <w:t>information</w:t>
      </w:r>
      <w:r>
        <w:rPr>
          <w:spacing w:val="-10"/>
        </w:rPr>
        <w:t> </w:t>
      </w:r>
      <w:r>
        <w:rPr/>
        <w:t>in</w:t>
      </w:r>
      <w:r>
        <w:rPr>
          <w:spacing w:val="-7"/>
        </w:rPr>
        <w:t> </w:t>
      </w:r>
      <w:r>
        <w:rPr/>
        <w:t>your</w:t>
      </w:r>
      <w:r>
        <w:rPr>
          <w:spacing w:val="-7"/>
        </w:rPr>
        <w:t> </w:t>
      </w:r>
      <w:r>
        <w:rPr/>
        <w:t>office.</w:t>
      </w:r>
      <w:r>
        <w:rPr>
          <w:spacing w:val="-18"/>
        </w:rPr>
        <w:t> </w:t>
      </w:r>
      <w:r>
        <w:rPr/>
        <w:t>Attend</w:t>
      </w:r>
      <w:r>
        <w:rPr>
          <w:spacing w:val="-6"/>
        </w:rPr>
        <w:t> </w:t>
      </w:r>
      <w:r>
        <w:rPr/>
        <w:t>seminars</w:t>
      </w:r>
      <w:r>
        <w:rPr>
          <w:spacing w:val="-7"/>
        </w:rPr>
        <w:t> </w:t>
      </w:r>
      <w:r>
        <w:rPr/>
        <w:t>and</w:t>
      </w:r>
      <w:r>
        <w:rPr>
          <w:spacing w:val="-7"/>
        </w:rPr>
        <w:t> </w:t>
      </w:r>
      <w:r>
        <w:rPr/>
        <w:t>professional workshops about working with lesbian and gay clients.</w:t>
      </w:r>
    </w:p>
    <w:p>
      <w:pPr>
        <w:pStyle w:val="BodyText"/>
        <w:spacing w:before="9"/>
        <w:rPr>
          <w:sz w:val="26"/>
        </w:rPr>
      </w:pPr>
    </w:p>
    <w:p>
      <w:pPr>
        <w:pStyle w:val="Heading2"/>
        <w:ind w:left="400"/>
      </w:pPr>
      <w:r>
        <w:rPr/>
        <w:t>Fear</w:t>
      </w:r>
      <w:r>
        <w:rPr>
          <w:spacing w:val="-14"/>
        </w:rPr>
        <w:t> </w:t>
      </w:r>
      <w:r>
        <w:rPr/>
        <w:t>of</w:t>
      </w:r>
      <w:r>
        <w:rPr>
          <w:spacing w:val="-1"/>
        </w:rPr>
        <w:t> </w:t>
      </w:r>
      <w:r>
        <w:rPr>
          <w:spacing w:val="-2"/>
        </w:rPr>
        <w:t>infection</w:t>
      </w:r>
    </w:p>
    <w:p>
      <w:pPr>
        <w:pStyle w:val="BodyText"/>
        <w:spacing w:before="9"/>
        <w:rPr>
          <w:b/>
          <w:sz w:val="27"/>
        </w:rPr>
      </w:pPr>
    </w:p>
    <w:p>
      <w:pPr>
        <w:pStyle w:val="BodyText"/>
        <w:spacing w:line="259" w:lineRule="auto" w:before="1"/>
        <w:ind w:left="400" w:right="668"/>
      </w:pPr>
      <w:r>
        <w:rPr/>
        <w:t>Fear of infection is one of the most challenging issues for counselors. It is essential that providers examine this issue without blaming or judging themselves</w:t>
      </w:r>
      <w:r>
        <w:rPr>
          <w:spacing w:val="-5"/>
        </w:rPr>
        <w:t> </w:t>
      </w:r>
      <w:r>
        <w:rPr/>
        <w:t>and</w:t>
      </w:r>
      <w:r>
        <w:rPr>
          <w:spacing w:val="-5"/>
        </w:rPr>
        <w:t> </w:t>
      </w:r>
      <w:r>
        <w:rPr/>
        <w:t>others.</w:t>
      </w:r>
      <w:r>
        <w:rPr>
          <w:spacing w:val="-5"/>
        </w:rPr>
        <w:t> </w:t>
      </w:r>
      <w:r>
        <w:rPr/>
        <w:t>Most</w:t>
      </w:r>
      <w:r>
        <w:rPr>
          <w:spacing w:val="-5"/>
        </w:rPr>
        <w:t> </w:t>
      </w:r>
      <w:r>
        <w:rPr/>
        <w:t>professionals</w:t>
      </w:r>
      <w:r>
        <w:rPr>
          <w:spacing w:val="-5"/>
        </w:rPr>
        <w:t> </w:t>
      </w:r>
      <w:r>
        <w:rPr/>
        <w:t>who</w:t>
      </w:r>
      <w:r>
        <w:rPr>
          <w:spacing w:val="-5"/>
        </w:rPr>
        <w:t> </w:t>
      </w:r>
      <w:r>
        <w:rPr/>
        <w:t>work</w:t>
      </w:r>
      <w:r>
        <w:rPr>
          <w:spacing w:val="-5"/>
        </w:rPr>
        <w:t> </w:t>
      </w:r>
      <w:r>
        <w:rPr/>
        <w:t>with</w:t>
      </w:r>
      <w:r>
        <w:rPr>
          <w:spacing w:val="-5"/>
        </w:rPr>
        <w:t> </w:t>
      </w:r>
      <w:r>
        <w:rPr/>
        <w:t>substance</w:t>
      </w:r>
      <w:r>
        <w:rPr>
          <w:spacing w:val="-6"/>
        </w:rPr>
        <w:t> </w:t>
      </w:r>
      <w:r>
        <w:rPr/>
        <w:t>abusers and HIV-positive individuals have thought about becoming infected with HIV, hepatitis, or tuberculosis (TB) through their jobs </w:t>
      </w:r>
      <w:r>
        <w:rPr>
          <w:i/>
        </w:rPr>
        <w:t>(Sherman and</w:t>
      </w:r>
      <w:r>
        <w:rPr>
          <w:i/>
        </w:rPr>
        <w:t> Ouellette). </w:t>
      </w:r>
      <w:r>
        <w:rPr/>
        <w:t>Some fear that scientists are not aware of modes of infection or transmission that might put service providers and their families at greater risk of infection </w:t>
      </w:r>
      <w:r>
        <w:rPr>
          <w:i/>
        </w:rPr>
        <w:t>(Montgomery and Lewis). </w:t>
      </w:r>
      <w:r>
        <w:rPr/>
        <w:t>The key to dealing with this fear is to discuss it</w:t>
      </w:r>
      <w:r>
        <w:rPr>
          <w:spacing w:val="40"/>
        </w:rPr>
        <w:t> </w:t>
      </w:r>
      <w:r>
        <w:rPr/>
        <w:t>and vent the feelings with someone who is safe, trusted, and informed, </w:t>
      </w:r>
      <w:r>
        <w:rPr>
          <w:i/>
        </w:rPr>
        <w:t>and </w:t>
      </w:r>
      <w:r>
        <w:rPr/>
        <w:t>to practice universal precautions at all times.</w:t>
      </w:r>
    </w:p>
    <w:p>
      <w:pPr>
        <w:pStyle w:val="BodyText"/>
        <w:spacing w:before="5"/>
        <w:rPr>
          <w:sz w:val="29"/>
        </w:rPr>
      </w:pPr>
    </w:p>
    <w:p>
      <w:pPr>
        <w:pStyle w:val="BodyText"/>
        <w:spacing w:line="259" w:lineRule="auto"/>
        <w:ind w:left="400" w:right="1615"/>
        <w:jc w:val="both"/>
      </w:pPr>
      <w:r>
        <w:rPr/>
        <w:t>Beyond</w:t>
      </w:r>
      <w:r>
        <w:rPr>
          <w:spacing w:val="-7"/>
        </w:rPr>
        <w:t> </w:t>
      </w:r>
      <w:r>
        <w:rPr/>
        <w:t>this,</w:t>
      </w:r>
      <w:r>
        <w:rPr>
          <w:spacing w:val="-7"/>
        </w:rPr>
        <w:t> </w:t>
      </w:r>
      <w:r>
        <w:rPr/>
        <w:t>it</w:t>
      </w:r>
      <w:r>
        <w:rPr>
          <w:spacing w:val="-7"/>
        </w:rPr>
        <w:t> </w:t>
      </w:r>
      <w:r>
        <w:rPr/>
        <w:t>is</w:t>
      </w:r>
      <w:r>
        <w:rPr>
          <w:spacing w:val="-7"/>
        </w:rPr>
        <w:t> </w:t>
      </w:r>
      <w:r>
        <w:rPr/>
        <w:t>essential</w:t>
      </w:r>
      <w:r>
        <w:rPr>
          <w:spacing w:val="-7"/>
        </w:rPr>
        <w:t> </w:t>
      </w:r>
      <w:r>
        <w:rPr/>
        <w:t>for</w:t>
      </w:r>
      <w:r>
        <w:rPr>
          <w:spacing w:val="-7"/>
        </w:rPr>
        <w:t> </w:t>
      </w:r>
      <w:r>
        <w:rPr/>
        <w:t>providers</w:t>
      </w:r>
      <w:r>
        <w:rPr>
          <w:spacing w:val="-7"/>
        </w:rPr>
        <w:t> </w:t>
      </w:r>
      <w:r>
        <w:rPr/>
        <w:t>to</w:t>
      </w:r>
      <w:r>
        <w:rPr>
          <w:spacing w:val="-7"/>
        </w:rPr>
        <w:t> </w:t>
      </w:r>
      <w:r>
        <w:rPr/>
        <w:t>have</w:t>
      </w:r>
      <w:r>
        <w:rPr>
          <w:spacing w:val="-8"/>
        </w:rPr>
        <w:t> </w:t>
      </w:r>
      <w:r>
        <w:rPr/>
        <w:t>regular</w:t>
      </w:r>
      <w:r>
        <w:rPr>
          <w:spacing w:val="-7"/>
        </w:rPr>
        <w:t> </w:t>
      </w:r>
      <w:r>
        <w:rPr/>
        <w:t>and</w:t>
      </w:r>
      <w:r>
        <w:rPr>
          <w:spacing w:val="-7"/>
        </w:rPr>
        <w:t> </w:t>
      </w:r>
      <w:r>
        <w:rPr/>
        <w:t>frequent inservice</w:t>
      </w:r>
      <w:r>
        <w:rPr>
          <w:spacing w:val="-2"/>
        </w:rPr>
        <w:t> </w:t>
      </w:r>
      <w:r>
        <w:rPr/>
        <w:t>training with updates on the latest research and data about transmission and treatment of HIV/</w:t>
      </w:r>
      <w:r>
        <w:rPr>
          <w:spacing w:val="-2"/>
        </w:rPr>
        <w:t> </w:t>
      </w:r>
      <w:r>
        <w:rPr/>
        <w:t>AIDS, hepatitis, and TB.</w:t>
      </w:r>
    </w:p>
    <w:p>
      <w:pPr>
        <w:pStyle w:val="BodyText"/>
        <w:spacing w:before="9"/>
        <w:rPr>
          <w:sz w:val="26"/>
        </w:rPr>
      </w:pPr>
    </w:p>
    <w:p>
      <w:pPr>
        <w:pStyle w:val="Heading2"/>
        <w:ind w:left="400"/>
      </w:pPr>
      <w:r>
        <w:rPr/>
        <w:t>Special</w:t>
      </w:r>
      <w:r>
        <w:rPr>
          <w:spacing w:val="-20"/>
        </w:rPr>
        <w:t> </w:t>
      </w:r>
      <w:r>
        <w:rPr/>
        <w:t>considerations</w:t>
      </w:r>
      <w:r>
        <w:rPr>
          <w:spacing w:val="-16"/>
        </w:rPr>
        <w:t> </w:t>
      </w:r>
      <w:r>
        <w:rPr/>
        <w:t>for</w:t>
      </w:r>
      <w:r>
        <w:rPr>
          <w:spacing w:val="-18"/>
        </w:rPr>
        <w:t> </w:t>
      </w:r>
      <w:r>
        <w:rPr/>
        <w:t>counselors</w:t>
      </w:r>
      <w:r>
        <w:rPr>
          <w:spacing w:val="-12"/>
        </w:rPr>
        <w:t> </w:t>
      </w:r>
      <w:r>
        <w:rPr/>
        <w:t>who</w:t>
      </w:r>
      <w:r>
        <w:rPr>
          <w:spacing w:val="-14"/>
        </w:rPr>
        <w:t> </w:t>
      </w:r>
      <w:r>
        <w:rPr/>
        <w:t>treat</w:t>
      </w:r>
      <w:r>
        <w:rPr>
          <w:spacing w:val="-12"/>
        </w:rPr>
        <w:t> </w:t>
      </w:r>
      <w:r>
        <w:rPr/>
        <w:t>HIV-infected</w:t>
      </w:r>
      <w:r>
        <w:rPr>
          <w:spacing w:val="-12"/>
        </w:rPr>
        <w:t> </w:t>
      </w:r>
      <w:r>
        <w:rPr>
          <w:spacing w:val="-2"/>
        </w:rPr>
        <w:t>clients</w:t>
      </w:r>
    </w:p>
    <w:p>
      <w:pPr>
        <w:pStyle w:val="BodyText"/>
        <w:spacing w:before="9"/>
        <w:rPr>
          <w:b/>
          <w:sz w:val="27"/>
        </w:rPr>
      </w:pPr>
    </w:p>
    <w:p>
      <w:pPr>
        <w:pStyle w:val="BodyText"/>
        <w:spacing w:line="259" w:lineRule="auto" w:before="1"/>
        <w:ind w:left="400" w:right="502"/>
      </w:pPr>
      <w:r>
        <w:rPr/>
        <w:t>The challenges and stresses related to working with people with HIV/AIDS are</w:t>
      </w:r>
      <w:r>
        <w:rPr>
          <w:spacing w:val="-8"/>
        </w:rPr>
        <w:t> </w:t>
      </w:r>
      <w:r>
        <w:rPr/>
        <w:t>in</w:t>
      </w:r>
      <w:r>
        <w:rPr>
          <w:spacing w:val="-7"/>
        </w:rPr>
        <w:t> </w:t>
      </w:r>
      <w:r>
        <w:rPr/>
        <w:t>some</w:t>
      </w:r>
      <w:r>
        <w:rPr>
          <w:spacing w:val="-4"/>
        </w:rPr>
        <w:t> </w:t>
      </w:r>
      <w:r>
        <w:rPr/>
        <w:t>ways</w:t>
      </w:r>
      <w:r>
        <w:rPr>
          <w:spacing w:val="-3"/>
        </w:rPr>
        <w:t> </w:t>
      </w:r>
      <w:r>
        <w:rPr/>
        <w:t>unique.</w:t>
      </w:r>
      <w:r>
        <w:rPr>
          <w:spacing w:val="-9"/>
        </w:rPr>
        <w:t> </w:t>
      </w:r>
      <w:r>
        <w:rPr/>
        <w:t>The</w:t>
      </w:r>
      <w:r>
        <w:rPr>
          <w:spacing w:val="-4"/>
        </w:rPr>
        <w:t> </w:t>
      </w:r>
      <w:r>
        <w:rPr/>
        <w:t>fact</w:t>
      </w:r>
      <w:r>
        <w:rPr>
          <w:spacing w:val="-3"/>
        </w:rPr>
        <w:t> </w:t>
      </w:r>
      <w:r>
        <w:rPr/>
        <w:t>that</w:t>
      </w:r>
      <w:r>
        <w:rPr>
          <w:spacing w:val="-3"/>
        </w:rPr>
        <w:t> </w:t>
      </w:r>
      <w:r>
        <w:rPr/>
        <w:t>providers</w:t>
      </w:r>
      <w:r>
        <w:rPr>
          <w:spacing w:val="-3"/>
        </w:rPr>
        <w:t> </w:t>
      </w:r>
      <w:r>
        <w:rPr/>
        <w:t>often</w:t>
      </w:r>
      <w:r>
        <w:rPr>
          <w:spacing w:val="-3"/>
        </w:rPr>
        <w:t> </w:t>
      </w:r>
      <w:r>
        <w:rPr/>
        <w:t>deal</w:t>
      </w:r>
      <w:r>
        <w:rPr>
          <w:spacing w:val="-3"/>
        </w:rPr>
        <w:t> </w:t>
      </w:r>
      <w:r>
        <w:rPr/>
        <w:t>with</w:t>
      </w:r>
      <w:r>
        <w:rPr>
          <w:spacing w:val="-3"/>
        </w:rPr>
        <w:t> </w:t>
      </w:r>
      <w:r>
        <w:rPr/>
        <w:t>multiple</w:t>
      </w:r>
      <w:r>
        <w:rPr>
          <w:spacing w:val="-4"/>
        </w:rPr>
        <w:t> </w:t>
      </w:r>
      <w:r>
        <w:rPr/>
        <w:t>and serial losses and see clients suffering on a daily basis clearly affects the providers' psychological health. In recent years, therapists have begun to</w:t>
      </w:r>
    </w:p>
    <w:p>
      <w:pPr>
        <w:spacing w:after="0" w:line="259" w:lineRule="auto"/>
        <w:sectPr>
          <w:pgSz w:w="12240" w:h="15840"/>
          <w:pgMar w:header="0" w:footer="765" w:top="1260" w:bottom="980" w:left="1400" w:right="1180"/>
        </w:sectPr>
      </w:pPr>
    </w:p>
    <w:p>
      <w:pPr>
        <w:pStyle w:val="BodyText"/>
        <w:spacing w:line="259" w:lineRule="auto" w:before="66"/>
        <w:ind w:left="400" w:right="502"/>
      </w:pPr>
      <w:r>
        <w:rPr/>
        <w:t>examine</w:t>
      </w:r>
      <w:r>
        <w:rPr>
          <w:spacing w:val="-5"/>
        </w:rPr>
        <w:t> </w:t>
      </w:r>
      <w:r>
        <w:rPr/>
        <w:t>and</w:t>
      </w:r>
      <w:r>
        <w:rPr>
          <w:spacing w:val="-4"/>
        </w:rPr>
        <w:t> </w:t>
      </w:r>
      <w:r>
        <w:rPr/>
        <w:t>assess</w:t>
      </w:r>
      <w:r>
        <w:rPr>
          <w:spacing w:val="-4"/>
        </w:rPr>
        <w:t> </w:t>
      </w:r>
      <w:r>
        <w:rPr/>
        <w:t>these</w:t>
      </w:r>
      <w:r>
        <w:rPr>
          <w:spacing w:val="-5"/>
        </w:rPr>
        <w:t> </w:t>
      </w:r>
      <w:r>
        <w:rPr/>
        <w:t>service</w:t>
      </w:r>
      <w:r>
        <w:rPr>
          <w:spacing w:val="-5"/>
        </w:rPr>
        <w:t> </w:t>
      </w:r>
      <w:r>
        <w:rPr/>
        <w:t>providers</w:t>
      </w:r>
      <w:r>
        <w:rPr>
          <w:spacing w:val="-4"/>
        </w:rPr>
        <w:t> </w:t>
      </w:r>
      <w:r>
        <w:rPr/>
        <w:t>for</w:t>
      </w:r>
      <w:r>
        <w:rPr>
          <w:spacing w:val="-4"/>
        </w:rPr>
        <w:t> </w:t>
      </w:r>
      <w:r>
        <w:rPr/>
        <w:t>symptoms</w:t>
      </w:r>
      <w:r>
        <w:rPr>
          <w:spacing w:val="-4"/>
        </w:rPr>
        <w:t> </w:t>
      </w:r>
      <w:r>
        <w:rPr/>
        <w:t>of</w:t>
      </w:r>
      <w:r>
        <w:rPr>
          <w:spacing w:val="-4"/>
        </w:rPr>
        <w:t> </w:t>
      </w:r>
      <w:r>
        <w:rPr/>
        <w:t>post-traumatic stress disorder (PTSD).</w:t>
      </w:r>
    </w:p>
    <w:p>
      <w:pPr>
        <w:pStyle w:val="BodyText"/>
        <w:spacing w:before="5"/>
      </w:pPr>
    </w:p>
    <w:p>
      <w:pPr>
        <w:pStyle w:val="BodyText"/>
        <w:spacing w:line="259" w:lineRule="auto"/>
        <w:ind w:left="400" w:right="502"/>
      </w:pPr>
      <w:r>
        <w:rPr/>
        <w:t>Burnout often is referred to as "bereavement overload." One definition characterizes</w:t>
      </w:r>
      <w:r>
        <w:rPr>
          <w:spacing w:val="-5"/>
        </w:rPr>
        <w:t> </w:t>
      </w:r>
      <w:r>
        <w:rPr/>
        <w:t>burnout</w:t>
      </w:r>
      <w:r>
        <w:rPr>
          <w:spacing w:val="-11"/>
        </w:rPr>
        <w:t> </w:t>
      </w:r>
      <w:r>
        <w:rPr/>
        <w:t>as</w:t>
      </w:r>
      <w:r>
        <w:rPr>
          <w:spacing w:val="-9"/>
        </w:rPr>
        <w:t> </w:t>
      </w:r>
      <w:r>
        <w:rPr/>
        <w:t>lowered</w:t>
      </w:r>
      <w:r>
        <w:rPr>
          <w:spacing w:val="-9"/>
        </w:rPr>
        <w:t> </w:t>
      </w:r>
      <w:r>
        <w:rPr/>
        <w:t>energy,</w:t>
      </w:r>
      <w:r>
        <w:rPr>
          <w:spacing w:val="-9"/>
        </w:rPr>
        <w:t> </w:t>
      </w:r>
      <w:r>
        <w:rPr/>
        <w:t>enthusiasm,</w:t>
      </w:r>
      <w:r>
        <w:rPr>
          <w:spacing w:val="-9"/>
        </w:rPr>
        <w:t> </w:t>
      </w:r>
      <w:r>
        <w:rPr/>
        <w:t>and</w:t>
      </w:r>
      <w:r>
        <w:rPr>
          <w:spacing w:val="-9"/>
        </w:rPr>
        <w:t> </w:t>
      </w:r>
      <w:r>
        <w:rPr/>
        <w:t>idealism</w:t>
      </w:r>
      <w:r>
        <w:rPr>
          <w:spacing w:val="-9"/>
        </w:rPr>
        <w:t> </w:t>
      </w:r>
      <w:r>
        <w:rPr/>
        <w:t>for</w:t>
      </w:r>
      <w:r>
        <w:rPr>
          <w:spacing w:val="-9"/>
        </w:rPr>
        <w:t> </w:t>
      </w:r>
      <w:r>
        <w:rPr/>
        <w:t>doing one's</w:t>
      </w:r>
      <w:r>
        <w:rPr>
          <w:spacing w:val="-7"/>
        </w:rPr>
        <w:t> </w:t>
      </w:r>
      <w:r>
        <w:rPr/>
        <w:t>job,</w:t>
      </w:r>
      <w:r>
        <w:rPr>
          <w:spacing w:val="-7"/>
        </w:rPr>
        <w:t> </w:t>
      </w:r>
      <w:r>
        <w:rPr/>
        <w:t>that</w:t>
      </w:r>
      <w:r>
        <w:rPr>
          <w:spacing w:val="-7"/>
        </w:rPr>
        <w:t> </w:t>
      </w:r>
      <w:r>
        <w:rPr/>
        <w:t>is,</w:t>
      </w:r>
      <w:r>
        <w:rPr>
          <w:spacing w:val="-7"/>
        </w:rPr>
        <w:t> </w:t>
      </w:r>
      <w:r>
        <w:rPr/>
        <w:t>as</w:t>
      </w:r>
      <w:r>
        <w:rPr>
          <w:spacing w:val="-7"/>
        </w:rPr>
        <w:t> </w:t>
      </w:r>
      <w:r>
        <w:rPr/>
        <w:t>a</w:t>
      </w:r>
      <w:r>
        <w:rPr>
          <w:spacing w:val="-8"/>
        </w:rPr>
        <w:t> </w:t>
      </w:r>
      <w:r>
        <w:rPr/>
        <w:t>loss</w:t>
      </w:r>
      <w:r>
        <w:rPr>
          <w:spacing w:val="-3"/>
        </w:rPr>
        <w:t> </w:t>
      </w:r>
      <w:r>
        <w:rPr/>
        <w:t>of</w:t>
      </w:r>
      <w:r>
        <w:rPr>
          <w:spacing w:val="-3"/>
        </w:rPr>
        <w:t> </w:t>
      </w:r>
      <w:r>
        <w:rPr/>
        <w:t>concern</w:t>
      </w:r>
      <w:r>
        <w:rPr>
          <w:spacing w:val="-3"/>
        </w:rPr>
        <w:t> </w:t>
      </w:r>
      <w:r>
        <w:rPr/>
        <w:t>for</w:t>
      </w:r>
      <w:r>
        <w:rPr>
          <w:spacing w:val="-3"/>
        </w:rPr>
        <w:t> </w:t>
      </w:r>
      <w:r>
        <w:rPr/>
        <w:t>the</w:t>
      </w:r>
      <w:r>
        <w:rPr>
          <w:spacing w:val="-4"/>
        </w:rPr>
        <w:t> </w:t>
      </w:r>
      <w:r>
        <w:rPr/>
        <w:t>people</w:t>
      </w:r>
      <w:r>
        <w:rPr>
          <w:spacing w:val="-4"/>
        </w:rPr>
        <w:t> </w:t>
      </w:r>
      <w:r>
        <w:rPr/>
        <w:t>served</w:t>
      </w:r>
      <w:r>
        <w:rPr>
          <w:spacing w:val="-3"/>
        </w:rPr>
        <w:t> </w:t>
      </w:r>
      <w:r>
        <w:rPr/>
        <w:t>and</w:t>
      </w:r>
      <w:r>
        <w:rPr>
          <w:spacing w:val="-3"/>
        </w:rPr>
        <w:t> </w:t>
      </w:r>
      <w:r>
        <w:rPr/>
        <w:t>for</w:t>
      </w:r>
      <w:r>
        <w:rPr>
          <w:spacing w:val="-3"/>
        </w:rPr>
        <w:t> </w:t>
      </w:r>
      <w:r>
        <w:rPr/>
        <w:t>the</w:t>
      </w:r>
      <w:r>
        <w:rPr>
          <w:spacing w:val="-4"/>
        </w:rPr>
        <w:t> </w:t>
      </w:r>
      <w:r>
        <w:rPr/>
        <w:t>work. Unlike fatigue, burnout does not resolve after a given amount of rest and </w:t>
      </w:r>
      <w:r>
        <w:rPr>
          <w:spacing w:val="-2"/>
        </w:rPr>
        <w:t>recreation.</w:t>
      </w:r>
    </w:p>
    <w:p>
      <w:pPr>
        <w:pStyle w:val="BodyText"/>
        <w:spacing w:before="3"/>
      </w:pPr>
    </w:p>
    <w:p>
      <w:pPr>
        <w:pStyle w:val="BodyText"/>
        <w:spacing w:line="259" w:lineRule="auto"/>
        <w:ind w:left="400" w:right="554"/>
      </w:pPr>
      <w:r>
        <w:rPr/>
        <w:t>Burnout</w:t>
      </w:r>
      <w:r>
        <w:rPr>
          <w:spacing w:val="-6"/>
        </w:rPr>
        <w:t> </w:t>
      </w:r>
      <w:r>
        <w:rPr/>
        <w:t>prevention</w:t>
      </w:r>
      <w:r>
        <w:rPr>
          <w:spacing w:val="-4"/>
        </w:rPr>
        <w:t> </w:t>
      </w:r>
      <w:r>
        <w:rPr/>
        <w:t>and</w:t>
      </w:r>
      <w:r>
        <w:rPr>
          <w:spacing w:val="-4"/>
        </w:rPr>
        <w:t> </w:t>
      </w:r>
      <w:r>
        <w:rPr/>
        <w:t>stress</w:t>
      </w:r>
      <w:r>
        <w:rPr>
          <w:spacing w:val="-4"/>
        </w:rPr>
        <w:t> </w:t>
      </w:r>
      <w:r>
        <w:rPr/>
        <w:t>management</w:t>
      </w:r>
      <w:r>
        <w:rPr>
          <w:spacing w:val="-6"/>
        </w:rPr>
        <w:t> </w:t>
      </w:r>
      <w:r>
        <w:rPr/>
        <w:t>techniques</w:t>
      </w:r>
      <w:r>
        <w:rPr>
          <w:spacing w:val="-4"/>
        </w:rPr>
        <w:t> </w:t>
      </w:r>
      <w:r>
        <w:rPr/>
        <w:t>should</w:t>
      </w:r>
      <w:r>
        <w:rPr>
          <w:spacing w:val="-4"/>
        </w:rPr>
        <w:t> </w:t>
      </w:r>
      <w:r>
        <w:rPr/>
        <w:t>be</w:t>
      </w:r>
      <w:r>
        <w:rPr>
          <w:spacing w:val="-6"/>
        </w:rPr>
        <w:t> </w:t>
      </w:r>
      <w:r>
        <w:rPr/>
        <w:t>used</w:t>
      </w:r>
      <w:r>
        <w:rPr>
          <w:spacing w:val="-4"/>
        </w:rPr>
        <w:t> </w:t>
      </w:r>
      <w:r>
        <w:rPr/>
        <w:t>both</w:t>
      </w:r>
      <w:r>
        <w:rPr>
          <w:spacing w:val="-4"/>
        </w:rPr>
        <w:t> </w:t>
      </w:r>
      <w:r>
        <w:rPr/>
        <w:t>in the</w:t>
      </w:r>
      <w:r>
        <w:rPr>
          <w:spacing w:val="-11"/>
        </w:rPr>
        <w:t> </w:t>
      </w:r>
      <w:r>
        <w:rPr/>
        <w:t>work</w:t>
      </w:r>
      <w:r>
        <w:rPr>
          <w:spacing w:val="-8"/>
        </w:rPr>
        <w:t> </w:t>
      </w:r>
      <w:r>
        <w:rPr/>
        <w:t>setting</w:t>
      </w:r>
      <w:r>
        <w:rPr>
          <w:spacing w:val="-10"/>
        </w:rPr>
        <w:t> </w:t>
      </w:r>
      <w:r>
        <w:rPr/>
        <w:t>and</w:t>
      </w:r>
      <w:r>
        <w:rPr>
          <w:spacing w:val="-10"/>
        </w:rPr>
        <w:t> </w:t>
      </w:r>
      <w:r>
        <w:rPr/>
        <w:t>in</w:t>
      </w:r>
      <w:r>
        <w:rPr>
          <w:spacing w:val="-10"/>
        </w:rPr>
        <w:t> </w:t>
      </w:r>
      <w:r>
        <w:rPr/>
        <w:t>counselors'</w:t>
      </w:r>
      <w:r>
        <w:rPr>
          <w:spacing w:val="-9"/>
        </w:rPr>
        <w:t> </w:t>
      </w:r>
      <w:r>
        <w:rPr/>
        <w:t>personal</w:t>
      </w:r>
      <w:r>
        <w:rPr>
          <w:spacing w:val="-10"/>
        </w:rPr>
        <w:t> </w:t>
      </w:r>
      <w:r>
        <w:rPr/>
        <w:t>lives.</w:t>
      </w:r>
      <w:r>
        <w:rPr>
          <w:spacing w:val="-18"/>
        </w:rPr>
        <w:t> </w:t>
      </w:r>
      <w:r>
        <w:rPr/>
        <w:t>Working</w:t>
      </w:r>
      <w:r>
        <w:rPr>
          <w:spacing w:val="-9"/>
        </w:rPr>
        <w:t> </w:t>
      </w:r>
      <w:r>
        <w:rPr/>
        <w:t>with</w:t>
      </w:r>
      <w:r>
        <w:rPr>
          <w:spacing w:val="-10"/>
        </w:rPr>
        <w:t> </w:t>
      </w:r>
      <w:r>
        <w:rPr/>
        <w:t>HIV-infected substance abusers requires agencies and individuals to be more creative and flexible in finding new and different ways to support and nurture counselors to prevent burnout.</w:t>
      </w:r>
      <w:r>
        <w:rPr>
          <w:spacing w:val="-27"/>
        </w:rPr>
        <w:t> </w:t>
      </w:r>
      <w:r>
        <w:rPr/>
        <w:t>Agencies that have taken on this challenge with integrity and commitment have seen highly effective staff function at optimal levels for many years.</w:t>
      </w:r>
    </w:p>
    <w:p>
      <w:pPr>
        <w:pStyle w:val="BodyText"/>
        <w:rPr>
          <w:sz w:val="29"/>
        </w:rPr>
      </w:pPr>
    </w:p>
    <w:p>
      <w:pPr>
        <w:pStyle w:val="BodyText"/>
        <w:spacing w:line="189" w:lineRule="auto"/>
        <w:ind w:left="400" w:right="499"/>
      </w:pPr>
      <w:r>
        <w:rPr/>
        <w:t>Suggestions</w:t>
      </w:r>
      <w:r>
        <w:rPr>
          <w:spacing w:val="-8"/>
        </w:rPr>
        <w:t> </w:t>
      </w:r>
      <w:r>
        <w:rPr/>
        <w:t>for</w:t>
      </w:r>
      <w:r>
        <w:rPr>
          <w:spacing w:val="-5"/>
        </w:rPr>
        <w:t> </w:t>
      </w:r>
      <w:r>
        <w:rPr/>
        <w:t>ways</w:t>
      </w:r>
      <w:r>
        <w:rPr>
          <w:spacing w:val="-5"/>
        </w:rPr>
        <w:t> </w:t>
      </w:r>
      <w:r>
        <w:rPr/>
        <w:t>in</w:t>
      </w:r>
      <w:r>
        <w:rPr>
          <w:spacing w:val="-5"/>
        </w:rPr>
        <w:t> </w:t>
      </w:r>
      <w:r>
        <w:rPr/>
        <w:t>which</w:t>
      </w:r>
      <w:r>
        <w:rPr>
          <w:spacing w:val="-6"/>
        </w:rPr>
        <w:t> </w:t>
      </w:r>
      <w:r>
        <w:rPr/>
        <w:t>agencies</w:t>
      </w:r>
      <w:r>
        <w:rPr>
          <w:spacing w:val="-5"/>
        </w:rPr>
        <w:t> </w:t>
      </w:r>
      <w:r>
        <w:rPr/>
        <w:t>can</w:t>
      </w:r>
      <w:r>
        <w:rPr>
          <w:spacing w:val="-5"/>
        </w:rPr>
        <w:t> </w:t>
      </w:r>
      <w:r>
        <w:rPr/>
        <w:t>take</w:t>
      </w:r>
      <w:r>
        <w:rPr>
          <w:spacing w:val="-6"/>
        </w:rPr>
        <w:t> </w:t>
      </w:r>
      <w:r>
        <w:rPr/>
        <w:t>care</w:t>
      </w:r>
      <w:r>
        <w:rPr>
          <w:spacing w:val="-7"/>
        </w:rPr>
        <w:t> </w:t>
      </w:r>
      <w:r>
        <w:rPr/>
        <w:t>of</w:t>
      </w:r>
      <w:r>
        <w:rPr>
          <w:spacing w:val="-5"/>
        </w:rPr>
        <w:t> </w:t>
      </w:r>
      <w:r>
        <w:rPr/>
        <w:t>counselors</w:t>
      </w:r>
      <w:r>
        <w:rPr>
          <w:spacing w:val="-4"/>
        </w:rPr>
        <w:t> </w:t>
      </w:r>
      <w:r>
        <w:rPr/>
        <w:t>at</w:t>
      </w:r>
      <w:r>
        <w:rPr>
          <w:spacing w:val="-5"/>
        </w:rPr>
        <w:t> </w:t>
      </w:r>
      <w:r>
        <w:rPr/>
        <w:t>work </w:t>
      </w:r>
      <w:r>
        <w:rPr>
          <w:spacing w:val="-2"/>
        </w:rPr>
        <w:t>include</w:t>
      </w:r>
    </w:p>
    <w:p>
      <w:pPr>
        <w:pStyle w:val="ListParagraph"/>
        <w:numPr>
          <w:ilvl w:val="0"/>
          <w:numId w:val="19"/>
        </w:numPr>
        <w:tabs>
          <w:tab w:pos="1217" w:val="left" w:leader="none"/>
        </w:tabs>
        <w:spacing w:line="301" w:lineRule="exact" w:before="0" w:after="0"/>
        <w:ind w:left="1217" w:right="0" w:hanging="457"/>
        <w:jc w:val="left"/>
        <w:rPr>
          <w:sz w:val="28"/>
        </w:rPr>
      </w:pPr>
      <w:r>
        <w:rPr>
          <w:sz w:val="28"/>
        </w:rPr>
        <w:t>Assigning</w:t>
      </w:r>
      <w:r>
        <w:rPr>
          <w:spacing w:val="-6"/>
          <w:sz w:val="28"/>
        </w:rPr>
        <w:t> </w:t>
      </w:r>
      <w:r>
        <w:rPr>
          <w:sz w:val="28"/>
        </w:rPr>
        <w:t>clearly</w:t>
      </w:r>
      <w:r>
        <w:rPr>
          <w:spacing w:val="-6"/>
          <w:sz w:val="28"/>
        </w:rPr>
        <w:t> </w:t>
      </w:r>
      <w:r>
        <w:rPr>
          <w:sz w:val="28"/>
        </w:rPr>
        <w:t>specific</w:t>
      </w:r>
      <w:r>
        <w:rPr>
          <w:spacing w:val="-5"/>
          <w:sz w:val="28"/>
        </w:rPr>
        <w:t> </w:t>
      </w:r>
      <w:r>
        <w:rPr>
          <w:spacing w:val="-2"/>
          <w:sz w:val="28"/>
        </w:rPr>
        <w:t>duties</w:t>
      </w:r>
    </w:p>
    <w:p>
      <w:pPr>
        <w:pStyle w:val="ListParagraph"/>
        <w:numPr>
          <w:ilvl w:val="0"/>
          <w:numId w:val="19"/>
        </w:numPr>
        <w:tabs>
          <w:tab w:pos="1217" w:val="left" w:leader="none"/>
        </w:tabs>
        <w:spacing w:line="320" w:lineRule="exact" w:before="0" w:after="0"/>
        <w:ind w:left="1217" w:right="0" w:hanging="457"/>
        <w:jc w:val="left"/>
        <w:rPr>
          <w:sz w:val="28"/>
        </w:rPr>
      </w:pPr>
      <w:r>
        <w:rPr>
          <w:sz w:val="28"/>
        </w:rPr>
        <w:t>Having</w:t>
      </w:r>
      <w:r>
        <w:rPr>
          <w:spacing w:val="-7"/>
          <w:sz w:val="28"/>
        </w:rPr>
        <w:t> </w:t>
      </w:r>
      <w:r>
        <w:rPr>
          <w:sz w:val="28"/>
        </w:rPr>
        <w:t>clear</w:t>
      </w:r>
      <w:r>
        <w:rPr>
          <w:spacing w:val="-5"/>
          <w:sz w:val="28"/>
        </w:rPr>
        <w:t> </w:t>
      </w:r>
      <w:r>
        <w:rPr>
          <w:sz w:val="28"/>
        </w:rPr>
        <w:t>boundaries</w:t>
      </w:r>
      <w:r>
        <w:rPr>
          <w:spacing w:val="-5"/>
          <w:sz w:val="28"/>
        </w:rPr>
        <w:t> </w:t>
      </w:r>
      <w:r>
        <w:rPr>
          <w:sz w:val="28"/>
        </w:rPr>
        <w:t>on</w:t>
      </w:r>
      <w:r>
        <w:rPr>
          <w:spacing w:val="-5"/>
          <w:sz w:val="28"/>
        </w:rPr>
        <w:t> </w:t>
      </w:r>
      <w:r>
        <w:rPr>
          <w:sz w:val="28"/>
        </w:rPr>
        <w:t>professional</w:t>
      </w:r>
      <w:r>
        <w:rPr>
          <w:spacing w:val="-4"/>
          <w:sz w:val="28"/>
        </w:rPr>
        <w:t> </w:t>
      </w:r>
      <w:r>
        <w:rPr>
          <w:spacing w:val="-2"/>
          <w:sz w:val="28"/>
        </w:rPr>
        <w:t>obligations</w:t>
      </w:r>
    </w:p>
    <w:p>
      <w:pPr>
        <w:pStyle w:val="ListParagraph"/>
        <w:numPr>
          <w:ilvl w:val="0"/>
          <w:numId w:val="19"/>
        </w:numPr>
        <w:tabs>
          <w:tab w:pos="1217" w:val="left" w:leader="none"/>
        </w:tabs>
        <w:spacing w:line="320" w:lineRule="exact" w:before="0" w:after="0"/>
        <w:ind w:left="1217" w:right="0" w:hanging="457"/>
        <w:jc w:val="left"/>
        <w:rPr>
          <w:sz w:val="28"/>
        </w:rPr>
      </w:pPr>
      <w:r>
        <w:rPr>
          <w:sz w:val="28"/>
        </w:rPr>
        <w:t>Enlisting</w:t>
      </w:r>
      <w:r>
        <w:rPr>
          <w:spacing w:val="-4"/>
          <w:sz w:val="28"/>
        </w:rPr>
        <w:t> </w:t>
      </w:r>
      <w:r>
        <w:rPr>
          <w:sz w:val="28"/>
        </w:rPr>
        <w:t>volunteer</w:t>
      </w:r>
      <w:r>
        <w:rPr>
          <w:spacing w:val="-4"/>
          <w:sz w:val="28"/>
        </w:rPr>
        <w:t> </w:t>
      </w:r>
      <w:r>
        <w:rPr>
          <w:sz w:val="28"/>
        </w:rPr>
        <w:t>help</w:t>
      </w:r>
      <w:r>
        <w:rPr>
          <w:spacing w:val="-4"/>
          <w:sz w:val="28"/>
        </w:rPr>
        <w:t> </w:t>
      </w:r>
      <w:r>
        <w:rPr>
          <w:sz w:val="28"/>
        </w:rPr>
        <w:t>from</w:t>
      </w:r>
      <w:r>
        <w:rPr>
          <w:spacing w:val="-5"/>
          <w:sz w:val="28"/>
        </w:rPr>
        <w:t> </w:t>
      </w:r>
      <w:r>
        <w:rPr>
          <w:sz w:val="28"/>
        </w:rPr>
        <w:t>community</w:t>
      </w:r>
      <w:r>
        <w:rPr>
          <w:spacing w:val="-3"/>
          <w:sz w:val="28"/>
        </w:rPr>
        <w:t> </w:t>
      </w:r>
      <w:r>
        <w:rPr>
          <w:spacing w:val="-2"/>
          <w:sz w:val="28"/>
        </w:rPr>
        <w:t>organizations</w:t>
      </w:r>
    </w:p>
    <w:p>
      <w:pPr>
        <w:pStyle w:val="ListParagraph"/>
        <w:numPr>
          <w:ilvl w:val="0"/>
          <w:numId w:val="19"/>
        </w:numPr>
        <w:tabs>
          <w:tab w:pos="1217" w:val="left" w:leader="none"/>
        </w:tabs>
        <w:spacing w:line="320" w:lineRule="exact" w:before="0" w:after="0"/>
        <w:ind w:left="1217" w:right="0" w:hanging="457"/>
        <w:jc w:val="left"/>
        <w:rPr>
          <w:sz w:val="28"/>
        </w:rPr>
      </w:pPr>
      <w:r>
        <w:rPr>
          <w:sz w:val="28"/>
        </w:rPr>
        <w:t>Allowing</w:t>
      </w:r>
      <w:r>
        <w:rPr>
          <w:spacing w:val="-3"/>
          <w:sz w:val="28"/>
        </w:rPr>
        <w:t> </w:t>
      </w:r>
      <w:r>
        <w:rPr>
          <w:sz w:val="28"/>
        </w:rPr>
        <w:t>for "time</w:t>
      </w:r>
      <w:r>
        <w:rPr>
          <w:spacing w:val="-2"/>
          <w:sz w:val="28"/>
        </w:rPr>
        <w:t> </w:t>
      </w:r>
      <w:r>
        <w:rPr>
          <w:sz w:val="28"/>
        </w:rPr>
        <w:t>out"</w:t>
      </w:r>
      <w:r>
        <w:rPr>
          <w:spacing w:val="-1"/>
          <w:sz w:val="28"/>
        </w:rPr>
        <w:t> </w:t>
      </w:r>
      <w:r>
        <w:rPr>
          <w:spacing w:val="-2"/>
          <w:sz w:val="28"/>
        </w:rPr>
        <w:t>activities</w:t>
      </w:r>
    </w:p>
    <w:p>
      <w:pPr>
        <w:pStyle w:val="ListParagraph"/>
        <w:numPr>
          <w:ilvl w:val="0"/>
          <w:numId w:val="19"/>
        </w:numPr>
        <w:tabs>
          <w:tab w:pos="1217" w:val="left" w:leader="none"/>
        </w:tabs>
        <w:spacing w:line="320" w:lineRule="exact" w:before="0" w:after="0"/>
        <w:ind w:left="1217" w:right="0" w:hanging="457"/>
        <w:jc w:val="left"/>
        <w:rPr>
          <w:sz w:val="28"/>
        </w:rPr>
      </w:pPr>
      <w:r>
        <w:rPr>
          <w:spacing w:val="-2"/>
          <w:sz w:val="28"/>
        </w:rPr>
        <w:t>Varying</w:t>
      </w:r>
      <w:r>
        <w:rPr>
          <w:spacing w:val="-15"/>
          <w:sz w:val="28"/>
        </w:rPr>
        <w:t> </w:t>
      </w:r>
      <w:r>
        <w:rPr>
          <w:spacing w:val="-2"/>
          <w:sz w:val="28"/>
        </w:rPr>
        <w:t>tasks</w:t>
      </w:r>
      <w:r>
        <w:rPr>
          <w:spacing w:val="-14"/>
          <w:sz w:val="28"/>
        </w:rPr>
        <w:t> </w:t>
      </w:r>
      <w:r>
        <w:rPr>
          <w:spacing w:val="-2"/>
          <w:sz w:val="28"/>
        </w:rPr>
        <w:t>and</w:t>
      </w:r>
      <w:r>
        <w:rPr>
          <w:spacing w:val="-14"/>
          <w:sz w:val="28"/>
        </w:rPr>
        <w:t> </w:t>
      </w:r>
      <w:r>
        <w:rPr>
          <w:spacing w:val="-2"/>
          <w:sz w:val="28"/>
        </w:rPr>
        <w:t>responsibilities</w:t>
      </w:r>
    </w:p>
    <w:p>
      <w:pPr>
        <w:pStyle w:val="ListParagraph"/>
        <w:numPr>
          <w:ilvl w:val="0"/>
          <w:numId w:val="19"/>
        </w:numPr>
        <w:tabs>
          <w:tab w:pos="1217" w:val="left" w:leader="none"/>
        </w:tabs>
        <w:spacing w:line="320" w:lineRule="exact" w:before="0" w:after="0"/>
        <w:ind w:left="1217" w:right="0" w:hanging="457"/>
        <w:jc w:val="left"/>
        <w:rPr>
          <w:sz w:val="28"/>
        </w:rPr>
      </w:pPr>
      <w:r>
        <w:rPr>
          <w:sz w:val="28"/>
        </w:rPr>
        <w:t>Building</w:t>
      </w:r>
      <w:r>
        <w:rPr>
          <w:spacing w:val="-5"/>
          <w:sz w:val="28"/>
        </w:rPr>
        <w:t> </w:t>
      </w:r>
      <w:r>
        <w:rPr>
          <w:sz w:val="28"/>
        </w:rPr>
        <w:t>in</w:t>
      </w:r>
      <w:r>
        <w:rPr>
          <w:spacing w:val="-4"/>
          <w:sz w:val="28"/>
        </w:rPr>
        <w:t> </w:t>
      </w:r>
      <w:r>
        <w:rPr>
          <w:sz w:val="28"/>
        </w:rPr>
        <w:t>"mental</w:t>
      </w:r>
      <w:r>
        <w:rPr>
          <w:spacing w:val="-4"/>
          <w:sz w:val="28"/>
        </w:rPr>
        <w:t> </w:t>
      </w:r>
      <w:r>
        <w:rPr>
          <w:sz w:val="28"/>
        </w:rPr>
        <w:t>health</w:t>
      </w:r>
      <w:r>
        <w:rPr>
          <w:spacing w:val="-3"/>
          <w:sz w:val="28"/>
        </w:rPr>
        <w:t> </w:t>
      </w:r>
      <w:r>
        <w:rPr>
          <w:spacing w:val="-2"/>
          <w:sz w:val="28"/>
        </w:rPr>
        <w:t>days"</w:t>
      </w:r>
    </w:p>
    <w:p>
      <w:pPr>
        <w:pStyle w:val="ListParagraph"/>
        <w:numPr>
          <w:ilvl w:val="0"/>
          <w:numId w:val="19"/>
        </w:numPr>
        <w:tabs>
          <w:tab w:pos="1217" w:val="left" w:leader="none"/>
        </w:tabs>
        <w:spacing w:line="320" w:lineRule="exact" w:before="0" w:after="0"/>
        <w:ind w:left="1217" w:right="0" w:hanging="457"/>
        <w:jc w:val="left"/>
        <w:rPr>
          <w:sz w:val="28"/>
        </w:rPr>
      </w:pPr>
      <w:r>
        <w:rPr>
          <w:sz w:val="28"/>
        </w:rPr>
        <w:t>Providing</w:t>
      </w:r>
      <w:r>
        <w:rPr>
          <w:spacing w:val="-4"/>
          <w:sz w:val="28"/>
        </w:rPr>
        <w:t> </w:t>
      </w:r>
      <w:r>
        <w:rPr>
          <w:sz w:val="28"/>
        </w:rPr>
        <w:t>for</w:t>
      </w:r>
      <w:r>
        <w:rPr>
          <w:spacing w:val="-3"/>
          <w:sz w:val="28"/>
        </w:rPr>
        <w:t> </w:t>
      </w:r>
      <w:r>
        <w:rPr>
          <w:sz w:val="28"/>
        </w:rPr>
        <w:t>continuing</w:t>
      </w:r>
      <w:r>
        <w:rPr>
          <w:spacing w:val="-2"/>
          <w:sz w:val="28"/>
        </w:rPr>
        <w:t> education</w:t>
      </w:r>
    </w:p>
    <w:p>
      <w:pPr>
        <w:pStyle w:val="ListParagraph"/>
        <w:numPr>
          <w:ilvl w:val="0"/>
          <w:numId w:val="19"/>
        </w:numPr>
        <w:tabs>
          <w:tab w:pos="1217" w:val="left" w:leader="none"/>
        </w:tabs>
        <w:spacing w:line="320" w:lineRule="exact" w:before="0" w:after="0"/>
        <w:ind w:left="1217" w:right="0" w:hanging="457"/>
        <w:jc w:val="left"/>
        <w:rPr>
          <w:sz w:val="28"/>
        </w:rPr>
      </w:pPr>
      <w:r>
        <w:rPr>
          <w:sz w:val="28"/>
        </w:rPr>
        <w:t>Holding</w:t>
      </w:r>
      <w:r>
        <w:rPr>
          <w:spacing w:val="-11"/>
          <w:sz w:val="28"/>
        </w:rPr>
        <w:t> </w:t>
      </w:r>
      <w:r>
        <w:rPr>
          <w:sz w:val="28"/>
        </w:rPr>
        <w:t>staff</w:t>
      </w:r>
      <w:r>
        <w:rPr>
          <w:spacing w:val="-6"/>
          <w:sz w:val="28"/>
        </w:rPr>
        <w:t> </w:t>
      </w:r>
      <w:r>
        <w:rPr>
          <w:sz w:val="28"/>
        </w:rPr>
        <w:t>retreats</w:t>
      </w:r>
      <w:r>
        <w:rPr>
          <w:spacing w:val="-6"/>
          <w:sz w:val="28"/>
        </w:rPr>
        <w:t> </w:t>
      </w:r>
      <w:r>
        <w:rPr>
          <w:sz w:val="28"/>
        </w:rPr>
        <w:t>(with</w:t>
      </w:r>
      <w:r>
        <w:rPr>
          <w:spacing w:val="-7"/>
          <w:sz w:val="28"/>
        </w:rPr>
        <w:t> </w:t>
      </w:r>
      <w:r>
        <w:rPr>
          <w:sz w:val="28"/>
        </w:rPr>
        <w:t>enjoyable</w:t>
      </w:r>
      <w:r>
        <w:rPr>
          <w:spacing w:val="-7"/>
          <w:sz w:val="28"/>
        </w:rPr>
        <w:t> </w:t>
      </w:r>
      <w:r>
        <w:rPr>
          <w:sz w:val="28"/>
        </w:rPr>
        <w:t>activities</w:t>
      </w:r>
      <w:r>
        <w:rPr>
          <w:spacing w:val="-6"/>
          <w:sz w:val="28"/>
        </w:rPr>
        <w:t> </w:t>
      </w:r>
      <w:r>
        <w:rPr>
          <w:spacing w:val="-2"/>
          <w:sz w:val="28"/>
        </w:rPr>
        <w:t>planned)</w:t>
      </w:r>
    </w:p>
    <w:p>
      <w:pPr>
        <w:pStyle w:val="ListParagraph"/>
        <w:numPr>
          <w:ilvl w:val="0"/>
          <w:numId w:val="19"/>
        </w:numPr>
        <w:tabs>
          <w:tab w:pos="1217" w:val="left" w:leader="none"/>
        </w:tabs>
        <w:spacing w:line="329" w:lineRule="exact" w:before="0" w:after="0"/>
        <w:ind w:left="1217" w:right="0" w:hanging="457"/>
        <w:jc w:val="left"/>
        <w:rPr>
          <w:sz w:val="28"/>
        </w:rPr>
      </w:pPr>
      <w:r>
        <w:rPr>
          <w:sz w:val="28"/>
        </w:rPr>
        <w:t>Holding</w:t>
      </w:r>
      <w:r>
        <w:rPr>
          <w:spacing w:val="-8"/>
          <w:sz w:val="28"/>
        </w:rPr>
        <w:t> </w:t>
      </w:r>
      <w:r>
        <w:rPr>
          <w:sz w:val="28"/>
        </w:rPr>
        <w:t>discussion,</w:t>
      </w:r>
      <w:r>
        <w:rPr>
          <w:spacing w:val="-3"/>
          <w:sz w:val="28"/>
        </w:rPr>
        <w:t> </w:t>
      </w:r>
      <w:r>
        <w:rPr>
          <w:sz w:val="28"/>
        </w:rPr>
        <w:t>process,</w:t>
      </w:r>
      <w:r>
        <w:rPr>
          <w:spacing w:val="-4"/>
          <w:sz w:val="28"/>
        </w:rPr>
        <w:t> </w:t>
      </w:r>
      <w:r>
        <w:rPr>
          <w:sz w:val="28"/>
        </w:rPr>
        <w:t>and</w:t>
      </w:r>
      <w:r>
        <w:rPr>
          <w:spacing w:val="-3"/>
          <w:sz w:val="28"/>
        </w:rPr>
        <w:t> </w:t>
      </w:r>
      <w:r>
        <w:rPr>
          <w:sz w:val="28"/>
        </w:rPr>
        <w:t>support</w:t>
      </w:r>
      <w:r>
        <w:rPr>
          <w:spacing w:val="-4"/>
          <w:sz w:val="28"/>
        </w:rPr>
        <w:t> </w:t>
      </w:r>
      <w:r>
        <w:rPr>
          <w:spacing w:val="-2"/>
          <w:sz w:val="28"/>
        </w:rPr>
        <w:t>groups</w:t>
      </w:r>
    </w:p>
    <w:p>
      <w:pPr>
        <w:pStyle w:val="ListParagraph"/>
        <w:numPr>
          <w:ilvl w:val="0"/>
          <w:numId w:val="19"/>
        </w:numPr>
        <w:tabs>
          <w:tab w:pos="1217" w:val="left" w:leader="none"/>
        </w:tabs>
        <w:spacing w:line="368" w:lineRule="exact" w:before="0" w:after="0"/>
        <w:ind w:left="1217" w:right="0" w:hanging="457"/>
        <w:jc w:val="left"/>
        <w:rPr>
          <w:sz w:val="28"/>
        </w:rPr>
      </w:pPr>
      <w:r>
        <w:rPr>
          <w:sz w:val="28"/>
        </w:rPr>
        <w:t>Convening</w:t>
      </w:r>
      <w:r>
        <w:rPr>
          <w:spacing w:val="-12"/>
          <w:sz w:val="28"/>
        </w:rPr>
        <w:t> </w:t>
      </w:r>
      <w:r>
        <w:rPr>
          <w:sz w:val="28"/>
        </w:rPr>
        <w:t>regular</w:t>
      </w:r>
      <w:r>
        <w:rPr>
          <w:spacing w:val="-8"/>
          <w:sz w:val="28"/>
        </w:rPr>
        <w:t> </w:t>
      </w:r>
      <w:r>
        <w:rPr>
          <w:sz w:val="28"/>
        </w:rPr>
        <w:t>staff/team</w:t>
      </w:r>
      <w:r>
        <w:rPr>
          <w:spacing w:val="-8"/>
          <w:sz w:val="28"/>
        </w:rPr>
        <w:t> </w:t>
      </w:r>
      <w:r>
        <w:rPr>
          <w:sz w:val="28"/>
        </w:rPr>
        <w:t>supervision</w:t>
      </w:r>
      <w:r>
        <w:rPr>
          <w:spacing w:val="-8"/>
          <w:sz w:val="28"/>
        </w:rPr>
        <w:t> </w:t>
      </w:r>
      <w:r>
        <w:rPr>
          <w:spacing w:val="-2"/>
          <w:sz w:val="28"/>
        </w:rPr>
        <w:t>meetings</w:t>
      </w:r>
    </w:p>
    <w:p>
      <w:pPr>
        <w:pStyle w:val="BodyText"/>
        <w:rPr>
          <w:sz w:val="30"/>
        </w:rPr>
      </w:pPr>
    </w:p>
    <w:p>
      <w:pPr>
        <w:pStyle w:val="BodyText"/>
        <w:ind w:left="761" w:right="499" w:hanging="1"/>
      </w:pPr>
      <w:r>
        <w:rPr/>
        <w:t>In</w:t>
      </w:r>
      <w:r>
        <w:rPr>
          <w:spacing w:val="-3"/>
        </w:rPr>
        <w:t> </w:t>
      </w:r>
      <w:r>
        <w:rPr/>
        <w:t>addition,</w:t>
      </w:r>
      <w:r>
        <w:rPr>
          <w:spacing w:val="-3"/>
        </w:rPr>
        <w:t> </w:t>
      </w:r>
      <w:r>
        <w:rPr/>
        <w:t>it</w:t>
      </w:r>
      <w:r>
        <w:rPr>
          <w:spacing w:val="-3"/>
        </w:rPr>
        <w:t> </w:t>
      </w:r>
      <w:r>
        <w:rPr/>
        <w:t>is</w:t>
      </w:r>
      <w:r>
        <w:rPr>
          <w:spacing w:val="-3"/>
        </w:rPr>
        <w:t> </w:t>
      </w:r>
      <w:r>
        <w:rPr/>
        <w:t>important</w:t>
      </w:r>
      <w:r>
        <w:rPr>
          <w:spacing w:val="-3"/>
        </w:rPr>
        <w:t> </w:t>
      </w:r>
      <w:r>
        <w:rPr/>
        <w:t>that</w:t>
      </w:r>
      <w:r>
        <w:rPr>
          <w:spacing w:val="-3"/>
        </w:rPr>
        <w:t> </w:t>
      </w:r>
      <w:r>
        <w:rPr/>
        <w:t>agencies</w:t>
      </w:r>
      <w:r>
        <w:rPr>
          <w:spacing w:val="-3"/>
        </w:rPr>
        <w:t> </w:t>
      </w:r>
      <w:r>
        <w:rPr/>
        <w:t>allocate</w:t>
      </w:r>
      <w:r>
        <w:rPr>
          <w:spacing w:val="-4"/>
        </w:rPr>
        <w:t> </w:t>
      </w:r>
      <w:r>
        <w:rPr/>
        <w:t>time</w:t>
      </w:r>
      <w:r>
        <w:rPr>
          <w:spacing w:val="-4"/>
        </w:rPr>
        <w:t> </w:t>
      </w:r>
      <w:r>
        <w:rPr/>
        <w:t>to</w:t>
      </w:r>
      <w:r>
        <w:rPr>
          <w:spacing w:val="-3"/>
        </w:rPr>
        <w:t> </w:t>
      </w:r>
      <w:r>
        <w:rPr/>
        <w:t>discuss</w:t>
      </w:r>
      <w:r>
        <w:rPr>
          <w:spacing w:val="-3"/>
        </w:rPr>
        <w:t> </w:t>
      </w:r>
      <w:r>
        <w:rPr/>
        <w:t>the</w:t>
      </w:r>
      <w:r>
        <w:rPr>
          <w:spacing w:val="-4"/>
        </w:rPr>
        <w:t> </w:t>
      </w:r>
      <w:r>
        <w:rPr/>
        <w:t>deaths and losses faced by staff. This may mean supporting special memorial events at which those who have been lost to HIV/AIDS disease can be remembered.</w:t>
      </w:r>
      <w:r>
        <w:rPr>
          <w:spacing w:val="-23"/>
        </w:rPr>
        <w:t> </w:t>
      </w:r>
      <w:r>
        <w:rPr/>
        <w:t>Agencies also can support staff through contracts with employee assistance program therapists and by providing an onsite therapeutic support group for staff members to attend as they wish.</w:t>
      </w:r>
    </w:p>
    <w:p>
      <w:pPr>
        <w:pStyle w:val="BodyText"/>
        <w:rPr>
          <w:sz w:val="20"/>
        </w:rPr>
      </w:pPr>
    </w:p>
    <w:p>
      <w:pPr>
        <w:pStyle w:val="BodyText"/>
        <w:rPr>
          <w:sz w:val="20"/>
        </w:rPr>
      </w:pPr>
    </w:p>
    <w:p>
      <w:pPr>
        <w:pStyle w:val="BodyText"/>
        <w:rPr>
          <w:sz w:val="14"/>
        </w:rPr>
      </w:pPr>
      <w:r>
        <w:rPr/>
        <mc:AlternateContent>
          <mc:Choice Requires="wps">
            <w:drawing>
              <wp:anchor distT="0" distB="0" distL="0" distR="0" allowOverlap="1" layoutInCell="1" locked="0" behindDoc="1" simplePos="0" relativeHeight="487673856">
                <wp:simplePos x="0" y="0"/>
                <wp:positionH relativeFrom="page">
                  <wp:posOffset>1143000</wp:posOffset>
                </wp:positionH>
                <wp:positionV relativeFrom="paragraph">
                  <wp:posOffset>117660</wp:posOffset>
                </wp:positionV>
                <wp:extent cx="5486400" cy="1270"/>
                <wp:effectExtent l="0" t="0" r="0" b="0"/>
                <wp:wrapTopAndBottom/>
                <wp:docPr id="339" name="Graphic 339"/>
                <wp:cNvGraphicFramePr>
                  <a:graphicFrameLocks/>
                </wp:cNvGraphicFramePr>
                <a:graphic>
                  <a:graphicData uri="http://schemas.microsoft.com/office/word/2010/wordprocessingShape">
                    <wps:wsp>
                      <wps:cNvPr id="339" name="Graphic 339"/>
                      <wps:cNvSpPr/>
                      <wps:spPr>
                        <a:xfrm>
                          <a:off x="0" y="0"/>
                          <a:ext cx="5486400" cy="1270"/>
                        </a:xfrm>
                        <a:custGeom>
                          <a:avLst/>
                          <a:gdLst/>
                          <a:ahLst/>
                          <a:cxnLst/>
                          <a:rect l="l" t="t" r="r" b="b"/>
                          <a:pathLst>
                            <a:path w="5486400" h="0">
                              <a:moveTo>
                                <a:pt x="0" y="0"/>
                              </a:moveTo>
                              <a:lnTo>
                                <a:pt x="54864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90pt;margin-top:9.264614pt;width:432pt;height:.1pt;mso-position-horizontal-relative:page;mso-position-vertical-relative:paragraph;z-index:-15642624;mso-wrap-distance-left:0;mso-wrap-distance-right:0" id="docshape338" coordorigin="1800,185" coordsize="8640,0" path="m1800,185l10440,185e" filled="false" stroked="true" strokeweight=".75pt" strokecolor="#999999">
                <v:path arrowok="t"/>
                <v:stroke dashstyle="shortdot"/>
                <w10:wrap type="topAndBottom"/>
              </v:shape>
            </w:pict>
          </mc:Fallback>
        </mc:AlternateContent>
      </w:r>
    </w:p>
    <w:p>
      <w:pPr>
        <w:pStyle w:val="Heading2"/>
        <w:ind w:left="400"/>
      </w:pPr>
      <w:r>
        <w:rPr>
          <w:spacing w:val="-2"/>
        </w:rPr>
        <w:t>Screening</w:t>
      </w:r>
    </w:p>
    <w:p>
      <w:pPr>
        <w:pStyle w:val="BodyText"/>
        <w:spacing w:before="12"/>
        <w:ind w:left="400"/>
      </w:pPr>
      <w:r>
        <w:rPr/>
        <w:t>A</w:t>
      </w:r>
      <w:r>
        <w:rPr>
          <w:spacing w:val="-23"/>
        </w:rPr>
        <w:t> </w:t>
      </w:r>
      <w:r>
        <w:rPr/>
        <w:t>positive</w:t>
      </w:r>
      <w:r>
        <w:rPr>
          <w:spacing w:val="-4"/>
        </w:rPr>
        <w:t> </w:t>
      </w:r>
      <w:r>
        <w:rPr/>
        <w:t>screen</w:t>
      </w:r>
      <w:r>
        <w:rPr>
          <w:spacing w:val="-1"/>
        </w:rPr>
        <w:t> </w:t>
      </w:r>
      <w:r>
        <w:rPr/>
        <w:t>for</w:t>
      </w:r>
      <w:r>
        <w:rPr>
          <w:spacing w:val="-2"/>
        </w:rPr>
        <w:t> </w:t>
      </w:r>
      <w:r>
        <w:rPr/>
        <w:t>HIV</w:t>
      </w:r>
      <w:r>
        <w:rPr>
          <w:spacing w:val="-7"/>
        </w:rPr>
        <w:t> </w:t>
      </w:r>
      <w:r>
        <w:rPr/>
        <w:t>infection</w:t>
      </w:r>
      <w:r>
        <w:rPr>
          <w:spacing w:val="-1"/>
        </w:rPr>
        <w:t> </w:t>
      </w:r>
      <w:r>
        <w:rPr/>
        <w:t>typically</w:t>
      </w:r>
      <w:r>
        <w:rPr>
          <w:spacing w:val="-2"/>
        </w:rPr>
        <w:t> </w:t>
      </w:r>
      <w:r>
        <w:rPr/>
        <w:t>leads</w:t>
      </w:r>
      <w:r>
        <w:rPr>
          <w:spacing w:val="-1"/>
        </w:rPr>
        <w:t> </w:t>
      </w:r>
      <w:r>
        <w:rPr/>
        <w:t>to</w:t>
      </w:r>
      <w:r>
        <w:rPr>
          <w:spacing w:val="-1"/>
        </w:rPr>
        <w:t> </w:t>
      </w:r>
      <w:r>
        <w:rPr/>
        <w:t>a</w:t>
      </w:r>
      <w:r>
        <w:rPr>
          <w:spacing w:val="-3"/>
        </w:rPr>
        <w:t> </w:t>
      </w:r>
      <w:r>
        <w:rPr/>
        <w:t>referral</w:t>
      </w:r>
      <w:r>
        <w:rPr>
          <w:spacing w:val="-1"/>
        </w:rPr>
        <w:t> </w:t>
      </w:r>
      <w:r>
        <w:rPr/>
        <w:t>for</w:t>
      </w:r>
      <w:r>
        <w:rPr>
          <w:spacing w:val="-1"/>
        </w:rPr>
        <w:t> </w:t>
      </w:r>
      <w:r>
        <w:rPr>
          <w:spacing w:val="-2"/>
        </w:rPr>
        <w:t>formal</w:t>
      </w:r>
    </w:p>
    <w:p>
      <w:pPr>
        <w:spacing w:after="0"/>
        <w:sectPr>
          <w:pgSz w:w="12240" w:h="15840"/>
          <w:pgMar w:header="0" w:footer="765" w:top="1260" w:bottom="980" w:left="1400" w:right="1180"/>
        </w:sectPr>
      </w:pPr>
    </w:p>
    <w:p>
      <w:pPr>
        <w:pStyle w:val="BodyText"/>
        <w:spacing w:line="259" w:lineRule="auto" w:before="66"/>
        <w:ind w:left="400" w:right="502"/>
      </w:pPr>
      <w:r>
        <w:rPr/>
        <w:t>assessment, usually to an HIV/AIDS case management service. Frequently, substance abuse treatment programs provide referrals to HIV/AIDS care services. Providers will want to identify substance abuse treatment programs and</w:t>
      </w:r>
      <w:r>
        <w:rPr>
          <w:spacing w:val="-6"/>
        </w:rPr>
        <w:t> </w:t>
      </w:r>
      <w:r>
        <w:rPr/>
        <w:t>agencies</w:t>
      </w:r>
      <w:r>
        <w:rPr>
          <w:spacing w:val="-4"/>
        </w:rPr>
        <w:t> </w:t>
      </w:r>
      <w:r>
        <w:rPr/>
        <w:t>with</w:t>
      </w:r>
      <w:r>
        <w:rPr>
          <w:spacing w:val="-4"/>
        </w:rPr>
        <w:t> </w:t>
      </w:r>
      <w:r>
        <w:rPr/>
        <w:t>these</w:t>
      </w:r>
      <w:r>
        <w:rPr>
          <w:spacing w:val="-5"/>
        </w:rPr>
        <w:t> </w:t>
      </w:r>
      <w:r>
        <w:rPr/>
        <w:t>networks.</w:t>
      </w:r>
      <w:r>
        <w:rPr>
          <w:spacing w:val="-21"/>
        </w:rPr>
        <w:t> </w:t>
      </w:r>
      <w:r>
        <w:rPr/>
        <w:t>At</w:t>
      </w:r>
      <w:r>
        <w:rPr>
          <w:spacing w:val="-4"/>
        </w:rPr>
        <w:t> </w:t>
      </w:r>
      <w:r>
        <w:rPr/>
        <w:t>a</w:t>
      </w:r>
      <w:r>
        <w:rPr>
          <w:spacing w:val="-5"/>
        </w:rPr>
        <w:t> </w:t>
      </w:r>
      <w:r>
        <w:rPr/>
        <w:t>minimum,</w:t>
      </w:r>
      <w:r>
        <w:rPr>
          <w:spacing w:val="-4"/>
        </w:rPr>
        <w:t> </w:t>
      </w:r>
      <w:r>
        <w:rPr/>
        <w:t>services</w:t>
      </w:r>
      <w:r>
        <w:rPr>
          <w:spacing w:val="-4"/>
        </w:rPr>
        <w:t> </w:t>
      </w:r>
      <w:r>
        <w:rPr/>
        <w:t>should</w:t>
      </w:r>
      <w:r>
        <w:rPr>
          <w:spacing w:val="-4"/>
        </w:rPr>
        <w:t> </w:t>
      </w:r>
      <w:r>
        <w:rPr/>
        <w:t>include</w:t>
      </w:r>
      <w:r>
        <w:rPr>
          <w:spacing w:val="-5"/>
        </w:rPr>
        <w:t> </w:t>
      </w:r>
      <w:r>
        <w:rPr/>
        <w:t>the following client needs in priority order:</w:t>
      </w:r>
    </w:p>
    <w:p>
      <w:pPr>
        <w:pStyle w:val="ListParagraph"/>
        <w:numPr>
          <w:ilvl w:val="0"/>
          <w:numId w:val="19"/>
        </w:numPr>
        <w:tabs>
          <w:tab w:pos="1217" w:val="left" w:leader="none"/>
        </w:tabs>
        <w:spacing w:line="233" w:lineRule="exact" w:before="0" w:after="0"/>
        <w:ind w:left="1217" w:right="0" w:hanging="457"/>
        <w:jc w:val="left"/>
        <w:rPr>
          <w:sz w:val="28"/>
        </w:rPr>
      </w:pPr>
      <w:r>
        <w:rPr>
          <w:sz w:val="28"/>
        </w:rPr>
        <w:t>Substance</w:t>
      </w:r>
      <w:r>
        <w:rPr>
          <w:spacing w:val="-8"/>
          <w:sz w:val="28"/>
        </w:rPr>
        <w:t> </w:t>
      </w:r>
      <w:r>
        <w:rPr>
          <w:sz w:val="28"/>
        </w:rPr>
        <w:t>abuse</w:t>
      </w:r>
      <w:r>
        <w:rPr>
          <w:spacing w:val="-6"/>
          <w:sz w:val="28"/>
        </w:rPr>
        <w:t> </w:t>
      </w:r>
      <w:r>
        <w:rPr>
          <w:spacing w:val="-2"/>
          <w:sz w:val="28"/>
        </w:rPr>
        <w:t>treatment</w:t>
      </w:r>
    </w:p>
    <w:p>
      <w:pPr>
        <w:pStyle w:val="ListParagraph"/>
        <w:numPr>
          <w:ilvl w:val="0"/>
          <w:numId w:val="19"/>
        </w:numPr>
        <w:tabs>
          <w:tab w:pos="1217" w:val="left" w:leader="none"/>
        </w:tabs>
        <w:spacing w:line="295" w:lineRule="exact" w:before="0" w:after="0"/>
        <w:ind w:left="1217" w:right="0" w:hanging="457"/>
        <w:jc w:val="left"/>
        <w:rPr>
          <w:sz w:val="28"/>
        </w:rPr>
      </w:pPr>
      <w:r>
        <w:rPr>
          <w:sz w:val="28"/>
        </w:rPr>
        <w:t>Medical</w:t>
      </w:r>
      <w:r>
        <w:rPr>
          <w:spacing w:val="-10"/>
          <w:sz w:val="28"/>
        </w:rPr>
        <w:t> </w:t>
      </w:r>
      <w:r>
        <w:rPr>
          <w:spacing w:val="-4"/>
          <w:sz w:val="28"/>
        </w:rPr>
        <w:t>care</w:t>
      </w:r>
    </w:p>
    <w:p>
      <w:pPr>
        <w:pStyle w:val="ListParagraph"/>
        <w:numPr>
          <w:ilvl w:val="0"/>
          <w:numId w:val="19"/>
        </w:numPr>
        <w:tabs>
          <w:tab w:pos="1217" w:val="left" w:leader="none"/>
        </w:tabs>
        <w:spacing w:line="300" w:lineRule="exact" w:before="0" w:after="0"/>
        <w:ind w:left="1217" w:right="0" w:hanging="457"/>
        <w:jc w:val="left"/>
        <w:rPr>
          <w:sz w:val="28"/>
        </w:rPr>
      </w:pPr>
      <w:r>
        <w:rPr>
          <w:spacing w:val="-2"/>
          <w:sz w:val="28"/>
        </w:rPr>
        <w:t>Housing</w:t>
      </w:r>
    </w:p>
    <w:p>
      <w:pPr>
        <w:pStyle w:val="ListParagraph"/>
        <w:numPr>
          <w:ilvl w:val="0"/>
          <w:numId w:val="19"/>
        </w:numPr>
        <w:tabs>
          <w:tab w:pos="1217" w:val="left" w:leader="none"/>
        </w:tabs>
        <w:spacing w:line="300" w:lineRule="exact" w:before="0" w:after="0"/>
        <w:ind w:left="1217" w:right="0" w:hanging="457"/>
        <w:jc w:val="left"/>
        <w:rPr>
          <w:sz w:val="28"/>
        </w:rPr>
      </w:pPr>
      <w:r>
        <w:rPr>
          <w:sz w:val="28"/>
        </w:rPr>
        <w:t>Mental</w:t>
      </w:r>
      <w:r>
        <w:rPr>
          <w:spacing w:val="-8"/>
          <w:sz w:val="28"/>
        </w:rPr>
        <w:t> </w:t>
      </w:r>
      <w:r>
        <w:rPr>
          <w:sz w:val="28"/>
        </w:rPr>
        <w:t>health</w:t>
      </w:r>
      <w:r>
        <w:rPr>
          <w:spacing w:val="-5"/>
          <w:sz w:val="28"/>
        </w:rPr>
        <w:t> </w:t>
      </w:r>
      <w:r>
        <w:rPr>
          <w:spacing w:val="-4"/>
          <w:sz w:val="28"/>
        </w:rPr>
        <w:t>care</w:t>
      </w:r>
    </w:p>
    <w:p>
      <w:pPr>
        <w:pStyle w:val="ListParagraph"/>
        <w:numPr>
          <w:ilvl w:val="0"/>
          <w:numId w:val="19"/>
        </w:numPr>
        <w:tabs>
          <w:tab w:pos="1217" w:val="left" w:leader="none"/>
        </w:tabs>
        <w:spacing w:line="300" w:lineRule="exact" w:before="0" w:after="0"/>
        <w:ind w:left="1217" w:right="0" w:hanging="457"/>
        <w:jc w:val="left"/>
        <w:rPr>
          <w:sz w:val="28"/>
        </w:rPr>
      </w:pPr>
      <w:r>
        <w:rPr>
          <w:sz w:val="28"/>
        </w:rPr>
        <w:t>Nutritional</w:t>
      </w:r>
      <w:r>
        <w:rPr>
          <w:spacing w:val="-7"/>
          <w:sz w:val="28"/>
        </w:rPr>
        <w:t> </w:t>
      </w:r>
      <w:r>
        <w:rPr>
          <w:spacing w:val="-4"/>
          <w:sz w:val="28"/>
        </w:rPr>
        <w:t>care</w:t>
      </w:r>
    </w:p>
    <w:p>
      <w:pPr>
        <w:pStyle w:val="ListParagraph"/>
        <w:numPr>
          <w:ilvl w:val="0"/>
          <w:numId w:val="19"/>
        </w:numPr>
        <w:tabs>
          <w:tab w:pos="1217" w:val="left" w:leader="none"/>
        </w:tabs>
        <w:spacing w:line="300" w:lineRule="exact" w:before="0" w:after="0"/>
        <w:ind w:left="1217" w:right="0" w:hanging="457"/>
        <w:jc w:val="left"/>
        <w:rPr>
          <w:sz w:val="28"/>
        </w:rPr>
      </w:pPr>
      <w:r>
        <w:rPr>
          <w:sz w:val="28"/>
        </w:rPr>
        <w:t>Dental</w:t>
      </w:r>
      <w:r>
        <w:rPr>
          <w:spacing w:val="-8"/>
          <w:sz w:val="28"/>
        </w:rPr>
        <w:t> </w:t>
      </w:r>
      <w:r>
        <w:rPr>
          <w:spacing w:val="-4"/>
          <w:sz w:val="28"/>
        </w:rPr>
        <w:t>care</w:t>
      </w:r>
    </w:p>
    <w:p>
      <w:pPr>
        <w:pStyle w:val="ListParagraph"/>
        <w:numPr>
          <w:ilvl w:val="0"/>
          <w:numId w:val="19"/>
        </w:numPr>
        <w:tabs>
          <w:tab w:pos="1217" w:val="left" w:leader="none"/>
        </w:tabs>
        <w:spacing w:line="309" w:lineRule="exact" w:before="0" w:after="0"/>
        <w:ind w:left="1217" w:right="0" w:hanging="457"/>
        <w:jc w:val="left"/>
        <w:rPr>
          <w:sz w:val="28"/>
        </w:rPr>
      </w:pPr>
      <w:r>
        <w:rPr>
          <w:sz w:val="28"/>
        </w:rPr>
        <w:t>Ancillary</w:t>
      </w:r>
      <w:r>
        <w:rPr>
          <w:spacing w:val="-5"/>
          <w:sz w:val="28"/>
        </w:rPr>
        <w:t> </w:t>
      </w:r>
      <w:r>
        <w:rPr>
          <w:spacing w:val="-2"/>
          <w:sz w:val="28"/>
        </w:rPr>
        <w:t>services</w:t>
      </w:r>
    </w:p>
    <w:p>
      <w:pPr>
        <w:pStyle w:val="ListParagraph"/>
        <w:numPr>
          <w:ilvl w:val="0"/>
          <w:numId w:val="19"/>
        </w:numPr>
        <w:tabs>
          <w:tab w:pos="1217" w:val="left" w:leader="none"/>
        </w:tabs>
        <w:spacing w:line="358" w:lineRule="exact" w:before="0" w:after="0"/>
        <w:ind w:left="1217" w:right="0" w:hanging="457"/>
        <w:jc w:val="left"/>
        <w:rPr>
          <w:sz w:val="28"/>
        </w:rPr>
      </w:pPr>
      <w:r>
        <w:rPr>
          <w:sz w:val="28"/>
        </w:rPr>
        <w:t>Support</w:t>
      </w:r>
      <w:r>
        <w:rPr>
          <w:spacing w:val="-2"/>
          <w:sz w:val="28"/>
        </w:rPr>
        <w:t> systems</w:t>
      </w:r>
    </w:p>
    <w:p>
      <w:pPr>
        <w:pStyle w:val="BodyText"/>
        <w:rPr>
          <w:sz w:val="30"/>
        </w:rPr>
      </w:pPr>
    </w:p>
    <w:p>
      <w:pPr>
        <w:pStyle w:val="BodyText"/>
        <w:spacing w:before="6"/>
        <w:rPr>
          <w:sz w:val="23"/>
        </w:rPr>
      </w:pPr>
    </w:p>
    <w:p>
      <w:pPr>
        <w:pStyle w:val="Heading2"/>
        <w:ind w:left="400"/>
      </w:pPr>
      <w:r>
        <w:rPr/>
        <w:t>Mental</w:t>
      </w:r>
      <w:r>
        <w:rPr>
          <w:spacing w:val="-8"/>
        </w:rPr>
        <w:t> </w:t>
      </w:r>
      <w:r>
        <w:rPr/>
        <w:t>health</w:t>
      </w:r>
      <w:r>
        <w:rPr>
          <w:spacing w:val="-5"/>
        </w:rPr>
        <w:t> </w:t>
      </w:r>
      <w:r>
        <w:rPr>
          <w:spacing w:val="-4"/>
        </w:rPr>
        <w:t>care</w:t>
      </w:r>
    </w:p>
    <w:p>
      <w:pPr>
        <w:pStyle w:val="BodyText"/>
        <w:spacing w:before="9"/>
        <w:rPr>
          <w:b/>
          <w:sz w:val="27"/>
        </w:rPr>
      </w:pPr>
    </w:p>
    <w:p>
      <w:pPr>
        <w:pStyle w:val="BodyText"/>
        <w:spacing w:line="259" w:lineRule="auto" w:before="1"/>
        <w:ind w:left="400" w:right="515"/>
      </w:pPr>
      <w:r>
        <w:rPr/>
        <w:t>A</w:t>
      </w:r>
      <w:r>
        <w:rPr>
          <w:spacing w:val="-24"/>
        </w:rPr>
        <w:t> </w:t>
      </w:r>
      <w:r>
        <w:rPr/>
        <w:t>diagnosis of mental illness may reflect the client's affective and mood responses to this medical judgment, may be a consequence of self- medication,</w:t>
      </w:r>
      <w:r>
        <w:rPr>
          <w:spacing w:val="-5"/>
        </w:rPr>
        <w:t> </w:t>
      </w:r>
      <w:r>
        <w:rPr/>
        <w:t>or</w:t>
      </w:r>
      <w:r>
        <w:rPr>
          <w:spacing w:val="-5"/>
        </w:rPr>
        <w:t> </w:t>
      </w:r>
      <w:r>
        <w:rPr/>
        <w:t>may</w:t>
      </w:r>
      <w:r>
        <w:rPr>
          <w:spacing w:val="-5"/>
        </w:rPr>
        <w:t> </w:t>
      </w:r>
      <w:r>
        <w:rPr/>
        <w:t>reflect</w:t>
      </w:r>
      <w:r>
        <w:rPr>
          <w:spacing w:val="-5"/>
        </w:rPr>
        <w:t> </w:t>
      </w:r>
      <w:r>
        <w:rPr/>
        <w:t>neurological</w:t>
      </w:r>
      <w:r>
        <w:rPr>
          <w:spacing w:val="-5"/>
        </w:rPr>
        <w:t> </w:t>
      </w:r>
      <w:r>
        <w:rPr/>
        <w:t>complications</w:t>
      </w:r>
      <w:r>
        <w:rPr>
          <w:spacing w:val="-5"/>
        </w:rPr>
        <w:t> </w:t>
      </w:r>
      <w:r>
        <w:rPr/>
        <w:t>of</w:t>
      </w:r>
      <w:r>
        <w:rPr>
          <w:spacing w:val="-5"/>
        </w:rPr>
        <w:t> </w:t>
      </w:r>
      <w:r>
        <w:rPr/>
        <w:t>HIV/AIDS,</w:t>
      </w:r>
      <w:r>
        <w:rPr>
          <w:spacing w:val="-5"/>
        </w:rPr>
        <w:t> </w:t>
      </w:r>
      <w:r>
        <w:rPr/>
        <w:t>as</w:t>
      </w:r>
      <w:r>
        <w:rPr>
          <w:spacing w:val="-5"/>
        </w:rPr>
        <w:t> </w:t>
      </w:r>
      <w:r>
        <w:rPr/>
        <w:t>well as</w:t>
      </w:r>
      <w:r>
        <w:rPr>
          <w:spacing w:val="-5"/>
        </w:rPr>
        <w:t> </w:t>
      </w:r>
      <w:r>
        <w:rPr/>
        <w:t>an</w:t>
      </w:r>
      <w:r>
        <w:rPr>
          <w:spacing w:val="-5"/>
        </w:rPr>
        <w:t> </w:t>
      </w:r>
      <w:r>
        <w:rPr/>
        <w:t>underlying</w:t>
      </w:r>
      <w:r>
        <w:rPr>
          <w:spacing w:val="-5"/>
        </w:rPr>
        <w:t> </w:t>
      </w:r>
      <w:r>
        <w:rPr/>
        <w:t>mental</w:t>
      </w:r>
      <w:r>
        <w:rPr>
          <w:spacing w:val="-5"/>
        </w:rPr>
        <w:t> </w:t>
      </w:r>
      <w:r>
        <w:rPr/>
        <w:t>health</w:t>
      </w:r>
      <w:r>
        <w:rPr>
          <w:spacing w:val="-5"/>
        </w:rPr>
        <w:t> </w:t>
      </w:r>
      <w:r>
        <w:rPr/>
        <w:t>disorder.</w:t>
      </w:r>
      <w:r>
        <w:rPr>
          <w:spacing w:val="-5"/>
        </w:rPr>
        <w:t> </w:t>
      </w:r>
      <w:r>
        <w:rPr/>
        <w:t>Mental</w:t>
      </w:r>
      <w:r>
        <w:rPr>
          <w:spacing w:val="-5"/>
        </w:rPr>
        <w:t> </w:t>
      </w:r>
      <w:r>
        <w:rPr/>
        <w:t>health</w:t>
      </w:r>
      <w:r>
        <w:rPr>
          <w:spacing w:val="-8"/>
        </w:rPr>
        <w:t> </w:t>
      </w:r>
      <w:r>
        <w:rPr/>
        <w:t>care</w:t>
      </w:r>
      <w:r>
        <w:rPr>
          <w:spacing w:val="-9"/>
        </w:rPr>
        <w:t> </w:t>
      </w:r>
      <w:r>
        <w:rPr/>
        <w:t>should</w:t>
      </w:r>
      <w:r>
        <w:rPr>
          <w:spacing w:val="-8"/>
        </w:rPr>
        <w:t> </w:t>
      </w:r>
      <w:r>
        <w:rPr/>
        <w:t>consist</w:t>
      </w:r>
      <w:r>
        <w:rPr>
          <w:spacing w:val="-8"/>
        </w:rPr>
        <w:t> </w:t>
      </w:r>
      <w:r>
        <w:rPr/>
        <w:t>of both a neuropsychiatric workup and full mental health status examinations. Service providers should be alert to and notify clients and psychiatrists that complications may arise from the use of prescription medication for mental health problems and interactions between drug residue in the body and medications for HIV/ AIDS and opportunistic infections.</w:t>
      </w:r>
    </w:p>
    <w:p>
      <w:pPr>
        <w:pStyle w:val="BodyText"/>
        <w:spacing w:before="8"/>
        <w:rPr>
          <w:sz w:val="27"/>
        </w:rPr>
      </w:pPr>
    </w:p>
    <w:p>
      <w:pPr>
        <w:pStyle w:val="Heading2"/>
        <w:ind w:left="400"/>
      </w:pPr>
      <w:r>
        <w:rPr>
          <w:spacing w:val="-2"/>
        </w:rPr>
        <w:t>Lipodystrophy</w:t>
      </w:r>
      <w:r>
        <w:rPr>
          <w:spacing w:val="7"/>
        </w:rPr>
        <w:t> </w:t>
      </w:r>
      <w:r>
        <w:rPr>
          <w:spacing w:val="-2"/>
        </w:rPr>
        <w:t>syndrome</w:t>
      </w:r>
    </w:p>
    <w:p>
      <w:pPr>
        <w:pStyle w:val="BodyText"/>
        <w:spacing w:before="10"/>
        <w:rPr>
          <w:b/>
          <w:sz w:val="27"/>
        </w:rPr>
      </w:pPr>
    </w:p>
    <w:p>
      <w:pPr>
        <w:pStyle w:val="BodyText"/>
        <w:spacing w:line="259" w:lineRule="auto"/>
        <w:ind w:left="400" w:right="668"/>
      </w:pPr>
      <w:r>
        <w:rPr/>
        <w:t>Lipodystrophy syndrome occurs in early end-stage</w:t>
      </w:r>
      <w:r>
        <w:rPr>
          <w:spacing w:val="-6"/>
        </w:rPr>
        <w:t> </w:t>
      </w:r>
      <w:r>
        <w:rPr/>
        <w:t>AIDS and produces altered</w:t>
      </w:r>
      <w:r>
        <w:rPr>
          <w:spacing w:val="-5"/>
        </w:rPr>
        <w:t> </w:t>
      </w:r>
      <w:r>
        <w:rPr/>
        <w:t>body</w:t>
      </w:r>
      <w:r>
        <w:rPr>
          <w:spacing w:val="-5"/>
        </w:rPr>
        <w:t> </w:t>
      </w:r>
      <w:r>
        <w:rPr/>
        <w:t>composition</w:t>
      </w:r>
      <w:r>
        <w:rPr>
          <w:spacing w:val="-10"/>
        </w:rPr>
        <w:t> </w:t>
      </w:r>
      <w:r>
        <w:rPr/>
        <w:t>and</w:t>
      </w:r>
      <w:r>
        <w:rPr>
          <w:spacing w:val="-10"/>
        </w:rPr>
        <w:t> </w:t>
      </w:r>
      <w:r>
        <w:rPr/>
        <w:t>various</w:t>
      </w:r>
      <w:r>
        <w:rPr>
          <w:spacing w:val="-10"/>
        </w:rPr>
        <w:t> </w:t>
      </w:r>
      <w:r>
        <w:rPr/>
        <w:t>hormonal</w:t>
      </w:r>
      <w:r>
        <w:rPr>
          <w:spacing w:val="-10"/>
        </w:rPr>
        <w:t> </w:t>
      </w:r>
      <w:r>
        <w:rPr/>
        <w:t>and</w:t>
      </w:r>
      <w:r>
        <w:rPr>
          <w:spacing w:val="-10"/>
        </w:rPr>
        <w:t> </w:t>
      </w:r>
      <w:r>
        <w:rPr/>
        <w:t>physiological</w:t>
      </w:r>
      <w:r>
        <w:rPr>
          <w:spacing w:val="-10"/>
        </w:rPr>
        <w:t> </w:t>
      </w:r>
      <w:r>
        <w:rPr/>
        <w:t>changes. The cause of the syndrome and its relationship with HIV and protease inhibitors are unknown. Because of the disfiguring nature of some symptoms, lipodystrophy can be particularly distressing for women.</w:t>
      </w:r>
    </w:p>
    <w:p>
      <w:pPr>
        <w:pStyle w:val="BodyText"/>
        <w:spacing w:line="277" w:lineRule="exact"/>
        <w:ind w:left="400"/>
      </w:pPr>
      <w:r>
        <w:rPr/>
        <w:t>Symptoms </w:t>
      </w:r>
      <w:r>
        <w:rPr>
          <w:spacing w:val="-2"/>
        </w:rPr>
        <w:t>include</w:t>
      </w:r>
    </w:p>
    <w:p>
      <w:pPr>
        <w:pStyle w:val="ListParagraph"/>
        <w:numPr>
          <w:ilvl w:val="0"/>
          <w:numId w:val="19"/>
        </w:numPr>
        <w:tabs>
          <w:tab w:pos="1217" w:val="left" w:leader="none"/>
        </w:tabs>
        <w:spacing w:line="312" w:lineRule="exact" w:before="0" w:after="0"/>
        <w:ind w:left="1217" w:right="0" w:hanging="457"/>
        <w:jc w:val="left"/>
        <w:rPr>
          <w:sz w:val="28"/>
        </w:rPr>
      </w:pPr>
      <w:r>
        <w:rPr>
          <w:sz w:val="28"/>
        </w:rPr>
        <w:t>Redistribution</w:t>
      </w:r>
      <w:r>
        <w:rPr>
          <w:spacing w:val="-4"/>
          <w:sz w:val="28"/>
        </w:rPr>
        <w:t> </w:t>
      </w:r>
      <w:r>
        <w:rPr>
          <w:sz w:val="28"/>
        </w:rPr>
        <w:t>of</w:t>
      </w:r>
      <w:r>
        <w:rPr>
          <w:spacing w:val="-2"/>
          <w:sz w:val="28"/>
        </w:rPr>
        <w:t> </w:t>
      </w:r>
      <w:r>
        <w:rPr>
          <w:sz w:val="28"/>
        </w:rPr>
        <w:t>body</w:t>
      </w:r>
      <w:r>
        <w:rPr>
          <w:spacing w:val="-2"/>
          <w:sz w:val="28"/>
        </w:rPr>
        <w:t> </w:t>
      </w:r>
      <w:r>
        <w:rPr>
          <w:spacing w:val="-5"/>
          <w:sz w:val="28"/>
        </w:rPr>
        <w:t>fat</w:t>
      </w:r>
    </w:p>
    <w:p>
      <w:pPr>
        <w:pStyle w:val="ListParagraph"/>
        <w:numPr>
          <w:ilvl w:val="0"/>
          <w:numId w:val="19"/>
        </w:numPr>
        <w:tabs>
          <w:tab w:pos="1217" w:val="left" w:leader="none"/>
        </w:tabs>
        <w:spacing w:line="353" w:lineRule="exact" w:before="0" w:after="0"/>
        <w:ind w:left="1217" w:right="0" w:hanging="457"/>
        <w:jc w:val="left"/>
        <w:rPr>
          <w:sz w:val="28"/>
        </w:rPr>
      </w:pPr>
      <w:r>
        <w:rPr>
          <w:sz w:val="28"/>
        </w:rPr>
        <w:t>Increase</w:t>
      </w:r>
      <w:r>
        <w:rPr>
          <w:spacing w:val="-8"/>
          <w:sz w:val="28"/>
        </w:rPr>
        <w:t> </w:t>
      </w:r>
      <w:r>
        <w:rPr>
          <w:sz w:val="28"/>
        </w:rPr>
        <w:t>in</w:t>
      </w:r>
      <w:r>
        <w:rPr>
          <w:spacing w:val="-3"/>
          <w:sz w:val="28"/>
        </w:rPr>
        <w:t> </w:t>
      </w:r>
      <w:r>
        <w:rPr>
          <w:sz w:val="28"/>
        </w:rPr>
        <w:t>waist</w:t>
      </w:r>
      <w:r>
        <w:rPr>
          <w:spacing w:val="-3"/>
          <w:sz w:val="28"/>
        </w:rPr>
        <w:t> </w:t>
      </w:r>
      <w:r>
        <w:rPr>
          <w:spacing w:val="-4"/>
          <w:sz w:val="28"/>
        </w:rPr>
        <w:t>size</w:t>
      </w:r>
    </w:p>
    <w:p>
      <w:pPr>
        <w:spacing w:after="0" w:line="353" w:lineRule="exact"/>
        <w:jc w:val="left"/>
        <w:rPr>
          <w:sz w:val="28"/>
        </w:rPr>
        <w:sectPr>
          <w:pgSz w:w="12240" w:h="15840"/>
          <w:pgMar w:header="0" w:footer="765" w:top="1260" w:bottom="980" w:left="1400" w:right="1180"/>
        </w:sectPr>
      </w:pPr>
    </w:p>
    <w:p>
      <w:pPr>
        <w:pStyle w:val="ListParagraph"/>
        <w:numPr>
          <w:ilvl w:val="0"/>
          <w:numId w:val="19"/>
        </w:numPr>
        <w:tabs>
          <w:tab w:pos="1217" w:val="left" w:leader="none"/>
        </w:tabs>
        <w:spacing w:line="352" w:lineRule="exact" w:before="16" w:after="0"/>
        <w:ind w:left="1217" w:right="0" w:hanging="457"/>
        <w:jc w:val="left"/>
        <w:rPr>
          <w:sz w:val="28"/>
        </w:rPr>
      </w:pPr>
      <w:r>
        <w:rPr>
          <w:sz w:val="28"/>
        </w:rPr>
        <w:t>Thinning</w:t>
      </w:r>
      <w:r>
        <w:rPr>
          <w:spacing w:val="-3"/>
          <w:sz w:val="28"/>
        </w:rPr>
        <w:t> </w:t>
      </w:r>
      <w:r>
        <w:rPr>
          <w:sz w:val="28"/>
        </w:rPr>
        <w:t>of</w:t>
      </w:r>
      <w:r>
        <w:rPr>
          <w:spacing w:val="-3"/>
          <w:sz w:val="28"/>
        </w:rPr>
        <w:t> </w:t>
      </w:r>
      <w:r>
        <w:rPr>
          <w:sz w:val="28"/>
        </w:rPr>
        <w:t>the</w:t>
      </w:r>
      <w:r>
        <w:rPr>
          <w:spacing w:val="-3"/>
          <w:sz w:val="28"/>
        </w:rPr>
        <w:t> </w:t>
      </w:r>
      <w:r>
        <w:rPr>
          <w:sz w:val="28"/>
        </w:rPr>
        <w:t>arms</w:t>
      </w:r>
      <w:r>
        <w:rPr>
          <w:spacing w:val="-3"/>
          <w:sz w:val="28"/>
        </w:rPr>
        <w:t> </w:t>
      </w:r>
      <w:r>
        <w:rPr>
          <w:sz w:val="28"/>
        </w:rPr>
        <w:t>and</w:t>
      </w:r>
      <w:r>
        <w:rPr>
          <w:spacing w:val="-2"/>
          <w:sz w:val="28"/>
        </w:rPr>
        <w:t> </w:t>
      </w:r>
      <w:r>
        <w:rPr>
          <w:spacing w:val="-4"/>
          <w:sz w:val="28"/>
        </w:rPr>
        <w:t>legs</w:t>
      </w:r>
    </w:p>
    <w:p>
      <w:pPr>
        <w:pStyle w:val="ListParagraph"/>
        <w:numPr>
          <w:ilvl w:val="0"/>
          <w:numId w:val="19"/>
        </w:numPr>
        <w:tabs>
          <w:tab w:pos="1217" w:val="left" w:leader="none"/>
        </w:tabs>
        <w:spacing w:line="302" w:lineRule="exact" w:before="0" w:after="0"/>
        <w:ind w:left="1217" w:right="0" w:hanging="457"/>
        <w:jc w:val="left"/>
        <w:rPr>
          <w:sz w:val="28"/>
        </w:rPr>
      </w:pPr>
      <w:r>
        <w:rPr>
          <w:sz w:val="28"/>
        </w:rPr>
        <w:t>Increased</w:t>
      </w:r>
      <w:r>
        <w:rPr>
          <w:spacing w:val="-9"/>
          <w:sz w:val="28"/>
        </w:rPr>
        <w:t> </w:t>
      </w:r>
      <w:r>
        <w:rPr>
          <w:sz w:val="28"/>
        </w:rPr>
        <w:t>facial</w:t>
      </w:r>
      <w:r>
        <w:rPr>
          <w:spacing w:val="-7"/>
          <w:sz w:val="28"/>
        </w:rPr>
        <w:t> </w:t>
      </w:r>
      <w:r>
        <w:rPr>
          <w:spacing w:val="-2"/>
          <w:sz w:val="28"/>
        </w:rPr>
        <w:t>wrinkling</w:t>
      </w:r>
    </w:p>
    <w:p>
      <w:pPr>
        <w:pStyle w:val="ListParagraph"/>
        <w:numPr>
          <w:ilvl w:val="0"/>
          <w:numId w:val="19"/>
        </w:numPr>
        <w:tabs>
          <w:tab w:pos="1217" w:val="left" w:leader="none"/>
        </w:tabs>
        <w:spacing w:line="300" w:lineRule="exact" w:before="0" w:after="0"/>
        <w:ind w:left="1217" w:right="0" w:hanging="457"/>
        <w:jc w:val="left"/>
        <w:rPr>
          <w:sz w:val="28"/>
        </w:rPr>
      </w:pPr>
      <w:r>
        <w:rPr>
          <w:spacing w:val="-2"/>
          <w:sz w:val="28"/>
        </w:rPr>
        <w:t>Weakness</w:t>
      </w:r>
      <w:r>
        <w:rPr>
          <w:spacing w:val="-10"/>
          <w:sz w:val="28"/>
        </w:rPr>
        <w:t> </w:t>
      </w:r>
      <w:r>
        <w:rPr>
          <w:spacing w:val="-2"/>
          <w:sz w:val="28"/>
        </w:rPr>
        <w:t>and</w:t>
      </w:r>
      <w:r>
        <w:rPr>
          <w:spacing w:val="-8"/>
          <w:sz w:val="28"/>
        </w:rPr>
        <w:t> </w:t>
      </w:r>
      <w:r>
        <w:rPr>
          <w:spacing w:val="-2"/>
          <w:sz w:val="28"/>
        </w:rPr>
        <w:t>muscle</w:t>
      </w:r>
      <w:r>
        <w:rPr>
          <w:spacing w:val="-9"/>
          <w:sz w:val="28"/>
        </w:rPr>
        <w:t> </w:t>
      </w:r>
      <w:r>
        <w:rPr>
          <w:spacing w:val="-2"/>
          <w:sz w:val="28"/>
        </w:rPr>
        <w:t>wasting</w:t>
      </w:r>
    </w:p>
    <w:p>
      <w:pPr>
        <w:pStyle w:val="ListParagraph"/>
        <w:numPr>
          <w:ilvl w:val="0"/>
          <w:numId w:val="19"/>
        </w:numPr>
        <w:tabs>
          <w:tab w:pos="1217" w:val="left" w:leader="none"/>
        </w:tabs>
        <w:spacing w:line="300" w:lineRule="exact" w:before="0" w:after="0"/>
        <w:ind w:left="1217" w:right="0" w:hanging="457"/>
        <w:jc w:val="left"/>
        <w:rPr>
          <w:sz w:val="28"/>
        </w:rPr>
      </w:pPr>
      <w:r>
        <w:rPr>
          <w:sz w:val="28"/>
        </w:rPr>
        <w:t>Gastrointestinal</w:t>
      </w:r>
      <w:r>
        <w:rPr>
          <w:spacing w:val="-9"/>
          <w:sz w:val="28"/>
        </w:rPr>
        <w:t> </w:t>
      </w:r>
      <w:r>
        <w:rPr>
          <w:spacing w:val="-2"/>
          <w:sz w:val="28"/>
        </w:rPr>
        <w:t>symptoms</w:t>
      </w:r>
    </w:p>
    <w:p>
      <w:pPr>
        <w:pStyle w:val="ListParagraph"/>
        <w:numPr>
          <w:ilvl w:val="0"/>
          <w:numId w:val="19"/>
        </w:numPr>
        <w:tabs>
          <w:tab w:pos="1217" w:val="left" w:leader="none"/>
        </w:tabs>
        <w:spacing w:line="300" w:lineRule="exact" w:before="0" w:after="0"/>
        <w:ind w:left="1217" w:right="0" w:hanging="457"/>
        <w:jc w:val="left"/>
        <w:rPr>
          <w:sz w:val="28"/>
        </w:rPr>
      </w:pPr>
      <w:r>
        <w:rPr>
          <w:sz w:val="28"/>
        </w:rPr>
        <w:t>Increased</w:t>
      </w:r>
      <w:r>
        <w:rPr>
          <w:spacing w:val="-8"/>
          <w:sz w:val="28"/>
        </w:rPr>
        <w:t> </w:t>
      </w:r>
      <w:r>
        <w:rPr>
          <w:sz w:val="28"/>
        </w:rPr>
        <w:t>triglycerides</w:t>
      </w:r>
      <w:r>
        <w:rPr>
          <w:spacing w:val="-8"/>
          <w:sz w:val="28"/>
        </w:rPr>
        <w:t> </w:t>
      </w:r>
      <w:r>
        <w:rPr>
          <w:sz w:val="28"/>
        </w:rPr>
        <w:t>and</w:t>
      </w:r>
      <w:r>
        <w:rPr>
          <w:spacing w:val="-6"/>
          <w:sz w:val="28"/>
        </w:rPr>
        <w:t> </w:t>
      </w:r>
      <w:r>
        <w:rPr>
          <w:spacing w:val="-2"/>
          <w:sz w:val="28"/>
        </w:rPr>
        <w:t>cholesterol</w:t>
      </w:r>
    </w:p>
    <w:p>
      <w:pPr>
        <w:pStyle w:val="ListParagraph"/>
        <w:numPr>
          <w:ilvl w:val="0"/>
          <w:numId w:val="19"/>
        </w:numPr>
        <w:tabs>
          <w:tab w:pos="1217" w:val="left" w:leader="none"/>
        </w:tabs>
        <w:spacing w:line="300" w:lineRule="exact" w:before="0" w:after="0"/>
        <w:ind w:left="1217" w:right="0" w:hanging="457"/>
        <w:jc w:val="left"/>
        <w:rPr>
          <w:sz w:val="28"/>
        </w:rPr>
      </w:pPr>
      <w:r>
        <w:rPr>
          <w:sz w:val="28"/>
        </w:rPr>
        <w:t>Decreased</w:t>
      </w:r>
      <w:r>
        <w:rPr>
          <w:spacing w:val="-9"/>
          <w:sz w:val="28"/>
        </w:rPr>
        <w:t> </w:t>
      </w:r>
      <w:r>
        <w:rPr>
          <w:sz w:val="28"/>
        </w:rPr>
        <w:t>testosterone</w:t>
      </w:r>
      <w:r>
        <w:rPr>
          <w:spacing w:val="-9"/>
          <w:sz w:val="28"/>
        </w:rPr>
        <w:t> </w:t>
      </w:r>
      <w:r>
        <w:rPr>
          <w:spacing w:val="-2"/>
          <w:sz w:val="28"/>
        </w:rPr>
        <w:t>levels</w:t>
      </w:r>
    </w:p>
    <w:p>
      <w:pPr>
        <w:pStyle w:val="ListParagraph"/>
        <w:numPr>
          <w:ilvl w:val="0"/>
          <w:numId w:val="19"/>
        </w:numPr>
        <w:tabs>
          <w:tab w:pos="1217" w:val="left" w:leader="none"/>
        </w:tabs>
        <w:spacing w:line="309" w:lineRule="exact" w:before="0" w:after="0"/>
        <w:ind w:left="1217" w:right="0" w:hanging="457"/>
        <w:jc w:val="left"/>
        <w:rPr>
          <w:sz w:val="28"/>
        </w:rPr>
      </w:pPr>
      <w:r>
        <w:rPr>
          <w:spacing w:val="-2"/>
          <w:sz w:val="28"/>
        </w:rPr>
        <w:t>Hypertension</w:t>
      </w:r>
    </w:p>
    <w:p>
      <w:pPr>
        <w:pStyle w:val="ListParagraph"/>
        <w:numPr>
          <w:ilvl w:val="0"/>
          <w:numId w:val="19"/>
        </w:numPr>
        <w:tabs>
          <w:tab w:pos="1217" w:val="left" w:leader="none"/>
        </w:tabs>
        <w:spacing w:line="358" w:lineRule="exact" w:before="0" w:after="0"/>
        <w:ind w:left="1217" w:right="0" w:hanging="457"/>
        <w:jc w:val="left"/>
        <w:rPr>
          <w:sz w:val="28"/>
        </w:rPr>
      </w:pPr>
      <w:r>
        <w:rPr>
          <w:spacing w:val="-2"/>
          <w:sz w:val="28"/>
        </w:rPr>
        <w:t>Diabetes</w:t>
      </w:r>
    </w:p>
    <w:p>
      <w:pPr>
        <w:pStyle w:val="BodyText"/>
        <w:rPr>
          <w:sz w:val="30"/>
        </w:rPr>
      </w:pPr>
    </w:p>
    <w:p>
      <w:pPr>
        <w:pStyle w:val="BodyText"/>
        <w:spacing w:before="6"/>
        <w:rPr>
          <w:sz w:val="31"/>
        </w:rPr>
      </w:pPr>
    </w:p>
    <w:p>
      <w:pPr>
        <w:pStyle w:val="Heading2"/>
        <w:ind w:left="400"/>
      </w:pPr>
      <w:r>
        <w:rPr/>
        <w:t>Disclosure</w:t>
      </w:r>
      <w:r>
        <w:rPr>
          <w:spacing w:val="-17"/>
        </w:rPr>
        <w:t> </w:t>
      </w:r>
      <w:r>
        <w:rPr>
          <w:spacing w:val="-2"/>
        </w:rPr>
        <w:t>Issues</w:t>
      </w:r>
    </w:p>
    <w:p>
      <w:pPr>
        <w:pStyle w:val="BodyText"/>
        <w:spacing w:before="11"/>
        <w:rPr>
          <w:b/>
          <w:sz w:val="27"/>
        </w:rPr>
      </w:pPr>
    </w:p>
    <w:p>
      <w:pPr>
        <w:pStyle w:val="BodyText"/>
        <w:spacing w:line="259" w:lineRule="auto"/>
        <w:ind w:left="400" w:right="697"/>
      </w:pPr>
      <w:r>
        <w:rPr/>
        <w:t>Disclosure issues are difficult for all HIV-infected clients. For substance- abusing clients, these issues take on additional challenges. For example, disclosure of positive HIV</w:t>
      </w:r>
      <w:r>
        <w:rPr>
          <w:spacing w:val="-6"/>
        </w:rPr>
        <w:t> </w:t>
      </w:r>
      <w:r>
        <w:rPr/>
        <w:t>status may lead to personal threats or harm to both client and family.</w:t>
      </w:r>
      <w:r>
        <w:rPr>
          <w:spacing w:val="-18"/>
        </w:rPr>
        <w:t> </w:t>
      </w:r>
      <w:r>
        <w:rPr/>
        <w:t>A</w:t>
      </w:r>
      <w:r>
        <w:rPr>
          <w:spacing w:val="-18"/>
        </w:rPr>
        <w:t> </w:t>
      </w:r>
      <w:r>
        <w:rPr/>
        <w:t>client's family may refuse to associate with him upon</w:t>
      </w:r>
      <w:r>
        <w:rPr>
          <w:spacing w:val="-2"/>
        </w:rPr>
        <w:t> </w:t>
      </w:r>
      <w:r>
        <w:rPr/>
        <w:t>learning</w:t>
      </w:r>
      <w:r>
        <w:rPr>
          <w:spacing w:val="-2"/>
        </w:rPr>
        <w:t> </w:t>
      </w:r>
      <w:r>
        <w:rPr/>
        <w:t>of</w:t>
      </w:r>
      <w:r>
        <w:rPr>
          <w:spacing w:val="-2"/>
        </w:rPr>
        <w:t> </w:t>
      </w:r>
      <w:r>
        <w:rPr/>
        <w:t>his</w:t>
      </w:r>
      <w:r>
        <w:rPr>
          <w:spacing w:val="-2"/>
        </w:rPr>
        <w:t> </w:t>
      </w:r>
      <w:r>
        <w:rPr/>
        <w:t>HIV/AIDS</w:t>
      </w:r>
      <w:r>
        <w:rPr>
          <w:spacing w:val="-2"/>
        </w:rPr>
        <w:t> </w:t>
      </w:r>
      <w:r>
        <w:rPr/>
        <w:t>status.</w:t>
      </w:r>
      <w:r>
        <w:rPr>
          <w:spacing w:val="-2"/>
        </w:rPr>
        <w:t> </w:t>
      </w:r>
      <w:r>
        <w:rPr/>
        <w:t>Particularly</w:t>
      </w:r>
      <w:r>
        <w:rPr>
          <w:spacing w:val="-2"/>
        </w:rPr>
        <w:t> </w:t>
      </w:r>
      <w:r>
        <w:rPr/>
        <w:t>for</w:t>
      </w:r>
      <w:r>
        <w:rPr>
          <w:spacing w:val="-2"/>
        </w:rPr>
        <w:t> </w:t>
      </w:r>
      <w:r>
        <w:rPr/>
        <w:t>clients</w:t>
      </w:r>
      <w:r>
        <w:rPr>
          <w:spacing w:val="-6"/>
        </w:rPr>
        <w:t> </w:t>
      </w:r>
      <w:r>
        <w:rPr/>
        <w:t>whose</w:t>
      </w:r>
      <w:r>
        <w:rPr>
          <w:spacing w:val="-7"/>
        </w:rPr>
        <w:t> </w:t>
      </w:r>
      <w:r>
        <w:rPr/>
        <w:t>culture reflects definition of self within a</w:t>
      </w:r>
      <w:r>
        <w:rPr>
          <w:spacing w:val="-1"/>
        </w:rPr>
        <w:t> </w:t>
      </w:r>
      <w:r>
        <w:rPr/>
        <w:t>community or self in relation to a clan (as opposed</w:t>
      </w:r>
      <w:r>
        <w:rPr>
          <w:spacing w:val="-4"/>
        </w:rPr>
        <w:t> </w:t>
      </w:r>
      <w:r>
        <w:rPr/>
        <w:t>to</w:t>
      </w:r>
      <w:r>
        <w:rPr>
          <w:spacing w:val="-4"/>
        </w:rPr>
        <w:t> </w:t>
      </w:r>
      <w:r>
        <w:rPr/>
        <w:t>individual</w:t>
      </w:r>
      <w:r>
        <w:rPr>
          <w:spacing w:val="-4"/>
        </w:rPr>
        <w:t> </w:t>
      </w:r>
      <w:r>
        <w:rPr/>
        <w:t>definition),</w:t>
      </w:r>
      <w:r>
        <w:rPr>
          <w:spacing w:val="-4"/>
        </w:rPr>
        <w:t> </w:t>
      </w:r>
      <w:r>
        <w:rPr/>
        <w:t>separation</w:t>
      </w:r>
      <w:r>
        <w:rPr>
          <w:spacing w:val="-4"/>
        </w:rPr>
        <w:t> </w:t>
      </w:r>
      <w:r>
        <w:rPr/>
        <w:t>from</w:t>
      </w:r>
      <w:r>
        <w:rPr>
          <w:spacing w:val="-4"/>
        </w:rPr>
        <w:t> </w:t>
      </w:r>
      <w:r>
        <w:rPr/>
        <w:t>community</w:t>
      </w:r>
      <w:r>
        <w:rPr>
          <w:spacing w:val="-4"/>
        </w:rPr>
        <w:t> </w:t>
      </w:r>
      <w:r>
        <w:rPr/>
        <w:t>can</w:t>
      </w:r>
      <w:r>
        <w:rPr>
          <w:spacing w:val="-4"/>
        </w:rPr>
        <w:t> </w:t>
      </w:r>
      <w:r>
        <w:rPr/>
        <w:t>serve</w:t>
      </w:r>
      <w:r>
        <w:rPr>
          <w:spacing w:val="-5"/>
        </w:rPr>
        <w:t> </w:t>
      </w:r>
      <w:r>
        <w:rPr/>
        <w:t>as</w:t>
      </w:r>
      <w:r>
        <w:rPr>
          <w:spacing w:val="-4"/>
        </w:rPr>
        <w:t> </w:t>
      </w:r>
      <w:r>
        <w:rPr/>
        <w:t>a trigger for lapse or relapse into risky substance use and sex-related behaviors. Therefore, providers must use caution when notifying clients of test results and should comply with regulations to ensure that a client's confidentiality is preserved.</w:t>
      </w:r>
    </w:p>
    <w:p>
      <w:pPr>
        <w:pStyle w:val="BodyText"/>
        <w:spacing w:before="6"/>
        <w:rPr>
          <w:sz w:val="27"/>
        </w:rPr>
      </w:pPr>
    </w:p>
    <w:p>
      <w:pPr>
        <w:pStyle w:val="BodyText"/>
        <w:spacing w:line="259" w:lineRule="auto"/>
        <w:ind w:left="400" w:right="668"/>
      </w:pPr>
      <w:r>
        <w:rPr/>
        <w:t>Also, during group therapy clients often feel an obligation to reveal their HIV</w:t>
      </w:r>
      <w:r>
        <w:rPr>
          <w:spacing w:val="-6"/>
        </w:rPr>
        <w:t> </w:t>
      </w:r>
      <w:r>
        <w:rPr/>
        <w:t>status to the</w:t>
      </w:r>
      <w:r>
        <w:rPr>
          <w:spacing w:val="-1"/>
        </w:rPr>
        <w:t> </w:t>
      </w:r>
      <w:r>
        <w:rPr/>
        <w:t>rest of the</w:t>
      </w:r>
      <w:r>
        <w:rPr>
          <w:spacing w:val="-1"/>
        </w:rPr>
        <w:t> </w:t>
      </w:r>
      <w:r>
        <w:rPr/>
        <w:t>group. Counselors should caution clients about the</w:t>
      </w:r>
      <w:r>
        <w:rPr>
          <w:spacing w:val="-2"/>
        </w:rPr>
        <w:t> </w:t>
      </w:r>
      <w:r>
        <w:rPr/>
        <w:t>impact</w:t>
      </w:r>
      <w:r>
        <w:rPr>
          <w:spacing w:val="-1"/>
        </w:rPr>
        <w:t> </w:t>
      </w:r>
      <w:r>
        <w:rPr/>
        <w:t>of</w:t>
      </w:r>
      <w:r>
        <w:rPr>
          <w:spacing w:val="-1"/>
        </w:rPr>
        <w:t> </w:t>
      </w:r>
      <w:r>
        <w:rPr/>
        <w:t>such</w:t>
      </w:r>
      <w:r>
        <w:rPr>
          <w:spacing w:val="-1"/>
        </w:rPr>
        <w:t> </w:t>
      </w:r>
      <w:r>
        <w:rPr/>
        <w:t>disclosure</w:t>
      </w:r>
      <w:r>
        <w:rPr>
          <w:spacing w:val="-2"/>
        </w:rPr>
        <w:t> </w:t>
      </w:r>
      <w:r>
        <w:rPr/>
        <w:t>and</w:t>
      </w:r>
      <w:r>
        <w:rPr>
          <w:spacing w:val="-1"/>
        </w:rPr>
        <w:t> </w:t>
      </w:r>
      <w:r>
        <w:rPr/>
        <w:t>consider</w:t>
      </w:r>
      <w:r>
        <w:rPr>
          <w:spacing w:val="-1"/>
        </w:rPr>
        <w:t> </w:t>
      </w:r>
      <w:r>
        <w:rPr/>
        <w:t>discouraging</w:t>
      </w:r>
      <w:r>
        <w:rPr>
          <w:spacing w:val="-1"/>
        </w:rPr>
        <w:t> </w:t>
      </w:r>
      <w:r>
        <w:rPr/>
        <w:t>them</w:t>
      </w:r>
      <w:r>
        <w:rPr>
          <w:spacing w:val="-1"/>
        </w:rPr>
        <w:t> </w:t>
      </w:r>
      <w:r>
        <w:rPr/>
        <w:t>from</w:t>
      </w:r>
      <w:r>
        <w:rPr>
          <w:spacing w:val="-1"/>
        </w:rPr>
        <w:t> </w:t>
      </w:r>
      <w:r>
        <w:rPr/>
        <w:t>making it.</w:t>
      </w:r>
      <w:r>
        <w:rPr>
          <w:spacing w:val="-3"/>
        </w:rPr>
        <w:t> </w:t>
      </w:r>
      <w:r>
        <w:rPr/>
        <w:t>Clients</w:t>
      </w:r>
      <w:r>
        <w:rPr>
          <w:spacing w:val="-3"/>
        </w:rPr>
        <w:t> </w:t>
      </w:r>
      <w:r>
        <w:rPr/>
        <w:t>who</w:t>
      </w:r>
      <w:r>
        <w:rPr>
          <w:spacing w:val="-3"/>
        </w:rPr>
        <w:t> </w:t>
      </w:r>
      <w:r>
        <w:rPr/>
        <w:t>wish</w:t>
      </w:r>
      <w:r>
        <w:rPr>
          <w:spacing w:val="-3"/>
        </w:rPr>
        <w:t> </w:t>
      </w:r>
      <w:r>
        <w:rPr/>
        <w:t>to</w:t>
      </w:r>
      <w:r>
        <w:rPr>
          <w:spacing w:val="-3"/>
        </w:rPr>
        <w:t> </w:t>
      </w:r>
      <w:r>
        <w:rPr/>
        <w:t>disclose</w:t>
      </w:r>
      <w:r>
        <w:rPr>
          <w:spacing w:val="-4"/>
        </w:rPr>
        <w:t> </w:t>
      </w:r>
      <w:r>
        <w:rPr/>
        <w:t>their</w:t>
      </w:r>
      <w:r>
        <w:rPr>
          <w:spacing w:val="-5"/>
        </w:rPr>
        <w:t> </w:t>
      </w:r>
      <w:r>
        <w:rPr/>
        <w:t>HIV</w:t>
      </w:r>
      <w:r>
        <w:rPr>
          <w:spacing w:val="-15"/>
        </w:rPr>
        <w:t> </w:t>
      </w:r>
      <w:r>
        <w:rPr/>
        <w:t>status</w:t>
      </w:r>
      <w:r>
        <w:rPr>
          <w:spacing w:val="-5"/>
        </w:rPr>
        <w:t> </w:t>
      </w:r>
      <w:r>
        <w:rPr/>
        <w:t>generally</w:t>
      </w:r>
      <w:r>
        <w:rPr>
          <w:spacing w:val="-5"/>
        </w:rPr>
        <w:t> </w:t>
      </w:r>
      <w:r>
        <w:rPr/>
        <w:t>do</w:t>
      </w:r>
      <w:r>
        <w:rPr>
          <w:spacing w:val="-5"/>
        </w:rPr>
        <w:t> </w:t>
      </w:r>
      <w:r>
        <w:rPr/>
        <w:t>so</w:t>
      </w:r>
      <w:r>
        <w:rPr>
          <w:spacing w:val="-5"/>
        </w:rPr>
        <w:t> </w:t>
      </w:r>
      <w:r>
        <w:rPr/>
        <w:t>in</w:t>
      </w:r>
      <w:r>
        <w:rPr>
          <w:spacing w:val="-5"/>
        </w:rPr>
        <w:t> </w:t>
      </w:r>
      <w:r>
        <w:rPr/>
        <w:t>response to treatment themes of honesty and openness and are not completely aware of the consequences. Of course, in treatment settings where all patients are HIV positive, there is no need for this concern.</w:t>
      </w:r>
    </w:p>
    <w:p>
      <w:pPr>
        <w:pStyle w:val="BodyText"/>
        <w:rPr>
          <w:sz w:val="20"/>
        </w:rPr>
      </w:pPr>
    </w:p>
    <w:p>
      <w:pPr>
        <w:pStyle w:val="BodyText"/>
        <w:rPr>
          <w:sz w:val="20"/>
        </w:rPr>
      </w:pPr>
    </w:p>
    <w:p>
      <w:pPr>
        <w:pStyle w:val="BodyText"/>
        <w:spacing w:before="3"/>
        <w:rPr>
          <w:sz w:val="13"/>
        </w:rPr>
      </w:pPr>
      <w:r>
        <w:rPr/>
        <mc:AlternateContent>
          <mc:Choice Requires="wps">
            <w:drawing>
              <wp:anchor distT="0" distB="0" distL="0" distR="0" allowOverlap="1" layoutInCell="1" locked="0" behindDoc="1" simplePos="0" relativeHeight="487674368">
                <wp:simplePos x="0" y="0"/>
                <wp:positionH relativeFrom="page">
                  <wp:posOffset>1143000</wp:posOffset>
                </wp:positionH>
                <wp:positionV relativeFrom="paragraph">
                  <wp:posOffset>112251</wp:posOffset>
                </wp:positionV>
                <wp:extent cx="5486400" cy="1270"/>
                <wp:effectExtent l="0" t="0" r="0" b="0"/>
                <wp:wrapTopAndBottom/>
                <wp:docPr id="340" name="Graphic 340"/>
                <wp:cNvGraphicFramePr>
                  <a:graphicFrameLocks/>
                </wp:cNvGraphicFramePr>
                <a:graphic>
                  <a:graphicData uri="http://schemas.microsoft.com/office/word/2010/wordprocessingShape">
                    <wps:wsp>
                      <wps:cNvPr id="340" name="Graphic 340"/>
                      <wps:cNvSpPr/>
                      <wps:spPr>
                        <a:xfrm>
                          <a:off x="0" y="0"/>
                          <a:ext cx="5486400" cy="1270"/>
                        </a:xfrm>
                        <a:custGeom>
                          <a:avLst/>
                          <a:gdLst/>
                          <a:ahLst/>
                          <a:cxnLst/>
                          <a:rect l="l" t="t" r="r" b="b"/>
                          <a:pathLst>
                            <a:path w="5486400" h="0">
                              <a:moveTo>
                                <a:pt x="0" y="0"/>
                              </a:moveTo>
                              <a:lnTo>
                                <a:pt x="54864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90pt;margin-top:8.838666pt;width:432pt;height:.1pt;mso-position-horizontal-relative:page;mso-position-vertical-relative:paragraph;z-index:-15642112;mso-wrap-distance-left:0;mso-wrap-distance-right:0" id="docshape339" coordorigin="1800,177" coordsize="8640,0" path="m1800,177l10440,177e" filled="false" stroked="true" strokeweight=".75pt" strokecolor="#999999">
                <v:path arrowok="t"/>
                <v:stroke dashstyle="shortdot"/>
                <w10:wrap type="topAndBottom"/>
              </v:shape>
            </w:pict>
          </mc:Fallback>
        </mc:AlternateContent>
      </w:r>
    </w:p>
    <w:p>
      <w:pPr>
        <w:pStyle w:val="Heading2"/>
        <w:ind w:left="400"/>
      </w:pPr>
      <w:r>
        <w:rPr/>
        <w:t>HIV/AIDS-Specific</w:t>
      </w:r>
      <w:r>
        <w:rPr>
          <w:spacing w:val="-10"/>
        </w:rPr>
        <w:t> </w:t>
      </w:r>
      <w:r>
        <w:rPr/>
        <w:t>Substance</w:t>
      </w:r>
      <w:r>
        <w:rPr>
          <w:spacing w:val="-33"/>
        </w:rPr>
        <w:t> </w:t>
      </w:r>
      <w:r>
        <w:rPr/>
        <w:t>Abuse</w:t>
      </w:r>
      <w:r>
        <w:rPr>
          <w:spacing w:val="-5"/>
        </w:rPr>
        <w:t> </w:t>
      </w:r>
      <w:r>
        <w:rPr/>
        <w:t>Counseling</w:t>
      </w:r>
      <w:r>
        <w:rPr>
          <w:spacing w:val="-4"/>
        </w:rPr>
        <w:t> </w:t>
      </w:r>
      <w:r>
        <w:rPr>
          <w:spacing w:val="-2"/>
        </w:rPr>
        <w:t>Issues</w:t>
      </w:r>
    </w:p>
    <w:p>
      <w:pPr>
        <w:pStyle w:val="BodyText"/>
        <w:spacing w:line="259" w:lineRule="auto" w:before="27"/>
        <w:ind w:left="400" w:right="502"/>
      </w:pPr>
      <w:r>
        <w:rPr/>
        <w:t>There</w:t>
      </w:r>
      <w:r>
        <w:rPr>
          <w:spacing w:val="-9"/>
        </w:rPr>
        <w:t> </w:t>
      </w:r>
      <w:r>
        <w:rPr/>
        <w:t>are</w:t>
      </w:r>
      <w:r>
        <w:rPr>
          <w:spacing w:val="-9"/>
        </w:rPr>
        <w:t> </w:t>
      </w:r>
      <w:r>
        <w:rPr/>
        <w:t>many</w:t>
      </w:r>
      <w:r>
        <w:rPr>
          <w:spacing w:val="-8"/>
        </w:rPr>
        <w:t> </w:t>
      </w:r>
      <w:r>
        <w:rPr/>
        <w:t>counseling</w:t>
      </w:r>
      <w:r>
        <w:rPr>
          <w:spacing w:val="-8"/>
        </w:rPr>
        <w:t> </w:t>
      </w:r>
      <w:r>
        <w:rPr/>
        <w:t>issues</w:t>
      </w:r>
      <w:r>
        <w:rPr>
          <w:spacing w:val="-8"/>
        </w:rPr>
        <w:t> </w:t>
      </w:r>
      <w:r>
        <w:rPr/>
        <w:t>specific</w:t>
      </w:r>
      <w:r>
        <w:rPr>
          <w:spacing w:val="-9"/>
        </w:rPr>
        <w:t> </w:t>
      </w:r>
      <w:r>
        <w:rPr/>
        <w:t>to</w:t>
      </w:r>
      <w:r>
        <w:rPr>
          <w:spacing w:val="-8"/>
        </w:rPr>
        <w:t> </w:t>
      </w:r>
      <w:r>
        <w:rPr/>
        <w:t>HIV/AIDS</w:t>
      </w:r>
      <w:r>
        <w:rPr>
          <w:spacing w:val="-8"/>
        </w:rPr>
        <w:t> </w:t>
      </w:r>
      <w:r>
        <w:rPr/>
        <w:t>that</w:t>
      </w:r>
      <w:r>
        <w:rPr>
          <w:spacing w:val="-8"/>
        </w:rPr>
        <w:t> </w:t>
      </w:r>
      <w:r>
        <w:rPr/>
        <w:t>providers</w:t>
      </w:r>
      <w:r>
        <w:rPr>
          <w:spacing w:val="-8"/>
        </w:rPr>
        <w:t> </w:t>
      </w:r>
      <w:r>
        <w:rPr/>
        <w:t>should be familiar with when treating HIV-infected, substance-abusing clients.</w:t>
      </w:r>
    </w:p>
    <w:p>
      <w:pPr>
        <w:pStyle w:val="BodyText"/>
        <w:spacing w:before="7"/>
      </w:pPr>
    </w:p>
    <w:p>
      <w:pPr>
        <w:pStyle w:val="Heading2"/>
        <w:spacing w:before="1"/>
        <w:ind w:left="400"/>
      </w:pPr>
      <w:r>
        <w:rPr/>
        <w:t>Cultural</w:t>
      </w:r>
      <w:r>
        <w:rPr>
          <w:spacing w:val="-8"/>
        </w:rPr>
        <w:t> </w:t>
      </w:r>
      <w:r>
        <w:rPr/>
        <w:t>Competency</w:t>
      </w:r>
      <w:r>
        <w:rPr>
          <w:spacing w:val="-6"/>
        </w:rPr>
        <w:t> </w:t>
      </w:r>
      <w:r>
        <w:rPr>
          <w:spacing w:val="-2"/>
        </w:rPr>
        <w:t>Issues</w:t>
      </w:r>
    </w:p>
    <w:p>
      <w:pPr>
        <w:pStyle w:val="BodyText"/>
        <w:spacing w:line="259" w:lineRule="auto" w:before="22"/>
        <w:ind w:left="400" w:right="499"/>
      </w:pPr>
      <w:r>
        <w:rPr/>
        <w:t>Culture is the integrated pattern of human behavior that includes thoughts, speech,</w:t>
      </w:r>
      <w:r>
        <w:rPr>
          <w:spacing w:val="-4"/>
        </w:rPr>
        <w:t> </w:t>
      </w:r>
      <w:r>
        <w:rPr/>
        <w:t>actions,</w:t>
      </w:r>
      <w:r>
        <w:rPr>
          <w:spacing w:val="-4"/>
        </w:rPr>
        <w:t> </w:t>
      </w:r>
      <w:r>
        <w:rPr/>
        <w:t>and</w:t>
      </w:r>
      <w:r>
        <w:rPr>
          <w:spacing w:val="-4"/>
        </w:rPr>
        <w:t> </w:t>
      </w:r>
      <w:r>
        <w:rPr/>
        <w:t>artifacts.</w:t>
      </w:r>
      <w:r>
        <w:rPr>
          <w:spacing w:val="-4"/>
        </w:rPr>
        <w:t> </w:t>
      </w:r>
      <w:r>
        <w:rPr/>
        <w:t>Culture</w:t>
      </w:r>
      <w:r>
        <w:rPr>
          <w:spacing w:val="-5"/>
        </w:rPr>
        <w:t> </w:t>
      </w:r>
      <w:r>
        <w:rPr/>
        <w:t>depends</w:t>
      </w:r>
      <w:r>
        <w:rPr>
          <w:spacing w:val="-4"/>
        </w:rPr>
        <w:t> </w:t>
      </w:r>
      <w:r>
        <w:rPr/>
        <w:t>on</w:t>
      </w:r>
      <w:r>
        <w:rPr>
          <w:spacing w:val="-4"/>
        </w:rPr>
        <w:t> </w:t>
      </w:r>
      <w:r>
        <w:rPr/>
        <w:t>the</w:t>
      </w:r>
      <w:r>
        <w:rPr>
          <w:spacing w:val="-5"/>
        </w:rPr>
        <w:t> </w:t>
      </w:r>
      <w:r>
        <w:rPr/>
        <w:t>capacity</w:t>
      </w:r>
      <w:r>
        <w:rPr>
          <w:spacing w:val="-4"/>
        </w:rPr>
        <w:t> </w:t>
      </w:r>
      <w:r>
        <w:rPr/>
        <w:t>of</w:t>
      </w:r>
      <w:r>
        <w:rPr>
          <w:spacing w:val="-4"/>
        </w:rPr>
        <w:t> </w:t>
      </w:r>
      <w:r>
        <w:rPr/>
        <w:t>humans</w:t>
      </w:r>
      <w:r>
        <w:rPr>
          <w:spacing w:val="-4"/>
        </w:rPr>
        <w:t> </w:t>
      </w:r>
      <w:r>
        <w:rPr/>
        <w:t>for</w:t>
      </w:r>
    </w:p>
    <w:p>
      <w:pPr>
        <w:spacing w:after="0" w:line="259" w:lineRule="auto"/>
        <w:sectPr>
          <w:pgSz w:w="12240" w:h="15840"/>
          <w:pgMar w:header="0" w:footer="765" w:top="1300" w:bottom="960" w:left="1400" w:right="1180"/>
        </w:sectPr>
      </w:pPr>
    </w:p>
    <w:p>
      <w:pPr>
        <w:pStyle w:val="BodyText"/>
        <w:spacing w:line="259" w:lineRule="auto" w:before="66"/>
        <w:ind w:left="400" w:right="502"/>
      </w:pPr>
      <w:r>
        <w:rPr/>
        <w:t>learning</w:t>
      </w:r>
      <w:r>
        <w:rPr>
          <w:spacing w:val="-5"/>
        </w:rPr>
        <w:t> </w:t>
      </w:r>
      <w:r>
        <w:rPr/>
        <w:t>and</w:t>
      </w:r>
      <w:r>
        <w:rPr>
          <w:spacing w:val="-5"/>
        </w:rPr>
        <w:t> </w:t>
      </w:r>
      <w:r>
        <w:rPr/>
        <w:t>transmitting</w:t>
      </w:r>
      <w:r>
        <w:rPr>
          <w:spacing w:val="-5"/>
        </w:rPr>
        <w:t> </w:t>
      </w:r>
      <w:r>
        <w:rPr/>
        <w:t>knowledge</w:t>
      </w:r>
      <w:r>
        <w:rPr>
          <w:spacing w:val="-6"/>
        </w:rPr>
        <w:t> </w:t>
      </w:r>
      <w:r>
        <w:rPr/>
        <w:t>to</w:t>
      </w:r>
      <w:r>
        <w:rPr>
          <w:spacing w:val="-5"/>
        </w:rPr>
        <w:t> </w:t>
      </w:r>
      <w:r>
        <w:rPr/>
        <w:t>succeeding</w:t>
      </w:r>
      <w:r>
        <w:rPr>
          <w:spacing w:val="-5"/>
        </w:rPr>
        <w:t> </w:t>
      </w:r>
      <w:r>
        <w:rPr/>
        <w:t>generations.</w:t>
      </w:r>
      <w:r>
        <w:rPr>
          <w:spacing w:val="-5"/>
        </w:rPr>
        <w:t> </w:t>
      </w:r>
      <w:r>
        <w:rPr/>
        <w:t>It</w:t>
      </w:r>
      <w:r>
        <w:rPr>
          <w:spacing w:val="-5"/>
        </w:rPr>
        <w:t> </w:t>
      </w:r>
      <w:r>
        <w:rPr/>
        <w:t>takes</w:t>
      </w:r>
      <w:r>
        <w:rPr>
          <w:spacing w:val="-5"/>
        </w:rPr>
        <w:t> </w:t>
      </w:r>
      <w:r>
        <w:rPr/>
        <w:t>into account the customs, beliefs, social norms, and material traits of a racial, religious, or social group.</w:t>
      </w:r>
      <w:r>
        <w:rPr>
          <w:spacing w:val="-2"/>
        </w:rPr>
        <w:t> </w:t>
      </w:r>
      <w:r>
        <w:rPr/>
        <w:t>With this type of definition, it is easy to see that there</w:t>
      </w:r>
      <w:r>
        <w:rPr>
          <w:spacing w:val="-6"/>
        </w:rPr>
        <w:t> </w:t>
      </w:r>
      <w:r>
        <w:rPr/>
        <w:t>is</w:t>
      </w:r>
      <w:r>
        <w:rPr>
          <w:spacing w:val="-5"/>
        </w:rPr>
        <w:t> </w:t>
      </w:r>
      <w:r>
        <w:rPr/>
        <w:t>indeed</w:t>
      </w:r>
      <w:r>
        <w:rPr>
          <w:spacing w:val="-5"/>
        </w:rPr>
        <w:t> </w:t>
      </w:r>
      <w:r>
        <w:rPr/>
        <w:t>a</w:t>
      </w:r>
      <w:r>
        <w:rPr>
          <w:spacing w:val="-6"/>
        </w:rPr>
        <w:t> </w:t>
      </w:r>
      <w:r>
        <w:rPr/>
        <w:t>culture</w:t>
      </w:r>
      <w:r>
        <w:rPr>
          <w:spacing w:val="-6"/>
        </w:rPr>
        <w:t> </w:t>
      </w:r>
      <w:r>
        <w:rPr/>
        <w:t>of</w:t>
      </w:r>
      <w:r>
        <w:rPr>
          <w:spacing w:val="-5"/>
        </w:rPr>
        <w:t> </w:t>
      </w:r>
      <w:r>
        <w:rPr/>
        <w:t>addiction,</w:t>
      </w:r>
      <w:r>
        <w:rPr>
          <w:spacing w:val="-5"/>
        </w:rPr>
        <w:t> </w:t>
      </w:r>
      <w:r>
        <w:rPr/>
        <w:t>a</w:t>
      </w:r>
      <w:r>
        <w:rPr>
          <w:spacing w:val="-6"/>
        </w:rPr>
        <w:t> </w:t>
      </w:r>
      <w:r>
        <w:rPr/>
        <w:t>culture</w:t>
      </w:r>
      <w:r>
        <w:rPr>
          <w:spacing w:val="-6"/>
        </w:rPr>
        <w:t> </w:t>
      </w:r>
      <w:r>
        <w:rPr/>
        <w:t>of</w:t>
      </w:r>
      <w:r>
        <w:rPr>
          <w:spacing w:val="-2"/>
        </w:rPr>
        <w:t> </w:t>
      </w:r>
      <w:r>
        <w:rPr/>
        <w:t>poverty,</w:t>
      </w:r>
      <w:r>
        <w:rPr>
          <w:spacing w:val="-3"/>
        </w:rPr>
        <w:t> </w:t>
      </w:r>
      <w:r>
        <w:rPr/>
        <w:t>a</w:t>
      </w:r>
      <w:r>
        <w:rPr>
          <w:spacing w:val="-3"/>
        </w:rPr>
        <w:t> </w:t>
      </w:r>
      <w:r>
        <w:rPr/>
        <w:t>gay</w:t>
      </w:r>
      <w:r>
        <w:rPr>
          <w:spacing w:val="-2"/>
        </w:rPr>
        <w:t> </w:t>
      </w:r>
      <w:r>
        <w:rPr/>
        <w:t>culture,</w:t>
      </w:r>
      <w:r>
        <w:rPr>
          <w:spacing w:val="-3"/>
        </w:rPr>
        <w:t> </w:t>
      </w:r>
      <w:r>
        <w:rPr/>
        <w:t>and even a recovery culture.</w:t>
      </w:r>
    </w:p>
    <w:p>
      <w:pPr>
        <w:pStyle w:val="BodyText"/>
        <w:spacing w:line="259" w:lineRule="auto" w:before="72"/>
        <w:ind w:left="400" w:right="502"/>
      </w:pPr>
      <w:r>
        <w:rPr/>
        <w:t>Cross and colleagues present a comprehensive discussion of culturally competent</w:t>
      </w:r>
      <w:r>
        <w:rPr>
          <w:spacing w:val="-10"/>
        </w:rPr>
        <w:t> </w:t>
      </w:r>
      <w:r>
        <w:rPr/>
        <w:t>systems</w:t>
      </w:r>
      <w:r>
        <w:rPr>
          <w:spacing w:val="-5"/>
        </w:rPr>
        <w:t> </w:t>
      </w:r>
      <w:r>
        <w:rPr/>
        <w:t>of</w:t>
      </w:r>
      <w:r>
        <w:rPr>
          <w:spacing w:val="-5"/>
        </w:rPr>
        <w:t> </w:t>
      </w:r>
      <w:r>
        <w:rPr/>
        <w:t>care.</w:t>
      </w:r>
      <w:r>
        <w:rPr>
          <w:spacing w:val="-5"/>
        </w:rPr>
        <w:t> </w:t>
      </w:r>
      <w:r>
        <w:rPr/>
        <w:t>Five</w:t>
      </w:r>
      <w:r>
        <w:rPr>
          <w:spacing w:val="-5"/>
        </w:rPr>
        <w:t> </w:t>
      </w:r>
      <w:r>
        <w:rPr/>
        <w:t>essential</w:t>
      </w:r>
      <w:r>
        <w:rPr>
          <w:spacing w:val="-5"/>
        </w:rPr>
        <w:t> </w:t>
      </w:r>
      <w:r>
        <w:rPr/>
        <w:t>elements</w:t>
      </w:r>
      <w:r>
        <w:rPr>
          <w:spacing w:val="-5"/>
        </w:rPr>
        <w:t> </w:t>
      </w:r>
      <w:r>
        <w:rPr/>
        <w:t>contribute</w:t>
      </w:r>
      <w:r>
        <w:rPr>
          <w:spacing w:val="-5"/>
        </w:rPr>
        <w:t> </w:t>
      </w:r>
      <w:r>
        <w:rPr/>
        <w:t>to</w:t>
      </w:r>
      <w:r>
        <w:rPr>
          <w:spacing w:val="-5"/>
        </w:rPr>
        <w:t> </w:t>
      </w:r>
      <w:r>
        <w:rPr/>
        <w:t>cultural competence </w:t>
      </w:r>
      <w:r>
        <w:rPr>
          <w:i/>
        </w:rPr>
        <w:t>(Cross)</w:t>
      </w:r>
      <w:r>
        <w:rPr/>
        <w:t>, which can briefly be described as follows:</w:t>
      </w:r>
    </w:p>
    <w:p>
      <w:pPr>
        <w:pStyle w:val="ListParagraph"/>
        <w:numPr>
          <w:ilvl w:val="0"/>
          <w:numId w:val="19"/>
        </w:numPr>
        <w:tabs>
          <w:tab w:pos="1216" w:val="left" w:leader="none"/>
          <w:tab w:pos="1318" w:val="left" w:leader="none"/>
        </w:tabs>
        <w:spacing w:line="256" w:lineRule="auto" w:before="268" w:after="0"/>
        <w:ind w:left="1318" w:right="680" w:hanging="559"/>
        <w:jc w:val="left"/>
        <w:rPr>
          <w:sz w:val="28"/>
        </w:rPr>
      </w:pPr>
      <w:r>
        <w:rPr>
          <w:b/>
          <w:sz w:val="28"/>
        </w:rPr>
        <w:t>Valuing diversity. </w:t>
      </w:r>
      <w:r>
        <w:rPr>
          <w:sz w:val="28"/>
        </w:rPr>
        <w:t>Counselors value diversity when they accept that the people they serve come from very different backgrounds and may make different choices based on culture.</w:t>
      </w:r>
      <w:r>
        <w:rPr>
          <w:spacing w:val="-10"/>
          <w:sz w:val="28"/>
        </w:rPr>
        <w:t> </w:t>
      </w:r>
      <w:r>
        <w:rPr>
          <w:sz w:val="28"/>
        </w:rPr>
        <w:t>Although all people share common basic needs, there are vast differences in how people go about meeting those needs.</w:t>
      </w:r>
      <w:r>
        <w:rPr>
          <w:spacing w:val="-15"/>
          <w:sz w:val="28"/>
        </w:rPr>
        <w:t> </w:t>
      </w:r>
      <w:r>
        <w:rPr>
          <w:sz w:val="28"/>
        </w:rPr>
        <w:t>Accepting the fact that each culture finds</w:t>
      </w:r>
      <w:r>
        <w:rPr>
          <w:spacing w:val="-4"/>
          <w:sz w:val="28"/>
        </w:rPr>
        <w:t> </w:t>
      </w:r>
      <w:r>
        <w:rPr>
          <w:sz w:val="28"/>
        </w:rPr>
        <w:t>some</w:t>
      </w:r>
      <w:r>
        <w:rPr>
          <w:spacing w:val="-5"/>
          <w:sz w:val="28"/>
        </w:rPr>
        <w:t> </w:t>
      </w:r>
      <w:r>
        <w:rPr>
          <w:sz w:val="28"/>
        </w:rPr>
        <w:t>behaviors,</w:t>
      </w:r>
      <w:r>
        <w:rPr>
          <w:spacing w:val="-4"/>
          <w:sz w:val="28"/>
        </w:rPr>
        <w:t> </w:t>
      </w:r>
      <w:r>
        <w:rPr>
          <w:sz w:val="28"/>
        </w:rPr>
        <w:t>actions,</w:t>
      </w:r>
      <w:r>
        <w:rPr>
          <w:spacing w:val="-4"/>
          <w:sz w:val="28"/>
        </w:rPr>
        <w:t> </w:t>
      </w:r>
      <w:r>
        <w:rPr>
          <w:sz w:val="28"/>
        </w:rPr>
        <w:t>or</w:t>
      </w:r>
      <w:r>
        <w:rPr>
          <w:spacing w:val="-4"/>
          <w:sz w:val="28"/>
        </w:rPr>
        <w:t> </w:t>
      </w:r>
      <w:r>
        <w:rPr>
          <w:sz w:val="28"/>
        </w:rPr>
        <w:t>values</w:t>
      </w:r>
      <w:r>
        <w:rPr>
          <w:spacing w:val="-4"/>
          <w:sz w:val="28"/>
        </w:rPr>
        <w:t> </w:t>
      </w:r>
      <w:r>
        <w:rPr>
          <w:sz w:val="28"/>
        </w:rPr>
        <w:t>more</w:t>
      </w:r>
      <w:r>
        <w:rPr>
          <w:spacing w:val="-5"/>
          <w:sz w:val="28"/>
        </w:rPr>
        <w:t> </w:t>
      </w:r>
      <w:r>
        <w:rPr>
          <w:sz w:val="28"/>
        </w:rPr>
        <w:t>important</w:t>
      </w:r>
      <w:r>
        <w:rPr>
          <w:spacing w:val="-4"/>
          <w:sz w:val="28"/>
        </w:rPr>
        <w:t> </w:t>
      </w:r>
      <w:r>
        <w:rPr>
          <w:sz w:val="28"/>
        </w:rPr>
        <w:t>or</w:t>
      </w:r>
      <w:r>
        <w:rPr>
          <w:spacing w:val="-4"/>
          <w:sz w:val="28"/>
        </w:rPr>
        <w:t> </w:t>
      </w:r>
      <w:r>
        <w:rPr>
          <w:sz w:val="28"/>
        </w:rPr>
        <w:t>desirable than others helps workers interact more successfully with different </w:t>
      </w:r>
      <w:r>
        <w:rPr>
          <w:spacing w:val="-2"/>
          <w:sz w:val="28"/>
        </w:rPr>
        <w:t>people.</w:t>
      </w:r>
    </w:p>
    <w:p>
      <w:pPr>
        <w:pStyle w:val="ListParagraph"/>
        <w:numPr>
          <w:ilvl w:val="0"/>
          <w:numId w:val="19"/>
        </w:numPr>
        <w:tabs>
          <w:tab w:pos="1217" w:val="left" w:leader="none"/>
        </w:tabs>
        <w:spacing w:line="336" w:lineRule="exact" w:before="0" w:after="0"/>
        <w:ind w:left="1217" w:right="0" w:hanging="457"/>
        <w:jc w:val="left"/>
        <w:rPr>
          <w:sz w:val="28"/>
        </w:rPr>
      </w:pPr>
      <w:r>
        <w:rPr>
          <w:b/>
          <w:sz w:val="28"/>
        </w:rPr>
        <w:t>Cultural</w:t>
      </w:r>
      <w:r>
        <w:rPr>
          <w:b/>
          <w:spacing w:val="-6"/>
          <w:sz w:val="28"/>
        </w:rPr>
        <w:t> </w:t>
      </w:r>
      <w:r>
        <w:rPr>
          <w:b/>
          <w:sz w:val="28"/>
        </w:rPr>
        <w:t>self-assessment.</w:t>
      </w:r>
      <w:r>
        <w:rPr>
          <w:b/>
          <w:spacing w:val="-4"/>
          <w:sz w:val="28"/>
        </w:rPr>
        <w:t> </w:t>
      </w:r>
      <w:r>
        <w:rPr>
          <w:sz w:val="28"/>
        </w:rPr>
        <w:t>When</w:t>
      </w:r>
      <w:r>
        <w:rPr>
          <w:spacing w:val="-4"/>
          <w:sz w:val="28"/>
        </w:rPr>
        <w:t> </w:t>
      </w:r>
      <w:r>
        <w:rPr>
          <w:sz w:val="28"/>
        </w:rPr>
        <w:t>counselors</w:t>
      </w:r>
      <w:r>
        <w:rPr>
          <w:spacing w:val="-4"/>
          <w:sz w:val="28"/>
        </w:rPr>
        <w:t> </w:t>
      </w:r>
      <w:r>
        <w:rPr>
          <w:sz w:val="28"/>
        </w:rPr>
        <w:t>understand</w:t>
      </w:r>
      <w:r>
        <w:rPr>
          <w:spacing w:val="-4"/>
          <w:sz w:val="28"/>
        </w:rPr>
        <w:t> </w:t>
      </w:r>
      <w:r>
        <w:rPr>
          <w:spacing w:val="-5"/>
          <w:sz w:val="28"/>
        </w:rPr>
        <w:t>how</w:t>
      </w:r>
    </w:p>
    <w:p>
      <w:pPr>
        <w:pStyle w:val="BodyText"/>
        <w:spacing w:line="259" w:lineRule="auto" w:before="8"/>
        <w:ind w:left="1318" w:right="925"/>
      </w:pPr>
      <w:r>
        <w:rPr/>
        <w:t>systems of care are shaped by dominant cultures, it may be easier for</w:t>
      </w:r>
      <w:r>
        <w:rPr>
          <w:spacing w:val="-9"/>
        </w:rPr>
        <w:t> </w:t>
      </w:r>
      <w:r>
        <w:rPr/>
        <w:t>them</w:t>
      </w:r>
      <w:r>
        <w:rPr>
          <w:spacing w:val="-9"/>
        </w:rPr>
        <w:t> </w:t>
      </w:r>
      <w:r>
        <w:rPr/>
        <w:t>to</w:t>
      </w:r>
      <w:r>
        <w:rPr>
          <w:spacing w:val="-9"/>
        </w:rPr>
        <w:t> </w:t>
      </w:r>
      <w:r>
        <w:rPr/>
        <w:t>assess</w:t>
      </w:r>
      <w:r>
        <w:rPr>
          <w:spacing w:val="-9"/>
        </w:rPr>
        <w:t> </w:t>
      </w:r>
      <w:r>
        <w:rPr/>
        <w:t>how</w:t>
      </w:r>
      <w:r>
        <w:rPr>
          <w:spacing w:val="-9"/>
        </w:rPr>
        <w:t> </w:t>
      </w:r>
      <w:r>
        <w:rPr/>
        <w:t>these</w:t>
      </w:r>
      <w:r>
        <w:rPr>
          <w:spacing w:val="-10"/>
        </w:rPr>
        <w:t> </w:t>
      </w:r>
      <w:r>
        <w:rPr/>
        <w:t>systems</w:t>
      </w:r>
      <w:r>
        <w:rPr>
          <w:spacing w:val="-9"/>
        </w:rPr>
        <w:t> </w:t>
      </w:r>
      <w:r>
        <w:rPr/>
        <w:t>interface</w:t>
      </w:r>
      <w:r>
        <w:rPr>
          <w:spacing w:val="-10"/>
        </w:rPr>
        <w:t> </w:t>
      </w:r>
      <w:r>
        <w:rPr/>
        <w:t>with</w:t>
      </w:r>
      <w:r>
        <w:rPr>
          <w:spacing w:val="-9"/>
        </w:rPr>
        <w:t> </w:t>
      </w:r>
      <w:r>
        <w:rPr/>
        <w:t>other</w:t>
      </w:r>
      <w:r>
        <w:rPr>
          <w:spacing w:val="-9"/>
        </w:rPr>
        <w:t> </w:t>
      </w:r>
      <w:r>
        <w:rPr/>
        <w:t>cultures. Care providers can then choose actions that minimize cross- cultural barriers.</w:t>
      </w:r>
    </w:p>
    <w:p>
      <w:pPr>
        <w:pStyle w:val="ListParagraph"/>
        <w:numPr>
          <w:ilvl w:val="0"/>
          <w:numId w:val="19"/>
        </w:numPr>
        <w:tabs>
          <w:tab w:pos="1217" w:val="left" w:leader="none"/>
        </w:tabs>
        <w:spacing w:line="336" w:lineRule="exact" w:before="0" w:after="0"/>
        <w:ind w:left="1217" w:right="0" w:hanging="457"/>
        <w:jc w:val="left"/>
        <w:rPr>
          <w:sz w:val="28"/>
        </w:rPr>
      </w:pPr>
      <w:r>
        <w:rPr>
          <w:b/>
          <w:sz w:val="28"/>
        </w:rPr>
        <w:t>Dynamics</w:t>
      </w:r>
      <w:r>
        <w:rPr>
          <w:b/>
          <w:spacing w:val="-5"/>
          <w:sz w:val="28"/>
        </w:rPr>
        <w:t> </w:t>
      </w:r>
      <w:r>
        <w:rPr>
          <w:b/>
          <w:sz w:val="28"/>
        </w:rPr>
        <w:t>of</w:t>
      </w:r>
      <w:r>
        <w:rPr>
          <w:b/>
          <w:spacing w:val="-4"/>
          <w:sz w:val="28"/>
        </w:rPr>
        <w:t> </w:t>
      </w:r>
      <w:r>
        <w:rPr>
          <w:b/>
          <w:sz w:val="28"/>
        </w:rPr>
        <w:t>difference.</w:t>
      </w:r>
      <w:r>
        <w:rPr>
          <w:b/>
          <w:spacing w:val="-3"/>
          <w:sz w:val="28"/>
        </w:rPr>
        <w:t> </w:t>
      </w:r>
      <w:r>
        <w:rPr>
          <w:sz w:val="28"/>
        </w:rPr>
        <w:t>When</w:t>
      </w:r>
      <w:r>
        <w:rPr>
          <w:spacing w:val="-3"/>
          <w:sz w:val="28"/>
        </w:rPr>
        <w:t> </w:t>
      </w:r>
      <w:r>
        <w:rPr>
          <w:sz w:val="28"/>
        </w:rPr>
        <w:t>cultural</w:t>
      </w:r>
      <w:r>
        <w:rPr>
          <w:spacing w:val="-3"/>
          <w:sz w:val="28"/>
        </w:rPr>
        <w:t> </w:t>
      </w:r>
      <w:r>
        <w:rPr>
          <w:sz w:val="28"/>
        </w:rPr>
        <w:t>systems</w:t>
      </w:r>
      <w:r>
        <w:rPr>
          <w:spacing w:val="-3"/>
          <w:sz w:val="28"/>
        </w:rPr>
        <w:t> </w:t>
      </w:r>
      <w:r>
        <w:rPr>
          <w:sz w:val="28"/>
        </w:rPr>
        <w:t>interact,</w:t>
      </w:r>
      <w:r>
        <w:rPr>
          <w:spacing w:val="-3"/>
          <w:sz w:val="28"/>
        </w:rPr>
        <w:t> </w:t>
      </w:r>
      <w:r>
        <w:rPr>
          <w:spacing w:val="-4"/>
          <w:sz w:val="28"/>
        </w:rPr>
        <w:t>both</w:t>
      </w:r>
    </w:p>
    <w:p>
      <w:pPr>
        <w:pStyle w:val="BodyText"/>
        <w:spacing w:line="259" w:lineRule="auto" w:before="7"/>
        <w:ind w:left="1318" w:right="668"/>
      </w:pPr>
      <w:r>
        <w:rPr/>
        <w:t>representatives (e.g., care provider and client) may misjudge the other's actions based on history and learned expectations. Both will bring dynamics of difference--culturally prescribed patterns of communication, etiquette, and problem-solving, as well as underlying feelings about serving or being served by someone who is different. Incorporating an understanding of these dynamics and their</w:t>
      </w:r>
      <w:r>
        <w:rPr>
          <w:spacing w:val="-4"/>
        </w:rPr>
        <w:t> </w:t>
      </w:r>
      <w:r>
        <w:rPr/>
        <w:t>origins</w:t>
      </w:r>
      <w:r>
        <w:rPr>
          <w:spacing w:val="-4"/>
        </w:rPr>
        <w:t> </w:t>
      </w:r>
      <w:r>
        <w:rPr/>
        <w:t>into</w:t>
      </w:r>
      <w:r>
        <w:rPr>
          <w:spacing w:val="-4"/>
        </w:rPr>
        <w:t> </w:t>
      </w:r>
      <w:r>
        <w:rPr/>
        <w:t>the</w:t>
      </w:r>
      <w:r>
        <w:rPr>
          <w:spacing w:val="-5"/>
        </w:rPr>
        <w:t> </w:t>
      </w:r>
      <w:r>
        <w:rPr/>
        <w:t>system</w:t>
      </w:r>
      <w:r>
        <w:rPr>
          <w:spacing w:val="-4"/>
        </w:rPr>
        <w:t> </w:t>
      </w:r>
      <w:r>
        <w:rPr/>
        <w:t>enhances</w:t>
      </w:r>
      <w:r>
        <w:rPr>
          <w:spacing w:val="-4"/>
        </w:rPr>
        <w:t> </w:t>
      </w:r>
      <w:r>
        <w:rPr/>
        <w:t>chances</w:t>
      </w:r>
      <w:r>
        <w:rPr>
          <w:spacing w:val="-4"/>
        </w:rPr>
        <w:t> </w:t>
      </w:r>
      <w:r>
        <w:rPr/>
        <w:t>for</w:t>
      </w:r>
      <w:r>
        <w:rPr>
          <w:spacing w:val="-4"/>
        </w:rPr>
        <w:t> </w:t>
      </w:r>
      <w:r>
        <w:rPr/>
        <w:t>productive</w:t>
      </w:r>
      <w:r>
        <w:rPr>
          <w:spacing w:val="-5"/>
        </w:rPr>
        <w:t> </w:t>
      </w:r>
      <w:r>
        <w:rPr/>
        <w:t>cross- cultural interventions.</w:t>
      </w:r>
    </w:p>
    <w:p>
      <w:pPr>
        <w:pStyle w:val="ListParagraph"/>
        <w:numPr>
          <w:ilvl w:val="0"/>
          <w:numId w:val="19"/>
        </w:numPr>
        <w:tabs>
          <w:tab w:pos="1217" w:val="left" w:leader="none"/>
        </w:tabs>
        <w:spacing w:line="346" w:lineRule="exact" w:before="0" w:after="0"/>
        <w:ind w:left="1217" w:right="0" w:hanging="457"/>
        <w:jc w:val="left"/>
        <w:rPr>
          <w:sz w:val="28"/>
        </w:rPr>
      </w:pPr>
      <w:r>
        <w:rPr>
          <w:b/>
          <w:spacing w:val="-2"/>
          <w:sz w:val="28"/>
        </w:rPr>
        <w:t>Institutionalization</w:t>
      </w:r>
      <w:r>
        <w:rPr>
          <w:b/>
          <w:spacing w:val="-3"/>
          <w:sz w:val="28"/>
        </w:rPr>
        <w:t> </w:t>
      </w:r>
      <w:r>
        <w:rPr>
          <w:b/>
          <w:spacing w:val="-2"/>
          <w:sz w:val="28"/>
        </w:rPr>
        <w:t>of</w:t>
      </w:r>
      <w:r>
        <w:rPr>
          <w:b/>
          <w:spacing w:val="-1"/>
          <w:sz w:val="28"/>
        </w:rPr>
        <w:t> </w:t>
      </w:r>
      <w:r>
        <w:rPr>
          <w:b/>
          <w:spacing w:val="-2"/>
          <w:sz w:val="28"/>
        </w:rPr>
        <w:t>cultural knowledge.</w:t>
      </w:r>
      <w:r>
        <w:rPr>
          <w:b/>
          <w:spacing w:val="-7"/>
          <w:sz w:val="28"/>
        </w:rPr>
        <w:t> </w:t>
      </w:r>
      <w:r>
        <w:rPr>
          <w:spacing w:val="-2"/>
          <w:sz w:val="28"/>
        </w:rPr>
        <w:t>Workers</w:t>
      </w:r>
      <w:r>
        <w:rPr>
          <w:spacing w:val="-1"/>
          <w:sz w:val="28"/>
        </w:rPr>
        <w:t> </w:t>
      </w:r>
      <w:r>
        <w:rPr>
          <w:spacing w:val="-2"/>
          <w:sz w:val="28"/>
        </w:rPr>
        <w:t>must</w:t>
      </w:r>
      <w:r>
        <w:rPr>
          <w:sz w:val="28"/>
        </w:rPr>
        <w:t> </w:t>
      </w:r>
      <w:r>
        <w:rPr>
          <w:spacing w:val="-4"/>
          <w:sz w:val="28"/>
        </w:rPr>
        <w:t>have</w:t>
      </w:r>
    </w:p>
    <w:p>
      <w:pPr>
        <w:pStyle w:val="BodyText"/>
        <w:spacing w:line="259" w:lineRule="auto" w:before="8"/>
        <w:ind w:left="1318" w:right="502"/>
      </w:pPr>
      <w:r>
        <w:rPr/>
        <w:t>accurate cultural knowledge and information or access to such information.</w:t>
      </w:r>
      <w:r>
        <w:rPr>
          <w:spacing w:val="-18"/>
        </w:rPr>
        <w:t> </w:t>
      </w:r>
      <w:r>
        <w:rPr/>
        <w:t>They</w:t>
      </w:r>
      <w:r>
        <w:rPr>
          <w:spacing w:val="-9"/>
        </w:rPr>
        <w:t> </w:t>
      </w:r>
      <w:r>
        <w:rPr/>
        <w:t>also</w:t>
      </w:r>
      <w:r>
        <w:rPr>
          <w:spacing w:val="-9"/>
        </w:rPr>
        <w:t> </w:t>
      </w:r>
      <w:r>
        <w:rPr/>
        <w:t>must</w:t>
      </w:r>
      <w:r>
        <w:rPr>
          <w:spacing w:val="-9"/>
        </w:rPr>
        <w:t> </w:t>
      </w:r>
      <w:r>
        <w:rPr/>
        <w:t>have</w:t>
      </w:r>
      <w:r>
        <w:rPr>
          <w:spacing w:val="-10"/>
        </w:rPr>
        <w:t> </w:t>
      </w:r>
      <w:r>
        <w:rPr/>
        <w:t>available</w:t>
      </w:r>
      <w:r>
        <w:rPr>
          <w:spacing w:val="-10"/>
        </w:rPr>
        <w:t> </w:t>
      </w:r>
      <w:r>
        <w:rPr/>
        <w:t>to</w:t>
      </w:r>
      <w:r>
        <w:rPr>
          <w:spacing w:val="-9"/>
        </w:rPr>
        <w:t> </w:t>
      </w:r>
      <w:r>
        <w:rPr/>
        <w:t>them</w:t>
      </w:r>
      <w:r>
        <w:rPr>
          <w:spacing w:val="-9"/>
        </w:rPr>
        <w:t> </w:t>
      </w:r>
      <w:r>
        <w:rPr/>
        <w:t>community contacts</w:t>
      </w:r>
      <w:r>
        <w:rPr>
          <w:spacing w:val="-3"/>
        </w:rPr>
        <w:t> </w:t>
      </w:r>
      <w:r>
        <w:rPr/>
        <w:t>and</w:t>
      </w:r>
      <w:r>
        <w:rPr>
          <w:spacing w:val="-2"/>
        </w:rPr>
        <w:t> </w:t>
      </w:r>
      <w:r>
        <w:rPr/>
        <w:t>consultants</w:t>
      </w:r>
      <w:r>
        <w:rPr>
          <w:spacing w:val="-2"/>
        </w:rPr>
        <w:t> </w:t>
      </w:r>
      <w:r>
        <w:rPr/>
        <w:t>to</w:t>
      </w:r>
      <w:r>
        <w:rPr>
          <w:spacing w:val="-3"/>
        </w:rPr>
        <w:t> </w:t>
      </w:r>
      <w:r>
        <w:rPr/>
        <w:t>answer</w:t>
      </w:r>
      <w:r>
        <w:rPr>
          <w:spacing w:val="-2"/>
        </w:rPr>
        <w:t> </w:t>
      </w:r>
      <w:r>
        <w:rPr/>
        <w:t>culturally</w:t>
      </w:r>
      <w:r>
        <w:rPr>
          <w:spacing w:val="-2"/>
        </w:rPr>
        <w:t> </w:t>
      </w:r>
      <w:r>
        <w:rPr/>
        <w:t>related</w:t>
      </w:r>
      <w:r>
        <w:rPr>
          <w:spacing w:val="-2"/>
        </w:rPr>
        <w:t> questions.</w:t>
      </w:r>
    </w:p>
    <w:p>
      <w:pPr>
        <w:pStyle w:val="ListParagraph"/>
        <w:numPr>
          <w:ilvl w:val="0"/>
          <w:numId w:val="19"/>
        </w:numPr>
        <w:tabs>
          <w:tab w:pos="1217" w:val="left" w:leader="none"/>
        </w:tabs>
        <w:spacing w:line="350" w:lineRule="exact" w:before="0" w:after="0"/>
        <w:ind w:left="1217" w:right="0" w:hanging="457"/>
        <w:jc w:val="left"/>
        <w:rPr>
          <w:sz w:val="28"/>
        </w:rPr>
      </w:pPr>
      <w:r>
        <w:rPr>
          <w:b/>
          <w:sz w:val="28"/>
        </w:rPr>
        <w:t>Adaptations</w:t>
      </w:r>
      <w:r>
        <w:rPr>
          <w:b/>
          <w:spacing w:val="-6"/>
          <w:sz w:val="28"/>
        </w:rPr>
        <w:t> </w:t>
      </w:r>
      <w:r>
        <w:rPr>
          <w:b/>
          <w:sz w:val="28"/>
        </w:rPr>
        <w:t>to</w:t>
      </w:r>
      <w:r>
        <w:rPr>
          <w:b/>
          <w:spacing w:val="-3"/>
          <w:sz w:val="28"/>
        </w:rPr>
        <w:t> </w:t>
      </w:r>
      <w:r>
        <w:rPr>
          <w:b/>
          <w:sz w:val="28"/>
        </w:rPr>
        <w:t>diversity.</w:t>
      </w:r>
      <w:r>
        <w:rPr>
          <w:b/>
          <w:spacing w:val="-5"/>
          <w:sz w:val="28"/>
        </w:rPr>
        <w:t> </w:t>
      </w:r>
      <w:r>
        <w:rPr>
          <w:sz w:val="28"/>
        </w:rPr>
        <w:t>The</w:t>
      </w:r>
      <w:r>
        <w:rPr>
          <w:spacing w:val="-4"/>
          <w:sz w:val="28"/>
        </w:rPr>
        <w:t> </w:t>
      </w:r>
      <w:r>
        <w:rPr>
          <w:sz w:val="28"/>
        </w:rPr>
        <w:t>previous</w:t>
      </w:r>
      <w:r>
        <w:rPr>
          <w:spacing w:val="-3"/>
          <w:sz w:val="28"/>
        </w:rPr>
        <w:t> </w:t>
      </w:r>
      <w:r>
        <w:rPr>
          <w:sz w:val="28"/>
        </w:rPr>
        <w:t>four</w:t>
      </w:r>
      <w:r>
        <w:rPr>
          <w:spacing w:val="-4"/>
          <w:sz w:val="28"/>
        </w:rPr>
        <w:t> </w:t>
      </w:r>
      <w:r>
        <w:rPr>
          <w:sz w:val="28"/>
        </w:rPr>
        <w:t>elements</w:t>
      </w:r>
      <w:r>
        <w:rPr>
          <w:spacing w:val="-3"/>
          <w:sz w:val="28"/>
        </w:rPr>
        <w:t> </w:t>
      </w:r>
      <w:r>
        <w:rPr>
          <w:sz w:val="28"/>
        </w:rPr>
        <w:t>build</w:t>
      </w:r>
      <w:r>
        <w:rPr>
          <w:spacing w:val="-3"/>
          <w:sz w:val="28"/>
        </w:rPr>
        <w:t> </w:t>
      </w:r>
      <w:r>
        <w:rPr>
          <w:spacing w:val="-10"/>
          <w:sz w:val="28"/>
        </w:rPr>
        <w:t>a</w:t>
      </w:r>
    </w:p>
    <w:p>
      <w:pPr>
        <w:pStyle w:val="BodyText"/>
        <w:spacing w:line="259" w:lineRule="auto" w:before="8"/>
        <w:ind w:left="1318" w:right="925"/>
      </w:pPr>
      <w:r>
        <w:rPr/>
        <w:t>context for a cross-culturally competent system of care and service.</w:t>
      </w:r>
      <w:r>
        <w:rPr>
          <w:spacing w:val="-4"/>
        </w:rPr>
        <w:t> </w:t>
      </w:r>
      <w:r>
        <w:rPr/>
        <w:t>Both</w:t>
      </w:r>
      <w:r>
        <w:rPr>
          <w:spacing w:val="-5"/>
        </w:rPr>
        <w:t> </w:t>
      </w:r>
      <w:r>
        <w:rPr/>
        <w:t>workers'</w:t>
      </w:r>
      <w:r>
        <w:rPr>
          <w:spacing w:val="-4"/>
        </w:rPr>
        <w:t> </w:t>
      </w:r>
      <w:r>
        <w:rPr/>
        <w:t>and</w:t>
      </w:r>
      <w:r>
        <w:rPr>
          <w:spacing w:val="-5"/>
        </w:rPr>
        <w:t> </w:t>
      </w:r>
      <w:r>
        <w:rPr/>
        <w:t>systems'</w:t>
      </w:r>
      <w:r>
        <w:rPr>
          <w:spacing w:val="-4"/>
        </w:rPr>
        <w:t> </w:t>
      </w:r>
      <w:r>
        <w:rPr/>
        <w:t>approaches</w:t>
      </w:r>
      <w:r>
        <w:rPr>
          <w:spacing w:val="-5"/>
        </w:rPr>
        <w:t> </w:t>
      </w:r>
      <w:r>
        <w:rPr/>
        <w:t>can</w:t>
      </w:r>
      <w:r>
        <w:rPr>
          <w:spacing w:val="-4"/>
        </w:rPr>
        <w:t> </w:t>
      </w:r>
      <w:r>
        <w:rPr/>
        <w:t>be</w:t>
      </w:r>
      <w:r>
        <w:rPr>
          <w:spacing w:val="-5"/>
        </w:rPr>
        <w:t> </w:t>
      </w:r>
      <w:r>
        <w:rPr/>
        <w:t>adapted</w:t>
      </w:r>
      <w:r>
        <w:rPr>
          <w:spacing w:val="-4"/>
        </w:rPr>
        <w:t> </w:t>
      </w:r>
      <w:r>
        <w:rPr/>
        <w:t>to</w:t>
      </w:r>
    </w:p>
    <w:p>
      <w:pPr>
        <w:spacing w:after="0" w:line="259" w:lineRule="auto"/>
        <w:sectPr>
          <w:pgSz w:w="12240" w:h="15840"/>
          <w:pgMar w:header="0" w:footer="765" w:top="1260" w:bottom="980" w:left="1400" w:right="1180"/>
        </w:sectPr>
      </w:pPr>
    </w:p>
    <w:p>
      <w:pPr>
        <w:pStyle w:val="BodyText"/>
        <w:spacing w:line="259" w:lineRule="auto" w:before="66"/>
        <w:ind w:left="1318" w:right="1029"/>
      </w:pPr>
      <w:r>
        <w:rPr/>
        <w:t>create</w:t>
      </w:r>
      <w:r>
        <w:rPr>
          <w:spacing w:val="-5"/>
        </w:rPr>
        <w:t> </w:t>
      </w:r>
      <w:r>
        <w:rPr/>
        <w:t>a</w:t>
      </w:r>
      <w:r>
        <w:rPr>
          <w:spacing w:val="-5"/>
        </w:rPr>
        <w:t> </w:t>
      </w:r>
      <w:r>
        <w:rPr/>
        <w:t>better</w:t>
      </w:r>
      <w:r>
        <w:rPr>
          <w:spacing w:val="-4"/>
        </w:rPr>
        <w:t> </w:t>
      </w:r>
      <w:r>
        <w:rPr/>
        <w:t>fit</w:t>
      </w:r>
      <w:r>
        <w:rPr>
          <w:spacing w:val="-4"/>
        </w:rPr>
        <w:t> </w:t>
      </w:r>
      <w:r>
        <w:rPr/>
        <w:t>between</w:t>
      </w:r>
      <w:r>
        <w:rPr>
          <w:spacing w:val="-4"/>
        </w:rPr>
        <w:t> </w:t>
      </w:r>
      <w:r>
        <w:rPr/>
        <w:t>needs</w:t>
      </w:r>
      <w:r>
        <w:rPr>
          <w:spacing w:val="-4"/>
        </w:rPr>
        <w:t> </w:t>
      </w:r>
      <w:r>
        <w:rPr/>
        <w:t>of</w:t>
      </w:r>
      <w:r>
        <w:rPr>
          <w:spacing w:val="-4"/>
        </w:rPr>
        <w:t> </w:t>
      </w:r>
      <w:r>
        <w:rPr/>
        <w:t>people</w:t>
      </w:r>
      <w:r>
        <w:rPr>
          <w:spacing w:val="-5"/>
        </w:rPr>
        <w:t> </w:t>
      </w:r>
      <w:r>
        <w:rPr/>
        <w:t>and</w:t>
      </w:r>
      <w:r>
        <w:rPr>
          <w:spacing w:val="-4"/>
        </w:rPr>
        <w:t> </w:t>
      </w:r>
      <w:r>
        <w:rPr/>
        <w:t>services</w:t>
      </w:r>
      <w:r>
        <w:rPr>
          <w:spacing w:val="-4"/>
        </w:rPr>
        <w:t> </w:t>
      </w:r>
      <w:r>
        <w:rPr/>
        <w:t>available. For instance, members of certain ethnic groups repeatedly receive negative messages from the media about their culture.</w:t>
      </w:r>
    </w:p>
    <w:p>
      <w:pPr>
        <w:pStyle w:val="BodyText"/>
        <w:spacing w:line="259" w:lineRule="auto"/>
        <w:ind w:left="1318" w:right="1036"/>
      </w:pPr>
      <w:r>
        <w:rPr/>
        <w:t>Programs</w:t>
      </w:r>
      <w:r>
        <w:rPr>
          <w:spacing w:val="-5"/>
        </w:rPr>
        <w:t> </w:t>
      </w:r>
      <w:r>
        <w:rPr/>
        <w:t>can</w:t>
      </w:r>
      <w:r>
        <w:rPr>
          <w:spacing w:val="-5"/>
        </w:rPr>
        <w:t> </w:t>
      </w:r>
      <w:r>
        <w:rPr/>
        <w:t>be</w:t>
      </w:r>
      <w:r>
        <w:rPr>
          <w:spacing w:val="-6"/>
        </w:rPr>
        <w:t> </w:t>
      </w:r>
      <w:r>
        <w:rPr/>
        <w:t>developed</w:t>
      </w:r>
      <w:r>
        <w:rPr>
          <w:spacing w:val="-5"/>
        </w:rPr>
        <w:t> </w:t>
      </w:r>
      <w:r>
        <w:rPr/>
        <w:t>that</w:t>
      </w:r>
      <w:r>
        <w:rPr>
          <w:spacing w:val="-5"/>
        </w:rPr>
        <w:t> </w:t>
      </w:r>
      <w:r>
        <w:rPr/>
        <w:t>incorporate</w:t>
      </w:r>
      <w:r>
        <w:rPr>
          <w:spacing w:val="-6"/>
        </w:rPr>
        <w:t> </w:t>
      </w:r>
      <w:r>
        <w:rPr/>
        <w:t>alternative</w:t>
      </w:r>
      <w:r>
        <w:rPr>
          <w:spacing w:val="-6"/>
        </w:rPr>
        <w:t> </w:t>
      </w:r>
      <w:r>
        <w:rPr/>
        <w:t>culturally enhancing experiences, develop problem-solving skills, and</w:t>
      </w:r>
      <w:r>
        <w:rPr>
          <w:spacing w:val="40"/>
        </w:rPr>
        <w:t> </w:t>
      </w:r>
      <w:r>
        <w:rPr/>
        <w:t>teach about the origins of stereotypes and prejudice. By creating and implementing such programs, workers can begin to institutionalize cultural interventions as a legitimate helping </w:t>
      </w:r>
      <w:r>
        <w:rPr>
          <w:spacing w:val="-2"/>
        </w:rPr>
        <w:t>approach.</w:t>
      </w:r>
    </w:p>
    <w:p>
      <w:pPr>
        <w:pStyle w:val="BodyText"/>
        <w:spacing w:line="259" w:lineRule="auto" w:before="69"/>
        <w:ind w:left="400" w:right="544"/>
      </w:pPr>
      <w:r>
        <w:rPr/>
        <w:t>Finally, becoming culturally competent is a developmental process for individual counselors.</w:t>
      </w:r>
      <w:r>
        <w:rPr>
          <w:spacing w:val="40"/>
        </w:rPr>
        <w:t> </w:t>
      </w:r>
      <w:r>
        <w:rPr/>
        <w:t>It is not something that happens because one reads a book,</w:t>
      </w:r>
      <w:r>
        <w:rPr>
          <w:spacing w:val="-7"/>
        </w:rPr>
        <w:t> </w:t>
      </w:r>
      <w:r>
        <w:rPr/>
        <w:t>or</w:t>
      </w:r>
      <w:r>
        <w:rPr>
          <w:spacing w:val="-7"/>
        </w:rPr>
        <w:t> </w:t>
      </w:r>
      <w:r>
        <w:rPr/>
        <w:t>attends</w:t>
      </w:r>
      <w:r>
        <w:rPr>
          <w:spacing w:val="-7"/>
        </w:rPr>
        <w:t> </w:t>
      </w:r>
      <w:r>
        <w:rPr/>
        <w:t>a</w:t>
      </w:r>
      <w:r>
        <w:rPr>
          <w:spacing w:val="-4"/>
        </w:rPr>
        <w:t> </w:t>
      </w:r>
      <w:r>
        <w:rPr/>
        <w:t>workshop,</w:t>
      </w:r>
      <w:r>
        <w:rPr>
          <w:spacing w:val="-3"/>
        </w:rPr>
        <w:t> </w:t>
      </w:r>
      <w:r>
        <w:rPr/>
        <w:t>or</w:t>
      </w:r>
      <w:r>
        <w:rPr>
          <w:spacing w:val="-3"/>
        </w:rPr>
        <w:t> </w:t>
      </w:r>
      <w:r>
        <w:rPr/>
        <w:t>happens</w:t>
      </w:r>
      <w:r>
        <w:rPr>
          <w:spacing w:val="-3"/>
        </w:rPr>
        <w:t> </w:t>
      </w:r>
      <w:r>
        <w:rPr/>
        <w:t>to</w:t>
      </w:r>
      <w:r>
        <w:rPr>
          <w:spacing w:val="-3"/>
        </w:rPr>
        <w:t> </w:t>
      </w:r>
      <w:r>
        <w:rPr/>
        <w:t>be</w:t>
      </w:r>
      <w:r>
        <w:rPr>
          <w:spacing w:val="-5"/>
        </w:rPr>
        <w:t> </w:t>
      </w:r>
      <w:r>
        <w:rPr/>
        <w:t>a</w:t>
      </w:r>
      <w:r>
        <w:rPr>
          <w:spacing w:val="-5"/>
        </w:rPr>
        <w:t> </w:t>
      </w:r>
      <w:r>
        <w:rPr/>
        <w:t>member</w:t>
      </w:r>
      <w:r>
        <w:rPr>
          <w:spacing w:val="-3"/>
        </w:rPr>
        <w:t> </w:t>
      </w:r>
      <w:r>
        <w:rPr/>
        <w:t>of</w:t>
      </w:r>
      <w:r>
        <w:rPr>
          <w:spacing w:val="-3"/>
        </w:rPr>
        <w:t> </w:t>
      </w:r>
      <w:r>
        <w:rPr/>
        <w:t>a</w:t>
      </w:r>
      <w:r>
        <w:rPr>
          <w:spacing w:val="-5"/>
        </w:rPr>
        <w:t> </w:t>
      </w:r>
      <w:r>
        <w:rPr/>
        <w:t>minority</w:t>
      </w:r>
      <w:r>
        <w:rPr>
          <w:spacing w:val="-3"/>
        </w:rPr>
        <w:t> </w:t>
      </w:r>
      <w:r>
        <w:rPr/>
        <w:t>group. It is a process born of a commitment to provide quality services to all and a willingness to risk.</w:t>
      </w:r>
    </w:p>
    <w:p>
      <w:pPr>
        <w:pStyle w:val="BodyText"/>
        <w:spacing w:before="3"/>
      </w:pPr>
    </w:p>
    <w:p>
      <w:pPr>
        <w:pStyle w:val="Heading2"/>
        <w:ind w:left="400"/>
      </w:pPr>
      <w:r>
        <w:rPr/>
        <w:t>Making</w:t>
      </w:r>
      <w:r>
        <w:rPr>
          <w:spacing w:val="-10"/>
        </w:rPr>
        <w:t> </w:t>
      </w:r>
      <w:r>
        <w:rPr/>
        <w:t>culturally</w:t>
      </w:r>
      <w:r>
        <w:rPr>
          <w:spacing w:val="-6"/>
        </w:rPr>
        <w:t> </w:t>
      </w:r>
      <w:r>
        <w:rPr/>
        <w:t>competent</w:t>
      </w:r>
      <w:r>
        <w:rPr>
          <w:spacing w:val="-6"/>
        </w:rPr>
        <w:t> </w:t>
      </w:r>
      <w:r>
        <w:rPr>
          <w:spacing w:val="-2"/>
        </w:rPr>
        <w:t>decisions</w:t>
      </w:r>
    </w:p>
    <w:p>
      <w:pPr>
        <w:pStyle w:val="BodyText"/>
        <w:spacing w:before="9"/>
        <w:rPr>
          <w:b/>
          <w:sz w:val="27"/>
        </w:rPr>
      </w:pPr>
    </w:p>
    <w:p>
      <w:pPr>
        <w:pStyle w:val="BodyText"/>
        <w:spacing w:line="259" w:lineRule="auto" w:before="1"/>
        <w:ind w:left="400" w:right="738"/>
      </w:pPr>
      <w:r>
        <w:rPr/>
        <w:t>Treatment providers and counselors must examine two essential factors when working with culturally, racially, or ethnically different populations: the socioeconomic status of the client or group and the client's degree of acculturation.</w:t>
      </w:r>
      <w:r>
        <w:rPr>
          <w:spacing w:val="-28"/>
        </w:rPr>
        <w:t> </w:t>
      </w:r>
      <w:r>
        <w:rPr/>
        <w:t>A</w:t>
      </w:r>
      <w:r>
        <w:rPr>
          <w:spacing w:val="-28"/>
        </w:rPr>
        <w:t> </w:t>
      </w:r>
      <w:r>
        <w:rPr/>
        <w:t>distinction</w:t>
      </w:r>
      <w:r>
        <w:rPr>
          <w:spacing w:val="-8"/>
        </w:rPr>
        <w:t> </w:t>
      </w:r>
      <w:r>
        <w:rPr/>
        <w:t>should</w:t>
      </w:r>
      <w:r>
        <w:rPr>
          <w:spacing w:val="-4"/>
        </w:rPr>
        <w:t> </w:t>
      </w:r>
      <w:r>
        <w:rPr/>
        <w:t>be</w:t>
      </w:r>
      <w:r>
        <w:rPr>
          <w:spacing w:val="-5"/>
        </w:rPr>
        <w:t> </w:t>
      </w:r>
      <w:r>
        <w:rPr/>
        <w:t>made</w:t>
      </w:r>
      <w:r>
        <w:rPr>
          <w:spacing w:val="-5"/>
        </w:rPr>
        <w:t> </w:t>
      </w:r>
      <w:r>
        <w:rPr/>
        <w:t>when</w:t>
      </w:r>
      <w:r>
        <w:rPr>
          <w:spacing w:val="-8"/>
        </w:rPr>
        <w:t> </w:t>
      </w:r>
      <w:r>
        <w:rPr/>
        <w:t>discussing</w:t>
      </w:r>
      <w:r>
        <w:rPr>
          <w:spacing w:val="-8"/>
        </w:rPr>
        <w:t> </w:t>
      </w:r>
      <w:r>
        <w:rPr/>
        <w:t>a</w:t>
      </w:r>
      <w:r>
        <w:rPr>
          <w:spacing w:val="-9"/>
        </w:rPr>
        <w:t> </w:t>
      </w:r>
      <w:r>
        <w:rPr/>
        <w:t>population</w:t>
      </w:r>
      <w:r>
        <w:rPr>
          <w:spacing w:val="-8"/>
        </w:rPr>
        <w:t> </w:t>
      </w:r>
      <w:r>
        <w:rPr/>
        <w:t>as a whole and a particular segment of that population. For example, when treating</w:t>
      </w:r>
      <w:r>
        <w:rPr>
          <w:spacing w:val="-3"/>
        </w:rPr>
        <w:t> </w:t>
      </w:r>
      <w:r>
        <w:rPr/>
        <w:t>an</w:t>
      </w:r>
      <w:r>
        <w:rPr>
          <w:spacing w:val="-3"/>
        </w:rPr>
        <w:t> </w:t>
      </w:r>
      <w:r>
        <w:rPr/>
        <w:t>HIV-infected</w:t>
      </w:r>
      <w:r>
        <w:rPr>
          <w:spacing w:val="-3"/>
        </w:rPr>
        <w:t> </w:t>
      </w:r>
      <w:r>
        <w:rPr/>
        <w:t>substance-abusing</w:t>
      </w:r>
      <w:r>
        <w:rPr>
          <w:spacing w:val="-3"/>
        </w:rPr>
        <w:t> </w:t>
      </w:r>
      <w:r>
        <w:rPr/>
        <w:t>Hispanic</w:t>
      </w:r>
      <w:r>
        <w:rPr>
          <w:spacing w:val="-4"/>
        </w:rPr>
        <w:t> </w:t>
      </w:r>
      <w:r>
        <w:rPr/>
        <w:t>woman,</w:t>
      </w:r>
      <w:r>
        <w:rPr>
          <w:spacing w:val="-3"/>
        </w:rPr>
        <w:t> </w:t>
      </w:r>
      <w:r>
        <w:rPr/>
        <w:t>the</w:t>
      </w:r>
      <w:r>
        <w:rPr>
          <w:spacing w:val="-4"/>
        </w:rPr>
        <w:t> </w:t>
      </w:r>
      <w:r>
        <w:rPr/>
        <w:t>counselor should focus on the woman as an individual and on the particular circumstances of this individual's life, rather than seeing her as an abstract representative of her culture or race. More often, poverty is the relevant issue to be discussed, rather than specific ethnic or racial factors.</w:t>
      </w:r>
    </w:p>
    <w:p>
      <w:pPr>
        <w:pStyle w:val="BodyText"/>
        <w:spacing w:before="6"/>
        <w:rPr>
          <w:sz w:val="27"/>
        </w:rPr>
      </w:pPr>
    </w:p>
    <w:p>
      <w:pPr>
        <w:pStyle w:val="BodyText"/>
        <w:spacing w:line="259" w:lineRule="auto"/>
        <w:ind w:left="400" w:right="738"/>
      </w:pPr>
      <w:r>
        <w:rPr/>
        <w:t>The second factor, degree of acculturation, is important and should be part of the assessment process. How acculturated or assimilated are the family and client?</w:t>
      </w:r>
      <w:r>
        <w:rPr>
          <w:spacing w:val="-1"/>
        </w:rPr>
        <w:t> </w:t>
      </w:r>
      <w:r>
        <w:rPr/>
        <w:t>What generation is this client?</w:t>
      </w:r>
      <w:r>
        <w:rPr>
          <w:spacing w:val="-18"/>
        </w:rPr>
        <w:t> </w:t>
      </w:r>
      <w:r>
        <w:rPr/>
        <w:t>Assessing for this, and knowing that several generations with different values and levels of acculturation may all live in one household, can test the communication skills and counseling skills of the best service providers. When discussing acculturation/</w:t>
      </w:r>
      <w:r>
        <w:rPr>
          <w:spacing w:val="-10"/>
        </w:rPr>
        <w:t> </w:t>
      </w:r>
      <w:r>
        <w:rPr/>
        <w:t>assimilation</w:t>
      </w:r>
      <w:r>
        <w:rPr>
          <w:spacing w:val="-9"/>
        </w:rPr>
        <w:t> </w:t>
      </w:r>
      <w:r>
        <w:rPr/>
        <w:t>and</w:t>
      </w:r>
      <w:r>
        <w:rPr>
          <w:spacing w:val="-9"/>
        </w:rPr>
        <w:t> </w:t>
      </w:r>
      <w:r>
        <w:rPr/>
        <w:t>values,</w:t>
      </w:r>
      <w:r>
        <w:rPr>
          <w:spacing w:val="-9"/>
        </w:rPr>
        <w:t> </w:t>
      </w:r>
      <w:r>
        <w:rPr/>
        <w:t>counselors</w:t>
      </w:r>
      <w:r>
        <w:rPr>
          <w:spacing w:val="-9"/>
        </w:rPr>
        <w:t> </w:t>
      </w:r>
      <w:r>
        <w:rPr/>
        <w:t>should</w:t>
      </w:r>
      <w:r>
        <w:rPr>
          <w:spacing w:val="-9"/>
        </w:rPr>
        <w:t> </w:t>
      </w:r>
      <w:r>
        <w:rPr/>
        <w:t>keep</w:t>
      </w:r>
      <w:r>
        <w:rPr>
          <w:spacing w:val="-9"/>
        </w:rPr>
        <w:t> </w:t>
      </w:r>
      <w:r>
        <w:rPr/>
        <w:t>in</w:t>
      </w:r>
      <w:r>
        <w:rPr>
          <w:spacing w:val="-9"/>
        </w:rPr>
        <w:t> </w:t>
      </w:r>
      <w:r>
        <w:rPr/>
        <w:t>mind</w:t>
      </w:r>
      <w:r>
        <w:rPr>
          <w:spacing w:val="-9"/>
        </w:rPr>
        <w:t> </w:t>
      </w:r>
      <w:r>
        <w:rPr/>
        <w:t>that, in general, the more years a family has lived in the United States, the less traditional their values tend to be. Thus a fourth-generation Chinese- American client may not speak Chinese or hold traditional Chinese values.</w:t>
      </w:r>
    </w:p>
    <w:p>
      <w:pPr>
        <w:spacing w:after="0" w:line="259" w:lineRule="auto"/>
        <w:sectPr>
          <w:pgSz w:w="12240" w:h="15840"/>
          <w:pgMar w:header="0" w:footer="765" w:top="1260" w:bottom="980" w:left="1400" w:right="1180"/>
        </w:sectPr>
      </w:pPr>
    </w:p>
    <w:p>
      <w:pPr>
        <w:pStyle w:val="BodyText"/>
        <w:spacing w:line="259" w:lineRule="auto" w:before="66"/>
        <w:ind w:left="400" w:right="502"/>
      </w:pPr>
      <w:r>
        <w:rPr/>
        <w:t>Knowing</w:t>
      </w:r>
      <w:r>
        <w:rPr>
          <w:spacing w:val="-3"/>
        </w:rPr>
        <w:t> </w:t>
      </w:r>
      <w:r>
        <w:rPr/>
        <w:t>the</w:t>
      </w:r>
      <w:r>
        <w:rPr>
          <w:spacing w:val="-4"/>
        </w:rPr>
        <w:t> </w:t>
      </w:r>
      <w:r>
        <w:rPr/>
        <w:t>values</w:t>
      </w:r>
      <w:r>
        <w:rPr>
          <w:spacing w:val="-3"/>
        </w:rPr>
        <w:t> </w:t>
      </w:r>
      <w:r>
        <w:rPr/>
        <w:t>and</w:t>
      </w:r>
      <w:r>
        <w:rPr>
          <w:spacing w:val="-3"/>
        </w:rPr>
        <w:t> </w:t>
      </w:r>
      <w:r>
        <w:rPr/>
        <w:t>beliefs</w:t>
      </w:r>
      <w:r>
        <w:rPr>
          <w:spacing w:val="-3"/>
        </w:rPr>
        <w:t> </w:t>
      </w:r>
      <w:r>
        <w:rPr/>
        <w:t>of</w:t>
      </w:r>
      <w:r>
        <w:rPr>
          <w:spacing w:val="-3"/>
        </w:rPr>
        <w:t> </w:t>
      </w:r>
      <w:r>
        <w:rPr/>
        <w:t>a</w:t>
      </w:r>
      <w:r>
        <w:rPr>
          <w:spacing w:val="-4"/>
        </w:rPr>
        <w:t> </w:t>
      </w:r>
      <w:r>
        <w:rPr/>
        <w:t>client</w:t>
      </w:r>
      <w:r>
        <w:rPr>
          <w:spacing w:val="-3"/>
        </w:rPr>
        <w:t> </w:t>
      </w:r>
      <w:r>
        <w:rPr/>
        <w:t>is</w:t>
      </w:r>
      <w:r>
        <w:rPr>
          <w:spacing w:val="-3"/>
        </w:rPr>
        <w:t> </w:t>
      </w:r>
      <w:r>
        <w:rPr/>
        <w:t>crucial</w:t>
      </w:r>
      <w:r>
        <w:rPr>
          <w:spacing w:val="-3"/>
        </w:rPr>
        <w:t> </w:t>
      </w:r>
      <w:r>
        <w:rPr/>
        <w:t>if</w:t>
      </w:r>
      <w:r>
        <w:rPr>
          <w:spacing w:val="-3"/>
        </w:rPr>
        <w:t> </w:t>
      </w:r>
      <w:r>
        <w:rPr/>
        <w:t>treatment</w:t>
      </w:r>
      <w:r>
        <w:rPr>
          <w:spacing w:val="-3"/>
        </w:rPr>
        <w:t> </w:t>
      </w:r>
      <w:r>
        <w:rPr/>
        <w:t>is</w:t>
      </w:r>
      <w:r>
        <w:rPr>
          <w:spacing w:val="-3"/>
        </w:rPr>
        <w:t> </w:t>
      </w:r>
      <w:r>
        <w:rPr/>
        <w:t>to</w:t>
      </w:r>
      <w:r>
        <w:rPr>
          <w:spacing w:val="-3"/>
        </w:rPr>
        <w:t> </w:t>
      </w:r>
      <w:r>
        <w:rPr/>
        <w:t>be </w:t>
      </w:r>
      <w:r>
        <w:rPr>
          <w:spacing w:val="-2"/>
        </w:rPr>
        <w:t>effective.</w:t>
      </w:r>
    </w:p>
    <w:p>
      <w:pPr>
        <w:pStyle w:val="BodyText"/>
        <w:spacing w:before="1"/>
      </w:pPr>
    </w:p>
    <w:p>
      <w:pPr>
        <w:pStyle w:val="BodyText"/>
        <w:spacing w:line="259" w:lineRule="auto"/>
        <w:ind w:left="400" w:right="502"/>
      </w:pPr>
      <w:r>
        <w:rPr/>
        <w:t>Providers</w:t>
      </w:r>
      <w:r>
        <w:rPr>
          <w:spacing w:val="-9"/>
        </w:rPr>
        <w:t> </w:t>
      </w:r>
      <w:r>
        <w:rPr/>
        <w:t>must</w:t>
      </w:r>
      <w:r>
        <w:rPr>
          <w:spacing w:val="-4"/>
        </w:rPr>
        <w:t> </w:t>
      </w:r>
      <w:r>
        <w:rPr/>
        <w:t>also</w:t>
      </w:r>
      <w:r>
        <w:rPr>
          <w:spacing w:val="-4"/>
        </w:rPr>
        <w:t> </w:t>
      </w:r>
      <w:r>
        <w:rPr/>
        <w:t>help</w:t>
      </w:r>
      <w:r>
        <w:rPr>
          <w:spacing w:val="-4"/>
        </w:rPr>
        <w:t> </w:t>
      </w:r>
      <w:r>
        <w:rPr/>
        <w:t>develop</w:t>
      </w:r>
      <w:r>
        <w:rPr>
          <w:spacing w:val="-4"/>
        </w:rPr>
        <w:t> </w:t>
      </w:r>
      <w:r>
        <w:rPr/>
        <w:t>culturally</w:t>
      </w:r>
      <w:r>
        <w:rPr>
          <w:spacing w:val="-4"/>
        </w:rPr>
        <w:t> </w:t>
      </w:r>
      <w:r>
        <w:rPr/>
        <w:t>competent</w:t>
      </w:r>
      <w:r>
        <w:rPr>
          <w:spacing w:val="-4"/>
        </w:rPr>
        <w:t> </w:t>
      </w:r>
      <w:r>
        <w:rPr/>
        <w:t>systems</w:t>
      </w:r>
      <w:r>
        <w:rPr>
          <w:spacing w:val="-4"/>
        </w:rPr>
        <w:t> </w:t>
      </w:r>
      <w:r>
        <w:rPr/>
        <w:t>of</w:t>
      </w:r>
      <w:r>
        <w:rPr>
          <w:spacing w:val="-4"/>
        </w:rPr>
        <w:t> </w:t>
      </w:r>
      <w:r>
        <w:rPr/>
        <w:t>care.</w:t>
      </w:r>
      <w:r>
        <w:rPr>
          <w:spacing w:val="-24"/>
        </w:rPr>
        <w:t> </w:t>
      </w:r>
      <w:r>
        <w:rPr/>
        <w:t>A</w:t>
      </w:r>
      <w:r>
        <w:rPr>
          <w:spacing w:val="-24"/>
        </w:rPr>
        <w:t> </w:t>
      </w:r>
      <w:r>
        <w:rPr/>
        <w:t>part of this is making services accessible to and often used by the target risk populations. Culturally competent systems also recognize the importance of culture, cross-cultural relationships, cultural differences, and the ability to meet culturally unique needs.</w:t>
      </w:r>
    </w:p>
    <w:p>
      <w:pPr>
        <w:pStyle w:val="BodyText"/>
        <w:spacing w:before="3"/>
      </w:pPr>
    </w:p>
    <w:p>
      <w:pPr>
        <w:pStyle w:val="BodyText"/>
        <w:spacing w:line="259" w:lineRule="auto"/>
        <w:ind w:left="400" w:right="502"/>
      </w:pPr>
      <w:r>
        <w:rPr/>
        <w:t>Aside</w:t>
      </w:r>
      <w:r>
        <w:rPr>
          <w:spacing w:val="-12"/>
        </w:rPr>
        <w:t> </w:t>
      </w:r>
      <w:r>
        <w:rPr/>
        <w:t>from</w:t>
      </w:r>
      <w:r>
        <w:rPr>
          <w:spacing w:val="-12"/>
        </w:rPr>
        <w:t> </w:t>
      </w:r>
      <w:r>
        <w:rPr/>
        <w:t>assessing</w:t>
      </w:r>
      <w:r>
        <w:rPr>
          <w:spacing w:val="-10"/>
        </w:rPr>
        <w:t> </w:t>
      </w:r>
      <w:r>
        <w:rPr/>
        <w:t>cultural</w:t>
      </w:r>
      <w:r>
        <w:rPr>
          <w:spacing w:val="-10"/>
        </w:rPr>
        <w:t> </w:t>
      </w:r>
      <w:r>
        <w:rPr/>
        <w:t>competence</w:t>
      </w:r>
      <w:r>
        <w:rPr>
          <w:spacing w:val="-12"/>
        </w:rPr>
        <w:t> </w:t>
      </w:r>
      <w:r>
        <w:rPr/>
        <w:t>using</w:t>
      </w:r>
      <w:r>
        <w:rPr>
          <w:spacing w:val="-10"/>
        </w:rPr>
        <w:t> </w:t>
      </w:r>
      <w:r>
        <w:rPr/>
        <w:t>the</w:t>
      </w:r>
      <w:r>
        <w:rPr>
          <w:spacing w:val="-12"/>
        </w:rPr>
        <w:t> </w:t>
      </w:r>
      <w:r>
        <w:rPr/>
        <w:t>five</w:t>
      </w:r>
      <w:r>
        <w:rPr>
          <w:spacing w:val="-12"/>
        </w:rPr>
        <w:t> </w:t>
      </w:r>
      <w:r>
        <w:rPr/>
        <w:t>elements</w:t>
      </w:r>
      <w:r>
        <w:rPr>
          <w:spacing w:val="-10"/>
        </w:rPr>
        <w:t> </w:t>
      </w:r>
      <w:r>
        <w:rPr/>
        <w:t>discussed previously,</w:t>
      </w:r>
      <w:r>
        <w:rPr>
          <w:spacing w:val="-1"/>
        </w:rPr>
        <w:t> </w:t>
      </w:r>
      <w:r>
        <w:rPr/>
        <w:t>it also is helpful to examine some ways in which providers can minimize cultural clashes and blocks that may exist when working with </w:t>
      </w:r>
      <w:r>
        <w:rPr>
          <w:spacing w:val="-2"/>
        </w:rPr>
        <w:t>clients.</w:t>
      </w:r>
    </w:p>
    <w:p>
      <w:pPr>
        <w:pStyle w:val="BodyText"/>
        <w:spacing w:before="5"/>
      </w:pPr>
    </w:p>
    <w:p>
      <w:pPr>
        <w:pStyle w:val="BodyText"/>
        <w:spacing w:line="259" w:lineRule="auto"/>
        <w:ind w:left="400" w:right="628"/>
      </w:pPr>
      <w:r>
        <w:rPr/>
        <w:t>One concern in providing culturally competent care is how to discuss values and differences around sex and sexuality. In many cultures, people avoid discussing sex because they find such discussions disrespectful.</w:t>
      </w:r>
      <w:r>
        <w:rPr>
          <w:spacing w:val="-4"/>
        </w:rPr>
        <w:t> </w:t>
      </w:r>
      <w:r>
        <w:rPr/>
        <w:t>This is one reason why so many cultures avoid discussing homosexuality.</w:t>
      </w:r>
      <w:r>
        <w:rPr>
          <w:spacing w:val="-26"/>
        </w:rPr>
        <w:t> </w:t>
      </w:r>
      <w:r>
        <w:rPr/>
        <w:t>A</w:t>
      </w:r>
      <w:r>
        <w:rPr>
          <w:spacing w:val="-25"/>
        </w:rPr>
        <w:t> </w:t>
      </w:r>
      <w:r>
        <w:rPr/>
        <w:t>counselor should</w:t>
      </w:r>
      <w:r>
        <w:rPr>
          <w:spacing w:val="-7"/>
        </w:rPr>
        <w:t> </w:t>
      </w:r>
      <w:r>
        <w:rPr/>
        <w:t>consider</w:t>
      </w:r>
      <w:r>
        <w:rPr>
          <w:spacing w:val="-7"/>
        </w:rPr>
        <w:t> </w:t>
      </w:r>
      <w:r>
        <w:rPr/>
        <w:t>using</w:t>
      </w:r>
      <w:r>
        <w:rPr>
          <w:spacing w:val="-7"/>
        </w:rPr>
        <w:t> </w:t>
      </w:r>
      <w:r>
        <w:rPr/>
        <w:t>a</w:t>
      </w:r>
      <w:r>
        <w:rPr>
          <w:spacing w:val="-8"/>
        </w:rPr>
        <w:t> </w:t>
      </w:r>
      <w:r>
        <w:rPr/>
        <w:t>less</w:t>
      </w:r>
      <w:r>
        <w:rPr>
          <w:spacing w:val="-7"/>
        </w:rPr>
        <w:t> </w:t>
      </w:r>
      <w:r>
        <w:rPr/>
        <w:t>direct</w:t>
      </w:r>
      <w:r>
        <w:rPr>
          <w:spacing w:val="-7"/>
        </w:rPr>
        <w:t> </w:t>
      </w:r>
      <w:r>
        <w:rPr/>
        <w:t>approach</w:t>
      </w:r>
      <w:r>
        <w:rPr>
          <w:spacing w:val="-4"/>
        </w:rPr>
        <w:t> </w:t>
      </w:r>
      <w:r>
        <w:rPr/>
        <w:t>when</w:t>
      </w:r>
      <w:r>
        <w:rPr>
          <w:spacing w:val="-4"/>
        </w:rPr>
        <w:t> </w:t>
      </w:r>
      <w:r>
        <w:rPr/>
        <w:t>initiating</w:t>
      </w:r>
      <w:r>
        <w:rPr>
          <w:spacing w:val="-4"/>
        </w:rPr>
        <w:t> </w:t>
      </w:r>
      <w:r>
        <w:rPr/>
        <w:t>discussion</w:t>
      </w:r>
      <w:r>
        <w:rPr>
          <w:spacing w:val="-4"/>
        </w:rPr>
        <w:t> </w:t>
      </w:r>
      <w:r>
        <w:rPr/>
        <w:t>about issues related to sex and sexual orientation. Many providers believe that some of the public health problems faced in communities of color and the gay community are related to their inability to speak often and directly enough about safer sex practices, risky behaviors, and homosexuality. Even in the recovery culture and in many treatment settings, sex and sexuality are blatantly avoided. Service providers must acknowledge that they, too, in addition to their clients, are often uncomfortable talking about sexuality, sexual identity, and sexual orientation.</w:t>
      </w:r>
    </w:p>
    <w:p>
      <w:pPr>
        <w:pStyle w:val="BodyText"/>
        <w:spacing w:before="8"/>
        <w:rPr>
          <w:sz w:val="27"/>
        </w:rPr>
      </w:pPr>
    </w:p>
    <w:p>
      <w:pPr>
        <w:pStyle w:val="BodyText"/>
        <w:spacing w:line="259" w:lineRule="auto"/>
        <w:ind w:left="400" w:right="581"/>
      </w:pPr>
      <w:r>
        <w:rPr/>
        <w:t>Providers also should be aware of the messages often given to communities of color and particularly women. The message, "stop having sex," often advocated by providers has been mixed with historical issues and fears of racial/ethnic genocide, thus making it difficult for most groups to give any credence</w:t>
      </w:r>
      <w:r>
        <w:rPr>
          <w:spacing w:val="-5"/>
        </w:rPr>
        <w:t> </w:t>
      </w:r>
      <w:r>
        <w:rPr/>
        <w:t>to</w:t>
      </w:r>
      <w:r>
        <w:rPr>
          <w:spacing w:val="-4"/>
        </w:rPr>
        <w:t> </w:t>
      </w:r>
      <w:r>
        <w:rPr/>
        <w:t>those</w:t>
      </w:r>
      <w:r>
        <w:rPr>
          <w:spacing w:val="-5"/>
        </w:rPr>
        <w:t> </w:t>
      </w:r>
      <w:r>
        <w:rPr/>
        <w:t>expounding</w:t>
      </w:r>
      <w:r>
        <w:rPr>
          <w:spacing w:val="-4"/>
        </w:rPr>
        <w:t> </w:t>
      </w:r>
      <w:r>
        <w:rPr/>
        <w:t>this</w:t>
      </w:r>
      <w:r>
        <w:rPr>
          <w:spacing w:val="-4"/>
        </w:rPr>
        <w:t> </w:t>
      </w:r>
      <w:r>
        <w:rPr/>
        <w:t>method</w:t>
      </w:r>
      <w:r>
        <w:rPr>
          <w:spacing w:val="-4"/>
        </w:rPr>
        <w:t> </w:t>
      </w:r>
      <w:r>
        <w:rPr/>
        <w:t>of</w:t>
      </w:r>
      <w:r>
        <w:rPr>
          <w:spacing w:val="-4"/>
        </w:rPr>
        <w:t> </w:t>
      </w:r>
      <w:r>
        <w:rPr/>
        <w:t>reducing</w:t>
      </w:r>
      <w:r>
        <w:rPr>
          <w:spacing w:val="-7"/>
        </w:rPr>
        <w:t> </w:t>
      </w:r>
      <w:r>
        <w:rPr/>
        <w:t>HIV/AIDS.</w:t>
      </w:r>
      <w:r>
        <w:rPr>
          <w:spacing w:val="-17"/>
        </w:rPr>
        <w:t> </w:t>
      </w:r>
      <w:r>
        <w:rPr/>
        <w:t>The</w:t>
      </w:r>
      <w:r>
        <w:rPr>
          <w:spacing w:val="-8"/>
        </w:rPr>
        <w:t> </w:t>
      </w:r>
      <w:r>
        <w:rPr/>
        <w:t>value of sex and procreation in many cultures makes it difficult for someone from outside the client's culture, especially someone of a different gender, to tell people to not have sex or to have sex only with a condom.</w:t>
      </w:r>
    </w:p>
    <w:p>
      <w:pPr>
        <w:pStyle w:val="BodyText"/>
        <w:spacing w:before="10"/>
        <w:rPr>
          <w:sz w:val="27"/>
        </w:rPr>
      </w:pPr>
    </w:p>
    <w:p>
      <w:pPr>
        <w:pStyle w:val="BodyText"/>
        <w:spacing w:line="259" w:lineRule="auto"/>
        <w:ind w:left="400" w:right="668"/>
      </w:pPr>
      <w:r>
        <w:rPr/>
        <w:t>Finally, it is important that the counselor recognize that much of what is asked</w:t>
      </w:r>
      <w:r>
        <w:rPr>
          <w:spacing w:val="-6"/>
        </w:rPr>
        <w:t> </w:t>
      </w:r>
      <w:r>
        <w:rPr/>
        <w:t>of</w:t>
      </w:r>
      <w:r>
        <w:rPr>
          <w:spacing w:val="-6"/>
        </w:rPr>
        <w:t> </w:t>
      </w:r>
      <w:r>
        <w:rPr/>
        <w:t>clients</w:t>
      </w:r>
      <w:r>
        <w:rPr>
          <w:spacing w:val="-4"/>
        </w:rPr>
        <w:t> </w:t>
      </w:r>
      <w:r>
        <w:rPr/>
        <w:t>and</w:t>
      </w:r>
      <w:r>
        <w:rPr>
          <w:spacing w:val="-4"/>
        </w:rPr>
        <w:t> </w:t>
      </w:r>
      <w:r>
        <w:rPr/>
        <w:t>their</w:t>
      </w:r>
      <w:r>
        <w:rPr>
          <w:spacing w:val="-4"/>
        </w:rPr>
        <w:t> </w:t>
      </w:r>
      <w:r>
        <w:rPr/>
        <w:t>families</w:t>
      </w:r>
      <w:r>
        <w:rPr>
          <w:spacing w:val="-4"/>
        </w:rPr>
        <w:t> </w:t>
      </w:r>
      <w:r>
        <w:rPr/>
        <w:t>is</w:t>
      </w:r>
      <w:r>
        <w:rPr>
          <w:spacing w:val="-4"/>
        </w:rPr>
        <w:t> </w:t>
      </w:r>
      <w:r>
        <w:rPr/>
        <w:t>personal</w:t>
      </w:r>
      <w:r>
        <w:rPr>
          <w:spacing w:val="-4"/>
        </w:rPr>
        <w:t> </w:t>
      </w:r>
      <w:r>
        <w:rPr/>
        <w:t>and</w:t>
      </w:r>
      <w:r>
        <w:rPr>
          <w:spacing w:val="-4"/>
        </w:rPr>
        <w:t> </w:t>
      </w:r>
      <w:r>
        <w:rPr/>
        <w:t>private.</w:t>
      </w:r>
      <w:r>
        <w:rPr>
          <w:spacing w:val="-4"/>
        </w:rPr>
        <w:t> </w:t>
      </w:r>
      <w:r>
        <w:rPr/>
        <w:t>Questions</w:t>
      </w:r>
      <w:r>
        <w:rPr>
          <w:spacing w:val="-4"/>
        </w:rPr>
        <w:t> </w:t>
      </w:r>
      <w:r>
        <w:rPr/>
        <w:t>related</w:t>
      </w:r>
    </w:p>
    <w:p>
      <w:pPr>
        <w:spacing w:after="0" w:line="259" w:lineRule="auto"/>
        <w:sectPr>
          <w:pgSz w:w="12240" w:h="15840"/>
          <w:pgMar w:header="0" w:footer="765" w:top="1260" w:bottom="980" w:left="1400" w:right="1180"/>
        </w:sectPr>
      </w:pPr>
    </w:p>
    <w:p>
      <w:pPr>
        <w:pStyle w:val="BodyText"/>
        <w:spacing w:line="259" w:lineRule="auto" w:before="66"/>
        <w:ind w:left="400" w:right="738"/>
      </w:pPr>
      <w:r>
        <w:rPr/>
        <w:t>to</w:t>
      </w:r>
      <w:r>
        <w:rPr>
          <w:spacing w:val="-1"/>
        </w:rPr>
        <w:t> </w:t>
      </w:r>
      <w:r>
        <w:rPr/>
        <w:t>sex,</w:t>
      </w:r>
      <w:r>
        <w:rPr>
          <w:spacing w:val="-1"/>
        </w:rPr>
        <w:t> </w:t>
      </w:r>
      <w:r>
        <w:rPr/>
        <w:t>dying,</w:t>
      </w:r>
      <w:r>
        <w:rPr>
          <w:spacing w:val="-1"/>
        </w:rPr>
        <w:t> </w:t>
      </w:r>
      <w:r>
        <w:rPr/>
        <w:t>and</w:t>
      </w:r>
      <w:r>
        <w:rPr>
          <w:spacing w:val="-1"/>
        </w:rPr>
        <w:t> </w:t>
      </w:r>
      <w:r>
        <w:rPr/>
        <w:t>substance</w:t>
      </w:r>
      <w:r>
        <w:rPr>
          <w:spacing w:val="-2"/>
        </w:rPr>
        <w:t> </w:t>
      </w:r>
      <w:r>
        <w:rPr/>
        <w:t>abuse</w:t>
      </w:r>
      <w:r>
        <w:rPr>
          <w:spacing w:val="-2"/>
        </w:rPr>
        <w:t> </w:t>
      </w:r>
      <w:r>
        <w:rPr/>
        <w:t>are</w:t>
      </w:r>
      <w:r>
        <w:rPr>
          <w:spacing w:val="-2"/>
        </w:rPr>
        <w:t> </w:t>
      </w:r>
      <w:r>
        <w:rPr/>
        <w:t>not</w:t>
      </w:r>
      <w:r>
        <w:rPr>
          <w:spacing w:val="-1"/>
        </w:rPr>
        <w:t> </w:t>
      </w:r>
      <w:r>
        <w:rPr/>
        <w:t>usual</w:t>
      </w:r>
      <w:r>
        <w:rPr>
          <w:spacing w:val="-1"/>
        </w:rPr>
        <w:t> </w:t>
      </w:r>
      <w:r>
        <w:rPr/>
        <w:t>topics</w:t>
      </w:r>
      <w:r>
        <w:rPr>
          <w:spacing w:val="-1"/>
        </w:rPr>
        <w:t> </w:t>
      </w:r>
      <w:r>
        <w:rPr/>
        <w:t>of</w:t>
      </w:r>
      <w:r>
        <w:rPr>
          <w:spacing w:val="-1"/>
        </w:rPr>
        <w:t> </w:t>
      </w:r>
      <w:r>
        <w:rPr/>
        <w:t>conversation,</w:t>
      </w:r>
      <w:r>
        <w:rPr>
          <w:spacing w:val="-1"/>
        </w:rPr>
        <w:t> </w:t>
      </w:r>
      <w:r>
        <w:rPr/>
        <w:t>and when asking these questions, the counselor crosses many boundaries. It often</w:t>
      </w:r>
      <w:r>
        <w:rPr>
          <w:spacing w:val="-9"/>
        </w:rPr>
        <w:t> </w:t>
      </w:r>
      <w:r>
        <w:rPr/>
        <w:t>is</w:t>
      </w:r>
      <w:r>
        <w:rPr>
          <w:spacing w:val="-9"/>
        </w:rPr>
        <w:t> </w:t>
      </w:r>
      <w:r>
        <w:rPr/>
        <w:t>considered</w:t>
      </w:r>
      <w:r>
        <w:rPr>
          <w:spacing w:val="-9"/>
        </w:rPr>
        <w:t> </w:t>
      </w:r>
      <w:r>
        <w:rPr/>
        <w:t>disrespectful</w:t>
      </w:r>
      <w:r>
        <w:rPr>
          <w:spacing w:val="-11"/>
        </w:rPr>
        <w:t> </w:t>
      </w:r>
      <w:r>
        <w:rPr/>
        <w:t>(and</w:t>
      </w:r>
      <w:r>
        <w:rPr>
          <w:spacing w:val="-9"/>
        </w:rPr>
        <w:t> </w:t>
      </w:r>
      <w:r>
        <w:rPr/>
        <w:t>offensive</w:t>
      </w:r>
      <w:r>
        <w:rPr>
          <w:spacing w:val="-10"/>
        </w:rPr>
        <w:t> </w:t>
      </w:r>
      <w:r>
        <w:rPr/>
        <w:t>to</w:t>
      </w:r>
      <w:r>
        <w:rPr>
          <w:spacing w:val="-5"/>
        </w:rPr>
        <w:t> </w:t>
      </w:r>
      <w:r>
        <w:rPr/>
        <w:t>certain</w:t>
      </w:r>
      <w:r>
        <w:rPr>
          <w:spacing w:val="-5"/>
        </w:rPr>
        <w:t> </w:t>
      </w:r>
      <w:r>
        <w:rPr/>
        <w:t>cultural</w:t>
      </w:r>
      <w:r>
        <w:rPr>
          <w:spacing w:val="-5"/>
        </w:rPr>
        <w:t> </w:t>
      </w:r>
      <w:r>
        <w:rPr/>
        <w:t>values)</w:t>
      </w:r>
      <w:r>
        <w:rPr>
          <w:spacing w:val="-5"/>
        </w:rPr>
        <w:t> </w:t>
      </w:r>
      <w:r>
        <w:rPr/>
        <w:t>to ask questions about these specific areas. One wise way to broach these subjects with clients, especially clients who are significantly older than the provider or from a more traditional culture, is to simply apologize</w:t>
      </w:r>
    </w:p>
    <w:p>
      <w:pPr>
        <w:pStyle w:val="BodyText"/>
        <w:spacing w:line="259" w:lineRule="auto"/>
        <w:ind w:left="400" w:right="738"/>
      </w:pPr>
      <w:r>
        <w:rPr/>
        <w:t>The most practical advice is for providers to (1) maintain an open mind, (2) use cultural consultants for training and support, and (3) when in doubt, defer</w:t>
      </w:r>
      <w:r>
        <w:rPr>
          <w:spacing w:val="-4"/>
        </w:rPr>
        <w:t> </w:t>
      </w:r>
      <w:r>
        <w:rPr/>
        <w:t>to</w:t>
      </w:r>
      <w:r>
        <w:rPr>
          <w:spacing w:val="-4"/>
        </w:rPr>
        <w:t> </w:t>
      </w:r>
      <w:r>
        <w:rPr/>
        <w:t>the</w:t>
      </w:r>
      <w:r>
        <w:rPr>
          <w:spacing w:val="-5"/>
        </w:rPr>
        <w:t> </w:t>
      </w:r>
      <w:r>
        <w:rPr/>
        <w:t>concepts</w:t>
      </w:r>
      <w:r>
        <w:rPr>
          <w:spacing w:val="-4"/>
        </w:rPr>
        <w:t> </w:t>
      </w:r>
      <w:r>
        <w:rPr/>
        <w:t>of</w:t>
      </w:r>
      <w:r>
        <w:rPr>
          <w:spacing w:val="-4"/>
        </w:rPr>
        <w:t> </w:t>
      </w:r>
      <w:r>
        <w:rPr/>
        <w:t>health</w:t>
      </w:r>
      <w:r>
        <w:rPr>
          <w:spacing w:val="-4"/>
        </w:rPr>
        <w:t> </w:t>
      </w:r>
      <w:r>
        <w:rPr/>
        <w:t>and</w:t>
      </w:r>
      <w:r>
        <w:rPr>
          <w:spacing w:val="-4"/>
        </w:rPr>
        <w:t> </w:t>
      </w:r>
      <w:r>
        <w:rPr/>
        <w:t>stability</w:t>
      </w:r>
      <w:r>
        <w:rPr>
          <w:spacing w:val="-4"/>
        </w:rPr>
        <w:t> </w:t>
      </w:r>
      <w:r>
        <w:rPr/>
        <w:t>over</w:t>
      </w:r>
      <w:r>
        <w:rPr>
          <w:spacing w:val="-4"/>
        </w:rPr>
        <w:t> </w:t>
      </w:r>
      <w:r>
        <w:rPr/>
        <w:t>pathology</w:t>
      </w:r>
      <w:r>
        <w:rPr>
          <w:spacing w:val="-4"/>
        </w:rPr>
        <w:t> </w:t>
      </w:r>
      <w:r>
        <w:rPr/>
        <w:t>and</w:t>
      </w:r>
      <w:r>
        <w:rPr>
          <w:spacing w:val="-4"/>
        </w:rPr>
        <w:t> </w:t>
      </w:r>
      <w:r>
        <w:rPr/>
        <w:t>dysfunction.</w:t>
      </w:r>
    </w:p>
    <w:p>
      <w:pPr>
        <w:pStyle w:val="BodyText"/>
        <w:spacing w:before="4"/>
        <w:rPr>
          <w:sz w:val="27"/>
        </w:rPr>
      </w:pPr>
    </w:p>
    <w:p>
      <w:pPr>
        <w:pStyle w:val="Heading2"/>
        <w:ind w:left="400"/>
      </w:pPr>
      <w:r>
        <w:rPr/>
        <w:t>Gay,</w:t>
      </w:r>
      <w:r>
        <w:rPr>
          <w:spacing w:val="-15"/>
        </w:rPr>
        <w:t> </w:t>
      </w:r>
      <w:r>
        <w:rPr/>
        <w:t>lesbian,</w:t>
      </w:r>
      <w:r>
        <w:rPr>
          <w:spacing w:val="-11"/>
        </w:rPr>
        <w:t> </w:t>
      </w:r>
      <w:r>
        <w:rPr/>
        <w:t>bisexual,</w:t>
      </w:r>
      <w:r>
        <w:rPr>
          <w:spacing w:val="-10"/>
        </w:rPr>
        <w:t> </w:t>
      </w:r>
      <w:r>
        <w:rPr/>
        <w:t>and</w:t>
      </w:r>
      <w:r>
        <w:rPr>
          <w:spacing w:val="-10"/>
        </w:rPr>
        <w:t> </w:t>
      </w:r>
      <w:r>
        <w:rPr/>
        <w:t>transgender</w:t>
      </w:r>
      <w:r>
        <w:rPr>
          <w:spacing w:val="-17"/>
        </w:rPr>
        <w:t> </w:t>
      </w:r>
      <w:r>
        <w:rPr>
          <w:spacing w:val="-2"/>
        </w:rPr>
        <w:t>populations</w:t>
      </w:r>
    </w:p>
    <w:p>
      <w:pPr>
        <w:pStyle w:val="BodyText"/>
        <w:spacing w:line="259" w:lineRule="auto" w:before="22"/>
        <w:ind w:left="400" w:right="668"/>
      </w:pPr>
      <w:r>
        <w:rPr/>
        <w:t>Providers wishing to serve the needs of particular ethnic or cultural groups have</w:t>
      </w:r>
      <w:r>
        <w:rPr>
          <w:spacing w:val="-6"/>
        </w:rPr>
        <w:t> </w:t>
      </w:r>
      <w:r>
        <w:rPr/>
        <w:t>learned</w:t>
      </w:r>
      <w:r>
        <w:rPr>
          <w:spacing w:val="-5"/>
        </w:rPr>
        <w:t> </w:t>
      </w:r>
      <w:r>
        <w:rPr/>
        <w:t>that</w:t>
      </w:r>
      <w:r>
        <w:rPr>
          <w:spacing w:val="-9"/>
        </w:rPr>
        <w:t> </w:t>
      </w:r>
      <w:r>
        <w:rPr/>
        <w:t>communities</w:t>
      </w:r>
      <w:r>
        <w:rPr>
          <w:spacing w:val="-9"/>
        </w:rPr>
        <w:t> </w:t>
      </w:r>
      <w:r>
        <w:rPr/>
        <w:t>must</w:t>
      </w:r>
      <w:r>
        <w:rPr>
          <w:spacing w:val="-9"/>
        </w:rPr>
        <w:t> </w:t>
      </w:r>
      <w:r>
        <w:rPr/>
        <w:t>be</w:t>
      </w:r>
      <w:r>
        <w:rPr>
          <w:spacing w:val="-10"/>
        </w:rPr>
        <w:t> </w:t>
      </w:r>
      <w:r>
        <w:rPr/>
        <w:t>understood,</w:t>
      </w:r>
      <w:r>
        <w:rPr>
          <w:spacing w:val="-9"/>
        </w:rPr>
        <w:t> </w:t>
      </w:r>
      <w:r>
        <w:rPr/>
        <w:t>respected,</w:t>
      </w:r>
      <w:r>
        <w:rPr>
          <w:spacing w:val="-9"/>
        </w:rPr>
        <w:t> </w:t>
      </w:r>
      <w:r>
        <w:rPr/>
        <w:t>and</w:t>
      </w:r>
      <w:r>
        <w:rPr>
          <w:spacing w:val="-9"/>
        </w:rPr>
        <w:t> </w:t>
      </w:r>
      <w:r>
        <w:rPr/>
        <w:t>consulted in order to make effective interventions; this also holds true when working with gay men, lesbians, and bisexual men and women. This population is defined not by traditionally understood cultural and ethnic minority criteria, but by having a sexual orientation that differs from that of the majority.</w:t>
      </w:r>
    </w:p>
    <w:p>
      <w:pPr>
        <w:pStyle w:val="BodyText"/>
        <w:spacing w:line="259" w:lineRule="auto"/>
        <w:ind w:left="400"/>
      </w:pPr>
      <w:r>
        <w:rPr/>
        <w:t>Transgender</w:t>
      </w:r>
      <w:r>
        <w:rPr>
          <w:spacing w:val="-4"/>
        </w:rPr>
        <w:t> </w:t>
      </w:r>
      <w:r>
        <w:rPr/>
        <w:t>people</w:t>
      </w:r>
      <w:r>
        <w:rPr>
          <w:spacing w:val="-5"/>
        </w:rPr>
        <w:t> </w:t>
      </w:r>
      <w:r>
        <w:rPr/>
        <w:t>also</w:t>
      </w:r>
      <w:r>
        <w:rPr>
          <w:spacing w:val="-4"/>
        </w:rPr>
        <w:t> </w:t>
      </w:r>
      <w:r>
        <w:rPr/>
        <w:t>form</w:t>
      </w:r>
      <w:r>
        <w:rPr>
          <w:spacing w:val="-4"/>
        </w:rPr>
        <w:t> </w:t>
      </w:r>
      <w:r>
        <w:rPr/>
        <w:t>a</w:t>
      </w:r>
      <w:r>
        <w:rPr>
          <w:spacing w:val="-5"/>
        </w:rPr>
        <w:t> </w:t>
      </w:r>
      <w:r>
        <w:rPr/>
        <w:t>unique</w:t>
      </w:r>
      <w:r>
        <w:rPr>
          <w:spacing w:val="-5"/>
        </w:rPr>
        <w:t> </w:t>
      </w:r>
      <w:r>
        <w:rPr/>
        <w:t>population,</w:t>
      </w:r>
      <w:r>
        <w:rPr>
          <w:spacing w:val="-4"/>
        </w:rPr>
        <w:t> </w:t>
      </w:r>
      <w:r>
        <w:rPr/>
        <w:t>often</w:t>
      </w:r>
      <w:r>
        <w:rPr>
          <w:spacing w:val="-4"/>
        </w:rPr>
        <w:t> </w:t>
      </w:r>
      <w:r>
        <w:rPr/>
        <w:t>linked</w:t>
      </w:r>
      <w:r>
        <w:rPr>
          <w:spacing w:val="-4"/>
        </w:rPr>
        <w:t> </w:t>
      </w:r>
      <w:r>
        <w:rPr/>
        <w:t>to</w:t>
      </w:r>
      <w:r>
        <w:rPr>
          <w:spacing w:val="-4"/>
        </w:rPr>
        <w:t> </w:t>
      </w:r>
      <w:r>
        <w:rPr/>
        <w:t>gay</w:t>
      </w:r>
      <w:r>
        <w:rPr>
          <w:spacing w:val="-4"/>
        </w:rPr>
        <w:t> </w:t>
      </w:r>
      <w:r>
        <w:rPr/>
        <w:t>men, lesbians, and bisexuals, although they differ from the majority by gender identification rather than sexual orientation.</w:t>
      </w:r>
    </w:p>
    <w:p>
      <w:pPr>
        <w:pStyle w:val="BodyText"/>
        <w:spacing w:before="9"/>
        <w:rPr>
          <w:sz w:val="27"/>
        </w:rPr>
      </w:pPr>
    </w:p>
    <w:p>
      <w:pPr>
        <w:pStyle w:val="BodyText"/>
        <w:spacing w:line="259" w:lineRule="auto"/>
        <w:ind w:left="400" w:right="661"/>
      </w:pPr>
      <w:r>
        <w:rPr/>
        <w:t>Men who have sex with men (or MSMs--the CDC category used to report</w:t>
      </w:r>
      <w:r>
        <w:rPr>
          <w:spacing w:val="40"/>
        </w:rPr>
        <w:t> </w:t>
      </w:r>
      <w:r>
        <w:rPr/>
        <w:t>its data) may self-identify as gay (men with homosexual sexual</w:t>
      </w:r>
      <w:r>
        <w:rPr>
          <w:spacing w:val="40"/>
        </w:rPr>
        <w:t> </w:t>
      </w:r>
      <w:r>
        <w:rPr/>
        <w:t>orientations), bisexual (men who feel sexually drawn to both men and women), or heterosexual (men having sex with men as a purely physical act and</w:t>
      </w:r>
      <w:r>
        <w:rPr>
          <w:spacing w:val="-7"/>
        </w:rPr>
        <w:t> </w:t>
      </w:r>
      <w:r>
        <w:rPr/>
        <w:t>not</w:t>
      </w:r>
      <w:r>
        <w:rPr>
          <w:spacing w:val="-8"/>
        </w:rPr>
        <w:t> </w:t>
      </w:r>
      <w:r>
        <w:rPr/>
        <w:t>a</w:t>
      </w:r>
      <w:r>
        <w:rPr>
          <w:spacing w:val="-8"/>
        </w:rPr>
        <w:t> </w:t>
      </w:r>
      <w:r>
        <w:rPr/>
        <w:t>reflection</w:t>
      </w:r>
      <w:r>
        <w:rPr>
          <w:spacing w:val="-7"/>
        </w:rPr>
        <w:t> </w:t>
      </w:r>
      <w:r>
        <w:rPr/>
        <w:t>of</w:t>
      </w:r>
      <w:r>
        <w:rPr>
          <w:spacing w:val="-7"/>
        </w:rPr>
        <w:t> </w:t>
      </w:r>
      <w:r>
        <w:rPr/>
        <w:t>innate</w:t>
      </w:r>
      <w:r>
        <w:rPr>
          <w:spacing w:val="-8"/>
        </w:rPr>
        <w:t> </w:t>
      </w:r>
      <w:r>
        <w:rPr/>
        <w:t>sexual</w:t>
      </w:r>
      <w:r>
        <w:rPr>
          <w:spacing w:val="-7"/>
        </w:rPr>
        <w:t> </w:t>
      </w:r>
      <w:r>
        <w:rPr/>
        <w:t>orientation).</w:t>
      </w:r>
      <w:r>
        <w:rPr>
          <w:spacing w:val="-7"/>
        </w:rPr>
        <w:t> </w:t>
      </w:r>
      <w:r>
        <w:rPr/>
        <w:t>No</w:t>
      </w:r>
      <w:r>
        <w:rPr>
          <w:spacing w:val="-7"/>
        </w:rPr>
        <w:t> </w:t>
      </w:r>
      <w:r>
        <w:rPr/>
        <w:t>matter</w:t>
      </w:r>
      <w:r>
        <w:rPr>
          <w:spacing w:val="-7"/>
        </w:rPr>
        <w:t> </w:t>
      </w:r>
      <w:r>
        <w:rPr/>
        <w:t>what</w:t>
      </w:r>
      <w:r>
        <w:rPr>
          <w:spacing w:val="-7"/>
        </w:rPr>
        <w:t> </w:t>
      </w:r>
      <w:r>
        <w:rPr/>
        <w:t>their</w:t>
      </w:r>
      <w:r>
        <w:rPr>
          <w:spacing w:val="-3"/>
        </w:rPr>
        <w:t> </w:t>
      </w:r>
      <w:r>
        <w:rPr/>
        <w:t>sexual orientation, unprotected sexual contact puts MSMs at risk for HIV. In most reviews of gay men and safer sex practices, most men who were knowledgeable about safer sex failed to practice it while under the influence of some substance.</w:t>
      </w:r>
      <w:r>
        <w:rPr>
          <w:spacing w:val="40"/>
        </w:rPr>
        <w:t> </w:t>
      </w:r>
      <w:r>
        <w:rPr/>
        <w:t>Many men from minority backgrounds who have sex with other men do not self-identify as gay or bisexual, so interventions should be based not on sexual orientation, but on sexual behavior.</w:t>
      </w:r>
    </w:p>
    <w:p>
      <w:pPr>
        <w:pStyle w:val="BodyText"/>
        <w:spacing w:before="10"/>
        <w:rPr>
          <w:sz w:val="27"/>
        </w:rPr>
      </w:pPr>
    </w:p>
    <w:p>
      <w:pPr>
        <w:pStyle w:val="BodyText"/>
        <w:spacing w:line="259" w:lineRule="auto"/>
        <w:ind w:left="400" w:right="867"/>
      </w:pPr>
      <w:r>
        <w:rPr/>
        <w:t>Some</w:t>
      </w:r>
      <w:r>
        <w:rPr>
          <w:spacing w:val="-6"/>
        </w:rPr>
        <w:t> </w:t>
      </w:r>
      <w:r>
        <w:rPr/>
        <w:t>women</w:t>
      </w:r>
      <w:r>
        <w:rPr>
          <w:spacing w:val="-3"/>
        </w:rPr>
        <w:t> </w:t>
      </w:r>
      <w:r>
        <w:rPr/>
        <w:t>who</w:t>
      </w:r>
      <w:r>
        <w:rPr>
          <w:spacing w:val="-3"/>
        </w:rPr>
        <w:t> </w:t>
      </w:r>
      <w:r>
        <w:rPr/>
        <w:t>have</w:t>
      </w:r>
      <w:r>
        <w:rPr>
          <w:spacing w:val="-4"/>
        </w:rPr>
        <w:t> </w:t>
      </w:r>
      <w:r>
        <w:rPr/>
        <w:t>sex</w:t>
      </w:r>
      <w:r>
        <w:rPr>
          <w:spacing w:val="-3"/>
        </w:rPr>
        <w:t> </w:t>
      </w:r>
      <w:r>
        <w:rPr/>
        <w:t>with</w:t>
      </w:r>
      <w:r>
        <w:rPr>
          <w:spacing w:val="-3"/>
        </w:rPr>
        <w:t> </w:t>
      </w:r>
      <w:r>
        <w:rPr/>
        <w:t>women</w:t>
      </w:r>
      <w:r>
        <w:rPr>
          <w:spacing w:val="-3"/>
        </w:rPr>
        <w:t> </w:t>
      </w:r>
      <w:r>
        <w:rPr/>
        <w:t>continue</w:t>
      </w:r>
      <w:r>
        <w:rPr>
          <w:spacing w:val="-4"/>
        </w:rPr>
        <w:t> </w:t>
      </w:r>
      <w:r>
        <w:rPr/>
        <w:t>to</w:t>
      </w:r>
      <w:r>
        <w:rPr>
          <w:spacing w:val="-3"/>
        </w:rPr>
        <w:t> </w:t>
      </w:r>
      <w:r>
        <w:rPr/>
        <w:t>have</w:t>
      </w:r>
      <w:r>
        <w:rPr>
          <w:spacing w:val="-4"/>
        </w:rPr>
        <w:t> </w:t>
      </w:r>
      <w:r>
        <w:rPr/>
        <w:t>sex</w:t>
      </w:r>
      <w:r>
        <w:rPr>
          <w:spacing w:val="-3"/>
        </w:rPr>
        <w:t> </w:t>
      </w:r>
      <w:r>
        <w:rPr/>
        <w:t>with</w:t>
      </w:r>
      <w:r>
        <w:rPr>
          <w:spacing w:val="-3"/>
        </w:rPr>
        <w:t> </w:t>
      </w:r>
      <w:r>
        <w:rPr/>
        <w:t>men.</w:t>
      </w:r>
      <w:r>
        <w:rPr>
          <w:spacing w:val="-24"/>
        </w:rPr>
        <w:t> </w:t>
      </w:r>
      <w:r>
        <w:rPr/>
        <w:t>A number of these women may be injection drug users and share syringes; consequently, they are prone to HIV</w:t>
      </w:r>
      <w:r>
        <w:rPr>
          <w:spacing w:val="-5"/>
        </w:rPr>
        <w:t> </w:t>
      </w:r>
      <w:r>
        <w:rPr/>
        <w:t>infection.</w:t>
      </w:r>
      <w:r>
        <w:rPr>
          <w:spacing w:val="-27"/>
        </w:rPr>
        <w:t> </w:t>
      </w:r>
      <w:r>
        <w:rPr/>
        <w:t>Although it is unlikely that female-to-female transmission of the virus will occur, lesbians have been urged to use safer sex precautions, such as using dental dams during oral </w:t>
      </w:r>
      <w:r>
        <w:rPr>
          <w:spacing w:val="-4"/>
        </w:rPr>
        <w:t>sex.</w:t>
      </w:r>
    </w:p>
    <w:p>
      <w:pPr>
        <w:spacing w:after="0" w:line="259" w:lineRule="auto"/>
        <w:sectPr>
          <w:pgSz w:w="12240" w:h="15840"/>
          <w:pgMar w:header="0" w:footer="765" w:top="1260" w:bottom="980" w:left="1400" w:right="1180"/>
        </w:sectPr>
      </w:pPr>
    </w:p>
    <w:p>
      <w:pPr>
        <w:pStyle w:val="BodyText"/>
        <w:spacing w:line="259" w:lineRule="auto" w:before="66"/>
        <w:ind w:left="400" w:right="821"/>
      </w:pPr>
      <w:r>
        <w:rPr/>
        <w:t>Lesbians present some specific issues that must be highlighted. Compared with</w:t>
      </w:r>
      <w:r>
        <w:rPr>
          <w:spacing w:val="-3"/>
        </w:rPr>
        <w:t> </w:t>
      </w:r>
      <w:r>
        <w:rPr/>
        <w:t>gay</w:t>
      </w:r>
      <w:r>
        <w:rPr>
          <w:spacing w:val="-3"/>
        </w:rPr>
        <w:t> </w:t>
      </w:r>
      <w:r>
        <w:rPr/>
        <w:t>men,</w:t>
      </w:r>
      <w:r>
        <w:rPr>
          <w:spacing w:val="-3"/>
        </w:rPr>
        <w:t> </w:t>
      </w:r>
      <w:r>
        <w:rPr/>
        <w:t>they</w:t>
      </w:r>
      <w:r>
        <w:rPr>
          <w:spacing w:val="-3"/>
        </w:rPr>
        <w:t> </w:t>
      </w:r>
      <w:r>
        <w:rPr/>
        <w:t>are</w:t>
      </w:r>
      <w:r>
        <w:rPr>
          <w:spacing w:val="-4"/>
        </w:rPr>
        <w:t> </w:t>
      </w:r>
      <w:r>
        <w:rPr/>
        <w:t>more</w:t>
      </w:r>
      <w:r>
        <w:rPr>
          <w:spacing w:val="-4"/>
        </w:rPr>
        <w:t> </w:t>
      </w:r>
      <w:r>
        <w:rPr/>
        <w:t>likely</w:t>
      </w:r>
      <w:r>
        <w:rPr>
          <w:spacing w:val="-3"/>
        </w:rPr>
        <w:t> </w:t>
      </w:r>
      <w:r>
        <w:rPr/>
        <w:t>to</w:t>
      </w:r>
      <w:r>
        <w:rPr>
          <w:spacing w:val="-3"/>
        </w:rPr>
        <w:t> </w:t>
      </w:r>
      <w:r>
        <w:rPr/>
        <w:t>have</w:t>
      </w:r>
      <w:r>
        <w:rPr>
          <w:spacing w:val="-4"/>
        </w:rPr>
        <w:t> </w:t>
      </w:r>
      <w:r>
        <w:rPr/>
        <w:t>lower</w:t>
      </w:r>
      <w:r>
        <w:rPr>
          <w:spacing w:val="-3"/>
        </w:rPr>
        <w:t> </w:t>
      </w:r>
      <w:r>
        <w:rPr/>
        <w:t>incomes</w:t>
      </w:r>
      <w:r>
        <w:rPr>
          <w:spacing w:val="-3"/>
        </w:rPr>
        <w:t> </w:t>
      </w:r>
      <w:r>
        <w:rPr/>
        <w:t>(as</w:t>
      </w:r>
      <w:r>
        <w:rPr>
          <w:spacing w:val="-3"/>
        </w:rPr>
        <w:t> </w:t>
      </w:r>
      <w:r>
        <w:rPr/>
        <w:t>do</w:t>
      </w:r>
      <w:r>
        <w:rPr>
          <w:spacing w:val="-3"/>
        </w:rPr>
        <w:t> </w:t>
      </w:r>
      <w:r>
        <w:rPr/>
        <w:t>women</w:t>
      </w:r>
      <w:r>
        <w:rPr>
          <w:spacing w:val="-3"/>
        </w:rPr>
        <w:t> </w:t>
      </w:r>
      <w:r>
        <w:rPr/>
        <w:t>in general when compared</w:t>
      </w:r>
      <w:r>
        <w:rPr>
          <w:spacing w:val="40"/>
        </w:rPr>
        <w:t> </w:t>
      </w:r>
      <w:r>
        <w:rPr/>
        <w:t>with men); are more likely to be parents (about one-third of lesbians are biological parents); face prejudice as women as</w:t>
      </w:r>
    </w:p>
    <w:p>
      <w:pPr>
        <w:pStyle w:val="BodyText"/>
        <w:spacing w:line="259" w:lineRule="auto"/>
        <w:ind w:left="400" w:right="675"/>
        <w:rPr>
          <w:i/>
        </w:rPr>
      </w:pPr>
      <w:r>
        <w:rPr/>
        <w:t>well</w:t>
      </w:r>
      <w:r>
        <w:rPr>
          <w:spacing w:val="-5"/>
        </w:rPr>
        <w:t> </w:t>
      </w:r>
      <w:r>
        <w:rPr/>
        <w:t>as</w:t>
      </w:r>
      <w:r>
        <w:rPr>
          <w:spacing w:val="-5"/>
        </w:rPr>
        <w:t> </w:t>
      </w:r>
      <w:r>
        <w:rPr/>
        <w:t>for</w:t>
      </w:r>
      <w:r>
        <w:rPr>
          <w:spacing w:val="-5"/>
        </w:rPr>
        <w:t> </w:t>
      </w:r>
      <w:r>
        <w:rPr/>
        <w:t>being</w:t>
      </w:r>
      <w:r>
        <w:rPr>
          <w:spacing w:val="-5"/>
        </w:rPr>
        <w:t> </w:t>
      </w:r>
      <w:r>
        <w:rPr/>
        <w:t>gay,</w:t>
      </w:r>
      <w:r>
        <w:rPr>
          <w:spacing w:val="-5"/>
        </w:rPr>
        <w:t> </w:t>
      </w:r>
      <w:r>
        <w:rPr/>
        <w:t>including</w:t>
      </w:r>
      <w:r>
        <w:rPr>
          <w:spacing w:val="-5"/>
        </w:rPr>
        <w:t> </w:t>
      </w:r>
      <w:r>
        <w:rPr/>
        <w:t>the</w:t>
      </w:r>
      <w:r>
        <w:rPr>
          <w:spacing w:val="-6"/>
        </w:rPr>
        <w:t> </w:t>
      </w:r>
      <w:r>
        <w:rPr/>
        <w:t>stronger</w:t>
      </w:r>
      <w:r>
        <w:rPr>
          <w:spacing w:val="-5"/>
        </w:rPr>
        <w:t> </w:t>
      </w:r>
      <w:r>
        <w:rPr/>
        <w:t>reaction</w:t>
      </w:r>
      <w:r>
        <w:rPr>
          <w:spacing w:val="-5"/>
        </w:rPr>
        <w:t> </w:t>
      </w:r>
      <w:r>
        <w:rPr/>
        <w:t>against</w:t>
      </w:r>
      <w:r>
        <w:rPr>
          <w:spacing w:val="-5"/>
        </w:rPr>
        <w:t> </w:t>
      </w:r>
      <w:r>
        <w:rPr/>
        <w:t>and</w:t>
      </w:r>
      <w:r>
        <w:rPr>
          <w:spacing w:val="-5"/>
        </w:rPr>
        <w:t> </w:t>
      </w:r>
      <w:r>
        <w:rPr/>
        <w:t>willingness to ignore females with substance abuse disorders; are more likely to come out later in life (about 28 years of age versus 18 years of age in men); and are</w:t>
      </w:r>
      <w:r>
        <w:rPr>
          <w:spacing w:val="-3"/>
        </w:rPr>
        <w:t> </w:t>
      </w:r>
      <w:r>
        <w:rPr/>
        <w:t>more</w:t>
      </w:r>
      <w:r>
        <w:rPr>
          <w:spacing w:val="-3"/>
        </w:rPr>
        <w:t> </w:t>
      </w:r>
      <w:r>
        <w:rPr/>
        <w:t>likely</w:t>
      </w:r>
      <w:r>
        <w:rPr>
          <w:spacing w:val="-2"/>
        </w:rPr>
        <w:t> </w:t>
      </w:r>
      <w:r>
        <w:rPr/>
        <w:t>to</w:t>
      </w:r>
      <w:r>
        <w:rPr>
          <w:spacing w:val="-2"/>
        </w:rPr>
        <w:t> </w:t>
      </w:r>
      <w:r>
        <w:rPr/>
        <w:t>have</w:t>
      </w:r>
      <w:r>
        <w:rPr>
          <w:spacing w:val="-3"/>
        </w:rPr>
        <w:t> </w:t>
      </w:r>
      <w:r>
        <w:rPr/>
        <w:t>bisexual</w:t>
      </w:r>
      <w:r>
        <w:rPr>
          <w:spacing w:val="-2"/>
        </w:rPr>
        <w:t> </w:t>
      </w:r>
      <w:r>
        <w:rPr/>
        <w:t>feelings</w:t>
      </w:r>
      <w:r>
        <w:rPr>
          <w:spacing w:val="-2"/>
        </w:rPr>
        <w:t> </w:t>
      </w:r>
      <w:r>
        <w:rPr/>
        <w:t>or</w:t>
      </w:r>
      <w:r>
        <w:rPr>
          <w:spacing w:val="-2"/>
        </w:rPr>
        <w:t> </w:t>
      </w:r>
      <w:r>
        <w:rPr/>
        <w:t>experiences,</w:t>
      </w:r>
      <w:r>
        <w:rPr>
          <w:spacing w:val="-2"/>
        </w:rPr>
        <w:t> </w:t>
      </w:r>
      <w:r>
        <w:rPr/>
        <w:t>so</w:t>
      </w:r>
      <w:r>
        <w:rPr>
          <w:spacing w:val="-2"/>
        </w:rPr>
        <w:t> </w:t>
      </w:r>
      <w:r>
        <w:rPr/>
        <w:t>that</w:t>
      </w:r>
      <w:r>
        <w:rPr>
          <w:spacing w:val="-2"/>
        </w:rPr>
        <w:t> </w:t>
      </w:r>
      <w:r>
        <w:rPr/>
        <w:t>they</w:t>
      </w:r>
      <w:r>
        <w:rPr>
          <w:spacing w:val="-2"/>
        </w:rPr>
        <w:t> </w:t>
      </w:r>
      <w:r>
        <w:rPr/>
        <w:t>are</w:t>
      </w:r>
      <w:r>
        <w:rPr>
          <w:spacing w:val="-3"/>
        </w:rPr>
        <w:t> </w:t>
      </w:r>
      <w:r>
        <w:rPr/>
        <w:t>still at sexual risk for HIV infection as well as possible IDU risk </w:t>
      </w:r>
      <w:r>
        <w:rPr>
          <w:i/>
        </w:rPr>
        <w:t>(Banks and</w:t>
      </w:r>
      <w:r>
        <w:rPr>
          <w:i/>
        </w:rPr>
        <w:t> Gartrell, ; Bell et al.,; Bradford and Ryan,</w:t>
      </w:r>
      <w:r>
        <w:rPr>
          <w:i/>
          <w:spacing w:val="40"/>
        </w:rPr>
        <w:t> </w:t>
      </w:r>
      <w:r>
        <w:rPr>
          <w:i/>
        </w:rPr>
        <w:t>Mosbacher).</w:t>
      </w:r>
    </w:p>
    <w:p>
      <w:pPr>
        <w:pStyle w:val="BodyText"/>
        <w:spacing w:before="7"/>
        <w:rPr>
          <w:i/>
          <w:sz w:val="27"/>
        </w:rPr>
      </w:pPr>
    </w:p>
    <w:p>
      <w:pPr>
        <w:pStyle w:val="BodyText"/>
        <w:spacing w:line="259" w:lineRule="auto" w:before="1"/>
        <w:ind w:left="400" w:right="668"/>
      </w:pPr>
      <w:r>
        <w:rPr/>
        <w:t>Gay youth also present treatment challenges. Special sensitivity and understanding are needed to work with youth of any background, especially youth</w:t>
      </w:r>
      <w:r>
        <w:rPr>
          <w:spacing w:val="-4"/>
        </w:rPr>
        <w:t> </w:t>
      </w:r>
      <w:r>
        <w:rPr/>
        <w:t>who</w:t>
      </w:r>
      <w:r>
        <w:rPr>
          <w:spacing w:val="-4"/>
        </w:rPr>
        <w:t> </w:t>
      </w:r>
      <w:r>
        <w:rPr/>
        <w:t>are</w:t>
      </w:r>
      <w:r>
        <w:rPr>
          <w:spacing w:val="-5"/>
        </w:rPr>
        <w:t> </w:t>
      </w:r>
      <w:r>
        <w:rPr/>
        <w:t>gay</w:t>
      </w:r>
      <w:r>
        <w:rPr>
          <w:spacing w:val="-4"/>
        </w:rPr>
        <w:t> </w:t>
      </w:r>
      <w:r>
        <w:rPr/>
        <w:t>or</w:t>
      </w:r>
      <w:r>
        <w:rPr>
          <w:spacing w:val="-4"/>
        </w:rPr>
        <w:t> </w:t>
      </w:r>
      <w:r>
        <w:rPr/>
        <w:t>lesbian</w:t>
      </w:r>
      <w:r>
        <w:rPr>
          <w:spacing w:val="-4"/>
        </w:rPr>
        <w:t> </w:t>
      </w:r>
      <w:r>
        <w:rPr/>
        <w:t>or from an ethnic</w:t>
      </w:r>
      <w:r>
        <w:rPr>
          <w:spacing w:val="-1"/>
        </w:rPr>
        <w:t> </w:t>
      </w:r>
      <w:r>
        <w:rPr/>
        <w:t>minority background.</w:t>
      </w:r>
      <w:r>
        <w:rPr>
          <w:spacing w:val="-13"/>
        </w:rPr>
        <w:t> </w:t>
      </w:r>
      <w:r>
        <w:rPr/>
        <w:t>Young gay males in particular may be subjected to harassment at home or school, and</w:t>
      </w:r>
      <w:r>
        <w:rPr>
          <w:spacing w:val="-5"/>
        </w:rPr>
        <w:t> </w:t>
      </w:r>
      <w:r>
        <w:rPr/>
        <w:t>they</w:t>
      </w:r>
      <w:r>
        <w:rPr>
          <w:spacing w:val="-5"/>
        </w:rPr>
        <w:t> </w:t>
      </w:r>
      <w:r>
        <w:rPr/>
        <w:t>are</w:t>
      </w:r>
      <w:r>
        <w:rPr>
          <w:spacing w:val="-6"/>
        </w:rPr>
        <w:t> </w:t>
      </w:r>
      <w:r>
        <w:rPr/>
        <w:t>prone</w:t>
      </w:r>
      <w:r>
        <w:rPr>
          <w:spacing w:val="-6"/>
        </w:rPr>
        <w:t> </w:t>
      </w:r>
      <w:r>
        <w:rPr/>
        <w:t>to</w:t>
      </w:r>
      <w:r>
        <w:rPr>
          <w:spacing w:val="-5"/>
        </w:rPr>
        <w:t> </w:t>
      </w:r>
      <w:r>
        <w:rPr/>
        <w:t>alcohol</w:t>
      </w:r>
      <w:r>
        <w:rPr>
          <w:spacing w:val="-5"/>
        </w:rPr>
        <w:t> </w:t>
      </w:r>
      <w:r>
        <w:rPr/>
        <w:t>use,</w:t>
      </w:r>
      <w:r>
        <w:rPr>
          <w:spacing w:val="-5"/>
        </w:rPr>
        <w:t> </w:t>
      </w:r>
      <w:r>
        <w:rPr/>
        <w:t>dropping</w:t>
      </w:r>
      <w:r>
        <w:rPr>
          <w:spacing w:val="-5"/>
        </w:rPr>
        <w:t> </w:t>
      </w:r>
      <w:r>
        <w:rPr/>
        <w:t>out</w:t>
      </w:r>
      <w:r>
        <w:rPr>
          <w:spacing w:val="-5"/>
        </w:rPr>
        <w:t> </w:t>
      </w:r>
      <w:r>
        <w:rPr/>
        <w:t>of</w:t>
      </w:r>
      <w:r>
        <w:rPr>
          <w:spacing w:val="-5"/>
        </w:rPr>
        <w:t> </w:t>
      </w:r>
      <w:r>
        <w:rPr/>
        <w:t>school,</w:t>
      </w:r>
      <w:r>
        <w:rPr>
          <w:spacing w:val="-5"/>
        </w:rPr>
        <w:t> </w:t>
      </w:r>
      <w:r>
        <w:rPr/>
        <w:t>running</w:t>
      </w:r>
      <w:r>
        <w:rPr>
          <w:spacing w:val="-5"/>
        </w:rPr>
        <w:t> </w:t>
      </w:r>
      <w:r>
        <w:rPr/>
        <w:t>away,</w:t>
      </w:r>
      <w:r>
        <w:rPr>
          <w:spacing w:val="-5"/>
        </w:rPr>
        <w:t> </w:t>
      </w:r>
      <w:r>
        <w:rPr/>
        <w:t>and getting involved in sex for drugs or money (</w:t>
      </w:r>
      <w:r>
        <w:rPr>
          <w:i/>
        </w:rPr>
        <w:t>Ku et al.,; Rotheram- Borus et</w:t>
      </w:r>
      <w:r>
        <w:rPr>
          <w:i/>
        </w:rPr>
        <w:t> al.,; Savin-Williams)</w:t>
      </w:r>
      <w:r>
        <w:rPr/>
        <w:t>. Many young gay male streetworkers abuse amphetamines, "tweaking" to have a sexual experience, and may exchange sex for drugs.</w:t>
      </w:r>
    </w:p>
    <w:p>
      <w:pPr>
        <w:pStyle w:val="BodyText"/>
        <w:spacing w:before="8"/>
        <w:rPr>
          <w:sz w:val="27"/>
        </w:rPr>
      </w:pPr>
    </w:p>
    <w:p>
      <w:pPr>
        <w:pStyle w:val="BodyText"/>
        <w:spacing w:line="259" w:lineRule="auto"/>
        <w:ind w:left="400" w:right="769"/>
      </w:pPr>
      <w:r>
        <w:rPr/>
        <w:t>In</w:t>
      </w:r>
      <w:r>
        <w:rPr>
          <w:spacing w:val="-7"/>
        </w:rPr>
        <w:t> </w:t>
      </w:r>
      <w:r>
        <w:rPr/>
        <w:t>general,</w:t>
      </w:r>
      <w:r>
        <w:rPr>
          <w:spacing w:val="-7"/>
        </w:rPr>
        <w:t> </w:t>
      </w:r>
      <w:r>
        <w:rPr/>
        <w:t>gay</w:t>
      </w:r>
      <w:r>
        <w:rPr>
          <w:spacing w:val="-7"/>
        </w:rPr>
        <w:t> </w:t>
      </w:r>
      <w:r>
        <w:rPr/>
        <w:t>men,</w:t>
      </w:r>
      <w:r>
        <w:rPr>
          <w:spacing w:val="-7"/>
        </w:rPr>
        <w:t> </w:t>
      </w:r>
      <w:r>
        <w:rPr/>
        <w:t>lesbians,</w:t>
      </w:r>
      <w:r>
        <w:rPr>
          <w:spacing w:val="-7"/>
        </w:rPr>
        <w:t> </w:t>
      </w:r>
      <w:r>
        <w:rPr/>
        <w:t>bisexuals,</w:t>
      </w:r>
      <w:r>
        <w:rPr>
          <w:spacing w:val="-7"/>
        </w:rPr>
        <w:t> </w:t>
      </w:r>
      <w:r>
        <w:rPr/>
        <w:t>and</w:t>
      </w:r>
      <w:r>
        <w:rPr>
          <w:spacing w:val="-7"/>
        </w:rPr>
        <w:t> </w:t>
      </w:r>
      <w:r>
        <w:rPr/>
        <w:t>transgender</w:t>
      </w:r>
      <w:r>
        <w:rPr>
          <w:spacing w:val="-7"/>
        </w:rPr>
        <w:t> </w:t>
      </w:r>
      <w:r>
        <w:rPr/>
        <w:t>people</w:t>
      </w:r>
      <w:r>
        <w:rPr>
          <w:spacing w:val="-8"/>
        </w:rPr>
        <w:t> </w:t>
      </w:r>
      <w:r>
        <w:rPr/>
        <w:t>are</w:t>
      </w:r>
      <w:r>
        <w:rPr>
          <w:spacing w:val="-8"/>
        </w:rPr>
        <w:t> </w:t>
      </w:r>
      <w:r>
        <w:rPr/>
        <w:t>wary</w:t>
      </w:r>
      <w:r>
        <w:rPr>
          <w:spacing w:val="-7"/>
        </w:rPr>
        <w:t> </w:t>
      </w:r>
      <w:r>
        <w:rPr/>
        <w:t>of the medical establishment and may resist seeking health care, distrust the advice given, or question the treatment plan suggested if the provider displays evidence of homophobia or heterosexism.</w:t>
      </w:r>
    </w:p>
    <w:p>
      <w:pPr>
        <w:pStyle w:val="BodyText"/>
        <w:spacing w:before="5"/>
      </w:pPr>
    </w:p>
    <w:p>
      <w:pPr>
        <w:pStyle w:val="BodyText"/>
        <w:spacing w:line="259" w:lineRule="auto"/>
        <w:ind w:left="400" w:right="668"/>
      </w:pPr>
      <w:r>
        <w:rPr/>
        <w:t>Gender identification is different from sexual orientation. </w:t>
      </w:r>
      <w:r>
        <w:rPr>
          <w:i/>
        </w:rPr>
        <w:t>Gender identity</w:t>
      </w:r>
      <w:r>
        <w:rPr>
          <w:i/>
        </w:rPr>
        <w:t> </w:t>
      </w:r>
      <w:r>
        <w:rPr/>
        <w:t>refers to a person's</w:t>
      </w:r>
      <w:r>
        <w:rPr>
          <w:spacing w:val="-4"/>
        </w:rPr>
        <w:t> </w:t>
      </w:r>
      <w:r>
        <w:rPr/>
        <w:t>basic</w:t>
      </w:r>
      <w:r>
        <w:rPr>
          <w:spacing w:val="-6"/>
        </w:rPr>
        <w:t> </w:t>
      </w:r>
      <w:r>
        <w:rPr/>
        <w:t>conviction</w:t>
      </w:r>
      <w:r>
        <w:rPr>
          <w:spacing w:val="-4"/>
        </w:rPr>
        <w:t> </w:t>
      </w:r>
      <w:r>
        <w:rPr/>
        <w:t>of</w:t>
      </w:r>
      <w:r>
        <w:rPr>
          <w:spacing w:val="-4"/>
        </w:rPr>
        <w:t> </w:t>
      </w:r>
      <w:r>
        <w:rPr/>
        <w:t>being</w:t>
      </w:r>
      <w:r>
        <w:rPr>
          <w:spacing w:val="-4"/>
        </w:rPr>
        <w:t> </w:t>
      </w:r>
      <w:r>
        <w:rPr/>
        <w:t>male,</w:t>
      </w:r>
      <w:r>
        <w:rPr>
          <w:spacing w:val="-4"/>
        </w:rPr>
        <w:t> </w:t>
      </w:r>
      <w:r>
        <w:rPr/>
        <w:t>female,</w:t>
      </w:r>
      <w:r>
        <w:rPr>
          <w:spacing w:val="-4"/>
        </w:rPr>
        <w:t> </w:t>
      </w:r>
      <w:r>
        <w:rPr/>
        <w:t>or</w:t>
      </w:r>
      <w:r>
        <w:rPr>
          <w:spacing w:val="-4"/>
        </w:rPr>
        <w:t> </w:t>
      </w:r>
      <w:r>
        <w:rPr/>
        <w:t>transgender. </w:t>
      </w:r>
      <w:r>
        <w:rPr>
          <w:i/>
        </w:rPr>
        <w:t>Sexual orientation </w:t>
      </w:r>
      <w:r>
        <w:rPr/>
        <w:t>refers to sexual attraction to others (men, women, or transgender persons). For example, many cross-dressers are heterosexual men</w:t>
      </w:r>
      <w:r>
        <w:rPr>
          <w:spacing w:val="-4"/>
        </w:rPr>
        <w:t> </w:t>
      </w:r>
      <w:r>
        <w:rPr/>
        <w:t>who</w:t>
      </w:r>
      <w:r>
        <w:rPr>
          <w:spacing w:val="-4"/>
        </w:rPr>
        <w:t> </w:t>
      </w:r>
      <w:r>
        <w:rPr/>
        <w:t>have</w:t>
      </w:r>
      <w:r>
        <w:rPr>
          <w:spacing w:val="-5"/>
        </w:rPr>
        <w:t> </w:t>
      </w:r>
      <w:r>
        <w:rPr/>
        <w:t>active</w:t>
      </w:r>
      <w:r>
        <w:rPr>
          <w:spacing w:val="-5"/>
        </w:rPr>
        <w:t> </w:t>
      </w:r>
      <w:r>
        <w:rPr/>
        <w:t>sexual</w:t>
      </w:r>
      <w:r>
        <w:rPr>
          <w:spacing w:val="-4"/>
        </w:rPr>
        <w:t> </w:t>
      </w:r>
      <w:r>
        <w:rPr/>
        <w:t>relationships</w:t>
      </w:r>
      <w:r>
        <w:rPr>
          <w:spacing w:val="-4"/>
        </w:rPr>
        <w:t> </w:t>
      </w:r>
      <w:r>
        <w:rPr/>
        <w:t>with</w:t>
      </w:r>
      <w:r>
        <w:rPr>
          <w:spacing w:val="-4"/>
        </w:rPr>
        <w:t> </w:t>
      </w:r>
      <w:r>
        <w:rPr/>
        <w:t>women.</w:t>
      </w:r>
      <w:r>
        <w:rPr>
          <w:spacing w:val="-4"/>
        </w:rPr>
        <w:t> </w:t>
      </w:r>
      <w:r>
        <w:rPr/>
        <w:t>Many</w:t>
      </w:r>
      <w:r>
        <w:rPr>
          <w:spacing w:val="-7"/>
        </w:rPr>
        <w:t> </w:t>
      </w:r>
      <w:r>
        <w:rPr/>
        <w:t>homosexual men,</w:t>
      </w:r>
      <w:r>
        <w:rPr>
          <w:spacing w:val="-6"/>
        </w:rPr>
        <w:t> </w:t>
      </w:r>
      <w:r>
        <w:rPr/>
        <w:t>although</w:t>
      </w:r>
      <w:r>
        <w:rPr>
          <w:spacing w:val="-6"/>
        </w:rPr>
        <w:t> </w:t>
      </w:r>
      <w:r>
        <w:rPr/>
        <w:t>historically</w:t>
      </w:r>
      <w:r>
        <w:rPr>
          <w:spacing w:val="-6"/>
        </w:rPr>
        <w:t> </w:t>
      </w:r>
      <w:r>
        <w:rPr/>
        <w:t>considered</w:t>
      </w:r>
      <w:r>
        <w:rPr>
          <w:spacing w:val="-6"/>
        </w:rPr>
        <w:t> </w:t>
      </w:r>
      <w:r>
        <w:rPr/>
        <w:t>effeminate,</w:t>
      </w:r>
      <w:r>
        <w:rPr>
          <w:spacing w:val="-6"/>
        </w:rPr>
        <w:t> </w:t>
      </w:r>
      <w:r>
        <w:rPr/>
        <w:t>identify</w:t>
      </w:r>
      <w:r>
        <w:rPr>
          <w:spacing w:val="-6"/>
        </w:rPr>
        <w:t> </w:t>
      </w:r>
      <w:r>
        <w:rPr/>
        <w:t>strongly</w:t>
      </w:r>
      <w:r>
        <w:rPr>
          <w:spacing w:val="-6"/>
        </w:rPr>
        <w:t> </w:t>
      </w:r>
      <w:r>
        <w:rPr/>
        <w:t>as</w:t>
      </w:r>
      <w:r>
        <w:rPr>
          <w:spacing w:val="-3"/>
        </w:rPr>
        <w:t> </w:t>
      </w:r>
      <w:r>
        <w:rPr/>
        <w:t>men and appear very masculine.</w:t>
      </w:r>
    </w:p>
    <w:p>
      <w:pPr>
        <w:pStyle w:val="BodyText"/>
      </w:pPr>
    </w:p>
    <w:p>
      <w:pPr>
        <w:pStyle w:val="BodyText"/>
        <w:spacing w:line="259" w:lineRule="auto"/>
        <w:ind w:left="400" w:right="502"/>
      </w:pPr>
      <w:r>
        <w:rPr/>
        <w:t>Substance</w:t>
      </w:r>
      <w:r>
        <w:rPr>
          <w:spacing w:val="-8"/>
        </w:rPr>
        <w:t> </w:t>
      </w:r>
      <w:r>
        <w:rPr/>
        <w:t>use</w:t>
      </w:r>
      <w:r>
        <w:rPr>
          <w:spacing w:val="-8"/>
        </w:rPr>
        <w:t> </w:t>
      </w:r>
      <w:r>
        <w:rPr/>
        <w:t>plays</w:t>
      </w:r>
      <w:r>
        <w:rPr>
          <w:spacing w:val="-7"/>
        </w:rPr>
        <w:t> </w:t>
      </w:r>
      <w:r>
        <w:rPr/>
        <w:t>a</w:t>
      </w:r>
      <w:r>
        <w:rPr>
          <w:spacing w:val="-8"/>
        </w:rPr>
        <w:t> </w:t>
      </w:r>
      <w:r>
        <w:rPr/>
        <w:t>significant</w:t>
      </w:r>
      <w:r>
        <w:rPr>
          <w:spacing w:val="-8"/>
        </w:rPr>
        <w:t> </w:t>
      </w:r>
      <w:r>
        <w:rPr/>
        <w:t>role</w:t>
      </w:r>
      <w:r>
        <w:rPr>
          <w:spacing w:val="-8"/>
        </w:rPr>
        <w:t> </w:t>
      </w:r>
      <w:r>
        <w:rPr/>
        <w:t>in</w:t>
      </w:r>
      <w:r>
        <w:rPr>
          <w:spacing w:val="-7"/>
        </w:rPr>
        <w:t> </w:t>
      </w:r>
      <w:r>
        <w:rPr/>
        <w:t>the</w:t>
      </w:r>
      <w:r>
        <w:rPr>
          <w:spacing w:val="-8"/>
        </w:rPr>
        <w:t> </w:t>
      </w:r>
      <w:r>
        <w:rPr/>
        <w:t>high</w:t>
      </w:r>
      <w:r>
        <w:rPr>
          <w:spacing w:val="-7"/>
        </w:rPr>
        <w:t> </w:t>
      </w:r>
      <w:r>
        <w:rPr/>
        <w:t>HIV</w:t>
      </w:r>
      <w:r>
        <w:rPr>
          <w:spacing w:val="-18"/>
        </w:rPr>
        <w:t> </w:t>
      </w:r>
      <w:r>
        <w:rPr/>
        <w:t>prevalence</w:t>
      </w:r>
      <w:r>
        <w:rPr>
          <w:spacing w:val="-8"/>
        </w:rPr>
        <w:t> </w:t>
      </w:r>
      <w:r>
        <w:rPr/>
        <w:t>in</w:t>
      </w:r>
      <w:r>
        <w:rPr>
          <w:spacing w:val="-7"/>
        </w:rPr>
        <w:t> </w:t>
      </w:r>
      <w:r>
        <w:rPr/>
        <w:t>MTF transgender individuals. One study that investigated 519 transgender individuals in San Francisco</w:t>
      </w:r>
    </w:p>
    <w:p>
      <w:pPr>
        <w:spacing w:after="0" w:line="259" w:lineRule="auto"/>
        <w:sectPr>
          <w:pgSz w:w="12240" w:h="15840"/>
          <w:pgMar w:header="0" w:footer="765" w:top="1580" w:bottom="980" w:left="1400" w:right="1180"/>
        </w:sectPr>
      </w:pPr>
    </w:p>
    <w:p>
      <w:pPr>
        <w:pStyle w:val="BodyText"/>
        <w:spacing w:line="259" w:lineRule="auto" w:before="66"/>
        <w:ind w:left="400" w:right="790"/>
        <w:rPr>
          <w:i/>
        </w:rPr>
      </w:pPr>
      <w:r>
        <w:rPr/>
        <w:t>found</w:t>
      </w:r>
      <w:r>
        <w:rPr>
          <w:spacing w:val="-7"/>
        </w:rPr>
        <w:t> </w:t>
      </w:r>
      <w:r>
        <w:rPr/>
        <w:t>high</w:t>
      </w:r>
      <w:r>
        <w:rPr>
          <w:spacing w:val="-7"/>
        </w:rPr>
        <w:t> </w:t>
      </w:r>
      <w:r>
        <w:rPr/>
        <w:t>rates</w:t>
      </w:r>
      <w:r>
        <w:rPr>
          <w:spacing w:val="-7"/>
        </w:rPr>
        <w:t> </w:t>
      </w:r>
      <w:r>
        <w:rPr/>
        <w:t>of</w:t>
      </w:r>
      <w:r>
        <w:rPr>
          <w:spacing w:val="-7"/>
        </w:rPr>
        <w:t> </w:t>
      </w:r>
      <w:r>
        <w:rPr/>
        <w:t>substance</w:t>
      </w:r>
      <w:r>
        <w:rPr>
          <w:spacing w:val="-8"/>
        </w:rPr>
        <w:t> </w:t>
      </w:r>
      <w:r>
        <w:rPr/>
        <w:t>abuse</w:t>
      </w:r>
      <w:r>
        <w:rPr>
          <w:spacing w:val="-8"/>
        </w:rPr>
        <w:t> </w:t>
      </w:r>
      <w:r>
        <w:rPr/>
        <w:t>among</w:t>
      </w:r>
      <w:r>
        <w:rPr>
          <w:spacing w:val="-7"/>
        </w:rPr>
        <w:t> </w:t>
      </w:r>
      <w:r>
        <w:rPr/>
        <w:t>both</w:t>
      </w:r>
      <w:r>
        <w:rPr>
          <w:spacing w:val="-7"/>
        </w:rPr>
        <w:t> </w:t>
      </w:r>
      <w:r>
        <w:rPr/>
        <w:t>MTF</w:t>
      </w:r>
      <w:r>
        <w:rPr>
          <w:spacing w:val="-7"/>
        </w:rPr>
        <w:t> </w:t>
      </w:r>
      <w:r>
        <w:rPr/>
        <w:t>and</w:t>
      </w:r>
      <w:r>
        <w:rPr>
          <w:spacing w:val="-7"/>
        </w:rPr>
        <w:t> </w:t>
      </w:r>
      <w:r>
        <w:rPr/>
        <w:t>FTM</w:t>
      </w:r>
      <w:r>
        <w:rPr>
          <w:spacing w:val="-7"/>
        </w:rPr>
        <w:t> </w:t>
      </w:r>
      <w:r>
        <w:rPr/>
        <w:t>individuals (</w:t>
      </w:r>
      <w:r>
        <w:rPr>
          <w:i/>
        </w:rPr>
        <w:t>Clements et al.</w:t>
      </w:r>
      <w:r>
        <w:rPr/>
        <w:t>). The study reported that 55 percent of the MTF sample indicated they had been in substance abuse treatment at some time during their lifetime. The study also found that HIV</w:t>
      </w:r>
      <w:r>
        <w:rPr>
          <w:spacing w:val="-5"/>
        </w:rPr>
        <w:t> </w:t>
      </w:r>
      <w:r>
        <w:rPr/>
        <w:t>prevalence was significantly higher among MTF individuals (35 percent) than FTM individuals (2 percent), and among the MTF individuals, HIV prevalence for</w:t>
      </w:r>
      <w:r>
        <w:rPr>
          <w:spacing w:val="-10"/>
        </w:rPr>
        <w:t> </w:t>
      </w:r>
      <w:r>
        <w:rPr/>
        <w:t>African Americans was 61 percent.</w:t>
      </w:r>
      <w:r>
        <w:rPr>
          <w:spacing w:val="-14"/>
        </w:rPr>
        <w:t> </w:t>
      </w:r>
      <w:r>
        <w:rPr/>
        <w:t>Although the HIV prevalence rate was low in the FTM individuals, they commonly reported engaging in many of the same HIV risk behaviors as the MTF individuals (</w:t>
      </w:r>
      <w:r>
        <w:rPr>
          <w:i/>
        </w:rPr>
        <w:t>Clements et al.)</w:t>
      </w:r>
    </w:p>
    <w:p>
      <w:pPr>
        <w:pStyle w:val="BodyText"/>
        <w:spacing w:before="8"/>
        <w:rPr>
          <w:i/>
          <w:sz w:val="27"/>
        </w:rPr>
      </w:pPr>
    </w:p>
    <w:p>
      <w:pPr>
        <w:pStyle w:val="BodyText"/>
        <w:spacing w:line="259" w:lineRule="auto"/>
        <w:ind w:left="400" w:right="688"/>
      </w:pPr>
      <w:r>
        <w:rPr/>
        <w:t>Counseling transgender individuals who are HIV positive and in substance abuse treatment can involve many different issues. Some of these issues are obvious: lack of family and social supports, isolation, low self-esteem, and internalized transphobia, to name a few. Some issues are not so obvious; for example, transgender clients currently undergoing hormone therapy often experience emotional and physical changes that can make treatment for substance abuse more difficult and relapse more likely.</w:t>
      </w:r>
      <w:r>
        <w:rPr>
          <w:spacing w:val="-17"/>
        </w:rPr>
        <w:t> </w:t>
      </w:r>
      <w:r>
        <w:rPr/>
        <w:t>Although medically managed hormone treatment should not be interrupted, both the clinician and client must be aware that estrogen and testosterone therapies are mind and</w:t>
      </w:r>
      <w:r>
        <w:rPr>
          <w:spacing w:val="-10"/>
        </w:rPr>
        <w:t> </w:t>
      </w:r>
      <w:r>
        <w:rPr/>
        <w:t>mood-altering</w:t>
      </w:r>
      <w:r>
        <w:rPr>
          <w:spacing w:val="-6"/>
        </w:rPr>
        <w:t> </w:t>
      </w:r>
      <w:r>
        <w:rPr/>
        <w:t>substances,</w:t>
      </w:r>
      <w:r>
        <w:rPr>
          <w:spacing w:val="-6"/>
        </w:rPr>
        <w:t> </w:t>
      </w:r>
      <w:r>
        <w:rPr/>
        <w:t>particularly</w:t>
      </w:r>
      <w:r>
        <w:rPr>
          <w:spacing w:val="-6"/>
        </w:rPr>
        <w:t> </w:t>
      </w:r>
      <w:r>
        <w:rPr/>
        <w:t>when</w:t>
      </w:r>
      <w:r>
        <w:rPr>
          <w:spacing w:val="-6"/>
        </w:rPr>
        <w:t> </w:t>
      </w:r>
      <w:r>
        <w:rPr/>
        <w:t>incorrectly</w:t>
      </w:r>
      <w:r>
        <w:rPr>
          <w:spacing w:val="-6"/>
        </w:rPr>
        <w:t> </w:t>
      </w:r>
      <w:r>
        <w:rPr/>
        <w:t>taken.</w:t>
      </w:r>
      <w:r>
        <w:rPr>
          <w:spacing w:val="-6"/>
        </w:rPr>
        <w:t> </w:t>
      </w:r>
      <w:r>
        <w:rPr/>
        <w:t>Improper administration of estrogen mimics the premenstrual symptoms of non- transsexual</w:t>
      </w:r>
      <w:r>
        <w:rPr>
          <w:spacing w:val="-5"/>
        </w:rPr>
        <w:t> </w:t>
      </w:r>
      <w:r>
        <w:rPr/>
        <w:t>women,</w:t>
      </w:r>
      <w:r>
        <w:rPr>
          <w:spacing w:val="-5"/>
        </w:rPr>
        <w:t> </w:t>
      </w:r>
      <w:r>
        <w:rPr/>
        <w:t>which</w:t>
      </w:r>
      <w:r>
        <w:rPr>
          <w:spacing w:val="-5"/>
        </w:rPr>
        <w:t> </w:t>
      </w:r>
      <w:r>
        <w:rPr/>
        <w:t>can</w:t>
      </w:r>
      <w:r>
        <w:rPr>
          <w:spacing w:val="-5"/>
        </w:rPr>
        <w:t> </w:t>
      </w:r>
      <w:r>
        <w:rPr/>
        <w:t>have</w:t>
      </w:r>
      <w:r>
        <w:rPr>
          <w:spacing w:val="-6"/>
        </w:rPr>
        <w:t> </w:t>
      </w:r>
      <w:r>
        <w:rPr/>
        <w:t>a</w:t>
      </w:r>
      <w:r>
        <w:rPr>
          <w:spacing w:val="-6"/>
        </w:rPr>
        <w:t> </w:t>
      </w:r>
      <w:r>
        <w:rPr/>
        <w:t>deleterious</w:t>
      </w:r>
      <w:r>
        <w:rPr>
          <w:spacing w:val="-5"/>
        </w:rPr>
        <w:t> </w:t>
      </w:r>
      <w:r>
        <w:rPr/>
        <w:t>effect</w:t>
      </w:r>
      <w:r>
        <w:rPr>
          <w:spacing w:val="-5"/>
        </w:rPr>
        <w:t> </w:t>
      </w:r>
      <w:r>
        <w:rPr/>
        <w:t>on</w:t>
      </w:r>
      <w:r>
        <w:rPr>
          <w:spacing w:val="-5"/>
        </w:rPr>
        <w:t> </w:t>
      </w:r>
      <w:r>
        <w:rPr/>
        <w:t>recovery</w:t>
      </w:r>
      <w:r>
        <w:rPr>
          <w:spacing w:val="-5"/>
        </w:rPr>
        <w:t> </w:t>
      </w:r>
      <w:r>
        <w:rPr/>
        <w:t>(CSAT, in press [b]). These premenstrual symptoms can trigger or exacerbate Post Acute Withdrawal Syndrome, which is believed to be the leading cause of </w:t>
      </w:r>
      <w:r>
        <w:rPr>
          <w:spacing w:val="-2"/>
        </w:rPr>
        <w:t>relapse.</w:t>
      </w:r>
    </w:p>
    <w:p>
      <w:pPr>
        <w:pStyle w:val="BodyText"/>
        <w:rPr>
          <w:sz w:val="27"/>
        </w:rPr>
      </w:pPr>
    </w:p>
    <w:p>
      <w:pPr>
        <w:pStyle w:val="BodyText"/>
        <w:ind w:left="400"/>
      </w:pPr>
      <w:r>
        <w:rPr/>
        <w:t>Additional</w:t>
      </w:r>
      <w:r>
        <w:rPr>
          <w:spacing w:val="-5"/>
        </w:rPr>
        <w:t> </w:t>
      </w:r>
      <w:r>
        <w:rPr/>
        <w:t>relapse</w:t>
      </w:r>
      <w:r>
        <w:rPr>
          <w:spacing w:val="-5"/>
        </w:rPr>
        <w:t> </w:t>
      </w:r>
      <w:r>
        <w:rPr/>
        <w:t>triggers</w:t>
      </w:r>
      <w:r>
        <w:rPr>
          <w:spacing w:val="-5"/>
        </w:rPr>
        <w:t> </w:t>
      </w:r>
      <w:r>
        <w:rPr/>
        <w:t>or</w:t>
      </w:r>
      <w:r>
        <w:rPr>
          <w:spacing w:val="-4"/>
        </w:rPr>
        <w:t> </w:t>
      </w:r>
      <w:r>
        <w:rPr/>
        <w:t>clinical</w:t>
      </w:r>
      <w:r>
        <w:rPr>
          <w:spacing w:val="-5"/>
        </w:rPr>
        <w:t> </w:t>
      </w:r>
      <w:r>
        <w:rPr/>
        <w:t>issues</w:t>
      </w:r>
      <w:r>
        <w:rPr>
          <w:spacing w:val="-4"/>
        </w:rPr>
        <w:t> </w:t>
      </w:r>
      <w:r>
        <w:rPr/>
        <w:t>may</w:t>
      </w:r>
      <w:r>
        <w:rPr>
          <w:spacing w:val="-5"/>
        </w:rPr>
        <w:t> </w:t>
      </w:r>
      <w:r>
        <w:rPr/>
        <w:t>include</w:t>
      </w:r>
      <w:r>
        <w:rPr>
          <w:spacing w:val="-5"/>
        </w:rPr>
        <w:t> </w:t>
      </w:r>
      <w:r>
        <w:rPr/>
        <w:t>the</w:t>
      </w:r>
      <w:r>
        <w:rPr>
          <w:spacing w:val="-5"/>
        </w:rPr>
        <w:t> </w:t>
      </w:r>
      <w:r>
        <w:rPr>
          <w:spacing w:val="-2"/>
        </w:rPr>
        <w:t>following:</w:t>
      </w:r>
    </w:p>
    <w:p>
      <w:pPr>
        <w:pStyle w:val="BodyText"/>
        <w:spacing w:line="259" w:lineRule="auto" w:before="25"/>
        <w:ind w:left="400" w:right="925"/>
      </w:pPr>
      <w:r>
        <w:rPr/>
        <w:t>(1) inability to find, engage in, or maintain gainful employment due to employer prejudice against transgender individuals; (2) lack of formal education or training because the client was forced to leave school or home before completing his or her education; (3) the fact that HIV- positive transgender clients may be denied sex reassignment surgery due to</w:t>
      </w:r>
      <w:r>
        <w:rPr>
          <w:spacing w:val="-3"/>
        </w:rPr>
        <w:t> </w:t>
      </w:r>
      <w:r>
        <w:rPr/>
        <w:t>their</w:t>
      </w:r>
      <w:r>
        <w:rPr>
          <w:spacing w:val="-3"/>
        </w:rPr>
        <w:t> </w:t>
      </w:r>
      <w:r>
        <w:rPr/>
        <w:t>HIV</w:t>
      </w:r>
      <w:r>
        <w:rPr>
          <w:spacing w:val="-9"/>
        </w:rPr>
        <w:t> </w:t>
      </w:r>
      <w:r>
        <w:rPr/>
        <w:t>status,</w:t>
      </w:r>
      <w:r>
        <w:rPr>
          <w:spacing w:val="-3"/>
        </w:rPr>
        <w:t> </w:t>
      </w:r>
      <w:r>
        <w:rPr/>
        <w:t>even</w:t>
      </w:r>
      <w:r>
        <w:rPr>
          <w:spacing w:val="-3"/>
        </w:rPr>
        <w:t> </w:t>
      </w:r>
      <w:r>
        <w:rPr/>
        <w:t>if</w:t>
      </w:r>
      <w:r>
        <w:rPr>
          <w:spacing w:val="-3"/>
        </w:rPr>
        <w:t> </w:t>
      </w:r>
      <w:r>
        <w:rPr/>
        <w:t>they</w:t>
      </w:r>
      <w:r>
        <w:rPr>
          <w:spacing w:val="-3"/>
        </w:rPr>
        <w:t> </w:t>
      </w:r>
      <w:r>
        <w:rPr/>
        <w:t>are</w:t>
      </w:r>
      <w:r>
        <w:rPr>
          <w:spacing w:val="-4"/>
        </w:rPr>
        <w:t> </w:t>
      </w:r>
      <w:r>
        <w:rPr/>
        <w:t>asymptomatic</w:t>
      </w:r>
      <w:r>
        <w:rPr>
          <w:spacing w:val="-4"/>
        </w:rPr>
        <w:t> </w:t>
      </w:r>
      <w:r>
        <w:rPr/>
        <w:t>and</w:t>
      </w:r>
      <w:r>
        <w:rPr>
          <w:spacing w:val="-3"/>
        </w:rPr>
        <w:t> </w:t>
      </w:r>
      <w:r>
        <w:rPr/>
        <w:t>healthy;</w:t>
      </w:r>
      <w:r>
        <w:rPr>
          <w:spacing w:val="-3"/>
        </w:rPr>
        <w:t> </w:t>
      </w:r>
      <w:r>
        <w:rPr/>
        <w:t>and</w:t>
      </w:r>
      <w:r>
        <w:rPr>
          <w:spacing w:val="-3"/>
        </w:rPr>
        <w:t> </w:t>
      </w:r>
      <w:r>
        <w:rPr/>
        <w:t>(4)</w:t>
      </w:r>
      <w:r>
        <w:rPr>
          <w:spacing w:val="-3"/>
        </w:rPr>
        <w:t> </w:t>
      </w:r>
      <w:r>
        <w:rPr/>
        <w:t>the general lack of substance-free role models and widespread social support for transgender individuals.</w:t>
      </w:r>
    </w:p>
    <w:p>
      <w:pPr>
        <w:pStyle w:val="BodyText"/>
        <w:spacing w:before="8"/>
        <w:rPr>
          <w:sz w:val="25"/>
        </w:rPr>
      </w:pPr>
    </w:p>
    <w:p>
      <w:pPr>
        <w:pStyle w:val="Heading2"/>
      </w:pPr>
      <w:r>
        <w:rPr>
          <w:spacing w:val="-2"/>
        </w:rPr>
        <w:t>Women</w:t>
      </w:r>
    </w:p>
    <w:p>
      <w:pPr>
        <w:pStyle w:val="BodyText"/>
        <w:spacing w:before="7"/>
        <w:rPr>
          <w:b/>
          <w:sz w:val="27"/>
        </w:rPr>
      </w:pPr>
    </w:p>
    <w:p>
      <w:pPr>
        <w:pStyle w:val="BodyText"/>
        <w:ind w:left="280"/>
      </w:pPr>
      <w:r>
        <w:rPr/>
        <w:t>The</w:t>
      </w:r>
      <w:r>
        <w:rPr>
          <w:spacing w:val="-5"/>
        </w:rPr>
        <w:t> </w:t>
      </w:r>
      <w:r>
        <w:rPr/>
        <w:t>needs</w:t>
      </w:r>
      <w:r>
        <w:rPr>
          <w:spacing w:val="-1"/>
        </w:rPr>
        <w:t> </w:t>
      </w:r>
      <w:r>
        <w:rPr/>
        <w:t>of</w:t>
      </w:r>
      <w:r>
        <w:rPr>
          <w:spacing w:val="-2"/>
        </w:rPr>
        <w:t> </w:t>
      </w:r>
      <w:r>
        <w:rPr/>
        <w:t>women</w:t>
      </w:r>
      <w:r>
        <w:rPr>
          <w:spacing w:val="-1"/>
        </w:rPr>
        <w:t> </w:t>
      </w:r>
      <w:r>
        <w:rPr/>
        <w:t>have</w:t>
      </w:r>
      <w:r>
        <w:rPr>
          <w:spacing w:val="-3"/>
        </w:rPr>
        <w:t> </w:t>
      </w:r>
      <w:r>
        <w:rPr/>
        <w:t>always</w:t>
      </w:r>
      <w:r>
        <w:rPr>
          <w:spacing w:val="-1"/>
        </w:rPr>
        <w:t> </w:t>
      </w:r>
      <w:r>
        <w:rPr/>
        <w:t>represented</w:t>
      </w:r>
      <w:r>
        <w:rPr>
          <w:spacing w:val="-2"/>
        </w:rPr>
        <w:t> </w:t>
      </w:r>
      <w:r>
        <w:rPr/>
        <w:t>a</w:t>
      </w:r>
      <w:r>
        <w:rPr>
          <w:spacing w:val="-2"/>
        </w:rPr>
        <w:t> </w:t>
      </w:r>
      <w:r>
        <w:rPr/>
        <w:t>unique</w:t>
      </w:r>
      <w:r>
        <w:rPr>
          <w:spacing w:val="-3"/>
        </w:rPr>
        <w:t> </w:t>
      </w:r>
      <w:r>
        <w:rPr/>
        <w:t>challenge</w:t>
      </w:r>
      <w:r>
        <w:rPr>
          <w:spacing w:val="-2"/>
        </w:rPr>
        <w:t> </w:t>
      </w:r>
      <w:r>
        <w:rPr/>
        <w:t>to</w:t>
      </w:r>
      <w:r>
        <w:rPr>
          <w:spacing w:val="-1"/>
        </w:rPr>
        <w:t> </w:t>
      </w:r>
      <w:r>
        <w:rPr>
          <w:spacing w:val="-2"/>
        </w:rPr>
        <w:t>health</w:t>
      </w:r>
    </w:p>
    <w:p>
      <w:pPr>
        <w:spacing w:after="0"/>
        <w:sectPr>
          <w:pgSz w:w="12240" w:h="15840"/>
          <w:pgMar w:header="0" w:footer="765" w:top="1300" w:bottom="980" w:left="1400" w:right="1180"/>
        </w:sectPr>
      </w:pPr>
    </w:p>
    <w:p>
      <w:pPr>
        <w:pStyle w:val="BodyText"/>
        <w:spacing w:before="66"/>
        <w:ind w:left="280" w:right="690"/>
      </w:pPr>
      <w:r>
        <w:rPr/>
        <w:t>care and substance abuse treatment systems. Traditionally, these challenges have not been well met and are being exacerbated by the growing number of substance-abusing</w:t>
      </w:r>
      <w:r>
        <w:rPr>
          <w:spacing w:val="-16"/>
        </w:rPr>
        <w:t> </w:t>
      </w:r>
      <w:r>
        <w:rPr/>
        <w:t>women</w:t>
      </w:r>
      <w:r>
        <w:rPr>
          <w:spacing w:val="-9"/>
        </w:rPr>
        <w:t> </w:t>
      </w:r>
      <w:r>
        <w:rPr/>
        <w:t>infected</w:t>
      </w:r>
      <w:r>
        <w:rPr>
          <w:spacing w:val="-15"/>
        </w:rPr>
        <w:t> </w:t>
      </w:r>
      <w:r>
        <w:rPr/>
        <w:t>with</w:t>
      </w:r>
      <w:r>
        <w:rPr>
          <w:spacing w:val="-16"/>
        </w:rPr>
        <w:t> </w:t>
      </w:r>
      <w:r>
        <w:rPr/>
        <w:t>HIV.</w:t>
      </w:r>
      <w:r>
        <w:rPr>
          <w:spacing w:val="-18"/>
        </w:rPr>
        <w:t> </w:t>
      </w:r>
      <w:r>
        <w:rPr/>
        <w:t>The</w:t>
      </w:r>
      <w:r>
        <w:rPr>
          <w:spacing w:val="-17"/>
        </w:rPr>
        <w:t> </w:t>
      </w:r>
      <w:r>
        <w:rPr/>
        <w:t>diseases</w:t>
      </w:r>
      <w:r>
        <w:rPr>
          <w:spacing w:val="-16"/>
        </w:rPr>
        <w:t> </w:t>
      </w:r>
      <w:r>
        <w:rPr/>
        <w:t>of</w:t>
      </w:r>
      <w:r>
        <w:rPr>
          <w:spacing w:val="-15"/>
        </w:rPr>
        <w:t> </w:t>
      </w:r>
      <w:r>
        <w:rPr/>
        <w:t>substance</w:t>
      </w:r>
      <w:r>
        <w:rPr>
          <w:spacing w:val="-17"/>
        </w:rPr>
        <w:t> </w:t>
      </w:r>
      <w:r>
        <w:rPr/>
        <w:t>abuse and HIV/AIDS present differently in women than in men and progress at different rates for a variety of reasons, including the fact that women usually present later in the HIV/AIDS disease process than men.</w:t>
      </w:r>
    </w:p>
    <w:p>
      <w:pPr>
        <w:pStyle w:val="BodyText"/>
        <w:spacing w:before="9"/>
        <w:rPr>
          <w:sz w:val="26"/>
        </w:rPr>
      </w:pPr>
    </w:p>
    <w:p>
      <w:pPr>
        <w:pStyle w:val="BodyText"/>
        <w:ind w:left="280"/>
      </w:pPr>
      <w:r>
        <w:rPr/>
        <w:t>Gender-specific</w:t>
      </w:r>
      <w:r>
        <w:rPr>
          <w:spacing w:val="-11"/>
        </w:rPr>
        <w:t> </w:t>
      </w:r>
      <w:r>
        <w:rPr/>
        <w:t>services</w:t>
      </w:r>
      <w:r>
        <w:rPr>
          <w:spacing w:val="-6"/>
        </w:rPr>
        <w:t> </w:t>
      </w:r>
      <w:r>
        <w:rPr/>
        <w:t>for</w:t>
      </w:r>
      <w:r>
        <w:rPr>
          <w:spacing w:val="-5"/>
        </w:rPr>
        <w:t> </w:t>
      </w:r>
      <w:r>
        <w:rPr/>
        <w:t>women</w:t>
      </w:r>
      <w:r>
        <w:rPr>
          <w:spacing w:val="-7"/>
        </w:rPr>
        <w:t> </w:t>
      </w:r>
      <w:r>
        <w:rPr/>
        <w:t>should</w:t>
      </w:r>
      <w:r>
        <w:rPr>
          <w:spacing w:val="-5"/>
        </w:rPr>
        <w:t> </w:t>
      </w:r>
      <w:r>
        <w:rPr/>
        <w:t>include</w:t>
      </w:r>
      <w:r>
        <w:rPr>
          <w:spacing w:val="-7"/>
        </w:rPr>
        <w:t> </w:t>
      </w:r>
      <w:r>
        <w:rPr/>
        <w:t>the</w:t>
      </w:r>
      <w:r>
        <w:rPr>
          <w:spacing w:val="-6"/>
        </w:rPr>
        <w:t> </w:t>
      </w:r>
      <w:r>
        <w:rPr>
          <w:spacing w:val="-2"/>
        </w:rPr>
        <w:t>following:</w:t>
      </w:r>
    </w:p>
    <w:p>
      <w:pPr>
        <w:pStyle w:val="BodyText"/>
        <w:spacing w:before="7"/>
        <w:rPr>
          <w:sz w:val="27"/>
        </w:rPr>
      </w:pPr>
    </w:p>
    <w:p>
      <w:pPr>
        <w:pStyle w:val="BodyText"/>
        <w:spacing w:before="1"/>
        <w:ind w:left="280" w:right="502"/>
      </w:pPr>
      <w:r>
        <w:rPr/>
        <w:t>Medical</w:t>
      </w:r>
      <w:r>
        <w:rPr>
          <w:spacing w:val="-10"/>
        </w:rPr>
        <w:t> </w:t>
      </w:r>
      <w:r>
        <w:rPr/>
        <w:t>and</w:t>
      </w:r>
      <w:r>
        <w:rPr>
          <w:spacing w:val="-10"/>
        </w:rPr>
        <w:t> </w:t>
      </w:r>
      <w:r>
        <w:rPr/>
        <w:t>substance</w:t>
      </w:r>
      <w:r>
        <w:rPr>
          <w:spacing w:val="-11"/>
        </w:rPr>
        <w:t> </w:t>
      </w:r>
      <w:r>
        <w:rPr/>
        <w:t>abuse</w:t>
      </w:r>
      <w:r>
        <w:rPr>
          <w:spacing w:val="-11"/>
        </w:rPr>
        <w:t> </w:t>
      </w:r>
      <w:r>
        <w:rPr/>
        <w:t>treatment</w:t>
      </w:r>
      <w:r>
        <w:rPr>
          <w:spacing w:val="-12"/>
        </w:rPr>
        <w:t> </w:t>
      </w:r>
      <w:r>
        <w:rPr/>
        <w:t>that</w:t>
      </w:r>
      <w:r>
        <w:rPr>
          <w:spacing w:val="-10"/>
        </w:rPr>
        <w:t> </w:t>
      </w:r>
      <w:r>
        <w:rPr/>
        <w:t>is</w:t>
      </w:r>
      <w:r>
        <w:rPr>
          <w:spacing w:val="-10"/>
        </w:rPr>
        <w:t> </w:t>
      </w:r>
      <w:r>
        <w:rPr/>
        <w:t>accessible,</w:t>
      </w:r>
      <w:r>
        <w:rPr>
          <w:spacing w:val="-10"/>
        </w:rPr>
        <w:t> </w:t>
      </w:r>
      <w:r>
        <w:rPr/>
        <w:t>available,</w:t>
      </w:r>
      <w:r>
        <w:rPr>
          <w:spacing w:val="-5"/>
        </w:rPr>
        <w:t> </w:t>
      </w:r>
      <w:r>
        <w:rPr/>
        <w:t>and </w:t>
      </w:r>
      <w:r>
        <w:rPr>
          <w:spacing w:val="-2"/>
        </w:rPr>
        <w:t>incorporates</w:t>
      </w:r>
    </w:p>
    <w:p>
      <w:pPr>
        <w:pStyle w:val="BodyText"/>
        <w:spacing w:before="11"/>
        <w:rPr>
          <w:sz w:val="23"/>
        </w:rPr>
      </w:pPr>
    </w:p>
    <w:p>
      <w:pPr>
        <w:pStyle w:val="ListParagraph"/>
        <w:numPr>
          <w:ilvl w:val="0"/>
          <w:numId w:val="20"/>
        </w:numPr>
        <w:tabs>
          <w:tab w:pos="1216" w:val="left" w:leader="none"/>
          <w:tab w:pos="1218" w:val="left" w:leader="none"/>
        </w:tabs>
        <w:spacing w:line="225" w:lineRule="auto" w:before="0" w:after="0"/>
        <w:ind w:left="1218" w:right="609" w:hanging="459"/>
        <w:jc w:val="left"/>
        <w:rPr>
          <w:rFonts w:ascii="Segoe UI Symbol" w:hAnsi="Segoe UI Symbol"/>
          <w:sz w:val="30"/>
        </w:rPr>
      </w:pPr>
      <w:r>
        <w:rPr>
          <w:sz w:val="28"/>
        </w:rPr>
        <w:t>General</w:t>
      </w:r>
      <w:r>
        <w:rPr>
          <w:spacing w:val="-15"/>
          <w:sz w:val="28"/>
        </w:rPr>
        <w:t> </w:t>
      </w:r>
      <w:r>
        <w:rPr>
          <w:sz w:val="28"/>
        </w:rPr>
        <w:t>health</w:t>
      </w:r>
      <w:r>
        <w:rPr>
          <w:spacing w:val="-15"/>
          <w:sz w:val="28"/>
        </w:rPr>
        <w:t> </w:t>
      </w:r>
      <w:r>
        <w:rPr>
          <w:sz w:val="28"/>
        </w:rPr>
        <w:t>(including</w:t>
      </w:r>
      <w:r>
        <w:rPr>
          <w:spacing w:val="-15"/>
          <w:sz w:val="28"/>
        </w:rPr>
        <w:t> </w:t>
      </w:r>
      <w:r>
        <w:rPr>
          <w:sz w:val="28"/>
        </w:rPr>
        <w:t>reproductive</w:t>
      </w:r>
      <w:r>
        <w:rPr>
          <w:spacing w:val="-16"/>
          <w:sz w:val="28"/>
        </w:rPr>
        <w:t> </w:t>
      </w:r>
      <w:r>
        <w:rPr>
          <w:sz w:val="28"/>
        </w:rPr>
        <w:t>health)</w:t>
      </w:r>
      <w:r>
        <w:rPr>
          <w:spacing w:val="-15"/>
          <w:sz w:val="28"/>
        </w:rPr>
        <w:t> </w:t>
      </w:r>
      <w:r>
        <w:rPr>
          <w:sz w:val="28"/>
        </w:rPr>
        <w:t>and</w:t>
      </w:r>
      <w:r>
        <w:rPr>
          <w:spacing w:val="-5"/>
          <w:sz w:val="28"/>
        </w:rPr>
        <w:t> </w:t>
      </w:r>
      <w:r>
        <w:rPr>
          <w:sz w:val="28"/>
        </w:rPr>
        <w:t>wellness</w:t>
      </w:r>
      <w:r>
        <w:rPr>
          <w:spacing w:val="-5"/>
          <w:sz w:val="28"/>
        </w:rPr>
        <w:t> </w:t>
      </w:r>
      <w:r>
        <w:rPr>
          <w:sz w:val="28"/>
        </w:rPr>
        <w:t>across</w:t>
      </w:r>
      <w:r>
        <w:rPr>
          <w:spacing w:val="-5"/>
          <w:sz w:val="28"/>
        </w:rPr>
        <w:t> </w:t>
      </w:r>
      <w:r>
        <w:rPr>
          <w:sz w:val="28"/>
        </w:rPr>
        <w:t>the life span</w:t>
      </w:r>
    </w:p>
    <w:p>
      <w:pPr>
        <w:pStyle w:val="ListParagraph"/>
        <w:numPr>
          <w:ilvl w:val="0"/>
          <w:numId w:val="20"/>
        </w:numPr>
        <w:tabs>
          <w:tab w:pos="1217" w:val="left" w:leader="none"/>
        </w:tabs>
        <w:spacing w:line="316" w:lineRule="exact" w:before="0" w:after="0"/>
        <w:ind w:left="1217" w:right="0" w:hanging="457"/>
        <w:jc w:val="left"/>
        <w:rPr>
          <w:rFonts w:ascii="Segoe UI Symbol" w:hAnsi="Segoe UI Symbol"/>
          <w:sz w:val="30"/>
        </w:rPr>
      </w:pPr>
      <w:r>
        <w:rPr>
          <w:sz w:val="28"/>
        </w:rPr>
        <w:t>Mental</w:t>
      </w:r>
      <w:r>
        <w:rPr>
          <w:spacing w:val="-11"/>
          <w:sz w:val="28"/>
        </w:rPr>
        <w:t> </w:t>
      </w:r>
      <w:r>
        <w:rPr>
          <w:sz w:val="28"/>
        </w:rPr>
        <w:t>health</w:t>
      </w:r>
      <w:r>
        <w:rPr>
          <w:spacing w:val="-7"/>
          <w:sz w:val="28"/>
        </w:rPr>
        <w:t> </w:t>
      </w:r>
      <w:r>
        <w:rPr>
          <w:sz w:val="28"/>
        </w:rPr>
        <w:t>counseling</w:t>
      </w:r>
      <w:r>
        <w:rPr>
          <w:spacing w:val="-7"/>
          <w:sz w:val="28"/>
        </w:rPr>
        <w:t> </w:t>
      </w:r>
      <w:r>
        <w:rPr>
          <w:sz w:val="28"/>
        </w:rPr>
        <w:t>(particularly</w:t>
      </w:r>
      <w:r>
        <w:rPr>
          <w:spacing w:val="-7"/>
          <w:sz w:val="28"/>
        </w:rPr>
        <w:t> </w:t>
      </w:r>
      <w:r>
        <w:rPr>
          <w:sz w:val="28"/>
        </w:rPr>
        <w:t>for</w:t>
      </w:r>
      <w:r>
        <w:rPr>
          <w:spacing w:val="-6"/>
          <w:sz w:val="28"/>
        </w:rPr>
        <w:t> </w:t>
      </w:r>
      <w:r>
        <w:rPr>
          <w:spacing w:val="-2"/>
          <w:sz w:val="28"/>
        </w:rPr>
        <w:t>PTSD)</w:t>
      </w:r>
    </w:p>
    <w:p>
      <w:pPr>
        <w:pStyle w:val="ListParagraph"/>
        <w:numPr>
          <w:ilvl w:val="0"/>
          <w:numId w:val="20"/>
        </w:numPr>
        <w:tabs>
          <w:tab w:pos="1217" w:val="left" w:leader="none"/>
        </w:tabs>
        <w:spacing w:line="388" w:lineRule="exact" w:before="0" w:after="0"/>
        <w:ind w:left="1217" w:right="0" w:hanging="457"/>
        <w:jc w:val="left"/>
        <w:rPr>
          <w:rFonts w:ascii="Segoe UI Symbol" w:hAnsi="Segoe UI Symbol"/>
          <w:position w:val="3"/>
          <w:sz w:val="30"/>
        </w:rPr>
      </w:pPr>
      <w:r>
        <w:rPr>
          <w:sz w:val="28"/>
        </w:rPr>
        <w:t>Parenting</w:t>
      </w:r>
      <w:r>
        <w:rPr>
          <w:spacing w:val="-4"/>
          <w:sz w:val="28"/>
        </w:rPr>
        <w:t> </w:t>
      </w:r>
      <w:r>
        <w:rPr>
          <w:sz w:val="28"/>
        </w:rPr>
        <w:t>skills</w:t>
      </w:r>
      <w:r>
        <w:rPr>
          <w:spacing w:val="-1"/>
          <w:sz w:val="28"/>
        </w:rPr>
        <w:t> </w:t>
      </w:r>
      <w:r>
        <w:rPr>
          <w:sz w:val="28"/>
        </w:rPr>
        <w:t>and</w:t>
      </w:r>
      <w:r>
        <w:rPr>
          <w:spacing w:val="-1"/>
          <w:sz w:val="28"/>
        </w:rPr>
        <w:t> </w:t>
      </w:r>
      <w:r>
        <w:rPr>
          <w:sz w:val="28"/>
        </w:rPr>
        <w:t>support</w:t>
      </w:r>
      <w:r>
        <w:rPr>
          <w:spacing w:val="-2"/>
          <w:sz w:val="28"/>
        </w:rPr>
        <w:t> </w:t>
      </w:r>
      <w:r>
        <w:rPr>
          <w:position w:val="6"/>
          <w:sz w:val="28"/>
        </w:rPr>
        <w:t>o</w:t>
      </w:r>
      <w:r>
        <w:rPr>
          <w:sz w:val="28"/>
        </w:rPr>
        <w:t>Family-focused</w:t>
      </w:r>
      <w:r>
        <w:rPr>
          <w:spacing w:val="-1"/>
          <w:sz w:val="28"/>
        </w:rPr>
        <w:t> </w:t>
      </w:r>
      <w:r>
        <w:rPr>
          <w:sz w:val="28"/>
        </w:rPr>
        <w:t>support</w:t>
      </w:r>
      <w:r>
        <w:rPr>
          <w:spacing w:val="-2"/>
          <w:sz w:val="28"/>
        </w:rPr>
        <w:t> </w:t>
      </w:r>
      <w:r>
        <w:rPr>
          <w:spacing w:val="-2"/>
          <w:position w:val="6"/>
          <w:sz w:val="28"/>
        </w:rPr>
        <w:t>o</w:t>
      </w:r>
      <w:r>
        <w:rPr>
          <w:spacing w:val="-2"/>
          <w:sz w:val="28"/>
        </w:rPr>
        <w:t>Relationship</w:t>
      </w:r>
    </w:p>
    <w:p>
      <w:pPr>
        <w:pStyle w:val="BodyText"/>
        <w:ind w:left="1218"/>
      </w:pPr>
      <w:r>
        <w:rPr/>
        <w:t>issues</w:t>
      </w:r>
      <w:r>
        <w:rPr>
          <w:spacing w:val="-18"/>
        </w:rPr>
        <w:t> </w:t>
      </w:r>
      <w:r>
        <w:rPr/>
        <w:t>Trauma/abuse</w:t>
      </w:r>
      <w:r>
        <w:rPr>
          <w:spacing w:val="-14"/>
        </w:rPr>
        <w:t> </w:t>
      </w:r>
      <w:r>
        <w:rPr/>
        <w:t>support</w:t>
      </w:r>
      <w:r>
        <w:rPr>
          <w:spacing w:val="-10"/>
        </w:rPr>
        <w:t> </w:t>
      </w:r>
      <w:r>
        <w:rPr>
          <w:position w:val="6"/>
        </w:rPr>
        <w:t>o</w:t>
      </w:r>
      <w:r>
        <w:rPr/>
        <w:t>Educational/vocational</w:t>
      </w:r>
      <w:r>
        <w:rPr>
          <w:spacing w:val="-18"/>
        </w:rPr>
        <w:t> </w:t>
      </w:r>
      <w:r>
        <w:rPr/>
        <w:t>services</w:t>
      </w:r>
      <w:r>
        <w:rPr>
          <w:spacing w:val="-11"/>
        </w:rPr>
        <w:t> </w:t>
      </w:r>
      <w:r>
        <w:rPr>
          <w:position w:val="6"/>
        </w:rPr>
        <w:t>o</w:t>
      </w:r>
      <w:r>
        <w:rPr/>
        <w:t>Legal </w:t>
      </w:r>
      <w:r>
        <w:rPr>
          <w:spacing w:val="-2"/>
        </w:rPr>
        <w:t>services</w:t>
      </w:r>
    </w:p>
    <w:p>
      <w:pPr>
        <w:pStyle w:val="ListParagraph"/>
        <w:numPr>
          <w:ilvl w:val="0"/>
          <w:numId w:val="20"/>
        </w:numPr>
        <w:tabs>
          <w:tab w:pos="1217" w:val="left" w:leader="none"/>
        </w:tabs>
        <w:spacing w:line="296" w:lineRule="exact" w:before="0" w:after="0"/>
        <w:ind w:left="1217" w:right="0" w:hanging="457"/>
        <w:jc w:val="left"/>
        <w:rPr>
          <w:rFonts w:ascii="Segoe UI Symbol" w:hAnsi="Segoe UI Symbol"/>
          <w:sz w:val="30"/>
        </w:rPr>
      </w:pPr>
      <w:r>
        <w:rPr>
          <w:sz w:val="28"/>
        </w:rPr>
        <w:t>Sexuality</w:t>
      </w:r>
      <w:r>
        <w:rPr>
          <w:spacing w:val="-7"/>
          <w:sz w:val="28"/>
        </w:rPr>
        <w:t> </w:t>
      </w:r>
      <w:r>
        <w:rPr>
          <w:sz w:val="28"/>
        </w:rPr>
        <w:t>and</w:t>
      </w:r>
      <w:r>
        <w:rPr>
          <w:spacing w:val="-6"/>
          <w:sz w:val="28"/>
        </w:rPr>
        <w:t> </w:t>
      </w:r>
      <w:r>
        <w:rPr>
          <w:sz w:val="28"/>
        </w:rPr>
        <w:t>sexual</w:t>
      </w:r>
      <w:r>
        <w:rPr>
          <w:spacing w:val="-7"/>
          <w:sz w:val="28"/>
        </w:rPr>
        <w:t> </w:t>
      </w:r>
      <w:r>
        <w:rPr>
          <w:sz w:val="28"/>
        </w:rPr>
        <w:t>orientation</w:t>
      </w:r>
      <w:r>
        <w:rPr>
          <w:spacing w:val="-5"/>
          <w:sz w:val="28"/>
        </w:rPr>
        <w:t> </w:t>
      </w:r>
      <w:r>
        <w:rPr>
          <w:spacing w:val="-2"/>
          <w:sz w:val="28"/>
        </w:rPr>
        <w:t>issues</w:t>
      </w:r>
    </w:p>
    <w:p>
      <w:pPr>
        <w:pStyle w:val="ListParagraph"/>
        <w:numPr>
          <w:ilvl w:val="0"/>
          <w:numId w:val="20"/>
        </w:numPr>
        <w:tabs>
          <w:tab w:pos="1217" w:val="left" w:leader="none"/>
        </w:tabs>
        <w:spacing w:line="320" w:lineRule="exact" w:before="0" w:after="0"/>
        <w:ind w:left="1217" w:right="0" w:hanging="457"/>
        <w:jc w:val="left"/>
        <w:rPr>
          <w:rFonts w:ascii="Segoe UI Symbol" w:hAnsi="Segoe UI Symbol"/>
          <w:sz w:val="30"/>
        </w:rPr>
      </w:pPr>
      <w:r>
        <w:rPr>
          <w:sz w:val="28"/>
        </w:rPr>
        <w:t>Eating</w:t>
      </w:r>
      <w:r>
        <w:rPr>
          <w:spacing w:val="-7"/>
          <w:sz w:val="28"/>
        </w:rPr>
        <w:t> </w:t>
      </w:r>
      <w:r>
        <w:rPr>
          <w:sz w:val="28"/>
        </w:rPr>
        <w:t>disorder</w:t>
      </w:r>
      <w:r>
        <w:rPr>
          <w:spacing w:val="-6"/>
          <w:sz w:val="28"/>
        </w:rPr>
        <w:t> </w:t>
      </w:r>
      <w:r>
        <w:rPr>
          <w:spacing w:val="-2"/>
          <w:sz w:val="28"/>
        </w:rPr>
        <w:t>support</w:t>
      </w:r>
    </w:p>
    <w:p>
      <w:pPr>
        <w:pStyle w:val="ListParagraph"/>
        <w:numPr>
          <w:ilvl w:val="0"/>
          <w:numId w:val="20"/>
        </w:numPr>
        <w:tabs>
          <w:tab w:pos="1217" w:val="left" w:leader="none"/>
        </w:tabs>
        <w:spacing w:line="320" w:lineRule="exact" w:before="0" w:after="0"/>
        <w:ind w:left="1217" w:right="0" w:hanging="457"/>
        <w:jc w:val="left"/>
        <w:rPr>
          <w:rFonts w:ascii="Segoe UI Symbol" w:hAnsi="Segoe UI Symbol"/>
          <w:sz w:val="30"/>
        </w:rPr>
      </w:pPr>
      <w:r>
        <w:rPr>
          <w:spacing w:val="-2"/>
          <w:sz w:val="28"/>
        </w:rPr>
        <w:t>Women-only</w:t>
      </w:r>
      <w:r>
        <w:rPr>
          <w:spacing w:val="-14"/>
          <w:sz w:val="28"/>
        </w:rPr>
        <w:t> </w:t>
      </w:r>
      <w:r>
        <w:rPr>
          <w:spacing w:val="-2"/>
          <w:sz w:val="28"/>
        </w:rPr>
        <w:t>support</w:t>
      </w:r>
      <w:r>
        <w:rPr>
          <w:spacing w:val="-11"/>
          <w:sz w:val="28"/>
        </w:rPr>
        <w:t> </w:t>
      </w:r>
      <w:r>
        <w:rPr>
          <w:spacing w:val="-2"/>
          <w:sz w:val="28"/>
        </w:rPr>
        <w:t>groups</w:t>
      </w:r>
    </w:p>
    <w:p>
      <w:pPr>
        <w:pStyle w:val="ListParagraph"/>
        <w:numPr>
          <w:ilvl w:val="0"/>
          <w:numId w:val="20"/>
        </w:numPr>
        <w:tabs>
          <w:tab w:pos="1217" w:val="left" w:leader="none"/>
        </w:tabs>
        <w:spacing w:line="350" w:lineRule="exact" w:before="0" w:after="0"/>
        <w:ind w:left="1217" w:right="0" w:hanging="457"/>
        <w:jc w:val="left"/>
        <w:rPr>
          <w:rFonts w:ascii="Segoe UI Symbol" w:hAnsi="Segoe UI Symbol"/>
          <w:sz w:val="30"/>
        </w:rPr>
      </w:pPr>
      <w:r>
        <w:rPr>
          <w:sz w:val="28"/>
        </w:rPr>
        <w:t>Empowerment--that</w:t>
      </w:r>
      <w:r>
        <w:rPr>
          <w:spacing w:val="-12"/>
          <w:sz w:val="28"/>
        </w:rPr>
        <w:t> </w:t>
      </w:r>
      <w:r>
        <w:rPr>
          <w:sz w:val="28"/>
        </w:rPr>
        <w:t>is,</w:t>
      </w:r>
      <w:r>
        <w:rPr>
          <w:spacing w:val="-11"/>
          <w:sz w:val="28"/>
        </w:rPr>
        <w:t> </w:t>
      </w:r>
      <w:r>
        <w:rPr>
          <w:sz w:val="28"/>
        </w:rPr>
        <w:t>holistic</w:t>
      </w:r>
      <w:r>
        <w:rPr>
          <w:spacing w:val="-11"/>
          <w:sz w:val="28"/>
        </w:rPr>
        <w:t> </w:t>
      </w:r>
      <w:r>
        <w:rPr>
          <w:sz w:val="28"/>
        </w:rPr>
        <w:t>programming</w:t>
      </w:r>
      <w:r>
        <w:rPr>
          <w:spacing w:val="-12"/>
          <w:sz w:val="28"/>
        </w:rPr>
        <w:t> </w:t>
      </w:r>
      <w:r>
        <w:rPr>
          <w:sz w:val="28"/>
        </w:rPr>
        <w:t>that</w:t>
      </w:r>
      <w:r>
        <w:rPr>
          <w:spacing w:val="-11"/>
          <w:sz w:val="28"/>
        </w:rPr>
        <w:t> </w:t>
      </w:r>
      <w:r>
        <w:rPr>
          <w:sz w:val="28"/>
        </w:rPr>
        <w:t>emphasizes</w:t>
      </w:r>
      <w:r>
        <w:rPr>
          <w:spacing w:val="-11"/>
          <w:sz w:val="28"/>
        </w:rPr>
        <w:t> </w:t>
      </w:r>
      <w:r>
        <w:rPr>
          <w:spacing w:val="-5"/>
          <w:sz w:val="28"/>
        </w:rPr>
        <w:t>the</w:t>
      </w:r>
    </w:p>
    <w:p>
      <w:pPr>
        <w:pStyle w:val="BodyText"/>
        <w:spacing w:line="237" w:lineRule="auto"/>
        <w:ind w:left="1218" w:right="876"/>
        <w:jc w:val="both"/>
      </w:pPr>
      <w:r>
        <w:rPr/>
        <w:t>development</w:t>
      </w:r>
      <w:r>
        <w:rPr>
          <w:spacing w:val="-7"/>
        </w:rPr>
        <w:t> </w:t>
      </w:r>
      <w:r>
        <w:rPr/>
        <w:t>of</w:t>
      </w:r>
      <w:r>
        <w:rPr>
          <w:spacing w:val="-5"/>
        </w:rPr>
        <w:t> </w:t>
      </w:r>
      <w:r>
        <w:rPr/>
        <w:t>a</w:t>
      </w:r>
      <w:r>
        <w:rPr>
          <w:spacing w:val="-7"/>
        </w:rPr>
        <w:t> </w:t>
      </w:r>
      <w:r>
        <w:rPr/>
        <w:t>partnership</w:t>
      </w:r>
      <w:r>
        <w:rPr>
          <w:spacing w:val="-5"/>
        </w:rPr>
        <w:t> </w:t>
      </w:r>
      <w:r>
        <w:rPr/>
        <w:t>with</w:t>
      </w:r>
      <w:r>
        <w:rPr>
          <w:spacing w:val="-5"/>
        </w:rPr>
        <w:t> </w:t>
      </w:r>
      <w:r>
        <w:rPr/>
        <w:t>a</w:t>
      </w:r>
      <w:r>
        <w:rPr>
          <w:spacing w:val="-7"/>
        </w:rPr>
        <w:t> </w:t>
      </w:r>
      <w:r>
        <w:rPr/>
        <w:t>female</w:t>
      </w:r>
      <w:r>
        <w:rPr>
          <w:spacing w:val="-7"/>
        </w:rPr>
        <w:t> </w:t>
      </w:r>
      <w:r>
        <w:rPr/>
        <w:t>service</w:t>
      </w:r>
      <w:r>
        <w:rPr>
          <w:spacing w:val="-7"/>
        </w:rPr>
        <w:t> </w:t>
      </w:r>
      <w:r>
        <w:rPr/>
        <w:t>provider,</w:t>
      </w:r>
      <w:r>
        <w:rPr>
          <w:spacing w:val="-5"/>
        </w:rPr>
        <w:t> </w:t>
      </w:r>
      <w:r>
        <w:rPr/>
        <w:t>one</w:t>
      </w:r>
      <w:r>
        <w:rPr>
          <w:spacing w:val="-6"/>
        </w:rPr>
        <w:t> </w:t>
      </w:r>
      <w:r>
        <w:rPr/>
        <w:t>in which there are mutual respect and many opportunities for positive role modeling</w:t>
      </w:r>
    </w:p>
    <w:p>
      <w:pPr>
        <w:pStyle w:val="ListParagraph"/>
        <w:numPr>
          <w:ilvl w:val="0"/>
          <w:numId w:val="20"/>
        </w:numPr>
        <w:tabs>
          <w:tab w:pos="1217" w:val="left" w:leader="none"/>
        </w:tabs>
        <w:spacing w:line="301" w:lineRule="exact" w:before="0" w:after="0"/>
        <w:ind w:left="1217" w:right="0" w:hanging="457"/>
        <w:jc w:val="left"/>
        <w:rPr>
          <w:rFonts w:ascii="Segoe UI Symbol" w:hAnsi="Segoe UI Symbol"/>
          <w:sz w:val="30"/>
        </w:rPr>
      </w:pPr>
      <w:r>
        <w:rPr>
          <w:spacing w:val="-2"/>
          <w:sz w:val="28"/>
        </w:rPr>
        <w:t>Transportation</w:t>
      </w:r>
      <w:r>
        <w:rPr>
          <w:sz w:val="28"/>
        </w:rPr>
        <w:t> </w:t>
      </w:r>
      <w:r>
        <w:rPr>
          <w:spacing w:val="-2"/>
          <w:sz w:val="28"/>
        </w:rPr>
        <w:t>services</w:t>
      </w:r>
    </w:p>
    <w:p>
      <w:pPr>
        <w:pStyle w:val="ListParagraph"/>
        <w:numPr>
          <w:ilvl w:val="0"/>
          <w:numId w:val="20"/>
        </w:numPr>
        <w:tabs>
          <w:tab w:pos="1217" w:val="left" w:leader="none"/>
        </w:tabs>
        <w:spacing w:line="320" w:lineRule="exact" w:before="0" w:after="0"/>
        <w:ind w:left="1217" w:right="0" w:hanging="457"/>
        <w:jc w:val="left"/>
        <w:rPr>
          <w:rFonts w:ascii="Segoe UI Symbol" w:hAnsi="Segoe UI Symbol"/>
          <w:sz w:val="30"/>
        </w:rPr>
      </w:pPr>
      <w:r>
        <w:rPr>
          <w:sz w:val="28"/>
        </w:rPr>
        <w:t>Child</w:t>
      </w:r>
      <w:r>
        <w:rPr>
          <w:spacing w:val="-5"/>
          <w:sz w:val="28"/>
        </w:rPr>
        <w:t> </w:t>
      </w:r>
      <w:r>
        <w:rPr>
          <w:sz w:val="28"/>
        </w:rPr>
        <w:t>care,</w:t>
      </w:r>
      <w:r>
        <w:rPr>
          <w:spacing w:val="-3"/>
          <w:sz w:val="28"/>
        </w:rPr>
        <w:t> </w:t>
      </w:r>
      <w:r>
        <w:rPr>
          <w:sz w:val="28"/>
        </w:rPr>
        <w:t>both</w:t>
      </w:r>
      <w:r>
        <w:rPr>
          <w:spacing w:val="-3"/>
          <w:sz w:val="28"/>
        </w:rPr>
        <w:t> </w:t>
      </w:r>
      <w:r>
        <w:rPr>
          <w:sz w:val="28"/>
        </w:rPr>
        <w:t>onsite</w:t>
      </w:r>
      <w:r>
        <w:rPr>
          <w:spacing w:val="-4"/>
          <w:sz w:val="28"/>
        </w:rPr>
        <w:t> </w:t>
      </w:r>
      <w:r>
        <w:rPr>
          <w:sz w:val="28"/>
        </w:rPr>
        <w:t>and</w:t>
      </w:r>
      <w:r>
        <w:rPr>
          <w:spacing w:val="-3"/>
          <w:sz w:val="28"/>
        </w:rPr>
        <w:t> </w:t>
      </w:r>
      <w:r>
        <w:rPr>
          <w:spacing w:val="-2"/>
          <w:sz w:val="28"/>
        </w:rPr>
        <w:t>supervised</w:t>
      </w:r>
    </w:p>
    <w:p>
      <w:pPr>
        <w:pStyle w:val="ListParagraph"/>
        <w:numPr>
          <w:ilvl w:val="0"/>
          <w:numId w:val="20"/>
        </w:numPr>
        <w:tabs>
          <w:tab w:pos="1217" w:val="left" w:leader="none"/>
        </w:tabs>
        <w:spacing w:line="320" w:lineRule="exact" w:before="0" w:after="0"/>
        <w:ind w:left="1217" w:right="0" w:hanging="457"/>
        <w:jc w:val="left"/>
        <w:rPr>
          <w:rFonts w:ascii="Segoe UI Symbol" w:hAnsi="Segoe UI Symbol"/>
          <w:sz w:val="30"/>
        </w:rPr>
      </w:pPr>
      <w:r>
        <w:rPr>
          <w:sz w:val="28"/>
        </w:rPr>
        <w:t>Woman-sensitive</w:t>
      </w:r>
      <w:r>
        <w:rPr>
          <w:spacing w:val="-18"/>
          <w:sz w:val="28"/>
        </w:rPr>
        <w:t> </w:t>
      </w:r>
      <w:r>
        <w:rPr>
          <w:sz w:val="28"/>
        </w:rPr>
        <w:t>women</w:t>
      </w:r>
      <w:r>
        <w:rPr>
          <w:spacing w:val="-15"/>
          <w:sz w:val="28"/>
        </w:rPr>
        <w:t> </w:t>
      </w:r>
      <w:r>
        <w:rPr>
          <w:sz w:val="28"/>
        </w:rPr>
        <w:t>working</w:t>
      </w:r>
      <w:r>
        <w:rPr>
          <w:spacing w:val="-16"/>
          <w:sz w:val="28"/>
        </w:rPr>
        <w:t> </w:t>
      </w:r>
      <w:r>
        <w:rPr>
          <w:sz w:val="28"/>
        </w:rPr>
        <w:t>with</w:t>
      </w:r>
      <w:r>
        <w:rPr>
          <w:spacing w:val="-15"/>
          <w:sz w:val="28"/>
        </w:rPr>
        <w:t> </w:t>
      </w:r>
      <w:r>
        <w:rPr>
          <w:spacing w:val="-2"/>
          <w:sz w:val="28"/>
        </w:rPr>
        <w:t>women</w:t>
      </w:r>
    </w:p>
    <w:p>
      <w:pPr>
        <w:pStyle w:val="ListParagraph"/>
        <w:numPr>
          <w:ilvl w:val="0"/>
          <w:numId w:val="20"/>
        </w:numPr>
        <w:tabs>
          <w:tab w:pos="1217" w:val="left" w:leader="none"/>
        </w:tabs>
        <w:spacing w:line="350" w:lineRule="exact" w:before="0" w:after="0"/>
        <w:ind w:left="1217" w:right="0" w:hanging="457"/>
        <w:jc w:val="left"/>
        <w:rPr>
          <w:rFonts w:ascii="Segoe UI Symbol" w:hAnsi="Segoe UI Symbol"/>
          <w:sz w:val="30"/>
        </w:rPr>
      </w:pPr>
      <w:r>
        <w:rPr>
          <w:sz w:val="28"/>
        </w:rPr>
        <w:t>Long-term</w:t>
      </w:r>
      <w:r>
        <w:rPr>
          <w:spacing w:val="-9"/>
          <w:sz w:val="28"/>
        </w:rPr>
        <w:t> </w:t>
      </w:r>
      <w:r>
        <w:rPr>
          <w:sz w:val="28"/>
        </w:rPr>
        <w:t>case</w:t>
      </w:r>
      <w:r>
        <w:rPr>
          <w:spacing w:val="-8"/>
          <w:sz w:val="28"/>
        </w:rPr>
        <w:t> </w:t>
      </w:r>
      <w:r>
        <w:rPr>
          <w:sz w:val="28"/>
        </w:rPr>
        <w:t>management</w:t>
      </w:r>
      <w:r>
        <w:rPr>
          <w:spacing w:val="-8"/>
          <w:sz w:val="28"/>
        </w:rPr>
        <w:t> </w:t>
      </w:r>
      <w:r>
        <w:rPr>
          <w:sz w:val="28"/>
        </w:rPr>
        <w:t>services</w:t>
      </w:r>
      <w:r>
        <w:rPr>
          <w:spacing w:val="-7"/>
          <w:sz w:val="28"/>
        </w:rPr>
        <w:t> </w:t>
      </w:r>
      <w:r>
        <w:rPr>
          <w:sz w:val="28"/>
        </w:rPr>
        <w:t>that</w:t>
      </w:r>
      <w:r>
        <w:rPr>
          <w:spacing w:val="-7"/>
          <w:sz w:val="28"/>
        </w:rPr>
        <w:t> </w:t>
      </w:r>
      <w:r>
        <w:rPr>
          <w:sz w:val="28"/>
        </w:rPr>
        <w:t>extend</w:t>
      </w:r>
      <w:r>
        <w:rPr>
          <w:spacing w:val="-7"/>
          <w:sz w:val="28"/>
        </w:rPr>
        <w:t> </w:t>
      </w:r>
      <w:r>
        <w:rPr>
          <w:sz w:val="28"/>
        </w:rPr>
        <w:t>to</w:t>
      </w:r>
      <w:r>
        <w:rPr>
          <w:spacing w:val="-7"/>
          <w:sz w:val="28"/>
        </w:rPr>
        <w:t> </w:t>
      </w:r>
      <w:r>
        <w:rPr>
          <w:sz w:val="28"/>
        </w:rPr>
        <w:t>the</w:t>
      </w:r>
      <w:r>
        <w:rPr>
          <w:spacing w:val="-8"/>
          <w:sz w:val="28"/>
        </w:rPr>
        <w:t> </w:t>
      </w:r>
      <w:r>
        <w:rPr>
          <w:sz w:val="28"/>
        </w:rPr>
        <w:t>client</w:t>
      </w:r>
      <w:r>
        <w:rPr>
          <w:spacing w:val="-7"/>
          <w:sz w:val="28"/>
        </w:rPr>
        <w:t> </w:t>
      </w:r>
      <w:r>
        <w:rPr>
          <w:sz w:val="28"/>
        </w:rPr>
        <w:t>and</w:t>
      </w:r>
      <w:r>
        <w:rPr>
          <w:spacing w:val="-2"/>
          <w:sz w:val="28"/>
        </w:rPr>
        <w:t> </w:t>
      </w:r>
      <w:r>
        <w:rPr>
          <w:spacing w:val="-5"/>
          <w:sz w:val="28"/>
        </w:rPr>
        <w:t>her</w:t>
      </w:r>
    </w:p>
    <w:p>
      <w:pPr>
        <w:pStyle w:val="BodyText"/>
        <w:spacing w:line="312" w:lineRule="exact"/>
        <w:ind w:left="1218"/>
      </w:pPr>
      <w:r>
        <w:rPr>
          <w:spacing w:val="-2"/>
        </w:rPr>
        <w:t>family</w:t>
      </w:r>
    </w:p>
    <w:p>
      <w:pPr>
        <w:spacing w:after="0" w:line="312" w:lineRule="exact"/>
        <w:sectPr>
          <w:pgSz w:w="12240" w:h="15840"/>
          <w:pgMar w:header="0" w:footer="765" w:top="1260" w:bottom="980" w:left="1400" w:right="1180"/>
        </w:sectPr>
      </w:pPr>
    </w:p>
    <w:p>
      <w:pPr>
        <w:pStyle w:val="BodyText"/>
        <w:spacing w:before="66"/>
        <w:ind w:left="280" w:right="499"/>
      </w:pPr>
      <w:r>
        <w:rPr/>
        <w:t>A</w:t>
      </w:r>
      <w:r>
        <w:rPr>
          <w:spacing w:val="-17"/>
        </w:rPr>
        <w:t> </w:t>
      </w:r>
      <w:r>
        <w:rPr/>
        <w:t>woman's identity as caregiver/caretaker must be recognized as an extremely powerful</w:t>
      </w:r>
      <w:r>
        <w:rPr>
          <w:spacing w:val="-3"/>
        </w:rPr>
        <w:t> </w:t>
      </w:r>
      <w:r>
        <w:rPr/>
        <w:t>factor</w:t>
      </w:r>
      <w:r>
        <w:rPr>
          <w:spacing w:val="-3"/>
        </w:rPr>
        <w:t> </w:t>
      </w:r>
      <w:r>
        <w:rPr/>
        <w:t>in</w:t>
      </w:r>
      <w:r>
        <w:rPr>
          <w:spacing w:val="-3"/>
        </w:rPr>
        <w:t> </w:t>
      </w:r>
      <w:r>
        <w:rPr/>
        <w:t>how</w:t>
      </w:r>
      <w:r>
        <w:rPr>
          <w:spacing w:val="-3"/>
        </w:rPr>
        <w:t> </w:t>
      </w:r>
      <w:r>
        <w:rPr/>
        <w:t>she</w:t>
      </w:r>
      <w:r>
        <w:rPr>
          <w:spacing w:val="-4"/>
        </w:rPr>
        <w:t> </w:t>
      </w:r>
      <w:r>
        <w:rPr/>
        <w:t>accesses</w:t>
      </w:r>
      <w:r>
        <w:rPr>
          <w:spacing w:val="-3"/>
        </w:rPr>
        <w:t> </w:t>
      </w:r>
      <w:r>
        <w:rPr/>
        <w:t>care</w:t>
      </w:r>
      <w:r>
        <w:rPr>
          <w:spacing w:val="-4"/>
        </w:rPr>
        <w:t> </w:t>
      </w:r>
      <w:r>
        <w:rPr/>
        <w:t>and</w:t>
      </w:r>
      <w:r>
        <w:rPr>
          <w:spacing w:val="-3"/>
        </w:rPr>
        <w:t> </w:t>
      </w:r>
      <w:r>
        <w:rPr/>
        <w:t>treatment</w:t>
      </w:r>
      <w:r>
        <w:rPr>
          <w:spacing w:val="-3"/>
        </w:rPr>
        <w:t> </w:t>
      </w:r>
      <w:r>
        <w:rPr/>
        <w:t>and</w:t>
      </w:r>
      <w:r>
        <w:rPr>
          <w:spacing w:val="-3"/>
        </w:rPr>
        <w:t> </w:t>
      </w:r>
      <w:r>
        <w:rPr/>
        <w:t>how</w:t>
      </w:r>
      <w:r>
        <w:rPr>
          <w:spacing w:val="-3"/>
        </w:rPr>
        <w:t> </w:t>
      </w:r>
      <w:r>
        <w:rPr/>
        <w:t>successful</w:t>
      </w:r>
      <w:r>
        <w:rPr>
          <w:spacing w:val="-3"/>
        </w:rPr>
        <w:t> </w:t>
      </w:r>
      <w:r>
        <w:rPr/>
        <w:t>she is in her recovery and health maintenance. There is no question that this identity/role can explain why a woman seeks treatment ("for the kids") or why she leaves treatment ("to get home to my husband/partner/kids").</w:t>
      </w:r>
      <w:r>
        <w:rPr>
          <w:spacing w:val="-6"/>
        </w:rPr>
        <w:t> </w:t>
      </w:r>
      <w:r>
        <w:rPr/>
        <w:t>This is also a factor in a woman's sense of guilt and shame from becoming HIV infected--a societal stigma that only "bad girls" get HIV or are addicts or alcoholics, and the stigma of being an unfit mother if she has lost custody of her children.</w:t>
      </w:r>
    </w:p>
    <w:p>
      <w:pPr>
        <w:pStyle w:val="BodyText"/>
        <w:spacing w:before="5"/>
        <w:rPr>
          <w:sz w:val="26"/>
        </w:rPr>
      </w:pPr>
    </w:p>
    <w:p>
      <w:pPr>
        <w:pStyle w:val="BodyText"/>
        <w:ind w:left="280" w:right="528"/>
      </w:pPr>
      <w:r>
        <w:rPr/>
        <w:t>Providers must be</w:t>
      </w:r>
      <w:r>
        <w:rPr>
          <w:spacing w:val="-1"/>
        </w:rPr>
        <w:t> </w:t>
      </w:r>
      <w:r>
        <w:rPr/>
        <w:t>open and prepared to discuss safer sex and drug and alcohol abuse from a risk-reduction perspective. They must be well informed about and comfortable in discussing sexuality. Risk reduction is an ongoing type of intervention that goes beyond assertiveness training and teaching women how to</w:t>
      </w:r>
      <w:r>
        <w:rPr>
          <w:spacing w:val="-6"/>
        </w:rPr>
        <w:t> </w:t>
      </w:r>
      <w:r>
        <w:rPr/>
        <w:t>put</w:t>
      </w:r>
      <w:r>
        <w:rPr>
          <w:spacing w:val="-7"/>
        </w:rPr>
        <w:t> </w:t>
      </w:r>
      <w:r>
        <w:rPr/>
        <w:t>condoms</w:t>
      </w:r>
      <w:r>
        <w:rPr>
          <w:spacing w:val="-6"/>
        </w:rPr>
        <w:t> </w:t>
      </w:r>
      <w:r>
        <w:rPr/>
        <w:t>on</w:t>
      </w:r>
      <w:r>
        <w:rPr>
          <w:spacing w:val="-6"/>
        </w:rPr>
        <w:t> </w:t>
      </w:r>
      <w:r>
        <w:rPr/>
        <w:t>men.</w:t>
      </w:r>
      <w:r>
        <w:rPr>
          <w:spacing w:val="-6"/>
        </w:rPr>
        <w:t> </w:t>
      </w:r>
      <w:r>
        <w:rPr/>
        <w:t>It</w:t>
      </w:r>
      <w:r>
        <w:rPr>
          <w:spacing w:val="-7"/>
        </w:rPr>
        <w:t> </w:t>
      </w:r>
      <w:r>
        <w:rPr/>
        <w:t>recognizes</w:t>
      </w:r>
      <w:r>
        <w:rPr>
          <w:spacing w:val="-6"/>
        </w:rPr>
        <w:t> </w:t>
      </w:r>
      <w:r>
        <w:rPr/>
        <w:t>the</w:t>
      </w:r>
      <w:r>
        <w:rPr>
          <w:spacing w:val="-3"/>
        </w:rPr>
        <w:t> </w:t>
      </w:r>
      <w:r>
        <w:rPr/>
        <w:t>need</w:t>
      </w:r>
      <w:r>
        <w:rPr>
          <w:spacing w:val="-2"/>
        </w:rPr>
        <w:t> </w:t>
      </w:r>
      <w:r>
        <w:rPr/>
        <w:t>to</w:t>
      </w:r>
      <w:r>
        <w:rPr>
          <w:spacing w:val="-2"/>
        </w:rPr>
        <w:t> </w:t>
      </w:r>
      <w:r>
        <w:rPr/>
        <w:t>"start</w:t>
      </w:r>
      <w:r>
        <w:rPr>
          <w:spacing w:val="-2"/>
        </w:rPr>
        <w:t> </w:t>
      </w:r>
      <w:r>
        <w:rPr/>
        <w:t>where</w:t>
      </w:r>
      <w:r>
        <w:rPr>
          <w:spacing w:val="-3"/>
        </w:rPr>
        <w:t> </w:t>
      </w:r>
      <w:r>
        <w:rPr/>
        <w:t>the</w:t>
      </w:r>
      <w:r>
        <w:rPr>
          <w:spacing w:val="-3"/>
        </w:rPr>
        <w:t> </w:t>
      </w:r>
      <w:r>
        <w:rPr/>
        <w:t>client</w:t>
      </w:r>
      <w:r>
        <w:rPr>
          <w:spacing w:val="-2"/>
        </w:rPr>
        <w:t> </w:t>
      </w:r>
      <w:r>
        <w:rPr/>
        <w:t>is"</w:t>
      </w:r>
      <w:r>
        <w:rPr>
          <w:spacing w:val="-2"/>
        </w:rPr>
        <w:t> </w:t>
      </w:r>
      <w:r>
        <w:rPr/>
        <w:t>and use appropriate interventions, which may help a woman reduce her risk of getting reinfected or of infecting a partner. This includes instructing female injection</w:t>
      </w:r>
      <w:r>
        <w:rPr>
          <w:spacing w:val="-3"/>
        </w:rPr>
        <w:t> </w:t>
      </w:r>
      <w:r>
        <w:rPr/>
        <w:t>drug</w:t>
      </w:r>
      <w:r>
        <w:rPr>
          <w:spacing w:val="-3"/>
        </w:rPr>
        <w:t> </w:t>
      </w:r>
      <w:r>
        <w:rPr/>
        <w:t>users</w:t>
      </w:r>
      <w:r>
        <w:rPr>
          <w:spacing w:val="-3"/>
        </w:rPr>
        <w:t> </w:t>
      </w:r>
      <w:r>
        <w:rPr/>
        <w:t>about</w:t>
      </w:r>
      <w:r>
        <w:rPr>
          <w:spacing w:val="-3"/>
        </w:rPr>
        <w:t> </w:t>
      </w:r>
      <w:r>
        <w:rPr/>
        <w:t>how</w:t>
      </w:r>
      <w:r>
        <w:rPr>
          <w:spacing w:val="-3"/>
        </w:rPr>
        <w:t> </w:t>
      </w:r>
      <w:r>
        <w:rPr/>
        <w:t>to</w:t>
      </w:r>
      <w:r>
        <w:rPr>
          <w:spacing w:val="-3"/>
        </w:rPr>
        <w:t> </w:t>
      </w:r>
      <w:r>
        <w:rPr/>
        <w:t>use</w:t>
      </w:r>
      <w:r>
        <w:rPr>
          <w:spacing w:val="-4"/>
        </w:rPr>
        <w:t> </w:t>
      </w:r>
      <w:r>
        <w:rPr/>
        <w:t>bleach</w:t>
      </w:r>
      <w:r>
        <w:rPr>
          <w:spacing w:val="-3"/>
        </w:rPr>
        <w:t> </w:t>
      </w:r>
      <w:r>
        <w:rPr/>
        <w:t>to</w:t>
      </w:r>
      <w:r>
        <w:rPr>
          <w:spacing w:val="-3"/>
        </w:rPr>
        <w:t> </w:t>
      </w:r>
      <w:r>
        <w:rPr/>
        <w:t>"clean</w:t>
      </w:r>
      <w:r>
        <w:rPr>
          <w:spacing w:val="-3"/>
        </w:rPr>
        <w:t> </w:t>
      </w:r>
      <w:r>
        <w:rPr/>
        <w:t>their</w:t>
      </w:r>
      <w:r>
        <w:rPr>
          <w:spacing w:val="-3"/>
        </w:rPr>
        <w:t> </w:t>
      </w:r>
      <w:r>
        <w:rPr/>
        <w:t>works,"</w:t>
      </w:r>
      <w:r>
        <w:rPr>
          <w:spacing w:val="-3"/>
        </w:rPr>
        <w:t> </w:t>
      </w:r>
      <w:r>
        <w:rPr/>
        <w:t>how</w:t>
      </w:r>
      <w:r>
        <w:rPr>
          <w:spacing w:val="-3"/>
        </w:rPr>
        <w:t> </w:t>
      </w:r>
      <w:r>
        <w:rPr/>
        <w:t>to</w:t>
      </w:r>
      <w:r>
        <w:rPr>
          <w:spacing w:val="-3"/>
        </w:rPr>
        <w:t> </w:t>
      </w:r>
      <w:r>
        <w:rPr/>
        <w:t>use a female condom, or how to use a vaginal spermicide foam (not the safest</w:t>
      </w:r>
    </w:p>
    <w:p>
      <w:pPr>
        <w:pStyle w:val="BodyText"/>
        <w:spacing w:line="303" w:lineRule="exact"/>
        <w:ind w:left="280"/>
      </w:pPr>
      <w:r>
        <w:rPr/>
        <w:t>risk-reduction</w:t>
      </w:r>
      <w:r>
        <w:rPr>
          <w:spacing w:val="-2"/>
        </w:rPr>
        <w:t> </w:t>
      </w:r>
      <w:r>
        <w:rPr/>
        <w:t>method,</w:t>
      </w:r>
      <w:r>
        <w:rPr>
          <w:spacing w:val="-1"/>
        </w:rPr>
        <w:t> </w:t>
      </w:r>
      <w:r>
        <w:rPr/>
        <w:t>however)</w:t>
      </w:r>
      <w:r>
        <w:rPr>
          <w:spacing w:val="-1"/>
        </w:rPr>
        <w:t> </w:t>
      </w:r>
      <w:r>
        <w:rPr/>
        <w:t>to</w:t>
      </w:r>
      <w:r>
        <w:rPr>
          <w:spacing w:val="-2"/>
        </w:rPr>
        <w:t> </w:t>
      </w:r>
      <w:r>
        <w:rPr/>
        <w:t>lower</w:t>
      </w:r>
      <w:r>
        <w:rPr>
          <w:spacing w:val="-1"/>
        </w:rPr>
        <w:t> </w:t>
      </w:r>
      <w:r>
        <w:rPr/>
        <w:t>their</w:t>
      </w:r>
      <w:r>
        <w:rPr>
          <w:spacing w:val="-1"/>
        </w:rPr>
        <w:t> </w:t>
      </w:r>
      <w:r>
        <w:rPr/>
        <w:t>risk</w:t>
      </w:r>
      <w:r>
        <w:rPr>
          <w:spacing w:val="-2"/>
        </w:rPr>
        <w:t> </w:t>
      </w:r>
      <w:r>
        <w:rPr/>
        <w:t>of</w:t>
      </w:r>
      <w:r>
        <w:rPr>
          <w:spacing w:val="-1"/>
        </w:rPr>
        <w:t> </w:t>
      </w:r>
      <w:r>
        <w:rPr/>
        <w:t>HIV</w:t>
      </w:r>
      <w:r>
        <w:rPr>
          <w:spacing w:val="-7"/>
        </w:rPr>
        <w:t> </w:t>
      </w:r>
      <w:r>
        <w:rPr/>
        <w:t>infection</w:t>
      </w:r>
      <w:r>
        <w:rPr>
          <w:spacing w:val="-1"/>
        </w:rPr>
        <w:t> </w:t>
      </w:r>
      <w:r>
        <w:rPr>
          <w:spacing w:val="-4"/>
        </w:rPr>
        <w:t>when</w:t>
      </w:r>
    </w:p>
    <w:p>
      <w:pPr>
        <w:pStyle w:val="BodyText"/>
        <w:ind w:left="280" w:right="502"/>
      </w:pPr>
      <w:r>
        <w:rPr/>
        <w:t>having intercourse. It also involves making referrals to substance abuse treatment</w:t>
      </w:r>
      <w:r>
        <w:rPr>
          <w:spacing w:val="-11"/>
        </w:rPr>
        <w:t> </w:t>
      </w:r>
      <w:r>
        <w:rPr/>
        <w:t>and</w:t>
      </w:r>
      <w:r>
        <w:rPr>
          <w:spacing w:val="-10"/>
        </w:rPr>
        <w:t> </w:t>
      </w:r>
      <w:r>
        <w:rPr/>
        <w:t>instruction</w:t>
      </w:r>
      <w:r>
        <w:rPr>
          <w:spacing w:val="-5"/>
        </w:rPr>
        <w:t> </w:t>
      </w:r>
      <w:r>
        <w:rPr/>
        <w:t>for</w:t>
      </w:r>
      <w:r>
        <w:rPr>
          <w:spacing w:val="-5"/>
        </w:rPr>
        <w:t> </w:t>
      </w:r>
      <w:r>
        <w:rPr/>
        <w:t>male</w:t>
      </w:r>
      <w:r>
        <w:rPr>
          <w:spacing w:val="-6"/>
        </w:rPr>
        <w:t> </w:t>
      </w:r>
      <w:r>
        <w:rPr/>
        <w:t>partners</w:t>
      </w:r>
      <w:r>
        <w:rPr>
          <w:spacing w:val="-5"/>
        </w:rPr>
        <w:t> </w:t>
      </w:r>
      <w:r>
        <w:rPr/>
        <w:t>on</w:t>
      </w:r>
      <w:r>
        <w:rPr>
          <w:spacing w:val="-5"/>
        </w:rPr>
        <w:t> </w:t>
      </w:r>
      <w:r>
        <w:rPr/>
        <w:t>how</w:t>
      </w:r>
      <w:r>
        <w:rPr>
          <w:spacing w:val="-5"/>
        </w:rPr>
        <w:t> </w:t>
      </w:r>
      <w:r>
        <w:rPr/>
        <w:t>to</w:t>
      </w:r>
      <w:r>
        <w:rPr>
          <w:spacing w:val="-5"/>
        </w:rPr>
        <w:t> </w:t>
      </w:r>
      <w:r>
        <w:rPr/>
        <w:t>use</w:t>
      </w:r>
      <w:r>
        <w:rPr>
          <w:spacing w:val="-6"/>
        </w:rPr>
        <w:t> </w:t>
      </w:r>
      <w:r>
        <w:rPr/>
        <w:t>a</w:t>
      </w:r>
      <w:r>
        <w:rPr>
          <w:spacing w:val="-6"/>
        </w:rPr>
        <w:t> </w:t>
      </w:r>
      <w:r>
        <w:rPr/>
        <w:t>condom</w:t>
      </w:r>
      <w:r>
        <w:rPr>
          <w:spacing w:val="-5"/>
        </w:rPr>
        <w:t> </w:t>
      </w:r>
      <w:r>
        <w:rPr/>
        <w:t>correctly.</w:t>
      </w:r>
    </w:p>
    <w:p>
      <w:pPr>
        <w:pStyle w:val="BodyText"/>
        <w:spacing w:before="4"/>
        <w:rPr>
          <w:sz w:val="27"/>
        </w:rPr>
      </w:pPr>
    </w:p>
    <w:p>
      <w:pPr>
        <w:pStyle w:val="Heading2"/>
        <w:spacing w:before="1"/>
      </w:pPr>
      <w:r>
        <w:rPr>
          <w:spacing w:val="-2"/>
        </w:rPr>
        <w:t>Reproductive</w:t>
      </w:r>
      <w:r>
        <w:rPr>
          <w:spacing w:val="17"/>
        </w:rPr>
        <w:t> </w:t>
      </w:r>
      <w:r>
        <w:rPr>
          <w:spacing w:val="-2"/>
        </w:rPr>
        <w:t>decision-making</w:t>
      </w:r>
    </w:p>
    <w:p>
      <w:pPr>
        <w:pStyle w:val="BodyText"/>
        <w:spacing w:before="7"/>
        <w:rPr>
          <w:b/>
          <w:sz w:val="27"/>
        </w:rPr>
      </w:pPr>
    </w:p>
    <w:p>
      <w:pPr>
        <w:pStyle w:val="BodyText"/>
        <w:ind w:left="280" w:right="668"/>
      </w:pPr>
      <w:r>
        <w:rPr/>
        <w:t>Reproductive decision-making is an important area for providers to examine with both female and male clients. Providers must be prepared to discuss pregnancy and family planning with respect and without judgment. This is a difficult</w:t>
      </w:r>
      <w:r>
        <w:rPr>
          <w:spacing w:val="-5"/>
        </w:rPr>
        <w:t> </w:t>
      </w:r>
      <w:r>
        <w:rPr/>
        <w:t>task</w:t>
      </w:r>
      <w:r>
        <w:rPr>
          <w:spacing w:val="-5"/>
        </w:rPr>
        <w:t> </w:t>
      </w:r>
      <w:r>
        <w:rPr/>
        <w:t>for</w:t>
      </w:r>
      <w:r>
        <w:rPr>
          <w:spacing w:val="-5"/>
        </w:rPr>
        <w:t> </w:t>
      </w:r>
      <w:r>
        <w:rPr/>
        <w:t>providers</w:t>
      </w:r>
      <w:r>
        <w:rPr>
          <w:spacing w:val="-5"/>
        </w:rPr>
        <w:t> </w:t>
      </w:r>
      <w:r>
        <w:rPr/>
        <w:t>and</w:t>
      </w:r>
      <w:r>
        <w:rPr>
          <w:spacing w:val="-5"/>
        </w:rPr>
        <w:t> </w:t>
      </w:r>
      <w:r>
        <w:rPr/>
        <w:t>clients;</w:t>
      </w:r>
      <w:r>
        <w:rPr>
          <w:spacing w:val="-5"/>
        </w:rPr>
        <w:t> </w:t>
      </w:r>
      <w:r>
        <w:rPr/>
        <w:t>counselors</w:t>
      </w:r>
      <w:r>
        <w:rPr>
          <w:spacing w:val="-5"/>
        </w:rPr>
        <w:t> </w:t>
      </w:r>
      <w:r>
        <w:rPr/>
        <w:t>may</w:t>
      </w:r>
      <w:r>
        <w:rPr>
          <w:spacing w:val="-5"/>
        </w:rPr>
        <w:t> </w:t>
      </w:r>
      <w:r>
        <w:rPr/>
        <w:t>have</w:t>
      </w:r>
      <w:r>
        <w:rPr>
          <w:spacing w:val="-6"/>
        </w:rPr>
        <w:t> </w:t>
      </w:r>
      <w:r>
        <w:rPr/>
        <w:t>many</w:t>
      </w:r>
      <w:r>
        <w:rPr>
          <w:spacing w:val="-5"/>
        </w:rPr>
        <w:t> </w:t>
      </w:r>
      <w:r>
        <w:rPr/>
        <w:t>judgments about "right" and "wrong" and many opportunities for counter-transference. One way providers can interact with clients is to help them openly and honestly consider various factors when making reproductive decisions.</w:t>
      </w:r>
    </w:p>
    <w:p>
      <w:pPr>
        <w:pStyle w:val="BodyText"/>
        <w:spacing w:before="7"/>
        <w:rPr>
          <w:sz w:val="26"/>
        </w:rPr>
      </w:pPr>
    </w:p>
    <w:p>
      <w:pPr>
        <w:pStyle w:val="BodyText"/>
        <w:ind w:left="280" w:right="668"/>
      </w:pPr>
      <w:r>
        <w:rPr/>
        <w:t>One way to provide support in this area, and help build coping skills, is to encourage women to talk with other women--to become part of a support group</w:t>
      </w:r>
      <w:r>
        <w:rPr>
          <w:spacing w:val="-8"/>
        </w:rPr>
        <w:t> </w:t>
      </w:r>
      <w:r>
        <w:rPr/>
        <w:t>that</w:t>
      </w:r>
      <w:r>
        <w:rPr>
          <w:spacing w:val="-8"/>
        </w:rPr>
        <w:t> </w:t>
      </w:r>
      <w:r>
        <w:rPr/>
        <w:t>is</w:t>
      </w:r>
      <w:r>
        <w:rPr>
          <w:spacing w:val="-8"/>
        </w:rPr>
        <w:t> </w:t>
      </w:r>
      <w:r>
        <w:rPr/>
        <w:t>based</w:t>
      </w:r>
      <w:r>
        <w:rPr>
          <w:spacing w:val="-8"/>
        </w:rPr>
        <w:t> </w:t>
      </w:r>
      <w:r>
        <w:rPr/>
        <w:t>on</w:t>
      </w:r>
      <w:r>
        <w:rPr>
          <w:spacing w:val="-8"/>
        </w:rPr>
        <w:t> </w:t>
      </w:r>
      <w:r>
        <w:rPr/>
        <w:t>empowerment</w:t>
      </w:r>
      <w:r>
        <w:rPr>
          <w:spacing w:val="-9"/>
        </w:rPr>
        <w:t> </w:t>
      </w:r>
      <w:r>
        <w:rPr/>
        <w:t>and</w:t>
      </w:r>
      <w:r>
        <w:rPr>
          <w:spacing w:val="-4"/>
        </w:rPr>
        <w:t> </w:t>
      </w:r>
      <w:r>
        <w:rPr/>
        <w:t>women</w:t>
      </w:r>
      <w:r>
        <w:rPr>
          <w:spacing w:val="-4"/>
        </w:rPr>
        <w:t> </w:t>
      </w:r>
      <w:r>
        <w:rPr/>
        <w:t>helping</w:t>
      </w:r>
      <w:r>
        <w:rPr>
          <w:spacing w:val="-4"/>
        </w:rPr>
        <w:t> </w:t>
      </w:r>
      <w:r>
        <w:rPr/>
        <w:t>women.</w:t>
      </w:r>
      <w:r>
        <w:rPr>
          <w:spacing w:val="-4"/>
        </w:rPr>
        <w:t> </w:t>
      </w:r>
      <w:r>
        <w:rPr/>
        <w:t>Counselors should see reproductive decision-making as a very high priority and move toward this goal in small, incremental steps.</w:t>
      </w:r>
    </w:p>
    <w:p>
      <w:pPr>
        <w:pStyle w:val="BodyText"/>
        <w:rPr>
          <w:sz w:val="27"/>
        </w:rPr>
      </w:pPr>
    </w:p>
    <w:p>
      <w:pPr>
        <w:pStyle w:val="BodyText"/>
        <w:ind w:left="280" w:right="781"/>
        <w:jc w:val="both"/>
      </w:pPr>
      <w:r>
        <w:rPr/>
        <w:t>At</w:t>
      </w:r>
      <w:r>
        <w:rPr>
          <w:spacing w:val="-7"/>
        </w:rPr>
        <w:t> </w:t>
      </w:r>
      <w:r>
        <w:rPr/>
        <w:t>present,</w:t>
      </w:r>
      <w:r>
        <w:rPr>
          <w:spacing w:val="-7"/>
        </w:rPr>
        <w:t> </w:t>
      </w:r>
      <w:r>
        <w:rPr/>
        <w:t>no</w:t>
      </w:r>
      <w:r>
        <w:rPr>
          <w:spacing w:val="-7"/>
        </w:rPr>
        <w:t> </w:t>
      </w:r>
      <w:r>
        <w:rPr/>
        <w:t>one</w:t>
      </w:r>
      <w:r>
        <w:rPr>
          <w:spacing w:val="-8"/>
        </w:rPr>
        <w:t> </w:t>
      </w:r>
      <w:r>
        <w:rPr/>
        <w:t>knows</w:t>
      </w:r>
      <w:r>
        <w:rPr>
          <w:spacing w:val="-7"/>
        </w:rPr>
        <w:t> </w:t>
      </w:r>
      <w:r>
        <w:rPr/>
        <w:t>exactly</w:t>
      </w:r>
      <w:r>
        <w:rPr>
          <w:spacing w:val="-7"/>
        </w:rPr>
        <w:t> </w:t>
      </w:r>
      <w:r>
        <w:rPr/>
        <w:t>how</w:t>
      </w:r>
      <w:r>
        <w:rPr>
          <w:spacing w:val="-7"/>
        </w:rPr>
        <w:t> </w:t>
      </w:r>
      <w:r>
        <w:rPr/>
        <w:t>to</w:t>
      </w:r>
      <w:r>
        <w:rPr>
          <w:spacing w:val="-7"/>
        </w:rPr>
        <w:t> </w:t>
      </w:r>
      <w:r>
        <w:rPr/>
        <w:t>predict</w:t>
      </w:r>
      <w:r>
        <w:rPr>
          <w:spacing w:val="-7"/>
        </w:rPr>
        <w:t> </w:t>
      </w:r>
      <w:r>
        <w:rPr/>
        <w:t>which</w:t>
      </w:r>
      <w:r>
        <w:rPr>
          <w:spacing w:val="-7"/>
        </w:rPr>
        <w:t> </w:t>
      </w:r>
      <w:r>
        <w:rPr/>
        <w:t>mothers</w:t>
      </w:r>
      <w:r>
        <w:rPr>
          <w:spacing w:val="-7"/>
        </w:rPr>
        <w:t> </w:t>
      </w:r>
      <w:r>
        <w:rPr/>
        <w:t>will</w:t>
      </w:r>
      <w:r>
        <w:rPr>
          <w:spacing w:val="-7"/>
        </w:rPr>
        <w:t> </w:t>
      </w:r>
      <w:r>
        <w:rPr/>
        <w:t>transmit HIV</w:t>
      </w:r>
      <w:r>
        <w:rPr>
          <w:spacing w:val="-17"/>
        </w:rPr>
        <w:t> </w:t>
      </w:r>
      <w:r>
        <w:rPr/>
        <w:t>to</w:t>
      </w:r>
      <w:r>
        <w:rPr>
          <w:spacing w:val="-3"/>
        </w:rPr>
        <w:t> </w:t>
      </w:r>
      <w:r>
        <w:rPr/>
        <w:t>their infants.</w:t>
      </w:r>
      <w:r>
        <w:rPr>
          <w:spacing w:val="-18"/>
        </w:rPr>
        <w:t> </w:t>
      </w:r>
      <w:r>
        <w:rPr/>
        <w:t>Although there is some speculation that a mother's viral load, measured through viral load assays, may indicate whether her infant</w:t>
      </w:r>
    </w:p>
    <w:p>
      <w:pPr>
        <w:spacing w:after="0"/>
        <w:jc w:val="both"/>
        <w:sectPr>
          <w:pgSz w:w="12240" w:h="15840"/>
          <w:pgMar w:header="0" w:footer="765" w:top="1300" w:bottom="980" w:left="1400" w:right="1180"/>
        </w:sectPr>
      </w:pPr>
    </w:p>
    <w:p>
      <w:pPr>
        <w:pStyle w:val="BodyText"/>
        <w:spacing w:before="66"/>
        <w:ind w:left="280" w:right="668"/>
      </w:pPr>
      <w:r>
        <w:rPr/>
        <w:t>becomes</w:t>
      </w:r>
      <w:r>
        <w:rPr>
          <w:spacing w:val="-4"/>
        </w:rPr>
        <w:t> </w:t>
      </w:r>
      <w:r>
        <w:rPr/>
        <w:t>HIV</w:t>
      </w:r>
      <w:r>
        <w:rPr>
          <w:spacing w:val="-10"/>
        </w:rPr>
        <w:t> </w:t>
      </w:r>
      <w:r>
        <w:rPr/>
        <w:t>infected.</w:t>
      </w:r>
      <w:r>
        <w:rPr>
          <w:spacing w:val="-4"/>
        </w:rPr>
        <w:t> </w:t>
      </w:r>
      <w:r>
        <w:rPr/>
        <w:t>Much</w:t>
      </w:r>
      <w:r>
        <w:rPr>
          <w:spacing w:val="-4"/>
        </w:rPr>
        <w:t> </w:t>
      </w:r>
      <w:r>
        <w:rPr/>
        <w:t>is</w:t>
      </w:r>
      <w:r>
        <w:rPr>
          <w:spacing w:val="-4"/>
        </w:rPr>
        <w:t> </w:t>
      </w:r>
      <w:r>
        <w:rPr/>
        <w:t>still</w:t>
      </w:r>
      <w:r>
        <w:rPr>
          <w:spacing w:val="-4"/>
        </w:rPr>
        <w:t> </w:t>
      </w:r>
      <w:r>
        <w:rPr/>
        <w:t>unknown,</w:t>
      </w:r>
      <w:r>
        <w:rPr>
          <w:spacing w:val="-4"/>
        </w:rPr>
        <w:t> </w:t>
      </w:r>
      <w:r>
        <w:rPr/>
        <w:t>and</w:t>
      </w:r>
      <w:r>
        <w:rPr>
          <w:spacing w:val="-4"/>
        </w:rPr>
        <w:t> </w:t>
      </w:r>
      <w:r>
        <w:rPr/>
        <w:t>controversies</w:t>
      </w:r>
      <w:r>
        <w:rPr>
          <w:spacing w:val="-4"/>
        </w:rPr>
        <w:t> </w:t>
      </w:r>
      <w:r>
        <w:rPr/>
        <w:t>abound,</w:t>
      </w:r>
      <w:r>
        <w:rPr>
          <w:spacing w:val="-4"/>
        </w:rPr>
        <w:t> </w:t>
      </w:r>
      <w:r>
        <w:rPr/>
        <w:t>but providers must understand and respect the importance of self-determination and the right of women to make their own decisions. Ultimately, it is the woman's choice.</w:t>
      </w:r>
    </w:p>
    <w:p>
      <w:pPr>
        <w:pStyle w:val="BodyText"/>
        <w:spacing w:before="1"/>
        <w:rPr>
          <w:sz w:val="27"/>
        </w:rPr>
      </w:pPr>
    </w:p>
    <w:p>
      <w:pPr>
        <w:pStyle w:val="BodyText"/>
        <w:ind w:left="280" w:right="502"/>
      </w:pPr>
      <w:r>
        <w:rPr/>
        <w:t>Today, HIV-positive women are looking at the prospect of pregnancy differently than they did in 1989. HIV-positive women who think about becoming pregnant have access to</w:t>
      </w:r>
      <w:r>
        <w:rPr>
          <w:spacing w:val="-4"/>
        </w:rPr>
        <w:t> </w:t>
      </w:r>
      <w:r>
        <w:rPr/>
        <w:t>information</w:t>
      </w:r>
      <w:r>
        <w:rPr>
          <w:spacing w:val="-2"/>
        </w:rPr>
        <w:t> </w:t>
      </w:r>
      <w:r>
        <w:rPr/>
        <w:t>about</w:t>
      </w:r>
      <w:r>
        <w:rPr>
          <w:spacing w:val="-3"/>
        </w:rPr>
        <w:t> </w:t>
      </w:r>
      <w:r>
        <w:rPr/>
        <w:t>viral</w:t>
      </w:r>
      <w:r>
        <w:rPr>
          <w:spacing w:val="-2"/>
        </w:rPr>
        <w:t> </w:t>
      </w:r>
      <w:r>
        <w:rPr/>
        <w:t>load</w:t>
      </w:r>
      <w:r>
        <w:rPr>
          <w:spacing w:val="-2"/>
        </w:rPr>
        <w:t> </w:t>
      </w:r>
      <w:r>
        <w:rPr/>
        <w:t>testing</w:t>
      </w:r>
      <w:r>
        <w:rPr>
          <w:spacing w:val="-2"/>
        </w:rPr>
        <w:t> </w:t>
      </w:r>
      <w:r>
        <w:rPr/>
        <w:t>and</w:t>
      </w:r>
      <w:r>
        <w:rPr>
          <w:spacing w:val="-2"/>
        </w:rPr>
        <w:t> </w:t>
      </w:r>
      <w:r>
        <w:rPr/>
        <w:t>the possibility</w:t>
      </w:r>
      <w:r>
        <w:rPr>
          <w:spacing w:val="-16"/>
        </w:rPr>
        <w:t> </w:t>
      </w:r>
      <w:r>
        <w:rPr/>
        <w:t>of</w:t>
      </w:r>
      <w:r>
        <w:rPr>
          <w:spacing w:val="-12"/>
        </w:rPr>
        <w:t> </w:t>
      </w:r>
      <w:r>
        <w:rPr/>
        <w:t>artificial</w:t>
      </w:r>
      <w:r>
        <w:rPr>
          <w:spacing w:val="-12"/>
        </w:rPr>
        <w:t> </w:t>
      </w:r>
      <w:r>
        <w:rPr/>
        <w:t>insemination.</w:t>
      </w:r>
      <w:r>
        <w:rPr>
          <w:spacing w:val="-33"/>
        </w:rPr>
        <w:t> </w:t>
      </w:r>
      <w:r>
        <w:rPr/>
        <w:t>Also,</w:t>
      </w:r>
      <w:r>
        <w:rPr>
          <w:spacing w:val="-8"/>
        </w:rPr>
        <w:t> </w:t>
      </w:r>
      <w:r>
        <w:rPr/>
        <w:t>HIV-positive</w:t>
      </w:r>
      <w:r>
        <w:rPr>
          <w:spacing w:val="-9"/>
        </w:rPr>
        <w:t> </w:t>
      </w:r>
      <w:r>
        <w:rPr/>
        <w:t>women</w:t>
      </w:r>
      <w:r>
        <w:rPr>
          <w:spacing w:val="-8"/>
        </w:rPr>
        <w:t> </w:t>
      </w:r>
      <w:r>
        <w:rPr/>
        <w:t>can</w:t>
      </w:r>
      <w:r>
        <w:rPr>
          <w:spacing w:val="-8"/>
        </w:rPr>
        <w:t> </w:t>
      </w:r>
      <w:r>
        <w:rPr/>
        <w:t>consider</w:t>
      </w:r>
      <w:r>
        <w:rPr>
          <w:spacing w:val="-8"/>
        </w:rPr>
        <w:t> </w:t>
      </w:r>
      <w:r>
        <w:rPr/>
        <w:t>a natural rhythm method, identifying fertile days and limiting unprotected intercourse to those times to decrease their partner's risk of HIV infection.</w:t>
      </w:r>
    </w:p>
    <w:p>
      <w:pPr>
        <w:pStyle w:val="BodyText"/>
        <w:spacing w:line="237" w:lineRule="auto"/>
        <w:ind w:left="280" w:right="502"/>
      </w:pPr>
      <w:r>
        <w:rPr/>
        <w:t>There</w:t>
      </w:r>
      <w:r>
        <w:rPr>
          <w:spacing w:val="-6"/>
        </w:rPr>
        <w:t> </w:t>
      </w:r>
      <w:r>
        <w:rPr/>
        <w:t>is</w:t>
      </w:r>
      <w:r>
        <w:rPr>
          <w:spacing w:val="-5"/>
        </w:rPr>
        <w:t> </w:t>
      </w:r>
      <w:r>
        <w:rPr/>
        <w:t>no</w:t>
      </w:r>
      <w:r>
        <w:rPr>
          <w:spacing w:val="-5"/>
        </w:rPr>
        <w:t> </w:t>
      </w:r>
      <w:r>
        <w:rPr/>
        <w:t>question</w:t>
      </w:r>
      <w:r>
        <w:rPr>
          <w:spacing w:val="-5"/>
        </w:rPr>
        <w:t> </w:t>
      </w:r>
      <w:r>
        <w:rPr/>
        <w:t>that</w:t>
      </w:r>
      <w:r>
        <w:rPr>
          <w:spacing w:val="-5"/>
        </w:rPr>
        <w:t> </w:t>
      </w:r>
      <w:r>
        <w:rPr/>
        <w:t>even</w:t>
      </w:r>
      <w:r>
        <w:rPr>
          <w:spacing w:val="-5"/>
        </w:rPr>
        <w:t> </w:t>
      </w:r>
      <w:r>
        <w:rPr/>
        <w:t>today,</w:t>
      </w:r>
      <w:r>
        <w:rPr>
          <w:spacing w:val="-5"/>
        </w:rPr>
        <w:t> </w:t>
      </w:r>
      <w:r>
        <w:rPr/>
        <w:t>facing</w:t>
      </w:r>
      <w:r>
        <w:rPr>
          <w:spacing w:val="-5"/>
        </w:rPr>
        <w:t> </w:t>
      </w:r>
      <w:r>
        <w:rPr/>
        <w:t>pregnancy</w:t>
      </w:r>
      <w:r>
        <w:rPr>
          <w:spacing w:val="-5"/>
        </w:rPr>
        <w:t> </w:t>
      </w:r>
      <w:r>
        <w:rPr/>
        <w:t>while</w:t>
      </w:r>
      <w:r>
        <w:rPr>
          <w:spacing w:val="-6"/>
        </w:rPr>
        <w:t> </w:t>
      </w:r>
      <w:r>
        <w:rPr/>
        <w:t>HIV</w:t>
      </w:r>
      <w:r>
        <w:rPr>
          <w:spacing w:val="-11"/>
        </w:rPr>
        <w:t> </w:t>
      </w:r>
      <w:r>
        <w:rPr/>
        <w:t>positive, examining the options related to terminating or continuing a pregnancy, deciding</w:t>
      </w:r>
      <w:r>
        <w:rPr>
          <w:spacing w:val="-4"/>
        </w:rPr>
        <w:t> </w:t>
      </w:r>
      <w:r>
        <w:rPr/>
        <w:t>about</w:t>
      </w:r>
      <w:r>
        <w:rPr>
          <w:spacing w:val="-4"/>
        </w:rPr>
        <w:t> </w:t>
      </w:r>
      <w:r>
        <w:rPr/>
        <w:t>medications,</w:t>
      </w:r>
      <w:r>
        <w:rPr>
          <w:spacing w:val="-4"/>
        </w:rPr>
        <w:t> </w:t>
      </w:r>
      <w:r>
        <w:rPr/>
        <w:t>examining</w:t>
      </w:r>
      <w:r>
        <w:rPr>
          <w:spacing w:val="-4"/>
        </w:rPr>
        <w:t> </w:t>
      </w:r>
      <w:r>
        <w:rPr/>
        <w:t>the</w:t>
      </w:r>
      <w:r>
        <w:rPr>
          <w:spacing w:val="-5"/>
        </w:rPr>
        <w:t> </w:t>
      </w:r>
      <w:r>
        <w:rPr/>
        <w:t>woman's</w:t>
      </w:r>
      <w:r>
        <w:rPr>
          <w:spacing w:val="-4"/>
        </w:rPr>
        <w:t> </w:t>
      </w:r>
      <w:r>
        <w:rPr/>
        <w:t>health</w:t>
      </w:r>
      <w:r>
        <w:rPr>
          <w:spacing w:val="-4"/>
        </w:rPr>
        <w:t> </w:t>
      </w:r>
      <w:r>
        <w:rPr/>
        <w:t>and</w:t>
      </w:r>
      <w:r>
        <w:rPr>
          <w:spacing w:val="-4"/>
        </w:rPr>
        <w:t> </w:t>
      </w:r>
      <w:r>
        <w:rPr/>
        <w:t>the</w:t>
      </w:r>
      <w:r>
        <w:rPr>
          <w:spacing w:val="-5"/>
        </w:rPr>
        <w:t> </w:t>
      </w:r>
      <w:r>
        <w:rPr/>
        <w:t>infant's health, and addressing the long-term implications are all complex issues.</w:t>
      </w:r>
    </w:p>
    <w:p>
      <w:pPr>
        <w:pStyle w:val="BodyText"/>
        <w:spacing w:before="3"/>
        <w:rPr>
          <w:sz w:val="27"/>
        </w:rPr>
      </w:pPr>
    </w:p>
    <w:p>
      <w:pPr>
        <w:pStyle w:val="BodyText"/>
        <w:ind w:left="280" w:right="581"/>
      </w:pPr>
      <w:r>
        <w:rPr/>
        <w:t>It is essential that providers examine these issues with clients within the context</w:t>
      </w:r>
      <w:r>
        <w:rPr>
          <w:spacing w:val="-5"/>
        </w:rPr>
        <w:t> </w:t>
      </w:r>
      <w:r>
        <w:rPr/>
        <w:t>of</w:t>
      </w:r>
      <w:r>
        <w:rPr>
          <w:spacing w:val="-5"/>
        </w:rPr>
        <w:t> </w:t>
      </w:r>
      <w:r>
        <w:rPr/>
        <w:t>a</w:t>
      </w:r>
      <w:r>
        <w:rPr>
          <w:spacing w:val="-5"/>
        </w:rPr>
        <w:t> </w:t>
      </w:r>
      <w:r>
        <w:rPr/>
        <w:t>biopsychosocial</w:t>
      </w:r>
      <w:r>
        <w:rPr>
          <w:spacing w:val="-5"/>
        </w:rPr>
        <w:t> </w:t>
      </w:r>
      <w:r>
        <w:rPr/>
        <w:t>framework.</w:t>
      </w:r>
      <w:r>
        <w:rPr>
          <w:spacing w:val="-5"/>
        </w:rPr>
        <w:t> </w:t>
      </w:r>
      <w:r>
        <w:rPr/>
        <w:t>Counselors</w:t>
      </w:r>
      <w:r>
        <w:rPr>
          <w:spacing w:val="-5"/>
        </w:rPr>
        <w:t> </w:t>
      </w:r>
      <w:r>
        <w:rPr/>
        <w:t>and</w:t>
      </w:r>
      <w:r>
        <w:rPr>
          <w:spacing w:val="-5"/>
        </w:rPr>
        <w:t> </w:t>
      </w:r>
      <w:r>
        <w:rPr/>
        <w:t>health</w:t>
      </w:r>
      <w:r>
        <w:rPr>
          <w:spacing w:val="-5"/>
        </w:rPr>
        <w:t> </w:t>
      </w:r>
      <w:r>
        <w:rPr/>
        <w:t>care</w:t>
      </w:r>
      <w:r>
        <w:rPr>
          <w:spacing w:val="-5"/>
        </w:rPr>
        <w:t> </w:t>
      </w:r>
      <w:r>
        <w:rPr/>
        <w:t>providers must work together, along with the female client, to stay aware of the latest research and information regarding HIV/AIDS treatment. It is also important to remember that data and information on HIV/AIDS are constantly changing and that the "facts" provided to clients today may be very different tomorrow.</w:t>
      </w:r>
    </w:p>
    <w:p>
      <w:pPr>
        <w:pStyle w:val="BodyText"/>
        <w:spacing w:before="9"/>
        <w:rPr>
          <w:sz w:val="26"/>
        </w:rPr>
      </w:pPr>
    </w:p>
    <w:p>
      <w:pPr>
        <w:pStyle w:val="Heading2"/>
      </w:pPr>
      <w:r>
        <w:rPr/>
        <w:t>Parents</w:t>
      </w:r>
      <w:r>
        <w:rPr>
          <w:spacing w:val="-9"/>
        </w:rPr>
        <w:t> </w:t>
      </w:r>
      <w:r>
        <w:rPr/>
        <w:t>who</w:t>
      </w:r>
      <w:r>
        <w:rPr>
          <w:spacing w:val="-9"/>
        </w:rPr>
        <w:t> </w:t>
      </w:r>
      <w:r>
        <w:rPr/>
        <w:t>are</w:t>
      </w:r>
      <w:r>
        <w:rPr>
          <w:spacing w:val="-9"/>
        </w:rPr>
        <w:t> </w:t>
      </w:r>
      <w:r>
        <w:rPr/>
        <w:t>HIV</w:t>
      </w:r>
      <w:r>
        <w:rPr>
          <w:spacing w:val="-17"/>
        </w:rPr>
        <w:t> </w:t>
      </w:r>
      <w:r>
        <w:rPr>
          <w:spacing w:val="-2"/>
        </w:rPr>
        <w:t>Positive</w:t>
      </w:r>
    </w:p>
    <w:p>
      <w:pPr>
        <w:pStyle w:val="BodyText"/>
        <w:spacing w:before="8"/>
        <w:rPr>
          <w:b/>
          <w:sz w:val="27"/>
        </w:rPr>
      </w:pPr>
    </w:p>
    <w:p>
      <w:pPr>
        <w:pStyle w:val="BodyText"/>
        <w:ind w:left="280" w:right="499"/>
      </w:pPr>
      <w:r>
        <w:rPr/>
        <w:t>More and more resources have been developed for single- and two-parent households</w:t>
      </w:r>
      <w:r>
        <w:rPr>
          <w:spacing w:val="-7"/>
        </w:rPr>
        <w:t> </w:t>
      </w:r>
      <w:r>
        <w:rPr/>
        <w:t>in</w:t>
      </w:r>
      <w:r>
        <w:rPr>
          <w:spacing w:val="-3"/>
        </w:rPr>
        <w:t> </w:t>
      </w:r>
      <w:r>
        <w:rPr/>
        <w:t>which</w:t>
      </w:r>
      <w:r>
        <w:rPr>
          <w:spacing w:val="-3"/>
        </w:rPr>
        <w:t> </w:t>
      </w:r>
      <w:r>
        <w:rPr/>
        <w:t>one</w:t>
      </w:r>
      <w:r>
        <w:rPr>
          <w:spacing w:val="-4"/>
        </w:rPr>
        <w:t> </w:t>
      </w:r>
      <w:r>
        <w:rPr/>
        <w:t>or</w:t>
      </w:r>
      <w:r>
        <w:rPr>
          <w:spacing w:val="-3"/>
        </w:rPr>
        <w:t> </w:t>
      </w:r>
      <w:r>
        <w:rPr/>
        <w:t>both</w:t>
      </w:r>
      <w:r>
        <w:rPr>
          <w:spacing w:val="-3"/>
        </w:rPr>
        <w:t> </w:t>
      </w:r>
      <w:r>
        <w:rPr/>
        <w:t>parents</w:t>
      </w:r>
      <w:r>
        <w:rPr>
          <w:spacing w:val="-3"/>
        </w:rPr>
        <w:t> </w:t>
      </w:r>
      <w:r>
        <w:rPr/>
        <w:t>are</w:t>
      </w:r>
      <w:r>
        <w:rPr>
          <w:spacing w:val="-4"/>
        </w:rPr>
        <w:t> </w:t>
      </w:r>
      <w:r>
        <w:rPr/>
        <w:t>HIV</w:t>
      </w:r>
      <w:r>
        <w:rPr>
          <w:spacing w:val="-9"/>
        </w:rPr>
        <w:t> </w:t>
      </w:r>
      <w:r>
        <w:rPr/>
        <w:t>positive</w:t>
      </w:r>
      <w:r>
        <w:rPr>
          <w:spacing w:val="-4"/>
        </w:rPr>
        <w:t> </w:t>
      </w:r>
      <w:r>
        <w:rPr/>
        <w:t>and/or</w:t>
      </w:r>
      <w:r>
        <w:rPr>
          <w:spacing w:val="-3"/>
        </w:rPr>
        <w:t> </w:t>
      </w:r>
      <w:r>
        <w:rPr/>
        <w:t>the</w:t>
      </w:r>
      <w:r>
        <w:rPr>
          <w:spacing w:val="-4"/>
        </w:rPr>
        <w:t> </w:t>
      </w:r>
      <w:r>
        <w:rPr/>
        <w:t>children are HIV</w:t>
      </w:r>
      <w:r>
        <w:rPr>
          <w:spacing w:val="-3"/>
        </w:rPr>
        <w:t> </w:t>
      </w:r>
      <w:r>
        <w:rPr/>
        <w:t>positive.</w:t>
      </w:r>
      <w:r>
        <w:rPr>
          <w:spacing w:val="-3"/>
        </w:rPr>
        <w:t> </w:t>
      </w:r>
      <w:r>
        <w:rPr/>
        <w:t>There must be a continued awareness of the needs of these </w:t>
      </w:r>
      <w:r>
        <w:rPr>
          <w:spacing w:val="-2"/>
        </w:rPr>
        <w:t>families.</w:t>
      </w:r>
    </w:p>
    <w:p>
      <w:pPr>
        <w:pStyle w:val="BodyText"/>
        <w:spacing w:before="1"/>
        <w:rPr>
          <w:sz w:val="27"/>
        </w:rPr>
      </w:pPr>
    </w:p>
    <w:p>
      <w:pPr>
        <w:pStyle w:val="BodyText"/>
        <w:spacing w:before="1"/>
        <w:ind w:left="280" w:right="499"/>
      </w:pPr>
      <w:r>
        <w:rPr/>
        <w:t>These families experience the need for a variety of services, both child- centered</w:t>
      </w:r>
      <w:r>
        <w:rPr>
          <w:spacing w:val="-5"/>
        </w:rPr>
        <w:t> </w:t>
      </w:r>
      <w:r>
        <w:rPr/>
        <w:t>and</w:t>
      </w:r>
      <w:r>
        <w:rPr>
          <w:spacing w:val="-5"/>
        </w:rPr>
        <w:t> </w:t>
      </w:r>
      <w:r>
        <w:rPr/>
        <w:t>adult-centered.</w:t>
      </w:r>
      <w:r>
        <w:rPr>
          <w:spacing w:val="-5"/>
        </w:rPr>
        <w:t> </w:t>
      </w:r>
      <w:r>
        <w:rPr/>
        <w:t>Concerns</w:t>
      </w:r>
      <w:r>
        <w:rPr>
          <w:spacing w:val="-5"/>
        </w:rPr>
        <w:t> </w:t>
      </w:r>
      <w:r>
        <w:rPr/>
        <w:t>about</w:t>
      </w:r>
      <w:r>
        <w:rPr>
          <w:spacing w:val="-5"/>
        </w:rPr>
        <w:t> </w:t>
      </w:r>
      <w:r>
        <w:rPr/>
        <w:t>guardianship</w:t>
      </w:r>
      <w:r>
        <w:rPr>
          <w:spacing w:val="-5"/>
        </w:rPr>
        <w:t> </w:t>
      </w:r>
      <w:r>
        <w:rPr/>
        <w:t>for</w:t>
      </w:r>
      <w:r>
        <w:rPr>
          <w:spacing w:val="-5"/>
        </w:rPr>
        <w:t> </w:t>
      </w:r>
      <w:r>
        <w:rPr/>
        <w:t>children</w:t>
      </w:r>
      <w:r>
        <w:rPr>
          <w:spacing w:val="-5"/>
        </w:rPr>
        <w:t> </w:t>
      </w:r>
      <w:r>
        <w:rPr/>
        <w:t>after</w:t>
      </w:r>
      <w:r>
        <w:rPr>
          <w:spacing w:val="-5"/>
        </w:rPr>
        <w:t> </w:t>
      </w:r>
      <w:r>
        <w:rPr/>
        <w:t>the parent is unable or unavailable to care for them must be a major focus for the parent and the service provider. Unfortunately, many clients who have long histories of substance abuse may have "burned many bridges," and the family support they need for permanency planning and establishing an appropriate guardian for their children is no longer available.</w:t>
      </w:r>
      <w:r>
        <w:rPr>
          <w:spacing w:val="-28"/>
        </w:rPr>
        <w:t> </w:t>
      </w:r>
      <w:r>
        <w:rPr/>
        <w:t>All too often, there is only a tired, abused, and used grandparent who is dealing with chronic ailments, limited resources, and little emotional energy to raise more</w:t>
      </w:r>
    </w:p>
    <w:p>
      <w:pPr>
        <w:pStyle w:val="BodyText"/>
        <w:spacing w:line="304" w:lineRule="exact"/>
        <w:ind w:left="280"/>
      </w:pPr>
      <w:r>
        <w:rPr>
          <w:spacing w:val="-2"/>
        </w:rPr>
        <w:t>children.</w:t>
      </w:r>
    </w:p>
    <w:p>
      <w:pPr>
        <w:pStyle w:val="BodyText"/>
        <w:spacing w:before="7"/>
        <w:rPr>
          <w:sz w:val="27"/>
        </w:rPr>
      </w:pPr>
    </w:p>
    <w:p>
      <w:pPr>
        <w:pStyle w:val="BodyText"/>
        <w:ind w:left="280"/>
      </w:pPr>
      <w:r>
        <w:rPr/>
        <w:t>If</w:t>
      </w:r>
      <w:r>
        <w:rPr>
          <w:spacing w:val="-4"/>
        </w:rPr>
        <w:t> </w:t>
      </w:r>
      <w:r>
        <w:rPr/>
        <w:t>a</w:t>
      </w:r>
      <w:r>
        <w:rPr>
          <w:spacing w:val="-2"/>
        </w:rPr>
        <w:t> </w:t>
      </w:r>
      <w:r>
        <w:rPr/>
        <w:t>child</w:t>
      </w:r>
      <w:r>
        <w:rPr>
          <w:spacing w:val="-1"/>
        </w:rPr>
        <w:t> </w:t>
      </w:r>
      <w:r>
        <w:rPr/>
        <w:t>also</w:t>
      </w:r>
      <w:r>
        <w:rPr>
          <w:spacing w:val="-1"/>
        </w:rPr>
        <w:t> </w:t>
      </w:r>
      <w:r>
        <w:rPr/>
        <w:t>is</w:t>
      </w:r>
      <w:r>
        <w:rPr>
          <w:spacing w:val="-1"/>
        </w:rPr>
        <w:t> </w:t>
      </w:r>
      <w:r>
        <w:rPr/>
        <w:t>HIV</w:t>
      </w:r>
      <w:r>
        <w:rPr>
          <w:spacing w:val="-10"/>
        </w:rPr>
        <w:t> </w:t>
      </w:r>
      <w:r>
        <w:rPr/>
        <w:t>positive,</w:t>
      </w:r>
      <w:r>
        <w:rPr>
          <w:spacing w:val="-1"/>
        </w:rPr>
        <w:t> </w:t>
      </w:r>
      <w:r>
        <w:rPr/>
        <w:t>there</w:t>
      </w:r>
      <w:r>
        <w:rPr>
          <w:spacing w:val="-2"/>
        </w:rPr>
        <w:t> </w:t>
      </w:r>
      <w:r>
        <w:rPr/>
        <w:t>will</w:t>
      </w:r>
      <w:r>
        <w:rPr>
          <w:spacing w:val="-1"/>
        </w:rPr>
        <w:t> </w:t>
      </w:r>
      <w:r>
        <w:rPr/>
        <w:t>be</w:t>
      </w:r>
      <w:r>
        <w:rPr>
          <w:spacing w:val="-2"/>
        </w:rPr>
        <w:t> </w:t>
      </w:r>
      <w:r>
        <w:rPr/>
        <w:t>special</w:t>
      </w:r>
      <w:r>
        <w:rPr>
          <w:spacing w:val="-1"/>
        </w:rPr>
        <w:t> </w:t>
      </w:r>
      <w:r>
        <w:rPr/>
        <w:t>needs</w:t>
      </w:r>
      <w:r>
        <w:rPr>
          <w:spacing w:val="-1"/>
        </w:rPr>
        <w:t> </w:t>
      </w:r>
      <w:r>
        <w:rPr/>
        <w:t>that</w:t>
      </w:r>
      <w:r>
        <w:rPr>
          <w:spacing w:val="-1"/>
        </w:rPr>
        <w:t> </w:t>
      </w:r>
      <w:r>
        <w:rPr/>
        <w:t>the</w:t>
      </w:r>
      <w:r>
        <w:rPr>
          <w:spacing w:val="-2"/>
        </w:rPr>
        <w:t> </w:t>
      </w:r>
      <w:r>
        <w:rPr/>
        <w:t>parent</w:t>
      </w:r>
      <w:r>
        <w:rPr>
          <w:spacing w:val="-1"/>
        </w:rPr>
        <w:t> </w:t>
      </w:r>
      <w:r>
        <w:rPr>
          <w:spacing w:val="-5"/>
        </w:rPr>
        <w:t>may</w:t>
      </w:r>
    </w:p>
    <w:p>
      <w:pPr>
        <w:spacing w:after="0"/>
        <w:sectPr>
          <w:pgSz w:w="12240" w:h="15840"/>
          <w:pgMar w:header="0" w:footer="765" w:top="1260" w:bottom="980" w:left="1400" w:right="1180"/>
        </w:sectPr>
      </w:pPr>
    </w:p>
    <w:p>
      <w:pPr>
        <w:pStyle w:val="BodyText"/>
        <w:spacing w:before="66"/>
        <w:ind w:left="280" w:right="499"/>
      </w:pPr>
      <w:r>
        <w:rPr/>
        <w:t>not be able to address while facing her own issues. The already demanding dynamics</w:t>
      </w:r>
      <w:r>
        <w:rPr>
          <w:spacing w:val="-4"/>
        </w:rPr>
        <w:t> </w:t>
      </w:r>
      <w:r>
        <w:rPr/>
        <w:t>of</w:t>
      </w:r>
      <w:r>
        <w:rPr>
          <w:spacing w:val="-4"/>
        </w:rPr>
        <w:t> </w:t>
      </w:r>
      <w:r>
        <w:rPr/>
        <w:t>childhood,</w:t>
      </w:r>
      <w:r>
        <w:rPr>
          <w:spacing w:val="-4"/>
        </w:rPr>
        <w:t> </w:t>
      </w:r>
      <w:r>
        <w:rPr/>
        <w:t>school,</w:t>
      </w:r>
      <w:r>
        <w:rPr>
          <w:spacing w:val="-4"/>
        </w:rPr>
        <w:t> </w:t>
      </w:r>
      <w:r>
        <w:rPr/>
        <w:t>and</w:t>
      </w:r>
      <w:r>
        <w:rPr>
          <w:spacing w:val="-4"/>
        </w:rPr>
        <w:t> </w:t>
      </w:r>
      <w:r>
        <w:rPr/>
        <w:t>growing</w:t>
      </w:r>
      <w:r>
        <w:rPr>
          <w:spacing w:val="-4"/>
        </w:rPr>
        <w:t> </w:t>
      </w:r>
      <w:r>
        <w:rPr/>
        <w:t>up</w:t>
      </w:r>
      <w:r>
        <w:rPr>
          <w:spacing w:val="-4"/>
        </w:rPr>
        <w:t> </w:t>
      </w:r>
      <w:r>
        <w:rPr/>
        <w:t>become</w:t>
      </w:r>
      <w:r>
        <w:rPr>
          <w:spacing w:val="-5"/>
        </w:rPr>
        <w:t> </w:t>
      </w:r>
      <w:r>
        <w:rPr/>
        <w:t>more</w:t>
      </w:r>
      <w:r>
        <w:rPr>
          <w:spacing w:val="-5"/>
        </w:rPr>
        <w:t> </w:t>
      </w:r>
      <w:r>
        <w:rPr/>
        <w:t>challenging</w:t>
      </w:r>
      <w:r>
        <w:rPr>
          <w:spacing w:val="-4"/>
        </w:rPr>
        <w:t> </w:t>
      </w:r>
      <w:r>
        <w:rPr/>
        <w:t>for an HIV-infected child and parent. Even if the child is not HIV positive, the demands of parenting can prove rigorous for single parents with HIV/AIDS.</w:t>
      </w:r>
    </w:p>
    <w:p>
      <w:pPr>
        <w:pStyle w:val="BodyText"/>
        <w:spacing w:line="313" w:lineRule="exact"/>
        <w:ind w:left="280"/>
      </w:pPr>
      <w:r>
        <w:rPr/>
        <w:t>Although</w:t>
      </w:r>
      <w:r>
        <w:rPr>
          <w:spacing w:val="-6"/>
        </w:rPr>
        <w:t> </w:t>
      </w:r>
      <w:r>
        <w:rPr/>
        <w:t>the</w:t>
      </w:r>
      <w:r>
        <w:rPr>
          <w:spacing w:val="-6"/>
        </w:rPr>
        <w:t> </w:t>
      </w:r>
      <w:r>
        <w:rPr/>
        <w:t>parent</w:t>
      </w:r>
      <w:r>
        <w:rPr>
          <w:spacing w:val="-7"/>
        </w:rPr>
        <w:t> </w:t>
      </w:r>
      <w:r>
        <w:rPr/>
        <w:t>experiences</w:t>
      </w:r>
      <w:r>
        <w:rPr>
          <w:spacing w:val="-5"/>
        </w:rPr>
        <w:t> </w:t>
      </w:r>
      <w:r>
        <w:rPr/>
        <w:t>the</w:t>
      </w:r>
      <w:r>
        <w:rPr>
          <w:spacing w:val="-7"/>
        </w:rPr>
        <w:t> </w:t>
      </w:r>
      <w:r>
        <w:rPr/>
        <w:t>relief</w:t>
      </w:r>
      <w:r>
        <w:rPr>
          <w:spacing w:val="-5"/>
        </w:rPr>
        <w:t> </w:t>
      </w:r>
      <w:r>
        <w:rPr/>
        <w:t>of</w:t>
      </w:r>
      <w:r>
        <w:rPr>
          <w:spacing w:val="-6"/>
        </w:rPr>
        <w:t> </w:t>
      </w:r>
      <w:r>
        <w:rPr/>
        <w:t>knowing</w:t>
      </w:r>
      <w:r>
        <w:rPr>
          <w:spacing w:val="-5"/>
        </w:rPr>
        <w:t> the</w:t>
      </w:r>
    </w:p>
    <w:p>
      <w:pPr>
        <w:pStyle w:val="BodyText"/>
        <w:ind w:left="280" w:right="502"/>
      </w:pPr>
      <w:r>
        <w:rPr/>
        <w:t>child</w:t>
      </w:r>
      <w:r>
        <w:rPr>
          <w:spacing w:val="-5"/>
        </w:rPr>
        <w:t> </w:t>
      </w:r>
      <w:r>
        <w:rPr/>
        <w:t>is</w:t>
      </w:r>
      <w:r>
        <w:rPr>
          <w:spacing w:val="-5"/>
        </w:rPr>
        <w:t> </w:t>
      </w:r>
      <w:r>
        <w:rPr/>
        <w:t>all</w:t>
      </w:r>
      <w:r>
        <w:rPr>
          <w:spacing w:val="-5"/>
        </w:rPr>
        <w:t> </w:t>
      </w:r>
      <w:r>
        <w:rPr/>
        <w:t>right,</w:t>
      </w:r>
      <w:r>
        <w:rPr>
          <w:spacing w:val="-5"/>
        </w:rPr>
        <w:t> </w:t>
      </w:r>
      <w:r>
        <w:rPr/>
        <w:t>the</w:t>
      </w:r>
      <w:r>
        <w:rPr>
          <w:spacing w:val="-6"/>
        </w:rPr>
        <w:t> </w:t>
      </w:r>
      <w:r>
        <w:rPr/>
        <w:t>poignant</w:t>
      </w:r>
      <w:r>
        <w:rPr>
          <w:spacing w:val="-6"/>
        </w:rPr>
        <w:t> </w:t>
      </w:r>
      <w:r>
        <w:rPr/>
        <w:t>realization</w:t>
      </w:r>
      <w:r>
        <w:rPr>
          <w:spacing w:val="-5"/>
        </w:rPr>
        <w:t> </w:t>
      </w:r>
      <w:r>
        <w:rPr/>
        <w:t>that</w:t>
      </w:r>
      <w:r>
        <w:rPr>
          <w:spacing w:val="-5"/>
        </w:rPr>
        <w:t> </w:t>
      </w:r>
      <w:r>
        <w:rPr/>
        <w:t>he</w:t>
      </w:r>
      <w:r>
        <w:rPr>
          <w:spacing w:val="-6"/>
        </w:rPr>
        <w:t> </w:t>
      </w:r>
      <w:r>
        <w:rPr/>
        <w:t>may</w:t>
      </w:r>
      <w:r>
        <w:rPr>
          <w:spacing w:val="-5"/>
        </w:rPr>
        <w:t> </w:t>
      </w:r>
      <w:r>
        <w:rPr/>
        <w:t>not</w:t>
      </w:r>
      <w:r>
        <w:rPr>
          <w:spacing w:val="-6"/>
        </w:rPr>
        <w:t> </w:t>
      </w:r>
      <w:r>
        <w:rPr/>
        <w:t>live</w:t>
      </w:r>
      <w:r>
        <w:rPr>
          <w:spacing w:val="-6"/>
        </w:rPr>
        <w:t> </w:t>
      </w:r>
      <w:r>
        <w:rPr/>
        <w:t>to</w:t>
      </w:r>
      <w:r>
        <w:rPr>
          <w:spacing w:val="-5"/>
        </w:rPr>
        <w:t> </w:t>
      </w:r>
      <w:r>
        <w:rPr/>
        <w:t>see</w:t>
      </w:r>
      <w:r>
        <w:rPr>
          <w:spacing w:val="-6"/>
        </w:rPr>
        <w:t> </w:t>
      </w:r>
      <w:r>
        <w:rPr/>
        <w:t>that</w:t>
      </w:r>
      <w:r>
        <w:rPr>
          <w:spacing w:val="-5"/>
        </w:rPr>
        <w:t> </w:t>
      </w:r>
      <w:r>
        <w:rPr/>
        <w:t>child grow up can still be painful.</w:t>
      </w:r>
    </w:p>
    <w:p>
      <w:pPr>
        <w:pStyle w:val="BodyText"/>
        <w:spacing w:before="4"/>
        <w:rPr>
          <w:sz w:val="27"/>
        </w:rPr>
      </w:pPr>
    </w:p>
    <w:p>
      <w:pPr>
        <w:pStyle w:val="BodyText"/>
        <w:ind w:left="280" w:right="502"/>
      </w:pPr>
      <w:r>
        <w:rPr/>
        <w:t>The HIV-infected single parent with a substance abuse disorder is at risk of losing custody of her minor children if convicted of drug possession or substance abuse. If family members disapprove of the single parent's lifestyle, they may seek custody of the active substance abuser's minor children.</w:t>
      </w:r>
      <w:r>
        <w:rPr>
          <w:spacing w:val="-5"/>
        </w:rPr>
        <w:t> </w:t>
      </w:r>
      <w:r>
        <w:rPr/>
        <w:t>The counselor</w:t>
      </w:r>
      <w:r>
        <w:rPr>
          <w:spacing w:val="-7"/>
        </w:rPr>
        <w:t> </w:t>
      </w:r>
      <w:r>
        <w:rPr/>
        <w:t>may</w:t>
      </w:r>
      <w:r>
        <w:rPr>
          <w:spacing w:val="-7"/>
        </w:rPr>
        <w:t> </w:t>
      </w:r>
      <w:r>
        <w:rPr/>
        <w:t>facilitate</w:t>
      </w:r>
      <w:r>
        <w:rPr>
          <w:spacing w:val="-8"/>
        </w:rPr>
        <w:t> </w:t>
      </w:r>
      <w:r>
        <w:rPr/>
        <w:t>a</w:t>
      </w:r>
      <w:r>
        <w:rPr>
          <w:spacing w:val="-8"/>
        </w:rPr>
        <w:t> </w:t>
      </w:r>
      <w:r>
        <w:rPr/>
        <w:t>plan</w:t>
      </w:r>
      <w:r>
        <w:rPr>
          <w:spacing w:val="-7"/>
        </w:rPr>
        <w:t> </w:t>
      </w:r>
      <w:r>
        <w:rPr/>
        <w:t>encouraging</w:t>
      </w:r>
      <w:r>
        <w:rPr>
          <w:spacing w:val="-4"/>
        </w:rPr>
        <w:t> </w:t>
      </w:r>
      <w:r>
        <w:rPr/>
        <w:t>the</w:t>
      </w:r>
      <w:r>
        <w:rPr>
          <w:spacing w:val="-5"/>
        </w:rPr>
        <w:t> </w:t>
      </w:r>
      <w:r>
        <w:rPr/>
        <w:t>single</w:t>
      </w:r>
      <w:r>
        <w:rPr>
          <w:spacing w:val="-5"/>
        </w:rPr>
        <w:t> </w:t>
      </w:r>
      <w:r>
        <w:rPr/>
        <w:t>parent</w:t>
      </w:r>
      <w:r>
        <w:rPr>
          <w:spacing w:val="-4"/>
        </w:rPr>
        <w:t> </w:t>
      </w:r>
      <w:r>
        <w:rPr/>
        <w:t>toward</w:t>
      </w:r>
      <w:r>
        <w:rPr>
          <w:spacing w:val="-4"/>
        </w:rPr>
        <w:t> </w:t>
      </w:r>
      <w:r>
        <w:rPr/>
        <w:t>goals</w:t>
      </w:r>
      <w:r>
        <w:rPr>
          <w:spacing w:val="-4"/>
        </w:rPr>
        <w:t> </w:t>
      </w:r>
      <w:r>
        <w:rPr/>
        <w:t>that support the parenting relationship. This enables the recovery process to take place while the parent and child are working out their own version of permanency planning.</w:t>
      </w:r>
    </w:p>
    <w:p>
      <w:pPr>
        <w:pStyle w:val="BodyText"/>
        <w:spacing w:before="5"/>
        <w:rPr>
          <w:sz w:val="26"/>
        </w:rPr>
      </w:pPr>
    </w:p>
    <w:p>
      <w:pPr>
        <w:pStyle w:val="BodyText"/>
        <w:spacing w:before="1"/>
        <w:ind w:left="280" w:right="581"/>
      </w:pPr>
      <w:r>
        <w:rPr/>
        <w:t>It</w:t>
      </w:r>
      <w:r>
        <w:rPr>
          <w:spacing w:val="-3"/>
        </w:rPr>
        <w:t> </w:t>
      </w:r>
      <w:r>
        <w:rPr/>
        <w:t>is</w:t>
      </w:r>
      <w:r>
        <w:rPr>
          <w:spacing w:val="-3"/>
        </w:rPr>
        <w:t> </w:t>
      </w:r>
      <w:r>
        <w:rPr/>
        <w:t>difficult</w:t>
      </w:r>
      <w:r>
        <w:rPr>
          <w:spacing w:val="-3"/>
        </w:rPr>
        <w:t> </w:t>
      </w:r>
      <w:r>
        <w:rPr/>
        <w:t>for</w:t>
      </w:r>
      <w:r>
        <w:rPr>
          <w:spacing w:val="-3"/>
        </w:rPr>
        <w:t> </w:t>
      </w:r>
      <w:r>
        <w:rPr/>
        <w:t>a</w:t>
      </w:r>
      <w:r>
        <w:rPr>
          <w:spacing w:val="-4"/>
        </w:rPr>
        <w:t> </w:t>
      </w:r>
      <w:r>
        <w:rPr/>
        <w:t>child</w:t>
      </w:r>
      <w:r>
        <w:rPr>
          <w:spacing w:val="-3"/>
        </w:rPr>
        <w:t> </w:t>
      </w:r>
      <w:r>
        <w:rPr/>
        <w:t>to</w:t>
      </w:r>
      <w:r>
        <w:rPr>
          <w:spacing w:val="-3"/>
        </w:rPr>
        <w:t> </w:t>
      </w:r>
      <w:r>
        <w:rPr/>
        <w:t>witness</w:t>
      </w:r>
      <w:r>
        <w:rPr>
          <w:spacing w:val="-3"/>
        </w:rPr>
        <w:t> </w:t>
      </w:r>
      <w:r>
        <w:rPr/>
        <w:t>the</w:t>
      </w:r>
      <w:r>
        <w:rPr>
          <w:spacing w:val="-4"/>
        </w:rPr>
        <w:t> </w:t>
      </w:r>
      <w:r>
        <w:rPr/>
        <w:t>effects</w:t>
      </w:r>
      <w:r>
        <w:rPr>
          <w:spacing w:val="-3"/>
        </w:rPr>
        <w:t> </w:t>
      </w:r>
      <w:r>
        <w:rPr/>
        <w:t>of</w:t>
      </w:r>
      <w:r>
        <w:rPr>
          <w:spacing w:val="-3"/>
        </w:rPr>
        <w:t> </w:t>
      </w:r>
      <w:r>
        <w:rPr/>
        <w:t>a</w:t>
      </w:r>
      <w:r>
        <w:rPr>
          <w:spacing w:val="-4"/>
        </w:rPr>
        <w:t> </w:t>
      </w:r>
      <w:r>
        <w:rPr/>
        <w:t>substance</w:t>
      </w:r>
      <w:r>
        <w:rPr>
          <w:spacing w:val="-4"/>
        </w:rPr>
        <w:t> </w:t>
      </w:r>
      <w:r>
        <w:rPr/>
        <w:t>abuse</w:t>
      </w:r>
      <w:r>
        <w:rPr>
          <w:spacing w:val="-4"/>
        </w:rPr>
        <w:t> </w:t>
      </w:r>
      <w:r>
        <w:rPr/>
        <w:t>disorder</w:t>
      </w:r>
      <w:r>
        <w:rPr>
          <w:spacing w:val="-3"/>
        </w:rPr>
        <w:t> </w:t>
      </w:r>
      <w:r>
        <w:rPr/>
        <w:t>on a</w:t>
      </w:r>
      <w:r>
        <w:rPr>
          <w:spacing w:val="-2"/>
        </w:rPr>
        <w:t> </w:t>
      </w:r>
      <w:r>
        <w:rPr/>
        <w:t>parent;</w:t>
      </w:r>
      <w:r>
        <w:rPr>
          <w:spacing w:val="-1"/>
        </w:rPr>
        <w:t> </w:t>
      </w:r>
      <w:r>
        <w:rPr/>
        <w:t>surely</w:t>
      </w:r>
      <w:r>
        <w:rPr>
          <w:spacing w:val="-1"/>
        </w:rPr>
        <w:t> </w:t>
      </w:r>
      <w:r>
        <w:rPr/>
        <w:t>the</w:t>
      </w:r>
      <w:r>
        <w:rPr>
          <w:spacing w:val="-2"/>
        </w:rPr>
        <w:t> </w:t>
      </w:r>
      <w:r>
        <w:rPr/>
        <w:t>difficulty</w:t>
      </w:r>
      <w:r>
        <w:rPr>
          <w:spacing w:val="-1"/>
        </w:rPr>
        <w:t> </w:t>
      </w:r>
      <w:r>
        <w:rPr/>
        <w:t>increases</w:t>
      </w:r>
      <w:r>
        <w:rPr>
          <w:spacing w:val="-1"/>
        </w:rPr>
        <w:t> </w:t>
      </w:r>
      <w:r>
        <w:rPr/>
        <w:t>enormously</w:t>
      </w:r>
      <w:r>
        <w:rPr>
          <w:spacing w:val="-1"/>
        </w:rPr>
        <w:t> </w:t>
      </w:r>
      <w:r>
        <w:rPr/>
        <w:t>when</w:t>
      </w:r>
      <w:r>
        <w:rPr>
          <w:spacing w:val="-1"/>
        </w:rPr>
        <w:t> </w:t>
      </w:r>
      <w:r>
        <w:rPr/>
        <w:t>the</w:t>
      </w:r>
      <w:r>
        <w:rPr>
          <w:spacing w:val="-2"/>
        </w:rPr>
        <w:t> </w:t>
      </w:r>
      <w:r>
        <w:rPr/>
        <w:t>child</w:t>
      </w:r>
      <w:r>
        <w:rPr>
          <w:spacing w:val="-1"/>
        </w:rPr>
        <w:t> </w:t>
      </w:r>
      <w:r>
        <w:rPr/>
        <w:t>is</w:t>
      </w:r>
      <w:r>
        <w:rPr>
          <w:spacing w:val="-1"/>
        </w:rPr>
        <w:t> </w:t>
      </w:r>
      <w:r>
        <w:rPr/>
        <w:t>told</w:t>
      </w:r>
      <w:r>
        <w:rPr>
          <w:spacing w:val="-1"/>
        </w:rPr>
        <w:t> </w:t>
      </w:r>
      <w:r>
        <w:rPr/>
        <w:t>that the parent has HIV/</w:t>
      </w:r>
      <w:r>
        <w:rPr>
          <w:spacing w:val="-6"/>
        </w:rPr>
        <w:t> </w:t>
      </w:r>
      <w:r>
        <w:rPr/>
        <w:t>AIDS. Children whose parents are in recovery from substance abuse disorders or who are maintaining some stability despite periodic substance abuse may experience some changes in their relationships with their parents.</w:t>
      </w:r>
    </w:p>
    <w:p>
      <w:pPr>
        <w:pStyle w:val="BodyText"/>
        <w:spacing w:before="9"/>
        <w:rPr>
          <w:sz w:val="26"/>
        </w:rPr>
      </w:pPr>
    </w:p>
    <w:p>
      <w:pPr>
        <w:pStyle w:val="BodyText"/>
        <w:ind w:left="280" w:right="502"/>
      </w:pPr>
      <w:r>
        <w:rPr/>
        <w:t>There</w:t>
      </w:r>
      <w:r>
        <w:rPr>
          <w:spacing w:val="-5"/>
        </w:rPr>
        <w:t> </w:t>
      </w:r>
      <w:r>
        <w:rPr/>
        <w:t>are</w:t>
      </w:r>
      <w:r>
        <w:rPr>
          <w:spacing w:val="-5"/>
        </w:rPr>
        <w:t> </w:t>
      </w:r>
      <w:r>
        <w:rPr/>
        <w:t>support</w:t>
      </w:r>
      <w:r>
        <w:rPr>
          <w:spacing w:val="-4"/>
        </w:rPr>
        <w:t> </w:t>
      </w:r>
      <w:r>
        <w:rPr/>
        <w:t>groups</w:t>
      </w:r>
      <w:r>
        <w:rPr>
          <w:spacing w:val="-4"/>
        </w:rPr>
        <w:t> </w:t>
      </w:r>
      <w:r>
        <w:rPr/>
        <w:t>and</w:t>
      </w:r>
      <w:r>
        <w:rPr>
          <w:spacing w:val="-4"/>
        </w:rPr>
        <w:t> </w:t>
      </w:r>
      <w:r>
        <w:rPr/>
        <w:t>programs</w:t>
      </w:r>
      <w:r>
        <w:rPr>
          <w:spacing w:val="-4"/>
        </w:rPr>
        <w:t> </w:t>
      </w:r>
      <w:r>
        <w:rPr/>
        <w:t>for</w:t>
      </w:r>
      <w:r>
        <w:rPr>
          <w:spacing w:val="-4"/>
        </w:rPr>
        <w:t> </w:t>
      </w:r>
      <w:r>
        <w:rPr/>
        <w:t>children</w:t>
      </w:r>
      <w:r>
        <w:rPr>
          <w:spacing w:val="-4"/>
        </w:rPr>
        <w:t> </w:t>
      </w:r>
      <w:r>
        <w:rPr/>
        <w:t>whose</w:t>
      </w:r>
      <w:r>
        <w:rPr>
          <w:spacing w:val="-5"/>
        </w:rPr>
        <w:t> </w:t>
      </w:r>
      <w:r>
        <w:rPr/>
        <w:t>parents</w:t>
      </w:r>
      <w:r>
        <w:rPr>
          <w:spacing w:val="-4"/>
        </w:rPr>
        <w:t> </w:t>
      </w:r>
      <w:r>
        <w:rPr/>
        <w:t>are</w:t>
      </w:r>
      <w:r>
        <w:rPr>
          <w:spacing w:val="-5"/>
        </w:rPr>
        <w:t> </w:t>
      </w:r>
      <w:r>
        <w:rPr/>
        <w:t>affected by</w:t>
      </w:r>
      <w:r>
        <w:rPr>
          <w:spacing w:val="-6"/>
        </w:rPr>
        <w:t> </w:t>
      </w:r>
      <w:r>
        <w:rPr/>
        <w:t>HIV.</w:t>
      </w:r>
      <w:r>
        <w:rPr>
          <w:spacing w:val="-18"/>
        </w:rPr>
        <w:t> </w:t>
      </w:r>
      <w:r>
        <w:rPr/>
        <w:t>Although</w:t>
      </w:r>
      <w:r>
        <w:rPr>
          <w:spacing w:val="-4"/>
        </w:rPr>
        <w:t> </w:t>
      </w:r>
      <w:r>
        <w:rPr/>
        <w:t>not</w:t>
      </w:r>
      <w:r>
        <w:rPr>
          <w:spacing w:val="-4"/>
        </w:rPr>
        <w:t> </w:t>
      </w:r>
      <w:r>
        <w:rPr/>
        <w:t>available</w:t>
      </w:r>
      <w:r>
        <w:rPr>
          <w:spacing w:val="-5"/>
        </w:rPr>
        <w:t> </w:t>
      </w:r>
      <w:r>
        <w:rPr/>
        <w:t>in</w:t>
      </w:r>
      <w:r>
        <w:rPr>
          <w:spacing w:val="-4"/>
        </w:rPr>
        <w:t> </w:t>
      </w:r>
      <w:r>
        <w:rPr/>
        <w:t>all</w:t>
      </w:r>
      <w:r>
        <w:rPr>
          <w:spacing w:val="-4"/>
        </w:rPr>
        <w:t> </w:t>
      </w:r>
      <w:r>
        <w:rPr/>
        <w:t>communities,</w:t>
      </w:r>
      <w:r>
        <w:rPr>
          <w:spacing w:val="-4"/>
        </w:rPr>
        <w:t> </w:t>
      </w:r>
      <w:r>
        <w:rPr/>
        <w:t>these</w:t>
      </w:r>
      <w:r>
        <w:rPr>
          <w:spacing w:val="-5"/>
        </w:rPr>
        <w:t> </w:t>
      </w:r>
      <w:r>
        <w:rPr/>
        <w:t>groups</w:t>
      </w:r>
      <w:r>
        <w:rPr>
          <w:spacing w:val="-4"/>
        </w:rPr>
        <w:t> </w:t>
      </w:r>
      <w:r>
        <w:rPr/>
        <w:t>offer</w:t>
      </w:r>
      <w:r>
        <w:rPr>
          <w:spacing w:val="-4"/>
        </w:rPr>
        <w:t> </w:t>
      </w:r>
      <w:r>
        <w:rPr/>
        <w:t>children a chance to talk about their fears regarding their parents' health, learn more about the disease, and socialize with others who are facing these problems.</w:t>
      </w:r>
      <w:r>
        <w:rPr>
          <w:spacing w:val="-29"/>
        </w:rPr>
        <w:t> </w:t>
      </w:r>
      <w:r>
        <w:rPr/>
        <w:t>At the same time, the programs can provide the parent with some respite time. In addition, groups like</w:t>
      </w:r>
      <w:r>
        <w:rPr>
          <w:spacing w:val="-24"/>
        </w:rPr>
        <w:t> </w:t>
      </w:r>
      <w:r>
        <w:rPr/>
        <w:t>Al-Anon and</w:t>
      </w:r>
      <w:r>
        <w:rPr>
          <w:spacing w:val="-24"/>
        </w:rPr>
        <w:t> </w:t>
      </w:r>
      <w:r>
        <w:rPr/>
        <w:t>Alateen can provide children with support and education about the recovery process.</w:t>
      </w:r>
    </w:p>
    <w:p>
      <w:pPr>
        <w:pStyle w:val="BodyText"/>
        <w:spacing w:line="237" w:lineRule="auto"/>
        <w:ind w:left="280" w:right="668"/>
      </w:pPr>
      <w:r>
        <w:rPr/>
        <w:t>If</w:t>
      </w:r>
      <w:r>
        <w:rPr>
          <w:spacing w:val="-4"/>
        </w:rPr>
        <w:t> </w:t>
      </w:r>
      <w:r>
        <w:rPr/>
        <w:t>service</w:t>
      </w:r>
      <w:r>
        <w:rPr>
          <w:spacing w:val="-4"/>
        </w:rPr>
        <w:t> </w:t>
      </w:r>
      <w:r>
        <w:rPr/>
        <w:t>providers</w:t>
      </w:r>
      <w:r>
        <w:rPr>
          <w:spacing w:val="-3"/>
        </w:rPr>
        <w:t> </w:t>
      </w:r>
      <w:r>
        <w:rPr/>
        <w:t>work</w:t>
      </w:r>
      <w:r>
        <w:rPr>
          <w:spacing w:val="-3"/>
        </w:rPr>
        <w:t> </w:t>
      </w:r>
      <w:r>
        <w:rPr/>
        <w:t>in</w:t>
      </w:r>
      <w:r>
        <w:rPr>
          <w:spacing w:val="-3"/>
        </w:rPr>
        <w:t> </w:t>
      </w:r>
      <w:r>
        <w:rPr/>
        <w:t>a</w:t>
      </w:r>
      <w:r>
        <w:rPr>
          <w:spacing w:val="-4"/>
        </w:rPr>
        <w:t> </w:t>
      </w:r>
      <w:r>
        <w:rPr/>
        <w:t>large</w:t>
      </w:r>
      <w:r>
        <w:rPr>
          <w:spacing w:val="-4"/>
        </w:rPr>
        <w:t> </w:t>
      </w:r>
      <w:r>
        <w:rPr/>
        <w:t>urban</w:t>
      </w:r>
      <w:r>
        <w:rPr>
          <w:spacing w:val="-3"/>
        </w:rPr>
        <w:t> </w:t>
      </w:r>
      <w:r>
        <w:rPr/>
        <w:t>area,</w:t>
      </w:r>
      <w:r>
        <w:rPr>
          <w:spacing w:val="-3"/>
        </w:rPr>
        <w:t> </w:t>
      </w:r>
      <w:r>
        <w:rPr/>
        <w:t>chances</w:t>
      </w:r>
      <w:r>
        <w:rPr>
          <w:spacing w:val="-3"/>
        </w:rPr>
        <w:t> </w:t>
      </w:r>
      <w:r>
        <w:rPr/>
        <w:t>are</w:t>
      </w:r>
      <w:r>
        <w:rPr>
          <w:spacing w:val="-4"/>
        </w:rPr>
        <w:t> </w:t>
      </w:r>
      <w:r>
        <w:rPr/>
        <w:t>there</w:t>
      </w:r>
      <w:r>
        <w:rPr>
          <w:spacing w:val="-4"/>
        </w:rPr>
        <w:t> </w:t>
      </w:r>
      <w:r>
        <w:rPr/>
        <w:t>will</w:t>
      </w:r>
      <w:r>
        <w:rPr>
          <w:spacing w:val="-3"/>
        </w:rPr>
        <w:t> </w:t>
      </w:r>
      <w:r>
        <w:rPr/>
        <w:t>be</w:t>
      </w:r>
      <w:r>
        <w:rPr>
          <w:spacing w:val="-4"/>
        </w:rPr>
        <w:t> </w:t>
      </w:r>
      <w:r>
        <w:rPr/>
        <w:t>an AIDS</w:t>
      </w:r>
      <w:r>
        <w:rPr>
          <w:spacing w:val="-8"/>
        </w:rPr>
        <w:t> </w:t>
      </w:r>
      <w:r>
        <w:rPr/>
        <w:t>Service</w:t>
      </w:r>
      <w:r>
        <w:rPr>
          <w:spacing w:val="-5"/>
        </w:rPr>
        <w:t> </w:t>
      </w:r>
      <w:r>
        <w:rPr/>
        <w:t>Organization</w:t>
      </w:r>
      <w:r>
        <w:rPr>
          <w:spacing w:val="-4"/>
        </w:rPr>
        <w:t> </w:t>
      </w:r>
      <w:r>
        <w:rPr/>
        <w:t>(ASO)</w:t>
      </w:r>
      <w:r>
        <w:rPr>
          <w:spacing w:val="-4"/>
        </w:rPr>
        <w:t> </w:t>
      </w:r>
      <w:r>
        <w:rPr/>
        <w:t>listed</w:t>
      </w:r>
      <w:r>
        <w:rPr>
          <w:spacing w:val="-4"/>
        </w:rPr>
        <w:t> </w:t>
      </w:r>
      <w:r>
        <w:rPr/>
        <w:t>in</w:t>
      </w:r>
      <w:r>
        <w:rPr>
          <w:spacing w:val="-4"/>
        </w:rPr>
        <w:t> </w:t>
      </w:r>
      <w:r>
        <w:rPr/>
        <w:t>the</w:t>
      </w:r>
      <w:r>
        <w:rPr>
          <w:spacing w:val="-5"/>
        </w:rPr>
        <w:t> </w:t>
      </w:r>
      <w:r>
        <w:rPr/>
        <w:t>phone</w:t>
      </w:r>
      <w:r>
        <w:rPr>
          <w:spacing w:val="-5"/>
        </w:rPr>
        <w:t> </w:t>
      </w:r>
      <w:r>
        <w:rPr/>
        <w:t>book.</w:t>
      </w:r>
      <w:r>
        <w:rPr>
          <w:spacing w:val="-10"/>
        </w:rPr>
        <w:t> </w:t>
      </w:r>
      <w:r>
        <w:rPr/>
        <w:t>This</w:t>
      </w:r>
      <w:r>
        <w:rPr>
          <w:spacing w:val="-4"/>
        </w:rPr>
        <w:t> </w:t>
      </w:r>
      <w:r>
        <w:rPr/>
        <w:t>agency</w:t>
      </w:r>
      <w:r>
        <w:rPr>
          <w:spacing w:val="-4"/>
        </w:rPr>
        <w:t> </w:t>
      </w:r>
      <w:r>
        <w:rPr/>
        <w:t>is likely to have lists of support groups of all kinds. Single parents with substance</w:t>
      </w:r>
      <w:r>
        <w:rPr>
          <w:spacing w:val="-4"/>
        </w:rPr>
        <w:t> </w:t>
      </w:r>
      <w:r>
        <w:rPr/>
        <w:t>abuse</w:t>
      </w:r>
      <w:r>
        <w:rPr>
          <w:spacing w:val="-4"/>
        </w:rPr>
        <w:t> </w:t>
      </w:r>
      <w:r>
        <w:rPr/>
        <w:t>disorders</w:t>
      </w:r>
      <w:r>
        <w:rPr>
          <w:spacing w:val="-3"/>
        </w:rPr>
        <w:t> </w:t>
      </w:r>
      <w:r>
        <w:rPr/>
        <w:t>who</w:t>
      </w:r>
      <w:r>
        <w:rPr>
          <w:spacing w:val="-3"/>
        </w:rPr>
        <w:t> </w:t>
      </w:r>
      <w:r>
        <w:rPr/>
        <w:t>are</w:t>
      </w:r>
      <w:r>
        <w:rPr>
          <w:spacing w:val="-4"/>
        </w:rPr>
        <w:t> </w:t>
      </w:r>
      <w:r>
        <w:rPr/>
        <w:t>HIV</w:t>
      </w:r>
      <w:r>
        <w:rPr>
          <w:spacing w:val="-9"/>
        </w:rPr>
        <w:t> </w:t>
      </w:r>
      <w:r>
        <w:rPr/>
        <w:t>positive</w:t>
      </w:r>
      <w:r>
        <w:rPr>
          <w:spacing w:val="-4"/>
        </w:rPr>
        <w:t> </w:t>
      </w:r>
      <w:r>
        <w:rPr/>
        <w:t>should</w:t>
      </w:r>
      <w:r>
        <w:rPr>
          <w:spacing w:val="-3"/>
        </w:rPr>
        <w:t> </w:t>
      </w:r>
      <w:r>
        <w:rPr/>
        <w:t>also</w:t>
      </w:r>
      <w:r>
        <w:rPr>
          <w:spacing w:val="-3"/>
        </w:rPr>
        <w:t> </w:t>
      </w:r>
      <w:r>
        <w:rPr/>
        <w:t>have</w:t>
      </w:r>
      <w:r>
        <w:rPr>
          <w:spacing w:val="-4"/>
        </w:rPr>
        <w:t> </w:t>
      </w:r>
      <w:r>
        <w:rPr/>
        <w:t>a</w:t>
      </w:r>
      <w:r>
        <w:rPr>
          <w:spacing w:val="-4"/>
        </w:rPr>
        <w:t> </w:t>
      </w:r>
      <w:r>
        <w:rPr/>
        <w:t>support </w:t>
      </w:r>
      <w:r>
        <w:rPr>
          <w:spacing w:val="-2"/>
        </w:rPr>
        <w:t>group.</w:t>
      </w:r>
    </w:p>
    <w:p>
      <w:pPr>
        <w:pStyle w:val="BodyText"/>
        <w:spacing w:before="2"/>
        <w:rPr>
          <w:sz w:val="27"/>
        </w:rPr>
      </w:pPr>
    </w:p>
    <w:p>
      <w:pPr>
        <w:pStyle w:val="Heading2"/>
      </w:pPr>
      <w:r>
        <w:rPr>
          <w:spacing w:val="-2"/>
        </w:rPr>
        <w:t>Hispanic</w:t>
      </w:r>
      <w:r>
        <w:rPr>
          <w:spacing w:val="-10"/>
        </w:rPr>
        <w:t> </w:t>
      </w:r>
      <w:r>
        <w:rPr>
          <w:spacing w:val="-2"/>
        </w:rPr>
        <w:t>Populations</w:t>
      </w:r>
    </w:p>
    <w:p>
      <w:pPr>
        <w:pStyle w:val="BodyText"/>
        <w:spacing w:before="7"/>
        <w:rPr>
          <w:b/>
          <w:sz w:val="27"/>
        </w:rPr>
      </w:pPr>
    </w:p>
    <w:p>
      <w:pPr>
        <w:pStyle w:val="BodyText"/>
        <w:ind w:left="280" w:right="502"/>
      </w:pPr>
      <w:r>
        <w:rPr/>
        <w:t>The</w:t>
      </w:r>
      <w:r>
        <w:rPr>
          <w:spacing w:val="-4"/>
        </w:rPr>
        <w:t> </w:t>
      </w:r>
      <w:r>
        <w:rPr/>
        <w:t>Hispanic</w:t>
      </w:r>
      <w:r>
        <w:rPr>
          <w:spacing w:val="-4"/>
        </w:rPr>
        <w:t> </w:t>
      </w:r>
      <w:r>
        <w:rPr/>
        <w:t>population</w:t>
      </w:r>
      <w:r>
        <w:rPr>
          <w:spacing w:val="-3"/>
        </w:rPr>
        <w:t> </w:t>
      </w:r>
      <w:r>
        <w:rPr/>
        <w:t>in</w:t>
      </w:r>
      <w:r>
        <w:rPr>
          <w:spacing w:val="-3"/>
        </w:rPr>
        <w:t> </w:t>
      </w:r>
      <w:r>
        <w:rPr/>
        <w:t>the</w:t>
      </w:r>
      <w:r>
        <w:rPr>
          <w:spacing w:val="-4"/>
        </w:rPr>
        <w:t> </w:t>
      </w:r>
      <w:r>
        <w:rPr/>
        <w:t>United</w:t>
      </w:r>
      <w:r>
        <w:rPr>
          <w:spacing w:val="-3"/>
        </w:rPr>
        <w:t> </w:t>
      </w:r>
      <w:r>
        <w:rPr/>
        <w:t>States</w:t>
      </w:r>
      <w:r>
        <w:rPr>
          <w:spacing w:val="-3"/>
        </w:rPr>
        <w:t> </w:t>
      </w:r>
      <w:r>
        <w:rPr/>
        <w:t>is</w:t>
      </w:r>
      <w:r>
        <w:rPr>
          <w:spacing w:val="-3"/>
        </w:rPr>
        <w:t> </w:t>
      </w:r>
      <w:r>
        <w:rPr/>
        <w:t>diverse,</w:t>
      </w:r>
      <w:r>
        <w:rPr>
          <w:spacing w:val="-3"/>
        </w:rPr>
        <w:t> </w:t>
      </w:r>
      <w:r>
        <w:rPr/>
        <w:t>composed</w:t>
      </w:r>
      <w:r>
        <w:rPr>
          <w:spacing w:val="-3"/>
        </w:rPr>
        <w:t> </w:t>
      </w:r>
      <w:r>
        <w:rPr/>
        <w:t>of</w:t>
      </w:r>
      <w:r>
        <w:rPr>
          <w:spacing w:val="-3"/>
        </w:rPr>
        <w:t> </w:t>
      </w:r>
      <w:r>
        <w:rPr/>
        <w:t>a</w:t>
      </w:r>
      <w:r>
        <w:rPr>
          <w:spacing w:val="-4"/>
        </w:rPr>
        <w:t> </w:t>
      </w:r>
      <w:r>
        <w:rPr/>
        <w:t>wide range of racial, indigenous, and ethnic groups.</w:t>
      </w:r>
    </w:p>
    <w:p>
      <w:pPr>
        <w:spacing w:after="0"/>
        <w:sectPr>
          <w:footerReference w:type="default" r:id="rId30"/>
          <w:pgSz w:w="12240" w:h="15840"/>
          <w:pgMar w:footer="792" w:header="0" w:top="1260" w:bottom="980" w:left="1400" w:right="1180"/>
        </w:sectPr>
      </w:pPr>
    </w:p>
    <w:p>
      <w:pPr>
        <w:pStyle w:val="BodyText"/>
        <w:spacing w:before="186"/>
        <w:ind w:left="280" w:right="502"/>
      </w:pPr>
      <w:r>
        <w:rPr/>
        <w:t>Within</w:t>
      </w:r>
      <w:r>
        <w:rPr>
          <w:spacing w:val="-4"/>
        </w:rPr>
        <w:t> </w:t>
      </w:r>
      <w:r>
        <w:rPr/>
        <w:t>the</w:t>
      </w:r>
      <w:r>
        <w:rPr>
          <w:spacing w:val="-5"/>
        </w:rPr>
        <w:t> </w:t>
      </w:r>
      <w:r>
        <w:rPr/>
        <w:t>context</w:t>
      </w:r>
      <w:r>
        <w:rPr>
          <w:spacing w:val="-5"/>
        </w:rPr>
        <w:t> </w:t>
      </w:r>
      <w:r>
        <w:rPr/>
        <w:t>of</w:t>
      </w:r>
      <w:r>
        <w:rPr>
          <w:spacing w:val="-4"/>
        </w:rPr>
        <w:t> </w:t>
      </w:r>
      <w:r>
        <w:rPr/>
        <w:t>acculturation</w:t>
      </w:r>
      <w:r>
        <w:rPr>
          <w:spacing w:val="-4"/>
        </w:rPr>
        <w:t> </w:t>
      </w:r>
      <w:r>
        <w:rPr/>
        <w:t>and</w:t>
      </w:r>
      <w:r>
        <w:rPr>
          <w:spacing w:val="-4"/>
        </w:rPr>
        <w:t> </w:t>
      </w:r>
      <w:r>
        <w:rPr/>
        <w:t>socioeconomic</w:t>
      </w:r>
      <w:r>
        <w:rPr>
          <w:spacing w:val="-5"/>
        </w:rPr>
        <w:t> </w:t>
      </w:r>
      <w:r>
        <w:rPr/>
        <w:t>status,</w:t>
      </w:r>
      <w:r>
        <w:rPr>
          <w:spacing w:val="-4"/>
        </w:rPr>
        <w:t> </w:t>
      </w:r>
      <w:r>
        <w:rPr/>
        <w:t>providers</w:t>
      </w:r>
      <w:r>
        <w:rPr>
          <w:spacing w:val="-4"/>
        </w:rPr>
        <w:t> </w:t>
      </w:r>
      <w:r>
        <w:rPr/>
        <w:t>should be</w:t>
      </w:r>
      <w:r>
        <w:rPr>
          <w:spacing w:val="-2"/>
        </w:rPr>
        <w:t> </w:t>
      </w:r>
      <w:r>
        <w:rPr/>
        <w:t>aware of specific cultural issues that can support interventions and improve a provider's ability to engage Hispanic clients, such as the role of the family, the</w:t>
      </w:r>
      <w:r>
        <w:rPr>
          <w:spacing w:val="-1"/>
        </w:rPr>
        <w:t> </w:t>
      </w:r>
      <w:r>
        <w:rPr/>
        <w:t>values of interdependence, respect, and "personalismo" (i.e., importance of personal</w:t>
      </w:r>
      <w:r>
        <w:rPr>
          <w:spacing w:val="-5"/>
        </w:rPr>
        <w:t> </w:t>
      </w:r>
      <w:r>
        <w:rPr/>
        <w:t>contact).</w:t>
      </w:r>
      <w:r>
        <w:rPr>
          <w:spacing w:val="-5"/>
        </w:rPr>
        <w:t> </w:t>
      </w:r>
      <w:r>
        <w:rPr/>
        <w:t>Understanding</w:t>
      </w:r>
      <w:r>
        <w:rPr>
          <w:spacing w:val="-5"/>
        </w:rPr>
        <w:t> </w:t>
      </w:r>
      <w:r>
        <w:rPr/>
        <w:t>these</w:t>
      </w:r>
      <w:r>
        <w:rPr>
          <w:spacing w:val="-5"/>
        </w:rPr>
        <w:t> </w:t>
      </w:r>
      <w:r>
        <w:rPr/>
        <w:t>concepts</w:t>
      </w:r>
      <w:r>
        <w:rPr>
          <w:spacing w:val="-5"/>
        </w:rPr>
        <w:t> </w:t>
      </w:r>
      <w:r>
        <w:rPr/>
        <w:t>will</w:t>
      </w:r>
      <w:r>
        <w:rPr>
          <w:spacing w:val="-5"/>
        </w:rPr>
        <w:t> </w:t>
      </w:r>
      <w:r>
        <w:rPr/>
        <w:t>help</w:t>
      </w:r>
      <w:r>
        <w:rPr>
          <w:spacing w:val="-5"/>
        </w:rPr>
        <w:t> </w:t>
      </w:r>
      <w:r>
        <w:rPr/>
        <w:t>establish</w:t>
      </w:r>
      <w:r>
        <w:rPr>
          <w:spacing w:val="-5"/>
        </w:rPr>
        <w:t> </w:t>
      </w:r>
      <w:r>
        <w:rPr/>
        <w:t>rapport</w:t>
      </w:r>
      <w:r>
        <w:rPr>
          <w:spacing w:val="-5"/>
        </w:rPr>
        <w:t> </w:t>
      </w:r>
      <w:r>
        <w:rPr/>
        <w:t>and </w:t>
      </w:r>
      <w:r>
        <w:rPr>
          <w:spacing w:val="-2"/>
        </w:rPr>
        <w:t>trust.</w:t>
      </w:r>
    </w:p>
    <w:p>
      <w:pPr>
        <w:pStyle w:val="BodyText"/>
        <w:spacing w:before="9"/>
        <w:rPr>
          <w:sz w:val="26"/>
        </w:rPr>
      </w:pPr>
    </w:p>
    <w:p>
      <w:pPr>
        <w:pStyle w:val="BodyText"/>
        <w:ind w:left="280" w:right="502"/>
      </w:pPr>
      <w:r>
        <w:rPr/>
        <w:t>The</w:t>
      </w:r>
      <w:r>
        <w:rPr>
          <w:spacing w:val="-9"/>
        </w:rPr>
        <w:t> </w:t>
      </w:r>
      <w:r>
        <w:rPr/>
        <w:t>Hispanic</w:t>
      </w:r>
      <w:r>
        <w:rPr>
          <w:spacing w:val="-5"/>
        </w:rPr>
        <w:t> </w:t>
      </w:r>
      <w:r>
        <w:rPr/>
        <w:t>family</w:t>
      </w:r>
      <w:r>
        <w:rPr>
          <w:spacing w:val="-4"/>
        </w:rPr>
        <w:t> </w:t>
      </w:r>
      <w:r>
        <w:rPr/>
        <w:t>is</w:t>
      </w:r>
      <w:r>
        <w:rPr>
          <w:spacing w:val="-4"/>
        </w:rPr>
        <w:t> </w:t>
      </w:r>
      <w:r>
        <w:rPr/>
        <w:t>generally</w:t>
      </w:r>
      <w:r>
        <w:rPr>
          <w:spacing w:val="-4"/>
        </w:rPr>
        <w:t> </w:t>
      </w:r>
      <w:r>
        <w:rPr/>
        <w:t>extended</w:t>
      </w:r>
      <w:r>
        <w:rPr>
          <w:spacing w:val="-4"/>
        </w:rPr>
        <w:t> </w:t>
      </w:r>
      <w:r>
        <w:rPr/>
        <w:t>and</w:t>
      </w:r>
      <w:r>
        <w:rPr>
          <w:spacing w:val="-4"/>
        </w:rPr>
        <w:t> </w:t>
      </w:r>
      <w:r>
        <w:rPr/>
        <w:t>has</w:t>
      </w:r>
      <w:r>
        <w:rPr>
          <w:spacing w:val="-4"/>
        </w:rPr>
        <w:t> </w:t>
      </w:r>
      <w:r>
        <w:rPr/>
        <w:t>many</w:t>
      </w:r>
      <w:r>
        <w:rPr>
          <w:spacing w:val="-4"/>
        </w:rPr>
        <w:t> </w:t>
      </w:r>
      <w:r>
        <w:rPr/>
        <w:t>members.</w:t>
      </w:r>
      <w:r>
        <w:rPr>
          <w:spacing w:val="-22"/>
        </w:rPr>
        <w:t> </w:t>
      </w:r>
      <w:r>
        <w:rPr/>
        <w:t>A</w:t>
      </w:r>
      <w:r>
        <w:rPr>
          <w:spacing w:val="-22"/>
        </w:rPr>
        <w:t> </w:t>
      </w:r>
      <w:r>
        <w:rPr/>
        <w:t>Hispanic client's support system may be composed of siblings, godparents, aunts, and uncles who are all very involved with the client. The family as a whole is of great importance, and often what is best for the family will override what is best for one of its members. Because the family is so important to most Hispanics, children are highly valued.</w:t>
      </w:r>
      <w:r>
        <w:rPr>
          <w:spacing w:val="-4"/>
        </w:rPr>
        <w:t> </w:t>
      </w:r>
      <w:r>
        <w:rPr/>
        <w:t>This makes it easier to see how some Hispanic</w:t>
      </w:r>
      <w:r>
        <w:rPr>
          <w:spacing w:val="-1"/>
        </w:rPr>
        <w:t> </w:t>
      </w:r>
      <w:r>
        <w:rPr/>
        <w:t>women who are</w:t>
      </w:r>
      <w:r>
        <w:rPr>
          <w:spacing w:val="-1"/>
        </w:rPr>
        <w:t> </w:t>
      </w:r>
      <w:r>
        <w:rPr/>
        <w:t>HIV</w:t>
      </w:r>
      <w:r>
        <w:rPr>
          <w:spacing w:val="-11"/>
        </w:rPr>
        <w:t> </w:t>
      </w:r>
      <w:r>
        <w:rPr/>
        <w:t>positive</w:t>
      </w:r>
      <w:r>
        <w:rPr>
          <w:spacing w:val="-1"/>
        </w:rPr>
        <w:t> </w:t>
      </w:r>
      <w:r>
        <w:rPr/>
        <w:t>grieve</w:t>
      </w:r>
      <w:r>
        <w:rPr>
          <w:spacing w:val="-1"/>
        </w:rPr>
        <w:t> </w:t>
      </w:r>
      <w:r>
        <w:rPr/>
        <w:t>deeply about</w:t>
      </w:r>
      <w:r>
        <w:rPr>
          <w:spacing w:val="-1"/>
        </w:rPr>
        <w:t> </w:t>
      </w:r>
      <w:r>
        <w:rPr/>
        <w:t>the</w:t>
      </w:r>
      <w:r>
        <w:rPr>
          <w:spacing w:val="-1"/>
        </w:rPr>
        <w:t> </w:t>
      </w:r>
      <w:r>
        <w:rPr/>
        <w:t>decision not to have children and may feel unfulfilled and inadequate as a result. This also sheds some light on the challenges of involving Hispanics in substance abuse treatment. Leaving their children behind while in treatment or turning guardianship over to a State agency may be unacceptable and create more </w:t>
      </w:r>
      <w:r>
        <w:rPr>
          <w:spacing w:val="-2"/>
        </w:rPr>
        <w:t>conflict.</w:t>
      </w:r>
    </w:p>
    <w:p>
      <w:pPr>
        <w:pStyle w:val="BodyText"/>
        <w:spacing w:before="9"/>
        <w:rPr>
          <w:sz w:val="25"/>
        </w:rPr>
      </w:pPr>
    </w:p>
    <w:p>
      <w:pPr>
        <w:pStyle w:val="Heading2"/>
      </w:pPr>
      <w:r>
        <w:rPr>
          <w:spacing w:val="-4"/>
        </w:rPr>
        <w:t>African</w:t>
      </w:r>
      <w:r>
        <w:rPr>
          <w:spacing w:val="-11"/>
        </w:rPr>
        <w:t> </w:t>
      </w:r>
      <w:r>
        <w:rPr>
          <w:spacing w:val="-2"/>
        </w:rPr>
        <w:t>Americans</w:t>
      </w:r>
    </w:p>
    <w:p>
      <w:pPr>
        <w:pStyle w:val="BodyText"/>
        <w:spacing w:before="7"/>
        <w:rPr>
          <w:b/>
          <w:sz w:val="27"/>
        </w:rPr>
      </w:pPr>
    </w:p>
    <w:p>
      <w:pPr>
        <w:pStyle w:val="BodyText"/>
        <w:ind w:left="280" w:right="517"/>
      </w:pPr>
      <w:r>
        <w:rPr/>
        <w:t>Many</w:t>
      </w:r>
      <w:r>
        <w:rPr>
          <w:spacing w:val="-12"/>
        </w:rPr>
        <w:t> </w:t>
      </w:r>
      <w:r>
        <w:rPr/>
        <w:t>African</w:t>
      </w:r>
      <w:r>
        <w:rPr>
          <w:spacing w:val="-12"/>
        </w:rPr>
        <w:t> </w:t>
      </w:r>
      <w:r>
        <w:rPr/>
        <w:t>Americans have a deep-seated mistrust of the health system. This dates back to the pre-Civil War period when, because they were considered property and had no legal right to refuse, slaves were sometimes used in medical experiments </w:t>
      </w:r>
      <w:r>
        <w:rPr>
          <w:i/>
        </w:rPr>
        <w:t>(source: Gamble). </w:t>
      </w:r>
      <w:r>
        <w:rPr/>
        <w:t>A</w:t>
      </w:r>
      <w:r>
        <w:rPr>
          <w:spacing w:val="-11"/>
        </w:rPr>
        <w:t> </w:t>
      </w:r>
      <w:r>
        <w:rPr/>
        <w:t>collective memory thus exists among the</w:t>
      </w:r>
      <w:r>
        <w:rPr>
          <w:spacing w:val="-10"/>
        </w:rPr>
        <w:t> </w:t>
      </w:r>
      <w:r>
        <w:rPr/>
        <w:t>African</w:t>
      </w:r>
      <w:r>
        <w:rPr>
          <w:spacing w:val="-10"/>
        </w:rPr>
        <w:t> </w:t>
      </w:r>
      <w:r>
        <w:rPr/>
        <w:t>American community of their exploitation by the medical establishment More recently </w:t>
      </w:r>
      <w:r>
        <w:rPr>
          <w:i/>
        </w:rPr>
        <w:t>(source: Gamble) </w:t>
      </w:r>
      <w:r>
        <w:rPr/>
        <w:t>the syphilis study performed at Tuskegee University from 1932 to 1972, during which 400 African</w:t>
      </w:r>
      <w:r>
        <w:rPr>
          <w:spacing w:val="-9"/>
        </w:rPr>
        <w:t> </w:t>
      </w:r>
      <w:r>
        <w:rPr/>
        <w:t>American men infected with syphilis were deliberately denied life- saving treatment, has fostered in some</w:t>
      </w:r>
      <w:r>
        <w:rPr>
          <w:spacing w:val="-25"/>
        </w:rPr>
        <w:t> </w:t>
      </w:r>
      <w:r>
        <w:rPr/>
        <w:t>African</w:t>
      </w:r>
      <w:r>
        <w:rPr>
          <w:spacing w:val="-26"/>
        </w:rPr>
        <w:t> </w:t>
      </w:r>
      <w:r>
        <w:rPr/>
        <w:t>Americans the belief that</w:t>
      </w:r>
      <w:r>
        <w:rPr/>
        <w:t> contact with health care institutions will automatically expose them to racist administrators and policies. Several articles point to the Tuskegee study as a significant</w:t>
      </w:r>
      <w:r>
        <w:rPr>
          <w:spacing w:val="-7"/>
        </w:rPr>
        <w:t> </w:t>
      </w:r>
      <w:r>
        <w:rPr/>
        <w:t>factor</w:t>
      </w:r>
      <w:r>
        <w:rPr>
          <w:spacing w:val="-4"/>
        </w:rPr>
        <w:t> </w:t>
      </w:r>
      <w:r>
        <w:rPr/>
        <w:t>in</w:t>
      </w:r>
      <w:r>
        <w:rPr>
          <w:spacing w:val="-4"/>
        </w:rPr>
        <w:t> </w:t>
      </w:r>
      <w:r>
        <w:rPr/>
        <w:t>the</w:t>
      </w:r>
      <w:r>
        <w:rPr>
          <w:spacing w:val="-5"/>
        </w:rPr>
        <w:t> </w:t>
      </w:r>
      <w:r>
        <w:rPr/>
        <w:t>low</w:t>
      </w:r>
      <w:r>
        <w:rPr>
          <w:spacing w:val="-4"/>
        </w:rPr>
        <w:t> </w:t>
      </w:r>
      <w:r>
        <w:rPr/>
        <w:t>participation</w:t>
      </w:r>
      <w:r>
        <w:rPr>
          <w:spacing w:val="-4"/>
        </w:rPr>
        <w:t> </w:t>
      </w:r>
      <w:r>
        <w:rPr/>
        <w:t>of</w:t>
      </w:r>
      <w:r>
        <w:rPr>
          <w:spacing w:val="-18"/>
        </w:rPr>
        <w:t> </w:t>
      </w:r>
      <w:r>
        <w:rPr/>
        <w:t>African</w:t>
      </w:r>
      <w:r>
        <w:rPr>
          <w:spacing w:val="-24"/>
        </w:rPr>
        <w:t> </w:t>
      </w:r>
      <w:r>
        <w:rPr/>
        <w:t>Americans</w:t>
      </w:r>
      <w:r>
        <w:rPr>
          <w:spacing w:val="-3"/>
        </w:rPr>
        <w:t> </w:t>
      </w:r>
      <w:r>
        <w:rPr/>
        <w:t>in</w:t>
      </w:r>
      <w:r>
        <w:rPr>
          <w:spacing w:val="-4"/>
        </w:rPr>
        <w:t> </w:t>
      </w:r>
      <w:r>
        <w:rPr/>
        <w:t>clinical</w:t>
      </w:r>
      <w:r>
        <w:rPr>
          <w:spacing w:val="-4"/>
        </w:rPr>
        <w:t> </w:t>
      </w:r>
      <w:r>
        <w:rPr/>
        <w:t>trials and organ donation efforts and in the reluctance of</w:t>
      </w:r>
    </w:p>
    <w:p>
      <w:pPr>
        <w:spacing w:after="0"/>
        <w:sectPr>
          <w:pgSz w:w="12240" w:h="15840"/>
          <w:pgMar w:header="0" w:footer="792" w:top="1820" w:bottom="980" w:left="1400" w:right="1180"/>
        </w:sectPr>
      </w:pPr>
    </w:p>
    <w:p>
      <w:pPr>
        <w:pStyle w:val="BodyText"/>
        <w:spacing w:before="66"/>
        <w:ind w:left="280" w:right="604"/>
        <w:rPr>
          <w:i/>
        </w:rPr>
      </w:pPr>
      <w:r>
        <w:rPr/>
        <w:t>many</w:t>
      </w:r>
      <w:r>
        <w:rPr>
          <w:spacing w:val="-23"/>
        </w:rPr>
        <w:t> </w:t>
      </w:r>
      <w:r>
        <w:rPr/>
        <w:t>African</w:t>
      </w:r>
      <w:r>
        <w:rPr>
          <w:spacing w:val="-23"/>
        </w:rPr>
        <w:t> </w:t>
      </w:r>
      <w:r>
        <w:rPr/>
        <w:t>Americans to seek routine preventive care</w:t>
      </w:r>
      <w:r>
        <w:rPr>
          <w:i/>
        </w:rPr>
        <w:t>.</w:t>
      </w:r>
      <w:r>
        <w:rPr>
          <w:i/>
          <w:spacing w:val="-4"/>
        </w:rPr>
        <w:t> </w:t>
      </w:r>
      <w:r>
        <w:rPr/>
        <w:t>As one</w:t>
      </w:r>
      <w:r>
        <w:rPr>
          <w:spacing w:val="-23"/>
        </w:rPr>
        <w:t> </w:t>
      </w:r>
      <w:r>
        <w:rPr/>
        <w:t>AIDS educator</w:t>
      </w:r>
      <w:r>
        <w:rPr>
          <w:spacing w:val="-7"/>
        </w:rPr>
        <w:t> </w:t>
      </w:r>
      <w:r>
        <w:rPr/>
        <w:t>said,</w:t>
      </w:r>
      <w:r>
        <w:rPr>
          <w:spacing w:val="-3"/>
        </w:rPr>
        <w:t> </w:t>
      </w:r>
      <w:r>
        <w:rPr/>
        <w:t>"so</w:t>
      </w:r>
      <w:r>
        <w:rPr>
          <w:spacing w:val="-3"/>
        </w:rPr>
        <w:t> </w:t>
      </w:r>
      <w:r>
        <w:rPr/>
        <w:t>many</w:t>
      </w:r>
      <w:r>
        <w:rPr>
          <w:spacing w:val="-30"/>
        </w:rPr>
        <w:t> </w:t>
      </w:r>
      <w:r>
        <w:rPr/>
        <w:t>African</w:t>
      </w:r>
      <w:r>
        <w:rPr>
          <w:spacing w:val="-30"/>
        </w:rPr>
        <w:t> </w:t>
      </w:r>
      <w:r>
        <w:rPr/>
        <w:t>American</w:t>
      </w:r>
      <w:r>
        <w:rPr>
          <w:spacing w:val="-3"/>
        </w:rPr>
        <w:t> </w:t>
      </w:r>
      <w:r>
        <w:rPr/>
        <w:t>people</w:t>
      </w:r>
      <w:r>
        <w:rPr>
          <w:spacing w:val="-4"/>
        </w:rPr>
        <w:t> </w:t>
      </w:r>
      <w:r>
        <w:rPr/>
        <w:t>that</w:t>
      </w:r>
      <w:r>
        <w:rPr>
          <w:spacing w:val="-3"/>
        </w:rPr>
        <w:t> </w:t>
      </w:r>
      <w:r>
        <w:rPr/>
        <w:t>I</w:t>
      </w:r>
      <w:r>
        <w:rPr>
          <w:spacing w:val="-3"/>
        </w:rPr>
        <w:t> </w:t>
      </w:r>
      <w:r>
        <w:rPr/>
        <w:t>work</w:t>
      </w:r>
      <w:r>
        <w:rPr>
          <w:spacing w:val="-3"/>
        </w:rPr>
        <w:t> </w:t>
      </w:r>
      <w:r>
        <w:rPr/>
        <w:t>with</w:t>
      </w:r>
      <w:r>
        <w:rPr>
          <w:spacing w:val="-3"/>
        </w:rPr>
        <w:t> </w:t>
      </w:r>
      <w:r>
        <w:rPr/>
        <w:t>do</w:t>
      </w:r>
      <w:r>
        <w:rPr>
          <w:spacing w:val="-3"/>
        </w:rPr>
        <w:t> </w:t>
      </w:r>
      <w:r>
        <w:rPr/>
        <w:t>not</w:t>
      </w:r>
      <w:r>
        <w:rPr>
          <w:spacing w:val="-3"/>
        </w:rPr>
        <w:t> </w:t>
      </w:r>
      <w:r>
        <w:rPr/>
        <w:t>trust hospitals or any of the other community</w:t>
      </w:r>
      <w:r>
        <w:rPr>
          <w:spacing w:val="-3"/>
        </w:rPr>
        <w:t> </w:t>
      </w:r>
      <w:r>
        <w:rPr/>
        <w:t>health</w:t>
      </w:r>
      <w:r>
        <w:rPr>
          <w:spacing w:val="-3"/>
        </w:rPr>
        <w:t> </w:t>
      </w:r>
      <w:r>
        <w:rPr/>
        <w:t>care</w:t>
      </w:r>
      <w:r>
        <w:rPr>
          <w:spacing w:val="-5"/>
        </w:rPr>
        <w:t> </w:t>
      </w:r>
      <w:r>
        <w:rPr/>
        <w:t>service</w:t>
      </w:r>
      <w:r>
        <w:rPr>
          <w:spacing w:val="-5"/>
        </w:rPr>
        <w:t> </w:t>
      </w:r>
      <w:r>
        <w:rPr/>
        <w:t>providers</w:t>
      </w:r>
      <w:r>
        <w:rPr>
          <w:spacing w:val="-3"/>
        </w:rPr>
        <w:t> </w:t>
      </w:r>
      <w:r>
        <w:rPr/>
        <w:t>because of</w:t>
      </w:r>
      <w:r>
        <w:rPr>
          <w:spacing w:val="-6"/>
        </w:rPr>
        <w:t> </w:t>
      </w:r>
      <w:r>
        <w:rPr/>
        <w:t>that</w:t>
      </w:r>
      <w:r>
        <w:rPr>
          <w:spacing w:val="-16"/>
        </w:rPr>
        <w:t> </w:t>
      </w:r>
      <w:r>
        <w:rPr/>
        <w:t>Tuskegee</w:t>
      </w:r>
      <w:r>
        <w:rPr>
          <w:spacing w:val="-7"/>
        </w:rPr>
        <w:t> </w:t>
      </w:r>
      <w:r>
        <w:rPr/>
        <w:t>experiment.</w:t>
      </w:r>
      <w:r>
        <w:rPr>
          <w:spacing w:val="-6"/>
        </w:rPr>
        <w:t> </w:t>
      </w:r>
      <w:r>
        <w:rPr/>
        <w:t>It</w:t>
      </w:r>
      <w:r>
        <w:rPr>
          <w:spacing w:val="-7"/>
        </w:rPr>
        <w:t> </w:t>
      </w:r>
      <w:r>
        <w:rPr/>
        <w:t>is</w:t>
      </w:r>
      <w:r>
        <w:rPr>
          <w:spacing w:val="-6"/>
        </w:rPr>
        <w:t> </w:t>
      </w:r>
      <w:r>
        <w:rPr/>
        <w:t>like</w:t>
      </w:r>
      <w:r>
        <w:rPr>
          <w:spacing w:val="-7"/>
        </w:rPr>
        <w:t> </w:t>
      </w:r>
      <w:r>
        <w:rPr/>
        <w:t>_</w:t>
      </w:r>
      <w:r>
        <w:rPr>
          <w:spacing w:val="-1"/>
        </w:rPr>
        <w:t> </w:t>
      </w:r>
      <w:r>
        <w:rPr/>
        <w:t>if</w:t>
      </w:r>
      <w:r>
        <w:rPr>
          <w:spacing w:val="-1"/>
        </w:rPr>
        <w:t> </w:t>
      </w:r>
      <w:r>
        <w:rPr/>
        <w:t>they</w:t>
      </w:r>
      <w:r>
        <w:rPr>
          <w:spacing w:val="-1"/>
        </w:rPr>
        <w:t> </w:t>
      </w:r>
      <w:r>
        <w:rPr/>
        <w:t>did</w:t>
      </w:r>
      <w:r>
        <w:rPr>
          <w:spacing w:val="-1"/>
        </w:rPr>
        <w:t> </w:t>
      </w:r>
      <w:r>
        <w:rPr/>
        <w:t>it</w:t>
      </w:r>
      <w:r>
        <w:rPr>
          <w:spacing w:val="-1"/>
        </w:rPr>
        <w:t> </w:t>
      </w:r>
      <w:r>
        <w:rPr/>
        <w:t>once,</w:t>
      </w:r>
      <w:r>
        <w:rPr>
          <w:spacing w:val="-1"/>
        </w:rPr>
        <w:t> </w:t>
      </w:r>
      <w:r>
        <w:rPr/>
        <w:t>then</w:t>
      </w:r>
      <w:r>
        <w:rPr>
          <w:spacing w:val="-1"/>
        </w:rPr>
        <w:t> </w:t>
      </w:r>
      <w:r>
        <w:rPr/>
        <w:t>they</w:t>
      </w:r>
      <w:r>
        <w:rPr>
          <w:spacing w:val="-1"/>
        </w:rPr>
        <w:t> </w:t>
      </w:r>
      <w:r>
        <w:rPr/>
        <w:t>will</w:t>
      </w:r>
      <w:r>
        <w:rPr>
          <w:spacing w:val="-1"/>
        </w:rPr>
        <w:t> </w:t>
      </w:r>
      <w:r>
        <w:rPr/>
        <w:t>do</w:t>
      </w:r>
      <w:r>
        <w:rPr>
          <w:spacing w:val="-1"/>
        </w:rPr>
        <w:t> </w:t>
      </w:r>
      <w:r>
        <w:rPr/>
        <w:t>it again" </w:t>
      </w:r>
      <w:r>
        <w:rPr>
          <w:i/>
        </w:rPr>
        <w:t>(Source: AIDS Weekly Plus;</w:t>
      </w:r>
      <w:r>
        <w:rPr>
          <w:i/>
          <w:spacing w:val="40"/>
        </w:rPr>
        <w:t> </w:t>
      </w:r>
      <w:r>
        <w:rPr>
          <w:i/>
        </w:rPr>
        <w:t>Karkabi; Thomas and Quinn).</w:t>
      </w:r>
    </w:p>
    <w:p>
      <w:pPr>
        <w:pStyle w:val="BodyText"/>
        <w:spacing w:before="11"/>
        <w:rPr>
          <w:i/>
          <w:sz w:val="26"/>
        </w:rPr>
      </w:pPr>
    </w:p>
    <w:p>
      <w:pPr>
        <w:pStyle w:val="BodyText"/>
        <w:ind w:left="280" w:right="502"/>
      </w:pPr>
      <w:r>
        <w:rPr/>
        <w:t>Counselors should be aware that the issues of slavery and institutional racism are constant and prevalent facts in the lives of many</w:t>
      </w:r>
      <w:r>
        <w:rPr>
          <w:spacing w:val="-15"/>
        </w:rPr>
        <w:t> </w:t>
      </w:r>
      <w:r>
        <w:rPr/>
        <w:t>African</w:t>
      </w:r>
      <w:r>
        <w:rPr>
          <w:spacing w:val="-15"/>
        </w:rPr>
        <w:t> </w:t>
      </w:r>
      <w:r>
        <w:rPr/>
        <w:t>Americans and should be addressed early in treatment so they are acknowledged, validated, and</w:t>
      </w:r>
      <w:r>
        <w:rPr>
          <w:spacing w:val="-4"/>
        </w:rPr>
        <w:t> </w:t>
      </w:r>
      <w:r>
        <w:rPr/>
        <w:t>brought</w:t>
      </w:r>
      <w:r>
        <w:rPr>
          <w:spacing w:val="-4"/>
        </w:rPr>
        <w:t> </w:t>
      </w:r>
      <w:r>
        <w:rPr/>
        <w:t>into</w:t>
      </w:r>
      <w:r>
        <w:rPr>
          <w:spacing w:val="-4"/>
        </w:rPr>
        <w:t> </w:t>
      </w:r>
      <w:r>
        <w:rPr/>
        <w:t>the</w:t>
      </w:r>
      <w:r>
        <w:rPr>
          <w:spacing w:val="-5"/>
        </w:rPr>
        <w:t> </w:t>
      </w:r>
      <w:r>
        <w:rPr/>
        <w:t>treatment</w:t>
      </w:r>
      <w:r>
        <w:rPr>
          <w:spacing w:val="-4"/>
        </w:rPr>
        <w:t> </w:t>
      </w:r>
      <w:r>
        <w:rPr/>
        <w:t>process</w:t>
      </w:r>
      <w:r>
        <w:rPr>
          <w:i/>
        </w:rPr>
        <w:t>.</w:t>
      </w:r>
      <w:r>
        <w:rPr>
          <w:i/>
          <w:spacing w:val="-4"/>
        </w:rPr>
        <w:t> </w:t>
      </w:r>
      <w:r>
        <w:rPr/>
        <w:t>In</w:t>
      </w:r>
      <w:r>
        <w:rPr>
          <w:spacing w:val="-4"/>
        </w:rPr>
        <w:t> </w:t>
      </w:r>
      <w:r>
        <w:rPr/>
        <w:t>order</w:t>
      </w:r>
      <w:r>
        <w:rPr>
          <w:spacing w:val="-4"/>
        </w:rPr>
        <w:t> </w:t>
      </w:r>
      <w:r>
        <w:rPr/>
        <w:t>to</w:t>
      </w:r>
      <w:r>
        <w:rPr>
          <w:spacing w:val="-4"/>
        </w:rPr>
        <w:t> </w:t>
      </w:r>
      <w:r>
        <w:rPr/>
        <w:t>provide</w:t>
      </w:r>
      <w:r>
        <w:rPr>
          <w:spacing w:val="-5"/>
        </w:rPr>
        <w:t> </w:t>
      </w:r>
      <w:r>
        <w:rPr/>
        <w:t>effective</w:t>
      </w:r>
      <w:r>
        <w:rPr>
          <w:spacing w:val="-5"/>
        </w:rPr>
        <w:t> </w:t>
      </w:r>
      <w:r>
        <w:rPr/>
        <w:t>substance abuse treatment for</w:t>
      </w:r>
      <w:r>
        <w:rPr>
          <w:spacing w:val="-12"/>
        </w:rPr>
        <w:t> </w:t>
      </w:r>
      <w:r>
        <w:rPr/>
        <w:t>African</w:t>
      </w:r>
      <w:r>
        <w:rPr>
          <w:spacing w:val="-5"/>
        </w:rPr>
        <w:t> </w:t>
      </w:r>
      <w:r>
        <w:rPr/>
        <w:t>American clients, providers need to take into account the social, economic, political, and cultural contexts of their lives </w:t>
      </w:r>
      <w:r>
        <w:rPr>
          <w:i/>
        </w:rPr>
        <w:t>(Pena and Koss-Chioino)</w:t>
      </w:r>
      <w:r>
        <w:rPr/>
        <w:t>.</w:t>
      </w:r>
    </w:p>
    <w:p>
      <w:pPr>
        <w:pStyle w:val="BodyText"/>
        <w:spacing w:before="7"/>
        <w:rPr>
          <w:sz w:val="26"/>
        </w:rPr>
      </w:pPr>
    </w:p>
    <w:p>
      <w:pPr>
        <w:pStyle w:val="BodyText"/>
        <w:ind w:left="280" w:right="581"/>
      </w:pPr>
      <w:r>
        <w:rPr/>
        <w:t>Spirituality is very important for many</w:t>
      </w:r>
      <w:r>
        <w:rPr>
          <w:spacing w:val="-9"/>
        </w:rPr>
        <w:t> </w:t>
      </w:r>
      <w:r>
        <w:rPr/>
        <w:t>African</w:t>
      </w:r>
      <w:r>
        <w:rPr>
          <w:spacing w:val="-9"/>
        </w:rPr>
        <w:t> </w:t>
      </w:r>
      <w:r>
        <w:rPr/>
        <w:t>Americans. The relationship between an individual and the faith community is a critical source of strength that can help prepare clients to succeed in substance abuse treatment. In addition, many</w:t>
      </w:r>
      <w:r>
        <w:rPr>
          <w:spacing w:val="-11"/>
        </w:rPr>
        <w:t> </w:t>
      </w:r>
      <w:r>
        <w:rPr/>
        <w:t>African</w:t>
      </w:r>
      <w:r>
        <w:rPr>
          <w:spacing w:val="-11"/>
        </w:rPr>
        <w:t> </w:t>
      </w:r>
      <w:r>
        <w:rPr/>
        <w:t>Americans have strong social networks. They may have friends or a pastor with whom they might share information they would not</w:t>
      </w:r>
      <w:r>
        <w:rPr>
          <w:spacing w:val="-4"/>
        </w:rPr>
        <w:t> </w:t>
      </w:r>
      <w:r>
        <w:rPr/>
        <w:t>share</w:t>
      </w:r>
      <w:r>
        <w:rPr>
          <w:spacing w:val="-5"/>
        </w:rPr>
        <w:t> </w:t>
      </w:r>
      <w:r>
        <w:rPr/>
        <w:t>with</w:t>
      </w:r>
      <w:r>
        <w:rPr>
          <w:spacing w:val="-4"/>
        </w:rPr>
        <w:t> </w:t>
      </w:r>
      <w:r>
        <w:rPr/>
        <w:t>a</w:t>
      </w:r>
      <w:r>
        <w:rPr>
          <w:spacing w:val="-5"/>
        </w:rPr>
        <w:t> </w:t>
      </w:r>
      <w:r>
        <w:rPr/>
        <w:t>substance</w:t>
      </w:r>
      <w:r>
        <w:rPr>
          <w:spacing w:val="-5"/>
        </w:rPr>
        <w:t> </w:t>
      </w:r>
      <w:r>
        <w:rPr/>
        <w:t>abuse</w:t>
      </w:r>
      <w:r>
        <w:rPr>
          <w:spacing w:val="-5"/>
        </w:rPr>
        <w:t> </w:t>
      </w:r>
      <w:r>
        <w:rPr/>
        <w:t>counselor.</w:t>
      </w:r>
      <w:r>
        <w:rPr>
          <w:spacing w:val="-10"/>
        </w:rPr>
        <w:t> </w:t>
      </w:r>
      <w:r>
        <w:rPr/>
        <w:t>These</w:t>
      </w:r>
      <w:r>
        <w:rPr>
          <w:spacing w:val="-5"/>
        </w:rPr>
        <w:t> </w:t>
      </w:r>
      <w:r>
        <w:rPr/>
        <w:t>confidants</w:t>
      </w:r>
      <w:r>
        <w:rPr>
          <w:spacing w:val="-4"/>
        </w:rPr>
        <w:t> </w:t>
      </w:r>
      <w:r>
        <w:rPr/>
        <w:t>might</w:t>
      </w:r>
      <w:r>
        <w:rPr>
          <w:spacing w:val="-4"/>
        </w:rPr>
        <w:t> </w:t>
      </w:r>
      <w:r>
        <w:rPr/>
        <w:t>act</w:t>
      </w:r>
      <w:r>
        <w:rPr>
          <w:spacing w:val="-4"/>
        </w:rPr>
        <w:t> </w:t>
      </w:r>
      <w:r>
        <w:rPr/>
        <w:t>as</w:t>
      </w:r>
      <w:r>
        <w:rPr>
          <w:spacing w:val="-4"/>
        </w:rPr>
        <w:t> </w:t>
      </w:r>
      <w:r>
        <w:rPr/>
        <w:t>"co- therapists"</w:t>
      </w:r>
      <w:r>
        <w:rPr>
          <w:spacing w:val="-1"/>
        </w:rPr>
        <w:t> </w:t>
      </w:r>
      <w:r>
        <w:rPr/>
        <w:t>for</w:t>
      </w:r>
      <w:r>
        <w:rPr>
          <w:spacing w:val="-1"/>
        </w:rPr>
        <w:t> </w:t>
      </w:r>
      <w:r>
        <w:rPr/>
        <w:t>the</w:t>
      </w:r>
      <w:r>
        <w:rPr>
          <w:spacing w:val="-2"/>
        </w:rPr>
        <w:t> </w:t>
      </w:r>
      <w:r>
        <w:rPr/>
        <w:t>client.</w:t>
      </w:r>
      <w:r>
        <w:rPr>
          <w:spacing w:val="-1"/>
        </w:rPr>
        <w:t> </w:t>
      </w:r>
      <w:r>
        <w:rPr/>
        <w:t>It</w:t>
      </w:r>
      <w:r>
        <w:rPr>
          <w:spacing w:val="-1"/>
        </w:rPr>
        <w:t> </w:t>
      </w:r>
      <w:r>
        <w:rPr/>
        <w:t>can</w:t>
      </w:r>
      <w:r>
        <w:rPr>
          <w:spacing w:val="-1"/>
        </w:rPr>
        <w:t> </w:t>
      </w:r>
      <w:r>
        <w:rPr/>
        <w:t>be</w:t>
      </w:r>
      <w:r>
        <w:rPr>
          <w:spacing w:val="-2"/>
        </w:rPr>
        <w:t> </w:t>
      </w:r>
      <w:r>
        <w:rPr/>
        <w:t>helpful</w:t>
      </w:r>
      <w:r>
        <w:rPr>
          <w:spacing w:val="-1"/>
        </w:rPr>
        <w:t> </w:t>
      </w:r>
      <w:r>
        <w:rPr/>
        <w:t>for</w:t>
      </w:r>
      <w:r>
        <w:rPr>
          <w:spacing w:val="-1"/>
        </w:rPr>
        <w:t> </w:t>
      </w:r>
      <w:r>
        <w:rPr/>
        <w:t>clients</w:t>
      </w:r>
      <w:r>
        <w:rPr>
          <w:spacing w:val="-1"/>
        </w:rPr>
        <w:t> </w:t>
      </w:r>
      <w:r>
        <w:rPr/>
        <w:t>if</w:t>
      </w:r>
      <w:r>
        <w:rPr>
          <w:spacing w:val="-1"/>
        </w:rPr>
        <w:t> </w:t>
      </w:r>
      <w:r>
        <w:rPr/>
        <w:t>counselors</w:t>
      </w:r>
      <w:r>
        <w:rPr>
          <w:spacing w:val="-1"/>
        </w:rPr>
        <w:t> </w:t>
      </w:r>
      <w:r>
        <w:rPr/>
        <w:t>can</w:t>
      </w:r>
      <w:r>
        <w:rPr>
          <w:spacing w:val="-1"/>
        </w:rPr>
        <w:t> </w:t>
      </w:r>
      <w:r>
        <w:rPr/>
        <w:t>identify and integrate clients' co-therapists into their substance abuse treatment plans (keeping in mind clients' rights to confidentiality and the need for signed consent forms--see Chapter 9 for more information).</w:t>
      </w:r>
      <w:r>
        <w:rPr>
          <w:spacing w:val="-11"/>
        </w:rPr>
        <w:t> </w:t>
      </w:r>
      <w:r>
        <w:rPr/>
        <w:t>Along these lines, for African</w:t>
      </w:r>
      <w:r>
        <w:rPr>
          <w:spacing w:val="-2"/>
        </w:rPr>
        <w:t> </w:t>
      </w:r>
      <w:r>
        <w:rPr/>
        <w:t>Americans with substance use disorders and HIV/AIDS, support groups of friends may be more likely to be helpful and less undermining than support groups of families.</w:t>
      </w:r>
      <w:r>
        <w:rPr>
          <w:spacing w:val="-5"/>
        </w:rPr>
        <w:t> </w:t>
      </w:r>
      <w:r>
        <w:rPr/>
        <w:t>This is perhaps due to the lingering stigma of the ways in which HIV/AIDS is acquired--both intravenous drug use and homosexual activity are still highly stigmatized acts within many</w:t>
      </w:r>
      <w:r>
        <w:rPr>
          <w:spacing w:val="-15"/>
        </w:rPr>
        <w:t> </w:t>
      </w:r>
      <w:r>
        <w:rPr/>
        <w:t>African American</w:t>
      </w:r>
      <w:r>
        <w:rPr>
          <w:spacing w:val="-3"/>
        </w:rPr>
        <w:t> </w:t>
      </w:r>
      <w:r>
        <w:rPr/>
        <w:t>communities.</w:t>
      </w:r>
      <w:r>
        <w:rPr>
          <w:spacing w:val="-9"/>
        </w:rPr>
        <w:t> </w:t>
      </w:r>
      <w:r>
        <w:rPr/>
        <w:t>Thus,</w:t>
      </w:r>
      <w:r>
        <w:rPr>
          <w:spacing w:val="-3"/>
        </w:rPr>
        <w:t> </w:t>
      </w:r>
      <w:r>
        <w:rPr/>
        <w:t>activating</w:t>
      </w:r>
      <w:r>
        <w:rPr>
          <w:spacing w:val="-3"/>
        </w:rPr>
        <w:t> </w:t>
      </w:r>
      <w:r>
        <w:rPr/>
        <w:t>family</w:t>
      </w:r>
      <w:r>
        <w:rPr>
          <w:spacing w:val="-3"/>
        </w:rPr>
        <w:t> </w:t>
      </w:r>
      <w:r>
        <w:rPr/>
        <w:t>supports</w:t>
      </w:r>
      <w:r>
        <w:rPr>
          <w:spacing w:val="-3"/>
        </w:rPr>
        <w:t> </w:t>
      </w:r>
      <w:r>
        <w:rPr/>
        <w:t>may</w:t>
      </w:r>
      <w:r>
        <w:rPr>
          <w:spacing w:val="-3"/>
        </w:rPr>
        <w:t> </w:t>
      </w:r>
      <w:r>
        <w:rPr/>
        <w:t>be</w:t>
      </w:r>
      <w:r>
        <w:rPr>
          <w:spacing w:val="-4"/>
        </w:rPr>
        <w:t> </w:t>
      </w:r>
      <w:r>
        <w:rPr/>
        <w:t>difficult,</w:t>
      </w:r>
      <w:r>
        <w:rPr>
          <w:spacing w:val="-3"/>
        </w:rPr>
        <w:t> </w:t>
      </w:r>
      <w:r>
        <w:rPr/>
        <w:t>and providers should encourage clients to participate in support groups composed of their peers.</w:t>
      </w:r>
    </w:p>
    <w:p>
      <w:pPr>
        <w:pStyle w:val="BodyText"/>
        <w:spacing w:before="9"/>
        <w:rPr>
          <w:sz w:val="24"/>
        </w:rPr>
      </w:pPr>
    </w:p>
    <w:p>
      <w:pPr>
        <w:pStyle w:val="Heading2"/>
      </w:pPr>
      <w:r>
        <w:rPr>
          <w:spacing w:val="-2"/>
        </w:rPr>
        <w:t>Asian</w:t>
      </w:r>
      <w:r>
        <w:rPr>
          <w:spacing w:val="-26"/>
        </w:rPr>
        <w:t> </w:t>
      </w:r>
      <w:r>
        <w:rPr>
          <w:spacing w:val="-2"/>
        </w:rPr>
        <w:t>Americans</w:t>
      </w:r>
    </w:p>
    <w:p>
      <w:pPr>
        <w:pStyle w:val="BodyText"/>
        <w:spacing w:before="7"/>
        <w:rPr>
          <w:b/>
          <w:sz w:val="27"/>
        </w:rPr>
      </w:pPr>
    </w:p>
    <w:p>
      <w:pPr>
        <w:pStyle w:val="BodyText"/>
        <w:ind w:left="280" w:right="502"/>
      </w:pPr>
      <w:r>
        <w:rPr/>
        <w:t>The increasing size and diversity of the</w:t>
      </w:r>
      <w:r>
        <w:rPr>
          <w:spacing w:val="-19"/>
        </w:rPr>
        <w:t> </w:t>
      </w:r>
      <w:r>
        <w:rPr/>
        <w:t>Asian and Pacific Islander population make</w:t>
      </w:r>
      <w:r>
        <w:rPr>
          <w:spacing w:val="-5"/>
        </w:rPr>
        <w:t> </w:t>
      </w:r>
      <w:r>
        <w:rPr/>
        <w:t>it</w:t>
      </w:r>
      <w:r>
        <w:rPr>
          <w:spacing w:val="-4"/>
        </w:rPr>
        <w:t> </w:t>
      </w:r>
      <w:r>
        <w:rPr/>
        <w:t>difficult</w:t>
      </w:r>
      <w:r>
        <w:rPr>
          <w:spacing w:val="-4"/>
        </w:rPr>
        <w:t> </w:t>
      </w:r>
      <w:r>
        <w:rPr/>
        <w:t>to</w:t>
      </w:r>
      <w:r>
        <w:rPr>
          <w:spacing w:val="-4"/>
        </w:rPr>
        <w:t> </w:t>
      </w:r>
      <w:r>
        <w:rPr/>
        <w:t>discuss</w:t>
      </w:r>
      <w:r>
        <w:rPr>
          <w:spacing w:val="-4"/>
        </w:rPr>
        <w:t> </w:t>
      </w:r>
      <w:r>
        <w:rPr/>
        <w:t>group</w:t>
      </w:r>
      <w:r>
        <w:rPr>
          <w:spacing w:val="-4"/>
        </w:rPr>
        <w:t> </w:t>
      </w:r>
      <w:r>
        <w:rPr/>
        <w:t>norms</w:t>
      </w:r>
      <w:r>
        <w:rPr>
          <w:spacing w:val="-4"/>
        </w:rPr>
        <w:t> </w:t>
      </w:r>
      <w:r>
        <w:rPr/>
        <w:t>regarding</w:t>
      </w:r>
      <w:r>
        <w:rPr>
          <w:spacing w:val="-4"/>
        </w:rPr>
        <w:t> </w:t>
      </w:r>
      <w:r>
        <w:rPr/>
        <w:t>substance</w:t>
      </w:r>
      <w:r>
        <w:rPr>
          <w:spacing w:val="-5"/>
        </w:rPr>
        <w:t> </w:t>
      </w:r>
      <w:r>
        <w:rPr/>
        <w:t>abuse.</w:t>
      </w:r>
      <w:r>
        <w:rPr>
          <w:spacing w:val="-4"/>
        </w:rPr>
        <w:t> </w:t>
      </w:r>
      <w:r>
        <w:rPr/>
        <w:t>Norms</w:t>
      </w:r>
      <w:r>
        <w:rPr>
          <w:spacing w:val="-4"/>
        </w:rPr>
        <w:t> </w:t>
      </w:r>
      <w:r>
        <w:rPr/>
        <w:t>for alcohol and tobacco use vary by culture and there appear to be no norms governing the consumption of narcotics or other substances.</w:t>
      </w:r>
    </w:p>
    <w:p>
      <w:pPr>
        <w:pStyle w:val="BodyText"/>
        <w:spacing w:before="2"/>
        <w:rPr>
          <w:sz w:val="27"/>
        </w:rPr>
      </w:pPr>
    </w:p>
    <w:p>
      <w:pPr>
        <w:pStyle w:val="BodyText"/>
        <w:ind w:left="280"/>
      </w:pPr>
      <w:r>
        <w:rPr/>
        <w:t>Service</w:t>
      </w:r>
      <w:r>
        <w:rPr>
          <w:spacing w:val="-6"/>
        </w:rPr>
        <w:t> </w:t>
      </w:r>
      <w:r>
        <w:rPr/>
        <w:t>providers</w:t>
      </w:r>
      <w:r>
        <w:rPr>
          <w:spacing w:val="-2"/>
        </w:rPr>
        <w:t> </w:t>
      </w:r>
      <w:r>
        <w:rPr/>
        <w:t>also</w:t>
      </w:r>
      <w:r>
        <w:rPr>
          <w:spacing w:val="-3"/>
        </w:rPr>
        <w:t> </w:t>
      </w:r>
      <w:r>
        <w:rPr/>
        <w:t>should</w:t>
      </w:r>
      <w:r>
        <w:rPr>
          <w:spacing w:val="-2"/>
        </w:rPr>
        <w:t> </w:t>
      </w:r>
      <w:r>
        <w:rPr/>
        <w:t>shed</w:t>
      </w:r>
      <w:r>
        <w:rPr>
          <w:spacing w:val="-3"/>
        </w:rPr>
        <w:t> </w:t>
      </w:r>
      <w:r>
        <w:rPr/>
        <w:t>the</w:t>
      </w:r>
      <w:r>
        <w:rPr>
          <w:spacing w:val="-3"/>
        </w:rPr>
        <w:t> </w:t>
      </w:r>
      <w:r>
        <w:rPr/>
        <w:t>notion</w:t>
      </w:r>
      <w:r>
        <w:rPr>
          <w:spacing w:val="-3"/>
        </w:rPr>
        <w:t> </w:t>
      </w:r>
      <w:r>
        <w:rPr/>
        <w:t>of</w:t>
      </w:r>
      <w:r>
        <w:rPr>
          <w:spacing w:val="-2"/>
        </w:rPr>
        <w:t> </w:t>
      </w:r>
      <w:r>
        <w:rPr/>
        <w:t>the</w:t>
      </w:r>
      <w:r>
        <w:rPr>
          <w:spacing w:val="-4"/>
        </w:rPr>
        <w:t> </w:t>
      </w:r>
      <w:r>
        <w:rPr/>
        <w:t>"model</w:t>
      </w:r>
      <w:r>
        <w:rPr>
          <w:spacing w:val="-2"/>
        </w:rPr>
        <w:t> </w:t>
      </w:r>
      <w:r>
        <w:rPr/>
        <w:t>minority,"</w:t>
      </w:r>
      <w:r>
        <w:rPr>
          <w:spacing w:val="-2"/>
        </w:rPr>
        <w:t> which</w:t>
      </w:r>
    </w:p>
    <w:p>
      <w:pPr>
        <w:spacing w:after="0"/>
        <w:sectPr>
          <w:pgSz w:w="12240" w:h="15840"/>
          <w:pgMar w:header="0" w:footer="792" w:top="1300" w:bottom="980" w:left="1400" w:right="1180"/>
        </w:sectPr>
      </w:pPr>
    </w:p>
    <w:p>
      <w:pPr>
        <w:pStyle w:val="BodyText"/>
        <w:spacing w:before="66"/>
        <w:ind w:left="280" w:right="549"/>
        <w:jc w:val="both"/>
      </w:pPr>
      <w:r>
        <w:rPr/>
        <w:t>often</w:t>
      </w:r>
      <w:r>
        <w:rPr>
          <w:spacing w:val="-10"/>
        </w:rPr>
        <w:t> </w:t>
      </w:r>
      <w:r>
        <w:rPr/>
        <w:t>typecasts</w:t>
      </w:r>
      <w:r>
        <w:rPr>
          <w:spacing w:val="-18"/>
        </w:rPr>
        <w:t> </w:t>
      </w:r>
      <w:r>
        <w:rPr/>
        <w:t>Asians</w:t>
      </w:r>
      <w:r>
        <w:rPr>
          <w:spacing w:val="-4"/>
        </w:rPr>
        <w:t> </w:t>
      </w:r>
      <w:r>
        <w:rPr/>
        <w:t>and</w:t>
      </w:r>
      <w:r>
        <w:rPr>
          <w:spacing w:val="-4"/>
        </w:rPr>
        <w:t> </w:t>
      </w:r>
      <w:r>
        <w:rPr/>
        <w:t>Pacific</w:t>
      </w:r>
      <w:r>
        <w:rPr>
          <w:spacing w:val="-5"/>
        </w:rPr>
        <w:t> </w:t>
      </w:r>
      <w:r>
        <w:rPr/>
        <w:t>Islanders</w:t>
      </w:r>
      <w:r>
        <w:rPr>
          <w:spacing w:val="-4"/>
        </w:rPr>
        <w:t> </w:t>
      </w:r>
      <w:r>
        <w:rPr/>
        <w:t>and</w:t>
      </w:r>
      <w:r>
        <w:rPr>
          <w:spacing w:val="-4"/>
        </w:rPr>
        <w:t> </w:t>
      </w:r>
      <w:r>
        <w:rPr/>
        <w:t>limits</w:t>
      </w:r>
      <w:r>
        <w:rPr>
          <w:spacing w:val="-4"/>
        </w:rPr>
        <w:t> </w:t>
      </w:r>
      <w:r>
        <w:rPr/>
        <w:t>treatment</w:t>
      </w:r>
      <w:r>
        <w:rPr>
          <w:spacing w:val="-4"/>
        </w:rPr>
        <w:t> </w:t>
      </w:r>
      <w:r>
        <w:rPr/>
        <w:t>access.</w:t>
      </w:r>
      <w:r>
        <w:rPr>
          <w:spacing w:val="-4"/>
        </w:rPr>
        <w:t> </w:t>
      </w:r>
      <w:r>
        <w:rPr/>
        <w:t>Often, Asians</w:t>
      </w:r>
      <w:r>
        <w:rPr>
          <w:spacing w:val="-2"/>
        </w:rPr>
        <w:t> </w:t>
      </w:r>
      <w:r>
        <w:rPr/>
        <w:t>and</w:t>
      </w:r>
      <w:r>
        <w:rPr>
          <w:spacing w:val="-2"/>
        </w:rPr>
        <w:t> </w:t>
      </w:r>
      <w:r>
        <w:rPr/>
        <w:t>Pacific</w:t>
      </w:r>
      <w:r>
        <w:rPr>
          <w:spacing w:val="-3"/>
        </w:rPr>
        <w:t> </w:t>
      </w:r>
      <w:r>
        <w:rPr/>
        <w:t>Islanders</w:t>
      </w:r>
      <w:r>
        <w:rPr>
          <w:spacing w:val="-2"/>
        </w:rPr>
        <w:t> </w:t>
      </w:r>
      <w:r>
        <w:rPr/>
        <w:t>believe</w:t>
      </w:r>
      <w:r>
        <w:rPr>
          <w:spacing w:val="-3"/>
        </w:rPr>
        <w:t> </w:t>
      </w:r>
      <w:r>
        <w:rPr/>
        <w:t>the</w:t>
      </w:r>
      <w:r>
        <w:rPr>
          <w:spacing w:val="-3"/>
        </w:rPr>
        <w:t> </w:t>
      </w:r>
      <w:r>
        <w:rPr/>
        <w:t>model</w:t>
      </w:r>
      <w:r>
        <w:rPr>
          <w:spacing w:val="-2"/>
        </w:rPr>
        <w:t> </w:t>
      </w:r>
      <w:r>
        <w:rPr/>
        <w:t>minority</w:t>
      </w:r>
      <w:r>
        <w:rPr>
          <w:spacing w:val="-2"/>
        </w:rPr>
        <w:t> </w:t>
      </w:r>
      <w:r>
        <w:rPr/>
        <w:t>myth</w:t>
      </w:r>
      <w:r>
        <w:rPr>
          <w:spacing w:val="-2"/>
        </w:rPr>
        <w:t> </w:t>
      </w:r>
      <w:r>
        <w:rPr/>
        <w:t>and</w:t>
      </w:r>
      <w:r>
        <w:rPr>
          <w:spacing w:val="-2"/>
        </w:rPr>
        <w:t> </w:t>
      </w:r>
      <w:r>
        <w:rPr/>
        <w:t>feel</w:t>
      </w:r>
      <w:r>
        <w:rPr>
          <w:spacing w:val="-2"/>
        </w:rPr>
        <w:t> </w:t>
      </w:r>
      <w:r>
        <w:rPr/>
        <w:t>isolated when</w:t>
      </w:r>
      <w:r>
        <w:rPr>
          <w:spacing w:val="-2"/>
        </w:rPr>
        <w:t> </w:t>
      </w:r>
      <w:r>
        <w:rPr/>
        <w:t>they</w:t>
      </w:r>
      <w:r>
        <w:rPr>
          <w:spacing w:val="-2"/>
        </w:rPr>
        <w:t> </w:t>
      </w:r>
      <w:r>
        <w:rPr/>
        <w:t>test</w:t>
      </w:r>
      <w:r>
        <w:rPr>
          <w:spacing w:val="-2"/>
        </w:rPr>
        <w:t> </w:t>
      </w:r>
      <w:r>
        <w:rPr/>
        <w:t>positive</w:t>
      </w:r>
      <w:r>
        <w:rPr>
          <w:spacing w:val="-7"/>
        </w:rPr>
        <w:t> </w:t>
      </w:r>
      <w:r>
        <w:rPr/>
        <w:t>or</w:t>
      </w:r>
      <w:r>
        <w:rPr>
          <w:spacing w:val="-6"/>
        </w:rPr>
        <w:t> </w:t>
      </w:r>
      <w:r>
        <w:rPr/>
        <w:t>report</w:t>
      </w:r>
      <w:r>
        <w:rPr>
          <w:spacing w:val="-7"/>
        </w:rPr>
        <w:t> </w:t>
      </w:r>
      <w:r>
        <w:rPr/>
        <w:t>substance</w:t>
      </w:r>
      <w:r>
        <w:rPr>
          <w:spacing w:val="-7"/>
        </w:rPr>
        <w:t> </w:t>
      </w:r>
      <w:r>
        <w:rPr/>
        <w:t>abuse</w:t>
      </w:r>
      <w:r>
        <w:rPr>
          <w:spacing w:val="-7"/>
        </w:rPr>
        <w:t> </w:t>
      </w:r>
      <w:r>
        <w:rPr/>
        <w:t>disorders.</w:t>
      </w:r>
      <w:r>
        <w:rPr>
          <w:spacing w:val="-17"/>
        </w:rPr>
        <w:t> </w:t>
      </w:r>
      <w:r>
        <w:rPr/>
        <w:t>They</w:t>
      </w:r>
      <w:r>
        <w:rPr>
          <w:spacing w:val="-6"/>
        </w:rPr>
        <w:t> </w:t>
      </w:r>
      <w:r>
        <w:rPr/>
        <w:t>may</w:t>
      </w:r>
      <w:r>
        <w:rPr>
          <w:spacing w:val="-6"/>
        </w:rPr>
        <w:t> </w:t>
      </w:r>
      <w:r>
        <w:rPr/>
        <w:t>also</w:t>
      </w:r>
      <w:r>
        <w:rPr>
          <w:spacing w:val="-6"/>
        </w:rPr>
        <w:t> </w:t>
      </w:r>
      <w:r>
        <w:rPr/>
        <w:t>feel they have let down their families and communities.</w:t>
      </w:r>
    </w:p>
    <w:p>
      <w:pPr>
        <w:pStyle w:val="BodyText"/>
        <w:spacing w:before="1"/>
        <w:rPr>
          <w:sz w:val="27"/>
        </w:rPr>
      </w:pPr>
    </w:p>
    <w:p>
      <w:pPr>
        <w:pStyle w:val="BodyText"/>
        <w:ind w:left="280" w:right="515"/>
      </w:pPr>
      <w:r>
        <w:rPr/>
        <w:t>Despite differences in cultural norms and mores among</w:t>
      </w:r>
      <w:r>
        <w:rPr>
          <w:spacing w:val="-13"/>
        </w:rPr>
        <w:t> </w:t>
      </w:r>
      <w:r>
        <w:rPr/>
        <w:t>Asians and Pacific Islanders, cross-cultural beliefs in the importance of group and collective identity, service, and responsibility suggest the use of treatment strategies that incorporate biological or constructed families and communities rather than a focus on individual behavior change. Moreover, treatments that emphasize nonverbal or indirect communication skills, not confrontation, may be more culturally appropriate and more effective. Most</w:t>
      </w:r>
      <w:r>
        <w:rPr>
          <w:spacing w:val="-21"/>
        </w:rPr>
        <w:t> </w:t>
      </w:r>
      <w:r>
        <w:rPr/>
        <w:t>American treatment modalities rely heavily on verbal therapies that require direct verbal emotional expression and a high level of personal disclosure. Many substance abuse treatment programs favor a confrontational approach, and many HIV/AIDS programs favor support groups and psychotherapy. These treatment approaches, unless modified for</w:t>
      </w:r>
      <w:r>
        <w:rPr>
          <w:spacing w:val="-20"/>
        </w:rPr>
        <w:t> </w:t>
      </w:r>
      <w:r>
        <w:rPr/>
        <w:t>Asian and Pacific Islander clients, are often unsuccessful because they violate</w:t>
      </w:r>
      <w:r>
        <w:rPr>
          <w:spacing w:val="-22"/>
        </w:rPr>
        <w:t> </w:t>
      </w:r>
      <w:r>
        <w:rPr/>
        <w:t>Asian and Pacific</w:t>
      </w:r>
      <w:r>
        <w:rPr>
          <w:spacing w:val="-1"/>
        </w:rPr>
        <w:t> </w:t>
      </w:r>
      <w:r>
        <w:rPr/>
        <w:t>Islander cultural norms. By</w:t>
      </w:r>
      <w:r>
        <w:rPr>
          <w:spacing w:val="-21"/>
        </w:rPr>
        <w:t> </w:t>
      </w:r>
      <w:r>
        <w:rPr/>
        <w:t>American standards, Asians and Pacific Islanders tend to communicate more indirectly, often by telling stories and discussing what happened to themselves and others. Their feelings</w:t>
      </w:r>
      <w:r>
        <w:rPr>
          <w:spacing w:val="-5"/>
        </w:rPr>
        <w:t> </w:t>
      </w:r>
      <w:r>
        <w:rPr/>
        <w:t>and</w:t>
      </w:r>
      <w:r>
        <w:rPr>
          <w:spacing w:val="-4"/>
        </w:rPr>
        <w:t> </w:t>
      </w:r>
      <w:r>
        <w:rPr/>
        <w:t>opinions</w:t>
      </w:r>
      <w:r>
        <w:rPr>
          <w:spacing w:val="-4"/>
        </w:rPr>
        <w:t> </w:t>
      </w:r>
      <w:r>
        <w:rPr/>
        <w:t>are</w:t>
      </w:r>
      <w:r>
        <w:rPr>
          <w:spacing w:val="-5"/>
        </w:rPr>
        <w:t> </w:t>
      </w:r>
      <w:r>
        <w:rPr/>
        <w:t>implied</w:t>
      </w:r>
      <w:r>
        <w:rPr>
          <w:spacing w:val="-4"/>
        </w:rPr>
        <w:t> </w:t>
      </w:r>
      <w:r>
        <w:rPr/>
        <w:t>rather</w:t>
      </w:r>
      <w:r>
        <w:rPr>
          <w:spacing w:val="-4"/>
        </w:rPr>
        <w:t> </w:t>
      </w:r>
      <w:r>
        <w:rPr/>
        <w:t>than</w:t>
      </w:r>
      <w:r>
        <w:rPr>
          <w:spacing w:val="-4"/>
        </w:rPr>
        <w:t> </w:t>
      </w:r>
      <w:r>
        <w:rPr/>
        <w:t>directly</w:t>
      </w:r>
      <w:r>
        <w:rPr>
          <w:spacing w:val="-4"/>
        </w:rPr>
        <w:t> </w:t>
      </w:r>
      <w:r>
        <w:rPr/>
        <w:t>stated.</w:t>
      </w:r>
      <w:r>
        <w:rPr>
          <w:spacing w:val="-18"/>
        </w:rPr>
        <w:t> </w:t>
      </w:r>
      <w:r>
        <w:rPr/>
        <w:t>Asians</w:t>
      </w:r>
      <w:r>
        <w:rPr>
          <w:spacing w:val="-3"/>
        </w:rPr>
        <w:t> </w:t>
      </w:r>
      <w:r>
        <w:rPr/>
        <w:t>and</w:t>
      </w:r>
      <w:r>
        <w:rPr>
          <w:spacing w:val="-4"/>
        </w:rPr>
        <w:t> </w:t>
      </w:r>
      <w:r>
        <w:rPr/>
        <w:t>Pacific Islanders are also less likely to provide direct verbal expression of their feelings by using "I" statements than are members of other groups. Providers should expect to reveal personal information about themselves if they want clients to disclose their own problems.</w:t>
      </w:r>
      <w:r>
        <w:rPr>
          <w:spacing w:val="-31"/>
        </w:rPr>
        <w:t> </w:t>
      </w:r>
      <w:r>
        <w:rPr/>
        <w:t>Asians and Pacific Islanders may prefer to keep strong feelings under control so that they will not become disruptive.</w:t>
      </w:r>
    </w:p>
    <w:p>
      <w:pPr>
        <w:pStyle w:val="BodyText"/>
        <w:spacing w:line="280" w:lineRule="exact"/>
        <w:ind w:left="280"/>
      </w:pPr>
      <w:r>
        <w:rPr/>
        <w:t>Caring</w:t>
      </w:r>
      <w:r>
        <w:rPr>
          <w:spacing w:val="-4"/>
        </w:rPr>
        <w:t> </w:t>
      </w:r>
      <w:r>
        <w:rPr/>
        <w:t>is</w:t>
      </w:r>
      <w:r>
        <w:rPr>
          <w:spacing w:val="-1"/>
        </w:rPr>
        <w:t> </w:t>
      </w:r>
      <w:r>
        <w:rPr/>
        <w:t>often</w:t>
      </w:r>
      <w:r>
        <w:rPr>
          <w:spacing w:val="-1"/>
        </w:rPr>
        <w:t> </w:t>
      </w:r>
      <w:r>
        <w:rPr/>
        <w:t>demonstrated</w:t>
      </w:r>
      <w:r>
        <w:rPr>
          <w:spacing w:val="-2"/>
        </w:rPr>
        <w:t> </w:t>
      </w:r>
      <w:r>
        <w:rPr/>
        <w:t>by</w:t>
      </w:r>
      <w:r>
        <w:rPr>
          <w:spacing w:val="-1"/>
        </w:rPr>
        <w:t> </w:t>
      </w:r>
      <w:r>
        <w:rPr/>
        <w:t>physical</w:t>
      </w:r>
      <w:r>
        <w:rPr>
          <w:spacing w:val="-1"/>
        </w:rPr>
        <w:t> </w:t>
      </w:r>
      <w:r>
        <w:rPr/>
        <w:t>support</w:t>
      </w:r>
      <w:r>
        <w:rPr>
          <w:spacing w:val="-1"/>
        </w:rPr>
        <w:t> </w:t>
      </w:r>
      <w:r>
        <w:rPr/>
        <w:t>such</w:t>
      </w:r>
      <w:r>
        <w:rPr>
          <w:spacing w:val="-2"/>
        </w:rPr>
        <w:t> </w:t>
      </w:r>
      <w:r>
        <w:rPr/>
        <w:t>as</w:t>
      </w:r>
      <w:r>
        <w:rPr>
          <w:spacing w:val="-1"/>
        </w:rPr>
        <w:t> </w:t>
      </w:r>
      <w:r>
        <w:rPr/>
        <w:t>by</w:t>
      </w:r>
      <w:r>
        <w:rPr>
          <w:spacing w:val="-1"/>
        </w:rPr>
        <w:t> </w:t>
      </w:r>
      <w:r>
        <w:rPr/>
        <w:t>giving</w:t>
      </w:r>
      <w:r>
        <w:rPr>
          <w:spacing w:val="-1"/>
        </w:rPr>
        <w:t> </w:t>
      </w:r>
      <w:r>
        <w:rPr>
          <w:spacing w:val="-2"/>
        </w:rPr>
        <w:t>money,</w:t>
      </w:r>
    </w:p>
    <w:p>
      <w:pPr>
        <w:pStyle w:val="BodyText"/>
        <w:ind w:left="280" w:right="502"/>
      </w:pPr>
      <w:r>
        <w:rPr/>
        <w:t>cooking</w:t>
      </w:r>
      <w:r>
        <w:rPr>
          <w:spacing w:val="-4"/>
        </w:rPr>
        <w:t> </w:t>
      </w:r>
      <w:r>
        <w:rPr/>
        <w:t>favorite</w:t>
      </w:r>
      <w:r>
        <w:rPr>
          <w:spacing w:val="-5"/>
        </w:rPr>
        <w:t> </w:t>
      </w:r>
      <w:r>
        <w:rPr/>
        <w:t>foods,</w:t>
      </w:r>
      <w:r>
        <w:rPr>
          <w:spacing w:val="-4"/>
        </w:rPr>
        <w:t> </w:t>
      </w:r>
      <w:r>
        <w:rPr/>
        <w:t>or</w:t>
      </w:r>
      <w:r>
        <w:rPr>
          <w:spacing w:val="-4"/>
        </w:rPr>
        <w:t> </w:t>
      </w:r>
      <w:r>
        <w:rPr/>
        <w:t>giving</w:t>
      </w:r>
      <w:r>
        <w:rPr>
          <w:spacing w:val="-4"/>
        </w:rPr>
        <w:t> </w:t>
      </w:r>
      <w:r>
        <w:rPr/>
        <w:t>advice</w:t>
      </w:r>
      <w:r>
        <w:rPr>
          <w:spacing w:val="-5"/>
        </w:rPr>
        <w:t> </w:t>
      </w:r>
      <w:r>
        <w:rPr/>
        <w:t>rather</w:t>
      </w:r>
      <w:r>
        <w:rPr>
          <w:spacing w:val="-4"/>
        </w:rPr>
        <w:t> </w:t>
      </w:r>
      <w:r>
        <w:rPr/>
        <w:t>than</w:t>
      </w:r>
      <w:r>
        <w:rPr>
          <w:spacing w:val="-4"/>
        </w:rPr>
        <w:t> </w:t>
      </w:r>
      <w:r>
        <w:rPr/>
        <w:t>by</w:t>
      </w:r>
      <w:r>
        <w:rPr>
          <w:spacing w:val="-4"/>
        </w:rPr>
        <w:t> </w:t>
      </w:r>
      <w:r>
        <w:rPr/>
        <w:t>verbal</w:t>
      </w:r>
      <w:r>
        <w:rPr>
          <w:spacing w:val="-4"/>
        </w:rPr>
        <w:t> </w:t>
      </w:r>
      <w:r>
        <w:rPr/>
        <w:t>expression</w:t>
      </w:r>
      <w:r>
        <w:rPr>
          <w:spacing w:val="-4"/>
        </w:rPr>
        <w:t> </w:t>
      </w:r>
      <w:r>
        <w:rPr/>
        <w:t>or physical affection.</w:t>
      </w:r>
    </w:p>
    <w:p>
      <w:pPr>
        <w:pStyle w:val="BodyText"/>
        <w:spacing w:before="5"/>
        <w:rPr>
          <w:sz w:val="27"/>
        </w:rPr>
      </w:pPr>
    </w:p>
    <w:p>
      <w:pPr>
        <w:pStyle w:val="BodyText"/>
        <w:ind w:left="280" w:right="544"/>
      </w:pPr>
      <w:r>
        <w:rPr/>
        <w:t>A</w:t>
      </w:r>
      <w:r>
        <w:rPr>
          <w:spacing w:val="-26"/>
        </w:rPr>
        <w:t> </w:t>
      </w:r>
      <w:r>
        <w:rPr/>
        <w:t>problem-solving approach rather than an intrapsychic one is more effective with</w:t>
      </w:r>
      <w:r>
        <w:rPr>
          <w:spacing w:val="-34"/>
        </w:rPr>
        <w:t> </w:t>
      </w:r>
      <w:r>
        <w:rPr/>
        <w:t>Asian</w:t>
      </w:r>
      <w:r>
        <w:rPr>
          <w:spacing w:val="-6"/>
        </w:rPr>
        <w:t> </w:t>
      </w:r>
      <w:r>
        <w:rPr/>
        <w:t>and</w:t>
      </w:r>
      <w:r>
        <w:rPr>
          <w:spacing w:val="-9"/>
        </w:rPr>
        <w:t> </w:t>
      </w:r>
      <w:r>
        <w:rPr/>
        <w:t>Pacific</w:t>
      </w:r>
      <w:r>
        <w:rPr>
          <w:spacing w:val="-10"/>
        </w:rPr>
        <w:t> </w:t>
      </w:r>
      <w:r>
        <w:rPr/>
        <w:t>Islander</w:t>
      </w:r>
      <w:r>
        <w:rPr>
          <w:spacing w:val="-9"/>
        </w:rPr>
        <w:t> </w:t>
      </w:r>
      <w:r>
        <w:rPr/>
        <w:t>clients.</w:t>
      </w:r>
      <w:r>
        <w:rPr>
          <w:spacing w:val="-9"/>
        </w:rPr>
        <w:t> </w:t>
      </w:r>
      <w:r>
        <w:rPr/>
        <w:t>Problem-solving</w:t>
      </w:r>
      <w:r>
        <w:rPr>
          <w:spacing w:val="-9"/>
        </w:rPr>
        <w:t> </w:t>
      </w:r>
      <w:r>
        <w:rPr/>
        <w:t>enables</w:t>
      </w:r>
      <w:r>
        <w:rPr>
          <w:spacing w:val="-9"/>
        </w:rPr>
        <w:t> </w:t>
      </w:r>
      <w:r>
        <w:rPr/>
        <w:t>a</w:t>
      </w:r>
      <w:r>
        <w:rPr>
          <w:spacing w:val="-10"/>
        </w:rPr>
        <w:t> </w:t>
      </w:r>
      <w:r>
        <w:rPr/>
        <w:t>counselor</w:t>
      </w:r>
      <w:r>
        <w:rPr>
          <w:spacing w:val="-9"/>
        </w:rPr>
        <w:t> </w:t>
      </w:r>
      <w:r>
        <w:rPr/>
        <w:t>to provide information, educational materials, and referrals without probing for more personal information and pushing a client to express feelings. For</w:t>
      </w:r>
      <w:r>
        <w:rPr>
          <w:spacing w:val="-19"/>
        </w:rPr>
        <w:t> </w:t>
      </w:r>
      <w:r>
        <w:rPr/>
        <w:t>Asian and Pacific Islander clients with somatic complaints, suggest relaxation and breathing</w:t>
      </w:r>
      <w:r>
        <w:rPr>
          <w:spacing w:val="-1"/>
        </w:rPr>
        <w:t> </w:t>
      </w:r>
      <w:r>
        <w:rPr/>
        <w:t>techniques,</w:t>
      </w:r>
      <w:r>
        <w:rPr>
          <w:spacing w:val="-1"/>
        </w:rPr>
        <w:t> </w:t>
      </w:r>
      <w:r>
        <w:rPr/>
        <w:t>meditation,</w:t>
      </w:r>
      <w:r>
        <w:rPr>
          <w:spacing w:val="-1"/>
        </w:rPr>
        <w:t> </w:t>
      </w:r>
      <w:r>
        <w:rPr/>
        <w:t>qigong,</w:t>
      </w:r>
      <w:r>
        <w:rPr>
          <w:spacing w:val="-1"/>
        </w:rPr>
        <w:t> </w:t>
      </w:r>
      <w:r>
        <w:rPr/>
        <w:t>yoga,</w:t>
      </w:r>
      <w:r>
        <w:rPr>
          <w:spacing w:val="-1"/>
        </w:rPr>
        <w:t> </w:t>
      </w:r>
      <w:r>
        <w:rPr/>
        <w:t>massage,</w:t>
      </w:r>
      <w:r>
        <w:rPr>
          <w:spacing w:val="-1"/>
        </w:rPr>
        <w:t> </w:t>
      </w:r>
      <w:r>
        <w:rPr/>
        <w:t>acupuncture,</w:t>
      </w:r>
      <w:r>
        <w:rPr>
          <w:spacing w:val="-1"/>
        </w:rPr>
        <w:t> </w:t>
      </w:r>
      <w:r>
        <w:rPr/>
        <w:t>tai</w:t>
      </w:r>
      <w:r>
        <w:rPr>
          <w:spacing w:val="-1"/>
        </w:rPr>
        <w:t> </w:t>
      </w:r>
      <w:r>
        <w:rPr/>
        <w:t>chi, or biofeedback. It is generally not helpful to discuss underlying feelings because it is not only culturally unacceptable, but many</w:t>
      </w:r>
      <w:r>
        <w:rPr>
          <w:spacing w:val="-14"/>
        </w:rPr>
        <w:t> </w:t>
      </w:r>
      <w:r>
        <w:rPr/>
        <w:t>Asian and Pacific Islander clients do not see the emotional-physical connection. In problemsolving, providers should actively give suggestions and if necessary, be directive rather than let</w:t>
      </w:r>
      <w:r>
        <w:rPr>
          <w:spacing w:val="-15"/>
        </w:rPr>
        <w:t> </w:t>
      </w:r>
      <w:r>
        <w:rPr/>
        <w:t>Asian and Pacific Islander clients struggle to figure out what options are available to them.</w:t>
      </w:r>
    </w:p>
    <w:p>
      <w:pPr>
        <w:spacing w:after="0"/>
        <w:sectPr>
          <w:pgSz w:w="12240" w:h="15840"/>
          <w:pgMar w:header="0" w:footer="792" w:top="1260" w:bottom="980" w:left="1400" w:right="1180"/>
        </w:sectPr>
      </w:pPr>
    </w:p>
    <w:p>
      <w:pPr>
        <w:pStyle w:val="BodyText"/>
        <w:spacing w:before="66"/>
        <w:ind w:left="280" w:right="502"/>
      </w:pPr>
      <w:r>
        <w:rPr/>
        <w:t>Asking personal questions about substance abuse and sexual risk factors, especially early in the helping relationship, could be viewed as intrusive and disrespectful.</w:t>
      </w:r>
      <w:r>
        <w:rPr>
          <w:spacing w:val="-22"/>
        </w:rPr>
        <w:t> </w:t>
      </w:r>
      <w:r>
        <w:rPr/>
        <w:t>Asian</w:t>
      </w:r>
      <w:r>
        <w:rPr>
          <w:spacing w:val="-9"/>
        </w:rPr>
        <w:t> </w:t>
      </w:r>
      <w:r>
        <w:rPr/>
        <w:t>and</w:t>
      </w:r>
      <w:r>
        <w:rPr>
          <w:spacing w:val="-6"/>
        </w:rPr>
        <w:t> </w:t>
      </w:r>
      <w:r>
        <w:rPr/>
        <w:t>Pacific</w:t>
      </w:r>
      <w:r>
        <w:rPr>
          <w:spacing w:val="-10"/>
        </w:rPr>
        <w:t> </w:t>
      </w:r>
      <w:r>
        <w:rPr/>
        <w:t>Islander</w:t>
      </w:r>
      <w:r>
        <w:rPr>
          <w:spacing w:val="-9"/>
        </w:rPr>
        <w:t> </w:t>
      </w:r>
      <w:r>
        <w:rPr/>
        <w:t>clients</w:t>
      </w:r>
      <w:r>
        <w:rPr>
          <w:spacing w:val="-9"/>
        </w:rPr>
        <w:t> </w:t>
      </w:r>
      <w:r>
        <w:rPr/>
        <w:t>may</w:t>
      </w:r>
      <w:r>
        <w:rPr>
          <w:spacing w:val="-9"/>
        </w:rPr>
        <w:t> </w:t>
      </w:r>
      <w:r>
        <w:rPr/>
        <w:t>not</w:t>
      </w:r>
      <w:r>
        <w:rPr>
          <w:spacing w:val="-10"/>
        </w:rPr>
        <w:t> </w:t>
      </w:r>
      <w:r>
        <w:rPr/>
        <w:t>answer</w:t>
      </w:r>
      <w:r>
        <w:rPr>
          <w:spacing w:val="-9"/>
        </w:rPr>
        <w:t> </w:t>
      </w:r>
      <w:r>
        <w:rPr/>
        <w:t>truthfully,</w:t>
      </w:r>
      <w:r>
        <w:rPr>
          <w:spacing w:val="-9"/>
        </w:rPr>
        <w:t> </w:t>
      </w:r>
      <w:r>
        <w:rPr/>
        <w:t>if</w:t>
      </w:r>
      <w:r>
        <w:rPr>
          <w:spacing w:val="-9"/>
        </w:rPr>
        <w:t> </w:t>
      </w:r>
      <w:r>
        <w:rPr/>
        <w:t>at all, and may not return. It is best to start with the least intrusive or nonthreatening questions during the intake and explain why the information is needed. If clients seem uncomfortable with certain questions, ask them at a later date.</w:t>
      </w:r>
    </w:p>
    <w:p>
      <w:pPr>
        <w:pStyle w:val="BodyText"/>
        <w:spacing w:before="7"/>
        <w:rPr>
          <w:sz w:val="26"/>
        </w:rPr>
      </w:pPr>
    </w:p>
    <w:p>
      <w:pPr>
        <w:pStyle w:val="BodyText"/>
        <w:ind w:left="280" w:right="499"/>
      </w:pPr>
      <w:r>
        <w:rPr/>
        <w:t>Making</w:t>
      </w:r>
      <w:r>
        <w:rPr>
          <w:spacing w:val="-6"/>
        </w:rPr>
        <w:t> </w:t>
      </w:r>
      <w:r>
        <w:rPr/>
        <w:t>an</w:t>
      </w:r>
      <w:r>
        <w:rPr>
          <w:spacing w:val="-6"/>
        </w:rPr>
        <w:t> </w:t>
      </w:r>
      <w:r>
        <w:rPr/>
        <w:t>effort</w:t>
      </w:r>
      <w:r>
        <w:rPr>
          <w:spacing w:val="-7"/>
        </w:rPr>
        <w:t> </w:t>
      </w:r>
      <w:r>
        <w:rPr/>
        <w:t>to</w:t>
      </w:r>
      <w:r>
        <w:rPr>
          <w:spacing w:val="-6"/>
        </w:rPr>
        <w:t> </w:t>
      </w:r>
      <w:r>
        <w:rPr/>
        <w:t>connect</w:t>
      </w:r>
      <w:r>
        <w:rPr>
          <w:spacing w:val="-6"/>
        </w:rPr>
        <w:t> </w:t>
      </w:r>
      <w:r>
        <w:rPr/>
        <w:t>with</w:t>
      </w:r>
      <w:r>
        <w:rPr>
          <w:spacing w:val="-6"/>
        </w:rPr>
        <w:t> </w:t>
      </w:r>
      <w:r>
        <w:rPr/>
        <w:t>clients</w:t>
      </w:r>
      <w:r>
        <w:rPr>
          <w:spacing w:val="-6"/>
        </w:rPr>
        <w:t> </w:t>
      </w:r>
      <w:r>
        <w:rPr/>
        <w:t>outside</w:t>
      </w:r>
      <w:r>
        <w:rPr>
          <w:spacing w:val="-7"/>
        </w:rPr>
        <w:t> </w:t>
      </w:r>
      <w:r>
        <w:rPr/>
        <w:t>actual</w:t>
      </w:r>
      <w:r>
        <w:rPr>
          <w:spacing w:val="-6"/>
        </w:rPr>
        <w:t> </w:t>
      </w:r>
      <w:r>
        <w:rPr/>
        <w:t>treatment</w:t>
      </w:r>
      <w:r>
        <w:rPr>
          <w:spacing w:val="-7"/>
        </w:rPr>
        <w:t> </w:t>
      </w:r>
      <w:r>
        <w:rPr/>
        <w:t>appointments when</w:t>
      </w:r>
      <w:r>
        <w:rPr>
          <w:spacing w:val="-6"/>
        </w:rPr>
        <w:t> </w:t>
      </w:r>
      <w:r>
        <w:rPr/>
        <w:t>they</w:t>
      </w:r>
      <w:r>
        <w:rPr>
          <w:spacing w:val="-1"/>
        </w:rPr>
        <w:t> </w:t>
      </w:r>
      <w:r>
        <w:rPr/>
        <w:t>come</w:t>
      </w:r>
      <w:r>
        <w:rPr>
          <w:spacing w:val="-2"/>
        </w:rPr>
        <w:t> </w:t>
      </w:r>
      <w:r>
        <w:rPr/>
        <w:t>to</w:t>
      </w:r>
      <w:r>
        <w:rPr>
          <w:spacing w:val="-1"/>
        </w:rPr>
        <w:t> </w:t>
      </w:r>
      <w:r>
        <w:rPr/>
        <w:t>the</w:t>
      </w:r>
      <w:r>
        <w:rPr>
          <w:spacing w:val="-2"/>
        </w:rPr>
        <w:t> </w:t>
      </w:r>
      <w:r>
        <w:rPr/>
        <w:t>agency</w:t>
      </w:r>
      <w:r>
        <w:rPr>
          <w:spacing w:val="-1"/>
        </w:rPr>
        <w:t> </w:t>
      </w:r>
      <w:r>
        <w:rPr/>
        <w:t>for</w:t>
      </w:r>
      <w:r>
        <w:rPr>
          <w:spacing w:val="-1"/>
        </w:rPr>
        <w:t> </w:t>
      </w:r>
      <w:r>
        <w:rPr/>
        <w:t>other</w:t>
      </w:r>
      <w:r>
        <w:rPr>
          <w:spacing w:val="-1"/>
        </w:rPr>
        <w:t> </w:t>
      </w:r>
      <w:r>
        <w:rPr/>
        <w:t>activities</w:t>
      </w:r>
      <w:r>
        <w:rPr>
          <w:spacing w:val="-1"/>
        </w:rPr>
        <w:t> </w:t>
      </w:r>
      <w:r>
        <w:rPr/>
        <w:t>or</w:t>
      </w:r>
      <w:r>
        <w:rPr>
          <w:spacing w:val="-1"/>
        </w:rPr>
        <w:t> </w:t>
      </w:r>
      <w:r>
        <w:rPr/>
        <w:t>via</w:t>
      </w:r>
      <w:r>
        <w:rPr>
          <w:spacing w:val="-2"/>
        </w:rPr>
        <w:t> </w:t>
      </w:r>
      <w:r>
        <w:rPr/>
        <w:t>follow-up</w:t>
      </w:r>
      <w:r>
        <w:rPr>
          <w:spacing w:val="-1"/>
        </w:rPr>
        <w:t> </w:t>
      </w:r>
      <w:r>
        <w:rPr/>
        <w:t>calls</w:t>
      </w:r>
      <w:r>
        <w:rPr>
          <w:spacing w:val="-1"/>
        </w:rPr>
        <w:t> </w:t>
      </w:r>
      <w:r>
        <w:rPr/>
        <w:t>is</w:t>
      </w:r>
      <w:r>
        <w:rPr>
          <w:spacing w:val="-1"/>
        </w:rPr>
        <w:t> </w:t>
      </w:r>
      <w:r>
        <w:rPr/>
        <w:t>also helpful.</w:t>
      </w:r>
      <w:r>
        <w:rPr>
          <w:spacing w:val="-16"/>
        </w:rPr>
        <w:t> </w:t>
      </w:r>
      <w:r>
        <w:rPr/>
        <w:t>Asian and Pacific Islander clients may not initiate contact when they have</w:t>
      </w:r>
      <w:r>
        <w:rPr>
          <w:spacing w:val="-5"/>
        </w:rPr>
        <w:t> </w:t>
      </w:r>
      <w:r>
        <w:rPr/>
        <w:t>a</w:t>
      </w:r>
      <w:r>
        <w:rPr>
          <w:spacing w:val="-5"/>
        </w:rPr>
        <w:t> </w:t>
      </w:r>
      <w:r>
        <w:rPr/>
        <w:t>problem</w:t>
      </w:r>
      <w:r>
        <w:rPr>
          <w:spacing w:val="-4"/>
        </w:rPr>
        <w:t> </w:t>
      </w:r>
      <w:r>
        <w:rPr/>
        <w:t>because</w:t>
      </w:r>
      <w:r>
        <w:rPr>
          <w:spacing w:val="-5"/>
        </w:rPr>
        <w:t> </w:t>
      </w:r>
      <w:r>
        <w:rPr/>
        <w:t>of</w:t>
      </w:r>
      <w:r>
        <w:rPr>
          <w:spacing w:val="-4"/>
        </w:rPr>
        <w:t> </w:t>
      </w:r>
      <w:r>
        <w:rPr/>
        <w:t>cultural</w:t>
      </w:r>
      <w:r>
        <w:rPr>
          <w:spacing w:val="-4"/>
        </w:rPr>
        <w:t> </w:t>
      </w:r>
      <w:r>
        <w:rPr/>
        <w:t>tendencies</w:t>
      </w:r>
      <w:r>
        <w:rPr>
          <w:spacing w:val="-4"/>
        </w:rPr>
        <w:t> </w:t>
      </w:r>
      <w:r>
        <w:rPr/>
        <w:t>to</w:t>
      </w:r>
      <w:r>
        <w:rPr>
          <w:spacing w:val="-4"/>
        </w:rPr>
        <w:t> </w:t>
      </w:r>
      <w:r>
        <w:rPr/>
        <w:t>minimize</w:t>
      </w:r>
      <w:r>
        <w:rPr>
          <w:spacing w:val="-5"/>
        </w:rPr>
        <w:t> </w:t>
      </w:r>
      <w:r>
        <w:rPr/>
        <w:t>problems</w:t>
      </w:r>
      <w:r>
        <w:rPr>
          <w:spacing w:val="-4"/>
        </w:rPr>
        <w:t> </w:t>
      </w:r>
      <w:r>
        <w:rPr/>
        <w:t>to</w:t>
      </w:r>
      <w:r>
        <w:rPr>
          <w:spacing w:val="-4"/>
        </w:rPr>
        <w:t> </w:t>
      </w:r>
      <w:r>
        <w:rPr/>
        <w:t>reduce stigma and because they do not want to be intrusive and bothersome. In all interactions, it is helpful to minimize the stigma</w:t>
      </w:r>
      <w:r>
        <w:rPr>
          <w:spacing w:val="-6"/>
        </w:rPr>
        <w:t> </w:t>
      </w:r>
      <w:r>
        <w:rPr/>
        <w:t>Asian and Pacific Islander clients attach to their HIV/AIDS status and substance abuse disorders.</w:t>
      </w:r>
    </w:p>
    <w:p>
      <w:pPr>
        <w:pStyle w:val="BodyText"/>
        <w:spacing w:line="237" w:lineRule="auto"/>
        <w:ind w:left="280" w:right="502"/>
      </w:pPr>
      <w:r>
        <w:rPr/>
        <w:t>Counselors should not refer to themselves as HIV/AIDS, mental health, or alcohol and drug counselors unless they know the client is comfortable with this. These titles imply the client has an unacceptable condition and can increase</w:t>
      </w:r>
      <w:r>
        <w:rPr>
          <w:spacing w:val="-8"/>
        </w:rPr>
        <w:t> </w:t>
      </w:r>
      <w:r>
        <w:rPr/>
        <w:t>stigma.</w:t>
      </w:r>
      <w:r>
        <w:rPr>
          <w:spacing w:val="-7"/>
        </w:rPr>
        <w:t> </w:t>
      </w:r>
      <w:r>
        <w:rPr/>
        <w:t>Clients</w:t>
      </w:r>
      <w:r>
        <w:rPr>
          <w:spacing w:val="-7"/>
        </w:rPr>
        <w:t> </w:t>
      </w:r>
      <w:r>
        <w:rPr/>
        <w:t>may</w:t>
      </w:r>
      <w:r>
        <w:rPr>
          <w:spacing w:val="-4"/>
        </w:rPr>
        <w:t> </w:t>
      </w:r>
      <w:r>
        <w:rPr/>
        <w:t>be</w:t>
      </w:r>
      <w:r>
        <w:rPr>
          <w:spacing w:val="-5"/>
        </w:rPr>
        <w:t> </w:t>
      </w:r>
      <w:r>
        <w:rPr/>
        <w:t>more</w:t>
      </w:r>
      <w:r>
        <w:rPr>
          <w:spacing w:val="-5"/>
        </w:rPr>
        <w:t> </w:t>
      </w:r>
      <w:r>
        <w:rPr/>
        <w:t>receptive</w:t>
      </w:r>
      <w:r>
        <w:rPr>
          <w:spacing w:val="-5"/>
        </w:rPr>
        <w:t> </w:t>
      </w:r>
      <w:r>
        <w:rPr/>
        <w:t>to</w:t>
      </w:r>
      <w:r>
        <w:rPr>
          <w:spacing w:val="-4"/>
        </w:rPr>
        <w:t> </w:t>
      </w:r>
      <w:r>
        <w:rPr/>
        <w:t>treatment</w:t>
      </w:r>
      <w:r>
        <w:rPr>
          <w:spacing w:val="-4"/>
        </w:rPr>
        <w:t> </w:t>
      </w:r>
      <w:r>
        <w:rPr/>
        <w:t>for</w:t>
      </w:r>
      <w:r>
        <w:rPr>
          <w:spacing w:val="-4"/>
        </w:rPr>
        <w:t> </w:t>
      </w:r>
      <w:r>
        <w:rPr/>
        <w:t>HIV/AIDS</w:t>
      </w:r>
      <w:r>
        <w:rPr>
          <w:spacing w:val="-4"/>
        </w:rPr>
        <w:t> </w:t>
      </w:r>
      <w:r>
        <w:rPr/>
        <w:t>and substance abuse issues if they are combined with other, less stigmatized health </w:t>
      </w:r>
      <w:r>
        <w:rPr>
          <w:spacing w:val="-2"/>
        </w:rPr>
        <w:t>issues.</w:t>
      </w:r>
    </w:p>
    <w:p>
      <w:pPr>
        <w:pStyle w:val="BodyText"/>
        <w:spacing w:before="3"/>
        <w:rPr>
          <w:sz w:val="27"/>
        </w:rPr>
      </w:pPr>
    </w:p>
    <w:p>
      <w:pPr>
        <w:pStyle w:val="BodyText"/>
        <w:ind w:left="280" w:right="579"/>
      </w:pPr>
      <w:r>
        <w:rPr/>
        <w:t>Group interventions can be effective if everyone speaks the same language well enough and if the group is centered around an unstigmatized activity, social gathering, or education session. Providing refreshments also facilitates bonding.</w:t>
      </w:r>
      <w:r>
        <w:rPr>
          <w:spacing w:val="-8"/>
        </w:rPr>
        <w:t> </w:t>
      </w:r>
      <w:r>
        <w:rPr/>
        <w:t>Asian and Pacific Islander participants will look to a facilitator to provide direction and guidance. Rather than be assertive in talking,</w:t>
      </w:r>
      <w:r>
        <w:rPr>
          <w:spacing w:val="-28"/>
        </w:rPr>
        <w:t> </w:t>
      </w:r>
      <w:r>
        <w:rPr/>
        <w:t>Asian and Pacific</w:t>
      </w:r>
      <w:r>
        <w:rPr>
          <w:spacing w:val="-6"/>
        </w:rPr>
        <w:t> </w:t>
      </w:r>
      <w:r>
        <w:rPr/>
        <w:t>Islander</w:t>
      </w:r>
      <w:r>
        <w:rPr>
          <w:spacing w:val="-6"/>
        </w:rPr>
        <w:t> </w:t>
      </w:r>
      <w:r>
        <w:rPr/>
        <w:t>clients</w:t>
      </w:r>
      <w:r>
        <w:rPr>
          <w:spacing w:val="-6"/>
        </w:rPr>
        <w:t> </w:t>
      </w:r>
      <w:r>
        <w:rPr/>
        <w:t>will</w:t>
      </w:r>
      <w:r>
        <w:rPr>
          <w:spacing w:val="-6"/>
        </w:rPr>
        <w:t> </w:t>
      </w:r>
      <w:r>
        <w:rPr/>
        <w:t>more</w:t>
      </w:r>
      <w:r>
        <w:rPr>
          <w:spacing w:val="-6"/>
        </w:rPr>
        <w:t> </w:t>
      </w:r>
      <w:r>
        <w:rPr/>
        <w:t>likely</w:t>
      </w:r>
      <w:r>
        <w:rPr>
          <w:spacing w:val="-6"/>
        </w:rPr>
        <w:t> </w:t>
      </w:r>
      <w:r>
        <w:rPr/>
        <w:t>wait</w:t>
      </w:r>
      <w:r>
        <w:rPr>
          <w:spacing w:val="-6"/>
        </w:rPr>
        <w:t> </w:t>
      </w:r>
      <w:r>
        <w:rPr/>
        <w:t>for</w:t>
      </w:r>
      <w:r>
        <w:rPr>
          <w:spacing w:val="-6"/>
        </w:rPr>
        <w:t> </w:t>
      </w:r>
      <w:r>
        <w:rPr/>
        <w:t>a</w:t>
      </w:r>
      <w:r>
        <w:rPr>
          <w:spacing w:val="-4"/>
        </w:rPr>
        <w:t> </w:t>
      </w:r>
      <w:r>
        <w:rPr/>
        <w:t>space</w:t>
      </w:r>
      <w:r>
        <w:rPr>
          <w:spacing w:val="-4"/>
        </w:rPr>
        <w:t> </w:t>
      </w:r>
      <w:r>
        <w:rPr/>
        <w:t>to</w:t>
      </w:r>
      <w:r>
        <w:rPr>
          <w:spacing w:val="-3"/>
        </w:rPr>
        <w:t> </w:t>
      </w:r>
      <w:r>
        <w:rPr/>
        <w:t>open</w:t>
      </w:r>
      <w:r>
        <w:rPr>
          <w:spacing w:val="-3"/>
        </w:rPr>
        <w:t> </w:t>
      </w:r>
      <w:r>
        <w:rPr/>
        <w:t>up</w:t>
      </w:r>
      <w:r>
        <w:rPr>
          <w:spacing w:val="-3"/>
        </w:rPr>
        <w:t> </w:t>
      </w:r>
      <w:r>
        <w:rPr/>
        <w:t>for</w:t>
      </w:r>
      <w:r>
        <w:rPr>
          <w:spacing w:val="-3"/>
        </w:rPr>
        <w:t> </w:t>
      </w:r>
      <w:r>
        <w:rPr/>
        <w:t>them</w:t>
      </w:r>
      <w:r>
        <w:rPr>
          <w:spacing w:val="-3"/>
        </w:rPr>
        <w:t> </w:t>
      </w:r>
      <w:r>
        <w:rPr/>
        <w:t>to speak and consequently will rarely have the opportunity to do so when in a group with predominately non-Asians and Pacific Islanders. Should this happen,</w:t>
      </w:r>
      <w:r>
        <w:rPr>
          <w:spacing w:val="-4"/>
        </w:rPr>
        <w:t> </w:t>
      </w:r>
      <w:r>
        <w:rPr/>
        <w:t>the</w:t>
      </w:r>
      <w:r>
        <w:rPr>
          <w:spacing w:val="-4"/>
        </w:rPr>
        <w:t> </w:t>
      </w:r>
      <w:r>
        <w:rPr/>
        <w:t>group</w:t>
      </w:r>
      <w:r>
        <w:rPr>
          <w:spacing w:val="-3"/>
        </w:rPr>
        <w:t> </w:t>
      </w:r>
      <w:r>
        <w:rPr/>
        <w:t>leader</w:t>
      </w:r>
      <w:r>
        <w:rPr>
          <w:spacing w:val="-3"/>
        </w:rPr>
        <w:t> </w:t>
      </w:r>
      <w:r>
        <w:rPr/>
        <w:t>needs</w:t>
      </w:r>
      <w:r>
        <w:rPr>
          <w:spacing w:val="-3"/>
        </w:rPr>
        <w:t> </w:t>
      </w:r>
      <w:r>
        <w:rPr/>
        <w:t>to</w:t>
      </w:r>
      <w:r>
        <w:rPr>
          <w:spacing w:val="-3"/>
        </w:rPr>
        <w:t> </w:t>
      </w:r>
      <w:r>
        <w:rPr/>
        <w:t>facilitate</w:t>
      </w:r>
      <w:r>
        <w:rPr>
          <w:spacing w:val="-4"/>
        </w:rPr>
        <w:t> </w:t>
      </w:r>
      <w:r>
        <w:rPr/>
        <w:t>opportunities</w:t>
      </w:r>
      <w:r>
        <w:rPr>
          <w:spacing w:val="-3"/>
        </w:rPr>
        <w:t> </w:t>
      </w:r>
      <w:r>
        <w:rPr/>
        <w:t>for</w:t>
      </w:r>
      <w:r>
        <w:rPr>
          <w:spacing w:val="-27"/>
        </w:rPr>
        <w:t> </w:t>
      </w:r>
      <w:r>
        <w:rPr/>
        <w:t>Asian</w:t>
      </w:r>
      <w:r>
        <w:rPr>
          <w:spacing w:val="-3"/>
        </w:rPr>
        <w:t> </w:t>
      </w:r>
      <w:r>
        <w:rPr/>
        <w:t>and</w:t>
      </w:r>
      <w:r>
        <w:rPr>
          <w:spacing w:val="-3"/>
        </w:rPr>
        <w:t> </w:t>
      </w:r>
      <w:r>
        <w:rPr/>
        <w:t>Pacific Islander clients to participate.</w:t>
      </w:r>
    </w:p>
    <w:p>
      <w:pPr>
        <w:pStyle w:val="BodyText"/>
        <w:spacing w:before="1"/>
        <w:rPr>
          <w:sz w:val="26"/>
        </w:rPr>
      </w:pPr>
    </w:p>
    <w:p>
      <w:pPr>
        <w:pStyle w:val="Heading2"/>
        <w:spacing w:before="1"/>
      </w:pPr>
      <w:r>
        <w:rPr/>
        <w:t>Native</w:t>
      </w:r>
      <w:r>
        <w:rPr>
          <w:spacing w:val="-34"/>
        </w:rPr>
        <w:t> </w:t>
      </w:r>
      <w:r>
        <w:rPr>
          <w:spacing w:val="-2"/>
        </w:rPr>
        <w:t>Americans</w:t>
      </w:r>
    </w:p>
    <w:p>
      <w:pPr>
        <w:pStyle w:val="BodyText"/>
        <w:spacing w:before="7"/>
        <w:rPr>
          <w:b/>
          <w:sz w:val="27"/>
        </w:rPr>
      </w:pPr>
    </w:p>
    <w:p>
      <w:pPr>
        <w:pStyle w:val="BodyText"/>
        <w:ind w:left="280" w:right="628"/>
      </w:pPr>
      <w:r>
        <w:rPr/>
        <w:t>The</w:t>
      </w:r>
      <w:r>
        <w:rPr>
          <w:spacing w:val="-11"/>
        </w:rPr>
        <w:t> </w:t>
      </w:r>
      <w:r>
        <w:rPr/>
        <w:t>CDC</w:t>
      </w:r>
      <w:r>
        <w:rPr>
          <w:spacing w:val="-7"/>
        </w:rPr>
        <w:t> </w:t>
      </w:r>
      <w:r>
        <w:rPr/>
        <w:t>found</w:t>
      </w:r>
      <w:r>
        <w:rPr>
          <w:spacing w:val="-7"/>
        </w:rPr>
        <w:t> </w:t>
      </w:r>
      <w:r>
        <w:rPr/>
        <w:t>that</w:t>
      </w:r>
      <w:r>
        <w:rPr>
          <w:spacing w:val="-7"/>
        </w:rPr>
        <w:t> </w:t>
      </w:r>
      <w:r>
        <w:rPr/>
        <w:t>Native</w:t>
      </w:r>
      <w:r>
        <w:rPr>
          <w:spacing w:val="-33"/>
        </w:rPr>
        <w:t> </w:t>
      </w:r>
      <w:r>
        <w:rPr/>
        <w:t>Americans</w:t>
      </w:r>
      <w:r>
        <w:rPr>
          <w:spacing w:val="-7"/>
        </w:rPr>
        <w:t> </w:t>
      </w:r>
      <w:r>
        <w:rPr/>
        <w:t>have</w:t>
      </w:r>
      <w:r>
        <w:rPr>
          <w:spacing w:val="-8"/>
        </w:rPr>
        <w:t> </w:t>
      </w:r>
      <w:r>
        <w:rPr/>
        <w:t>high</w:t>
      </w:r>
      <w:r>
        <w:rPr>
          <w:spacing w:val="-7"/>
        </w:rPr>
        <w:t> </w:t>
      </w:r>
      <w:r>
        <w:rPr/>
        <w:t>rates</w:t>
      </w:r>
      <w:r>
        <w:rPr>
          <w:spacing w:val="-7"/>
        </w:rPr>
        <w:t> </w:t>
      </w:r>
      <w:r>
        <w:rPr/>
        <w:t>of</w:t>
      </w:r>
      <w:r>
        <w:rPr>
          <w:spacing w:val="-7"/>
        </w:rPr>
        <w:t> </w:t>
      </w:r>
      <w:r>
        <w:rPr/>
        <w:t>STDs</w:t>
      </w:r>
      <w:r>
        <w:rPr>
          <w:spacing w:val="-7"/>
        </w:rPr>
        <w:t> </w:t>
      </w:r>
      <w:r>
        <w:rPr/>
        <w:t>and</w:t>
      </w:r>
      <w:r>
        <w:rPr>
          <w:spacing w:val="-7"/>
        </w:rPr>
        <w:t> </w:t>
      </w:r>
      <w:r>
        <w:rPr/>
        <w:t>substance abuse, which in turn raise their risk of HIV/AIDS. They also lack access to diagnosis and treatment. Gay men and substance abusers run the highest risk of HIV/AIDS among Native</w:t>
      </w:r>
      <w:r>
        <w:rPr>
          <w:spacing w:val="-13"/>
        </w:rPr>
        <w:t> </w:t>
      </w:r>
      <w:r>
        <w:rPr/>
        <w:t>Americans and</w:t>
      </w:r>
      <w:r>
        <w:rPr>
          <w:spacing w:val="-13"/>
        </w:rPr>
        <w:t> </w:t>
      </w:r>
      <w:r>
        <w:rPr/>
        <w:t>Alaskan Natives, just as they do among white Americans.</w:t>
      </w:r>
    </w:p>
    <w:p>
      <w:pPr>
        <w:spacing w:after="0"/>
        <w:sectPr>
          <w:pgSz w:w="12240" w:h="15840"/>
          <w:pgMar w:header="0" w:footer="792" w:top="1580" w:bottom="980" w:left="1400" w:right="1180"/>
        </w:sectPr>
      </w:pPr>
    </w:p>
    <w:p>
      <w:pPr>
        <w:pStyle w:val="BodyText"/>
        <w:spacing w:before="66"/>
        <w:ind w:left="280" w:right="502"/>
      </w:pPr>
      <w:r>
        <w:rPr/>
        <w:t>The combination of high rates of cofactors for HIV/AIDS, limited access to health care, lack of information and education about HIV/AIDS issues, substantial</w:t>
      </w:r>
      <w:r>
        <w:rPr>
          <w:spacing w:val="-13"/>
        </w:rPr>
        <w:t> </w:t>
      </w:r>
      <w:r>
        <w:rPr/>
        <w:t>numbers</w:t>
      </w:r>
      <w:r>
        <w:rPr>
          <w:spacing w:val="-7"/>
        </w:rPr>
        <w:t> </w:t>
      </w:r>
      <w:r>
        <w:rPr/>
        <w:t>of</w:t>
      </w:r>
      <w:r>
        <w:rPr>
          <w:spacing w:val="-8"/>
        </w:rPr>
        <w:t> </w:t>
      </w:r>
      <w:r>
        <w:rPr/>
        <w:t>Native</w:t>
      </w:r>
      <w:r>
        <w:rPr>
          <w:spacing w:val="-18"/>
        </w:rPr>
        <w:t> </w:t>
      </w:r>
      <w:r>
        <w:rPr/>
        <w:t>Americans</w:t>
      </w:r>
      <w:r>
        <w:rPr>
          <w:spacing w:val="-17"/>
        </w:rPr>
        <w:t> </w:t>
      </w:r>
      <w:r>
        <w:rPr/>
        <w:t>who</w:t>
      </w:r>
      <w:r>
        <w:rPr>
          <w:spacing w:val="-14"/>
        </w:rPr>
        <w:t> </w:t>
      </w:r>
      <w:r>
        <w:rPr/>
        <w:t>are</w:t>
      </w:r>
      <w:r>
        <w:rPr>
          <w:spacing w:val="-16"/>
        </w:rPr>
        <w:t> </w:t>
      </w:r>
      <w:r>
        <w:rPr/>
        <w:t>already</w:t>
      </w:r>
      <w:r>
        <w:rPr>
          <w:spacing w:val="-14"/>
        </w:rPr>
        <w:t> </w:t>
      </w:r>
      <w:r>
        <w:rPr/>
        <w:t>infected</w:t>
      </w:r>
      <w:r>
        <w:rPr>
          <w:spacing w:val="-15"/>
        </w:rPr>
        <w:t> </w:t>
      </w:r>
      <w:r>
        <w:rPr/>
        <w:t>with</w:t>
      </w:r>
      <w:r>
        <w:rPr>
          <w:spacing w:val="-15"/>
        </w:rPr>
        <w:t> </w:t>
      </w:r>
      <w:r>
        <w:rPr/>
        <w:t>HIV, and</w:t>
      </w:r>
      <w:r>
        <w:rPr>
          <w:spacing w:val="-10"/>
        </w:rPr>
        <w:t> </w:t>
      </w:r>
      <w:r>
        <w:rPr/>
        <w:t>the</w:t>
      </w:r>
      <w:r>
        <w:rPr>
          <w:spacing w:val="-11"/>
        </w:rPr>
        <w:t> </w:t>
      </w:r>
      <w:r>
        <w:rPr/>
        <w:t>flow</w:t>
      </w:r>
      <w:r>
        <w:rPr>
          <w:spacing w:val="-9"/>
        </w:rPr>
        <w:t> </w:t>
      </w:r>
      <w:r>
        <w:rPr/>
        <w:t>of</w:t>
      </w:r>
      <w:r>
        <w:rPr>
          <w:spacing w:val="-9"/>
        </w:rPr>
        <w:t> </w:t>
      </w:r>
      <w:r>
        <w:rPr/>
        <w:t>Native</w:t>
      </w:r>
      <w:r>
        <w:rPr>
          <w:spacing w:val="-33"/>
        </w:rPr>
        <w:t> </w:t>
      </w:r>
      <w:r>
        <w:rPr/>
        <w:t>Americans</w:t>
      </w:r>
      <w:r>
        <w:rPr>
          <w:spacing w:val="-9"/>
        </w:rPr>
        <w:t> </w:t>
      </w:r>
      <w:r>
        <w:rPr/>
        <w:t>between</w:t>
      </w:r>
      <w:r>
        <w:rPr>
          <w:spacing w:val="-2"/>
        </w:rPr>
        <w:t> </w:t>
      </w:r>
      <w:r>
        <w:rPr/>
        <w:t>urban</w:t>
      </w:r>
      <w:r>
        <w:rPr>
          <w:spacing w:val="-2"/>
        </w:rPr>
        <w:t> </w:t>
      </w:r>
      <w:r>
        <w:rPr/>
        <w:t>centers</w:t>
      </w:r>
      <w:r>
        <w:rPr>
          <w:spacing w:val="-2"/>
        </w:rPr>
        <w:t> </w:t>
      </w:r>
      <w:r>
        <w:rPr/>
        <w:t>and</w:t>
      </w:r>
      <w:r>
        <w:rPr>
          <w:spacing w:val="-2"/>
        </w:rPr>
        <w:t> </w:t>
      </w:r>
      <w:r>
        <w:rPr/>
        <w:t>reservations</w:t>
      </w:r>
      <w:r>
        <w:rPr>
          <w:spacing w:val="-2"/>
        </w:rPr>
        <w:t> </w:t>
      </w:r>
      <w:r>
        <w:rPr/>
        <w:t>all lead to an HIV/AIDS crisis for Native</w:t>
      </w:r>
      <w:r>
        <w:rPr>
          <w:spacing w:val="-12"/>
        </w:rPr>
        <w:t> </w:t>
      </w:r>
      <w:r>
        <w:rPr/>
        <w:t>American communities.</w:t>
      </w:r>
    </w:p>
    <w:p>
      <w:pPr>
        <w:pStyle w:val="BodyText"/>
        <w:spacing w:before="11"/>
        <w:rPr>
          <w:sz w:val="26"/>
        </w:rPr>
      </w:pPr>
    </w:p>
    <w:p>
      <w:pPr>
        <w:pStyle w:val="BodyText"/>
        <w:ind w:left="280" w:right="502"/>
      </w:pPr>
      <w:r>
        <w:rPr/>
        <w:t>Limited treatment services for HIV-infected substance abusers exist on and outside tribal lands. In 1991, the</w:t>
      </w:r>
      <w:r>
        <w:rPr>
          <w:spacing w:val="-12"/>
        </w:rPr>
        <w:t> </w:t>
      </w:r>
      <w:r>
        <w:rPr/>
        <w:t>American Indian Community House, which ministers to the health, social service, and cultural needs of Native</w:t>
      </w:r>
      <w:r>
        <w:rPr>
          <w:spacing w:val="-26"/>
        </w:rPr>
        <w:t> </w:t>
      </w:r>
      <w:r>
        <w:rPr/>
        <w:t>Americans in the New</w:t>
      </w:r>
      <w:r>
        <w:rPr>
          <w:spacing w:val="-19"/>
        </w:rPr>
        <w:t> </w:t>
      </w:r>
      <w:r>
        <w:rPr/>
        <w:t>York City area, created the HIV/AIDS Project, the first Native American program east of the</w:t>
      </w:r>
      <w:r>
        <w:rPr>
          <w:spacing w:val="-1"/>
        </w:rPr>
        <w:t> </w:t>
      </w:r>
      <w:r>
        <w:rPr/>
        <w:t>Mississippi</w:t>
      </w:r>
      <w:r>
        <w:rPr>
          <w:spacing w:val="-1"/>
        </w:rPr>
        <w:t> </w:t>
      </w:r>
      <w:r>
        <w:rPr/>
        <w:t>River to provide culturally sensitive legal services, HIV/AIDS treatment information, emergency assistance, and prevention education. The Friendship House</w:t>
      </w:r>
      <w:r>
        <w:rPr>
          <w:spacing w:val="-9"/>
        </w:rPr>
        <w:t> </w:t>
      </w:r>
      <w:r>
        <w:rPr/>
        <w:t>Association of</w:t>
      </w:r>
      <w:r>
        <w:rPr>
          <w:spacing w:val="-9"/>
        </w:rPr>
        <w:t> </w:t>
      </w:r>
      <w:r>
        <w:rPr/>
        <w:t>American Indians in</w:t>
      </w:r>
      <w:r>
        <w:rPr>
          <w:spacing w:val="-4"/>
        </w:rPr>
        <w:t> </w:t>
      </w:r>
      <w:r>
        <w:rPr/>
        <w:t>San</w:t>
      </w:r>
      <w:r>
        <w:rPr>
          <w:spacing w:val="-4"/>
        </w:rPr>
        <w:t> </w:t>
      </w:r>
      <w:r>
        <w:rPr/>
        <w:t>Francisco</w:t>
      </w:r>
      <w:r>
        <w:rPr>
          <w:spacing w:val="-4"/>
        </w:rPr>
        <w:t> </w:t>
      </w:r>
      <w:r>
        <w:rPr/>
        <w:t>provides</w:t>
      </w:r>
      <w:r>
        <w:rPr>
          <w:spacing w:val="-4"/>
        </w:rPr>
        <w:t> </w:t>
      </w:r>
      <w:r>
        <w:rPr/>
        <w:t>another</w:t>
      </w:r>
      <w:r>
        <w:rPr>
          <w:spacing w:val="-4"/>
        </w:rPr>
        <w:t> </w:t>
      </w:r>
      <w:r>
        <w:rPr/>
        <w:t>example</w:t>
      </w:r>
      <w:r>
        <w:rPr>
          <w:spacing w:val="-5"/>
        </w:rPr>
        <w:t> </w:t>
      </w:r>
      <w:r>
        <w:rPr/>
        <w:t>of</w:t>
      </w:r>
      <w:r>
        <w:rPr>
          <w:spacing w:val="-4"/>
        </w:rPr>
        <w:t> </w:t>
      </w:r>
      <w:r>
        <w:rPr/>
        <w:t>treatment</w:t>
      </w:r>
      <w:r>
        <w:rPr>
          <w:spacing w:val="-4"/>
        </w:rPr>
        <w:t> </w:t>
      </w:r>
      <w:r>
        <w:rPr/>
        <w:t>(drop-in</w:t>
      </w:r>
      <w:r>
        <w:rPr>
          <w:spacing w:val="-4"/>
        </w:rPr>
        <w:t> </w:t>
      </w:r>
      <w:r>
        <w:rPr/>
        <w:t>centers).</w:t>
      </w:r>
      <w:r>
        <w:rPr>
          <w:spacing w:val="-10"/>
        </w:rPr>
        <w:t> </w:t>
      </w:r>
      <w:r>
        <w:rPr/>
        <w:t>This program provides comprehensive treatment to Native</w:t>
      </w:r>
      <w:r>
        <w:rPr>
          <w:spacing w:val="-6"/>
        </w:rPr>
        <w:t> </w:t>
      </w:r>
      <w:r>
        <w:rPr/>
        <w:t>Americans living with HIV/AIDS as well as treatment for substance dependency. Services target the gay, lesbian, and bisexual communities. HIV/AIDS is presently underreported for Native</w:t>
      </w:r>
      <w:r>
        <w:rPr>
          <w:spacing w:val="-10"/>
        </w:rPr>
        <w:t> </w:t>
      </w:r>
      <w:r>
        <w:rPr/>
        <w:t>Americans and is</w:t>
      </w:r>
    </w:p>
    <w:p>
      <w:pPr>
        <w:pStyle w:val="BodyText"/>
        <w:spacing w:line="297" w:lineRule="exact"/>
        <w:ind w:left="280"/>
      </w:pPr>
      <w:r>
        <w:rPr/>
        <w:t>based</w:t>
      </w:r>
      <w:r>
        <w:rPr>
          <w:spacing w:val="-4"/>
        </w:rPr>
        <w:t> </w:t>
      </w:r>
      <w:r>
        <w:rPr/>
        <w:t>on</w:t>
      </w:r>
      <w:r>
        <w:rPr>
          <w:spacing w:val="-1"/>
        </w:rPr>
        <w:t> </w:t>
      </w:r>
      <w:r>
        <w:rPr/>
        <w:t>the</w:t>
      </w:r>
      <w:r>
        <w:rPr>
          <w:spacing w:val="-3"/>
        </w:rPr>
        <w:t> </w:t>
      </w:r>
      <w:r>
        <w:rPr/>
        <w:t>high</w:t>
      </w:r>
      <w:r>
        <w:rPr>
          <w:spacing w:val="-1"/>
        </w:rPr>
        <w:t> </w:t>
      </w:r>
      <w:r>
        <w:rPr/>
        <w:t>incidence</w:t>
      </w:r>
      <w:r>
        <w:rPr>
          <w:spacing w:val="-2"/>
        </w:rPr>
        <w:t> </w:t>
      </w:r>
      <w:r>
        <w:rPr/>
        <w:t>of</w:t>
      </w:r>
      <w:r>
        <w:rPr>
          <w:spacing w:val="-2"/>
        </w:rPr>
        <w:t> </w:t>
      </w:r>
      <w:r>
        <w:rPr/>
        <w:t>sexually</w:t>
      </w:r>
      <w:r>
        <w:rPr>
          <w:spacing w:val="-1"/>
        </w:rPr>
        <w:t> </w:t>
      </w:r>
      <w:r>
        <w:rPr/>
        <w:t>transmitted</w:t>
      </w:r>
      <w:r>
        <w:rPr>
          <w:spacing w:val="-1"/>
        </w:rPr>
        <w:t> </w:t>
      </w:r>
      <w:r>
        <w:rPr/>
        <w:t>diseases</w:t>
      </w:r>
      <w:r>
        <w:rPr>
          <w:spacing w:val="-2"/>
        </w:rPr>
        <w:t> </w:t>
      </w:r>
      <w:r>
        <w:rPr/>
        <w:t>(STDs)</w:t>
      </w:r>
      <w:r>
        <w:rPr>
          <w:spacing w:val="-1"/>
        </w:rPr>
        <w:t> </w:t>
      </w:r>
      <w:r>
        <w:rPr/>
        <w:t>in</w:t>
      </w:r>
      <w:r>
        <w:rPr>
          <w:spacing w:val="-1"/>
        </w:rPr>
        <w:t> </w:t>
      </w:r>
      <w:r>
        <w:rPr>
          <w:spacing w:val="-2"/>
        </w:rPr>
        <w:t>general,</w:t>
      </w:r>
    </w:p>
    <w:p>
      <w:pPr>
        <w:pStyle w:val="BodyText"/>
        <w:ind w:left="280" w:right="796"/>
      </w:pPr>
      <w:r>
        <w:rPr/>
        <w:t>and</w:t>
      </w:r>
      <w:r>
        <w:rPr>
          <w:spacing w:val="-3"/>
        </w:rPr>
        <w:t> </w:t>
      </w:r>
      <w:r>
        <w:rPr/>
        <w:t>thus</w:t>
      </w:r>
      <w:r>
        <w:rPr>
          <w:spacing w:val="-3"/>
        </w:rPr>
        <w:t> </w:t>
      </w:r>
      <w:r>
        <w:rPr/>
        <w:t>substance</w:t>
      </w:r>
      <w:r>
        <w:rPr>
          <w:spacing w:val="-10"/>
        </w:rPr>
        <w:t> </w:t>
      </w:r>
      <w:r>
        <w:rPr/>
        <w:t>abuse</w:t>
      </w:r>
      <w:r>
        <w:rPr>
          <w:spacing w:val="-10"/>
        </w:rPr>
        <w:t> </w:t>
      </w:r>
      <w:r>
        <w:rPr/>
        <w:t>treatment</w:t>
      </w:r>
      <w:r>
        <w:rPr>
          <w:spacing w:val="-11"/>
        </w:rPr>
        <w:t> </w:t>
      </w:r>
      <w:r>
        <w:rPr/>
        <w:t>centers</w:t>
      </w:r>
      <w:r>
        <w:rPr>
          <w:spacing w:val="-9"/>
        </w:rPr>
        <w:t> </w:t>
      </w:r>
      <w:r>
        <w:rPr/>
        <w:t>will</w:t>
      </w:r>
      <w:r>
        <w:rPr>
          <w:spacing w:val="-10"/>
        </w:rPr>
        <w:t> </w:t>
      </w:r>
      <w:r>
        <w:rPr/>
        <w:t>be</w:t>
      </w:r>
      <w:r>
        <w:rPr>
          <w:spacing w:val="-11"/>
        </w:rPr>
        <w:t> </w:t>
      </w:r>
      <w:r>
        <w:rPr/>
        <w:t>faced</w:t>
      </w:r>
      <w:r>
        <w:rPr>
          <w:spacing w:val="-9"/>
        </w:rPr>
        <w:t> </w:t>
      </w:r>
      <w:r>
        <w:rPr/>
        <w:t>with</w:t>
      </w:r>
      <w:r>
        <w:rPr>
          <w:spacing w:val="-9"/>
        </w:rPr>
        <w:t> </w:t>
      </w:r>
      <w:r>
        <w:rPr/>
        <w:t>more</w:t>
      </w:r>
      <w:r>
        <w:rPr>
          <w:spacing w:val="-11"/>
        </w:rPr>
        <w:t> </w:t>
      </w:r>
      <w:r>
        <w:rPr/>
        <w:t>and</w:t>
      </w:r>
      <w:r>
        <w:rPr>
          <w:spacing w:val="-9"/>
        </w:rPr>
        <w:t> </w:t>
      </w:r>
      <w:r>
        <w:rPr/>
        <w:t>more HIV-infected Native Americans.</w:t>
      </w:r>
    </w:p>
    <w:p>
      <w:pPr>
        <w:pStyle w:val="BodyText"/>
        <w:spacing w:before="4"/>
        <w:rPr>
          <w:sz w:val="27"/>
        </w:rPr>
      </w:pPr>
    </w:p>
    <w:p>
      <w:pPr>
        <w:pStyle w:val="Heading2"/>
        <w:spacing w:before="1"/>
      </w:pPr>
      <w:r>
        <w:rPr/>
        <w:t>Clients</w:t>
      </w:r>
      <w:r>
        <w:rPr>
          <w:spacing w:val="-9"/>
        </w:rPr>
        <w:t> </w:t>
      </w:r>
      <w:r>
        <w:rPr/>
        <w:t>involved</w:t>
      </w:r>
      <w:r>
        <w:rPr>
          <w:spacing w:val="-3"/>
        </w:rPr>
        <w:t> </w:t>
      </w:r>
      <w:r>
        <w:rPr/>
        <w:t>with</w:t>
      </w:r>
      <w:r>
        <w:rPr>
          <w:spacing w:val="-5"/>
        </w:rPr>
        <w:t> </w:t>
      </w:r>
      <w:r>
        <w:rPr/>
        <w:t>the</w:t>
      </w:r>
      <w:r>
        <w:rPr>
          <w:spacing w:val="-4"/>
        </w:rPr>
        <w:t> </w:t>
      </w:r>
      <w:r>
        <w:rPr/>
        <w:t>criminal</w:t>
      </w:r>
      <w:r>
        <w:rPr>
          <w:spacing w:val="-5"/>
        </w:rPr>
        <w:t> </w:t>
      </w:r>
      <w:r>
        <w:rPr/>
        <w:t>justice</w:t>
      </w:r>
      <w:r>
        <w:rPr>
          <w:spacing w:val="-4"/>
        </w:rPr>
        <w:t> </w:t>
      </w:r>
      <w:r>
        <w:rPr>
          <w:spacing w:val="-2"/>
        </w:rPr>
        <w:t>system</w:t>
      </w:r>
    </w:p>
    <w:p>
      <w:pPr>
        <w:pStyle w:val="BodyText"/>
        <w:spacing w:before="7"/>
        <w:rPr>
          <w:b/>
          <w:sz w:val="27"/>
        </w:rPr>
      </w:pPr>
    </w:p>
    <w:p>
      <w:pPr>
        <w:pStyle w:val="BodyText"/>
        <w:ind w:left="280" w:right="715"/>
      </w:pPr>
      <w:r>
        <w:rPr/>
        <w:t>Many persons with substance abuse disorders receive treatment only after arrest</w:t>
      </w:r>
      <w:r>
        <w:rPr>
          <w:spacing w:val="-3"/>
        </w:rPr>
        <w:t> </w:t>
      </w:r>
      <w:r>
        <w:rPr/>
        <w:t>and</w:t>
      </w:r>
      <w:r>
        <w:rPr>
          <w:spacing w:val="-3"/>
        </w:rPr>
        <w:t> </w:t>
      </w:r>
      <w:r>
        <w:rPr/>
        <w:t>are</w:t>
      </w:r>
      <w:r>
        <w:rPr>
          <w:spacing w:val="-4"/>
        </w:rPr>
        <w:t> </w:t>
      </w:r>
      <w:r>
        <w:rPr/>
        <w:t>offered</w:t>
      </w:r>
      <w:r>
        <w:rPr>
          <w:spacing w:val="-3"/>
        </w:rPr>
        <w:t> </w:t>
      </w:r>
      <w:r>
        <w:rPr/>
        <w:t>treatment</w:t>
      </w:r>
      <w:r>
        <w:rPr>
          <w:spacing w:val="-3"/>
        </w:rPr>
        <w:t> </w:t>
      </w:r>
      <w:r>
        <w:rPr/>
        <w:t>as</w:t>
      </w:r>
      <w:r>
        <w:rPr>
          <w:spacing w:val="-3"/>
        </w:rPr>
        <w:t> </w:t>
      </w:r>
      <w:r>
        <w:rPr/>
        <w:t>a</w:t>
      </w:r>
      <w:r>
        <w:rPr>
          <w:spacing w:val="-4"/>
        </w:rPr>
        <w:t> </w:t>
      </w:r>
      <w:r>
        <w:rPr/>
        <w:t>diversionary</w:t>
      </w:r>
      <w:r>
        <w:rPr>
          <w:spacing w:val="-3"/>
        </w:rPr>
        <w:t> </w:t>
      </w:r>
      <w:r>
        <w:rPr/>
        <w:t>service</w:t>
      </w:r>
      <w:r>
        <w:rPr>
          <w:spacing w:val="-4"/>
        </w:rPr>
        <w:t> </w:t>
      </w:r>
      <w:r>
        <w:rPr/>
        <w:t>or</w:t>
      </w:r>
      <w:r>
        <w:rPr>
          <w:spacing w:val="-3"/>
        </w:rPr>
        <w:t> </w:t>
      </w:r>
      <w:r>
        <w:rPr/>
        <w:t>receive</w:t>
      </w:r>
      <w:r>
        <w:rPr>
          <w:spacing w:val="-4"/>
        </w:rPr>
        <w:t> </w:t>
      </w:r>
      <w:r>
        <w:rPr/>
        <w:t>treatment while they are in jail or prison.</w:t>
      </w:r>
      <w:r>
        <w:rPr>
          <w:spacing w:val="-7"/>
        </w:rPr>
        <w:t> </w:t>
      </w:r>
      <w:r>
        <w:rPr/>
        <w:t>The racial and class patterns characterizing arrest, adjudication, and sentencing in the United States skew more white Americans</w:t>
      </w:r>
      <w:r>
        <w:rPr>
          <w:spacing w:val="-3"/>
        </w:rPr>
        <w:t> </w:t>
      </w:r>
      <w:r>
        <w:rPr/>
        <w:t>(regardless</w:t>
      </w:r>
      <w:r>
        <w:rPr>
          <w:spacing w:val="-3"/>
        </w:rPr>
        <w:t> </w:t>
      </w:r>
      <w:r>
        <w:rPr/>
        <w:t>of</w:t>
      </w:r>
      <w:r>
        <w:rPr>
          <w:spacing w:val="-3"/>
        </w:rPr>
        <w:t> </w:t>
      </w:r>
      <w:r>
        <w:rPr/>
        <w:t>social</w:t>
      </w:r>
      <w:r>
        <w:rPr>
          <w:spacing w:val="-3"/>
        </w:rPr>
        <w:t> </w:t>
      </w:r>
      <w:r>
        <w:rPr/>
        <w:t>class</w:t>
      </w:r>
      <w:r>
        <w:rPr>
          <w:spacing w:val="-3"/>
        </w:rPr>
        <w:t> </w:t>
      </w:r>
      <w:r>
        <w:rPr/>
        <w:t>or</w:t>
      </w:r>
      <w:r>
        <w:rPr>
          <w:spacing w:val="-3"/>
        </w:rPr>
        <w:t> </w:t>
      </w:r>
      <w:r>
        <w:rPr/>
        <w:t>income)</w:t>
      </w:r>
      <w:r>
        <w:rPr>
          <w:spacing w:val="-3"/>
        </w:rPr>
        <w:t> </w:t>
      </w:r>
      <w:r>
        <w:rPr/>
        <w:t>to</w:t>
      </w:r>
      <w:r>
        <w:rPr>
          <w:spacing w:val="-3"/>
        </w:rPr>
        <w:t> </w:t>
      </w:r>
      <w:r>
        <w:rPr/>
        <w:t>treatment</w:t>
      </w:r>
      <w:r>
        <w:rPr>
          <w:spacing w:val="-3"/>
        </w:rPr>
        <w:t> </w:t>
      </w:r>
      <w:r>
        <w:rPr/>
        <w:t>trajectories</w:t>
      </w:r>
      <w:r>
        <w:rPr>
          <w:spacing w:val="-3"/>
        </w:rPr>
        <w:t> </w:t>
      </w:r>
      <w:r>
        <w:rPr/>
        <w:t>and more</w:t>
      </w:r>
      <w:r>
        <w:rPr>
          <w:spacing w:val="-7"/>
        </w:rPr>
        <w:t> </w:t>
      </w:r>
      <w:r>
        <w:rPr/>
        <w:t>persons</w:t>
      </w:r>
      <w:r>
        <w:rPr>
          <w:spacing w:val="-4"/>
        </w:rPr>
        <w:t> </w:t>
      </w:r>
      <w:r>
        <w:rPr/>
        <w:t>of</w:t>
      </w:r>
      <w:r>
        <w:rPr>
          <w:spacing w:val="-4"/>
        </w:rPr>
        <w:t> </w:t>
      </w:r>
      <w:r>
        <w:rPr/>
        <w:t>color</w:t>
      </w:r>
      <w:r>
        <w:rPr>
          <w:spacing w:val="-4"/>
        </w:rPr>
        <w:t> </w:t>
      </w:r>
      <w:r>
        <w:rPr/>
        <w:t>to</w:t>
      </w:r>
      <w:r>
        <w:rPr>
          <w:spacing w:val="-4"/>
        </w:rPr>
        <w:t> </w:t>
      </w:r>
      <w:r>
        <w:rPr/>
        <w:t>jail</w:t>
      </w:r>
      <w:r>
        <w:rPr>
          <w:spacing w:val="-4"/>
        </w:rPr>
        <w:t> </w:t>
      </w:r>
      <w:r>
        <w:rPr/>
        <w:t>or</w:t>
      </w:r>
      <w:r>
        <w:rPr>
          <w:spacing w:val="-4"/>
        </w:rPr>
        <w:t> </w:t>
      </w:r>
      <w:r>
        <w:rPr/>
        <w:t>prison</w:t>
      </w:r>
      <w:r>
        <w:rPr>
          <w:spacing w:val="-4"/>
        </w:rPr>
        <w:t> </w:t>
      </w:r>
      <w:r>
        <w:rPr/>
        <w:t>trajectories.</w:t>
      </w:r>
      <w:r>
        <w:rPr>
          <w:spacing w:val="-23"/>
        </w:rPr>
        <w:t> </w:t>
      </w:r>
      <w:r>
        <w:rPr/>
        <w:t>Access</w:t>
      </w:r>
      <w:r>
        <w:rPr>
          <w:spacing w:val="-4"/>
        </w:rPr>
        <w:t> </w:t>
      </w:r>
      <w:r>
        <w:rPr/>
        <w:t>to</w:t>
      </w:r>
      <w:r>
        <w:rPr>
          <w:spacing w:val="-4"/>
        </w:rPr>
        <w:t> </w:t>
      </w:r>
      <w:r>
        <w:rPr/>
        <w:t>treatment</w:t>
      </w:r>
      <w:r>
        <w:rPr>
          <w:spacing w:val="-4"/>
        </w:rPr>
        <w:t> </w:t>
      </w:r>
      <w:r>
        <w:rPr/>
        <w:t>within the criminal justice system is thus highly associated with ethnicity and social class. Only a handful of correctional facilities in the United States have instituted some type of therapeutic community treatment program in prison with a parallel transitional program for new parolees.</w:t>
      </w:r>
      <w:r>
        <w:rPr>
          <w:spacing w:val="40"/>
        </w:rPr>
        <w:t> </w:t>
      </w:r>
      <w:r>
        <w:rPr/>
        <w:t>Unfortunately, many HIV-infected individuals who are in treatment for HIV find it impossible to remain on their medication schedules after being arrested because their medications are often confiscated for days at a time.</w:t>
      </w:r>
    </w:p>
    <w:p>
      <w:pPr>
        <w:pStyle w:val="BodyText"/>
        <w:spacing w:before="7"/>
        <w:rPr>
          <w:sz w:val="25"/>
        </w:rPr>
      </w:pPr>
    </w:p>
    <w:p>
      <w:pPr>
        <w:pStyle w:val="BodyText"/>
        <w:ind w:left="280" w:right="502"/>
      </w:pPr>
      <w:r>
        <w:rPr/>
        <w:t>Risky behaviors that lead to HIV</w:t>
      </w:r>
      <w:r>
        <w:rPr>
          <w:spacing w:val="-3"/>
        </w:rPr>
        <w:t> </w:t>
      </w:r>
      <w:r>
        <w:rPr/>
        <w:t>infection are not eliminated when a person is imprisoned</w:t>
      </w:r>
      <w:r>
        <w:rPr>
          <w:spacing w:val="-6"/>
        </w:rPr>
        <w:t> </w:t>
      </w:r>
      <w:r>
        <w:rPr/>
        <w:t>but</w:t>
      </w:r>
      <w:r>
        <w:rPr>
          <w:spacing w:val="-6"/>
        </w:rPr>
        <w:t> </w:t>
      </w:r>
      <w:r>
        <w:rPr/>
        <w:t>may</w:t>
      </w:r>
      <w:r>
        <w:rPr>
          <w:spacing w:val="-6"/>
        </w:rPr>
        <w:t> </w:t>
      </w:r>
      <w:r>
        <w:rPr/>
        <w:t>actually</w:t>
      </w:r>
      <w:r>
        <w:rPr>
          <w:spacing w:val="-6"/>
        </w:rPr>
        <w:t> </w:t>
      </w:r>
      <w:r>
        <w:rPr/>
        <w:t>increase</w:t>
      </w:r>
      <w:r>
        <w:rPr>
          <w:spacing w:val="-7"/>
        </w:rPr>
        <w:t> </w:t>
      </w:r>
      <w:r>
        <w:rPr/>
        <w:t>in</w:t>
      </w:r>
      <w:r>
        <w:rPr>
          <w:spacing w:val="-6"/>
        </w:rPr>
        <w:t> </w:t>
      </w:r>
      <w:r>
        <w:rPr/>
        <w:t>frequency</w:t>
      </w:r>
      <w:r>
        <w:rPr>
          <w:spacing w:val="-6"/>
        </w:rPr>
        <w:t> </w:t>
      </w:r>
      <w:r>
        <w:rPr/>
        <w:t>and</w:t>
      </w:r>
      <w:r>
        <w:rPr>
          <w:spacing w:val="-6"/>
        </w:rPr>
        <w:t> </w:t>
      </w:r>
      <w:r>
        <w:rPr/>
        <w:t>availability.</w:t>
      </w:r>
      <w:r>
        <w:rPr>
          <w:spacing w:val="-11"/>
        </w:rPr>
        <w:t> </w:t>
      </w:r>
      <w:r>
        <w:rPr/>
        <w:t>This</w:t>
      </w:r>
      <w:r>
        <w:rPr>
          <w:spacing w:val="-6"/>
        </w:rPr>
        <w:t> </w:t>
      </w:r>
      <w:r>
        <w:rPr/>
        <w:t>occurs for several reasons. First, drug offenses count for the single largest number of Federal and State crimes for which people are arrested and incarcerated</w:t>
      </w:r>
    </w:p>
    <w:p>
      <w:pPr>
        <w:spacing w:after="0"/>
        <w:sectPr>
          <w:pgSz w:w="12240" w:h="15840"/>
          <w:pgMar w:header="0" w:footer="792" w:top="1260" w:bottom="980" w:left="1400" w:right="1180"/>
        </w:sectPr>
      </w:pPr>
    </w:p>
    <w:p>
      <w:pPr>
        <w:pStyle w:val="BodyText"/>
        <w:spacing w:before="66"/>
        <w:ind w:left="280" w:right="502"/>
      </w:pPr>
      <w:r>
        <w:rPr/>
        <w:t>Injection drug users face particular risk in prison settings as clean syringes are all</w:t>
      </w:r>
      <w:r>
        <w:rPr>
          <w:spacing w:val="-6"/>
        </w:rPr>
        <w:t> </w:t>
      </w:r>
      <w:r>
        <w:rPr/>
        <w:t>but</w:t>
      </w:r>
      <w:r>
        <w:rPr>
          <w:spacing w:val="-4"/>
        </w:rPr>
        <w:t> </w:t>
      </w:r>
      <w:r>
        <w:rPr/>
        <w:t>impossible</w:t>
      </w:r>
      <w:r>
        <w:rPr>
          <w:spacing w:val="-5"/>
        </w:rPr>
        <w:t> </w:t>
      </w:r>
      <w:r>
        <w:rPr/>
        <w:t>to</w:t>
      </w:r>
      <w:r>
        <w:rPr>
          <w:spacing w:val="-4"/>
        </w:rPr>
        <w:t> </w:t>
      </w:r>
      <w:r>
        <w:rPr/>
        <w:t>secure.</w:t>
      </w:r>
      <w:r>
        <w:rPr>
          <w:spacing w:val="-29"/>
        </w:rPr>
        <w:t> </w:t>
      </w:r>
      <w:r>
        <w:rPr/>
        <w:t>Although</w:t>
      </w:r>
      <w:r>
        <w:rPr>
          <w:spacing w:val="-4"/>
        </w:rPr>
        <w:t> </w:t>
      </w:r>
      <w:r>
        <w:rPr/>
        <w:t>syringes</w:t>
      </w:r>
      <w:r>
        <w:rPr>
          <w:spacing w:val="-4"/>
        </w:rPr>
        <w:t> </w:t>
      </w:r>
      <w:r>
        <w:rPr/>
        <w:t>are</w:t>
      </w:r>
      <w:r>
        <w:rPr>
          <w:spacing w:val="-5"/>
        </w:rPr>
        <w:t> </w:t>
      </w:r>
      <w:r>
        <w:rPr/>
        <w:t>not</w:t>
      </w:r>
      <w:r>
        <w:rPr>
          <w:spacing w:val="-4"/>
        </w:rPr>
        <w:t> </w:t>
      </w:r>
      <w:r>
        <w:rPr/>
        <w:t>officially</w:t>
      </w:r>
      <w:r>
        <w:rPr>
          <w:spacing w:val="-4"/>
        </w:rPr>
        <w:t> </w:t>
      </w:r>
      <w:r>
        <w:rPr/>
        <w:t>available,</w:t>
      </w:r>
      <w:r>
        <w:rPr>
          <w:spacing w:val="-4"/>
        </w:rPr>
        <w:t> </w:t>
      </w:r>
      <w:r>
        <w:rPr/>
        <w:t>they can be acquired through illicit prison markets at exorbitant prices ($34 in one Canadian facility) or through risky exchange of syringes for unprotected sex.</w:t>
      </w:r>
    </w:p>
    <w:p>
      <w:pPr>
        <w:pStyle w:val="BodyText"/>
        <w:spacing w:line="237" w:lineRule="auto"/>
        <w:ind w:left="280" w:right="502"/>
      </w:pPr>
      <w:r>
        <w:rPr/>
        <w:t>Syringes are typically not new or sterile.</w:t>
      </w:r>
      <w:r>
        <w:rPr>
          <w:spacing w:val="-19"/>
        </w:rPr>
        <w:t> </w:t>
      </w:r>
      <w:r>
        <w:rPr/>
        <w:t>As a result, injection drug users have as</w:t>
      </w:r>
      <w:r>
        <w:rPr>
          <w:spacing w:val="-4"/>
        </w:rPr>
        <w:t> </w:t>
      </w:r>
      <w:r>
        <w:rPr/>
        <w:t>their</w:t>
      </w:r>
      <w:r>
        <w:rPr>
          <w:spacing w:val="-4"/>
        </w:rPr>
        <w:t> </w:t>
      </w:r>
      <w:r>
        <w:rPr/>
        <w:t>only</w:t>
      </w:r>
      <w:r>
        <w:rPr>
          <w:spacing w:val="-4"/>
        </w:rPr>
        <w:t> </w:t>
      </w:r>
      <w:r>
        <w:rPr/>
        <w:t>recourse</w:t>
      </w:r>
      <w:r>
        <w:rPr>
          <w:spacing w:val="-5"/>
        </w:rPr>
        <w:t> </w:t>
      </w:r>
      <w:r>
        <w:rPr/>
        <w:t>used</w:t>
      </w:r>
      <w:r>
        <w:rPr>
          <w:spacing w:val="-4"/>
        </w:rPr>
        <w:t> </w:t>
      </w:r>
      <w:r>
        <w:rPr/>
        <w:t>or</w:t>
      </w:r>
      <w:r>
        <w:rPr>
          <w:spacing w:val="-4"/>
        </w:rPr>
        <w:t> </w:t>
      </w:r>
      <w:r>
        <w:rPr/>
        <w:t>shared</w:t>
      </w:r>
      <w:r>
        <w:rPr>
          <w:spacing w:val="-4"/>
        </w:rPr>
        <w:t> </w:t>
      </w:r>
      <w:r>
        <w:rPr/>
        <w:t>syringes,</w:t>
      </w:r>
      <w:r>
        <w:rPr>
          <w:spacing w:val="-4"/>
        </w:rPr>
        <w:t> </w:t>
      </w:r>
      <w:r>
        <w:rPr/>
        <w:t>which</w:t>
      </w:r>
      <w:r>
        <w:rPr>
          <w:spacing w:val="-4"/>
        </w:rPr>
        <w:t> </w:t>
      </w:r>
      <w:r>
        <w:rPr/>
        <w:t>increases</w:t>
      </w:r>
      <w:r>
        <w:rPr>
          <w:spacing w:val="-4"/>
        </w:rPr>
        <w:t> </w:t>
      </w:r>
      <w:r>
        <w:rPr/>
        <w:t>their</w:t>
      </w:r>
      <w:r>
        <w:rPr>
          <w:spacing w:val="-4"/>
        </w:rPr>
        <w:t> </w:t>
      </w:r>
      <w:r>
        <w:rPr/>
        <w:t>chances</w:t>
      </w:r>
      <w:r>
        <w:rPr>
          <w:spacing w:val="-4"/>
        </w:rPr>
        <w:t> </w:t>
      </w:r>
      <w:r>
        <w:rPr/>
        <w:t>of HIV infection. Tattooing is also common practice among prisoners and is another source of HIV</w:t>
      </w:r>
      <w:r>
        <w:rPr>
          <w:spacing w:val="-8"/>
        </w:rPr>
        <w:t> </w:t>
      </w:r>
      <w:r>
        <w:rPr/>
        <w:t>infection.</w:t>
      </w:r>
      <w:r>
        <w:rPr>
          <w:spacing w:val="-8"/>
        </w:rPr>
        <w:t> </w:t>
      </w:r>
      <w:r>
        <w:rPr/>
        <w:t>To date, there have been at least two documented cases of HIV/AIDS related to tattooing with unsterile</w:t>
      </w:r>
      <w:r>
        <w:rPr>
          <w:spacing w:val="-1"/>
        </w:rPr>
        <w:t> </w:t>
      </w:r>
      <w:r>
        <w:rPr/>
        <w:t>needles in a correctional facility.</w:t>
      </w:r>
    </w:p>
    <w:p>
      <w:pPr>
        <w:pStyle w:val="BodyText"/>
        <w:spacing w:before="9"/>
        <w:rPr>
          <w:sz w:val="27"/>
        </w:rPr>
      </w:pPr>
    </w:p>
    <w:p>
      <w:pPr>
        <w:pStyle w:val="BodyText"/>
        <w:ind w:left="280" w:right="502"/>
      </w:pPr>
      <w:r>
        <w:rPr/>
        <w:t>Only six prison systems in the United States distribute condoms: Mississippi, New</w:t>
      </w:r>
      <w:r>
        <w:rPr>
          <w:spacing w:val="-23"/>
        </w:rPr>
        <w:t> </w:t>
      </w:r>
      <w:r>
        <w:rPr/>
        <w:t>York City, Philadelphia, San Francisco, Vermont, and the District of Columbia. Distribution strategies range from receipt of a single condom per medical visit to receipt of multiple condoms during HIV/AIDS education workshops.</w:t>
      </w:r>
      <w:r>
        <w:rPr>
          <w:spacing w:val="-3"/>
        </w:rPr>
        <w:t> </w:t>
      </w:r>
      <w:r>
        <w:rPr/>
        <w:t>Furthermore,</w:t>
      </w:r>
      <w:r>
        <w:rPr>
          <w:spacing w:val="-3"/>
        </w:rPr>
        <w:t> </w:t>
      </w:r>
      <w:r>
        <w:rPr/>
        <w:t>condom</w:t>
      </w:r>
      <w:r>
        <w:rPr>
          <w:spacing w:val="-3"/>
        </w:rPr>
        <w:t> </w:t>
      </w:r>
      <w:r>
        <w:rPr/>
        <w:t>distribution</w:t>
      </w:r>
      <w:r>
        <w:rPr>
          <w:spacing w:val="-3"/>
        </w:rPr>
        <w:t> </w:t>
      </w:r>
      <w:r>
        <w:rPr/>
        <w:t>programs</w:t>
      </w:r>
      <w:r>
        <w:rPr>
          <w:spacing w:val="-8"/>
        </w:rPr>
        <w:t> </w:t>
      </w:r>
      <w:r>
        <w:rPr/>
        <w:t>send</w:t>
      </w:r>
      <w:r>
        <w:rPr>
          <w:spacing w:val="-7"/>
        </w:rPr>
        <w:t> </w:t>
      </w:r>
      <w:r>
        <w:rPr/>
        <w:t>mixed</w:t>
      </w:r>
      <w:r>
        <w:rPr>
          <w:spacing w:val="-7"/>
        </w:rPr>
        <w:t> </w:t>
      </w:r>
      <w:r>
        <w:rPr/>
        <w:t>messages because</w:t>
      </w:r>
      <w:r>
        <w:rPr>
          <w:spacing w:val="-8"/>
        </w:rPr>
        <w:t> </w:t>
      </w:r>
      <w:r>
        <w:rPr/>
        <w:t>sexual</w:t>
      </w:r>
      <w:r>
        <w:rPr>
          <w:spacing w:val="-8"/>
        </w:rPr>
        <w:t> </w:t>
      </w:r>
      <w:r>
        <w:rPr/>
        <w:t>activity</w:t>
      </w:r>
      <w:r>
        <w:rPr>
          <w:spacing w:val="-8"/>
        </w:rPr>
        <w:t> </w:t>
      </w:r>
      <w:r>
        <w:rPr/>
        <w:t>in</w:t>
      </w:r>
      <w:r>
        <w:rPr>
          <w:spacing w:val="-8"/>
        </w:rPr>
        <w:t> </w:t>
      </w:r>
      <w:r>
        <w:rPr/>
        <w:t>some</w:t>
      </w:r>
      <w:r>
        <w:rPr>
          <w:spacing w:val="-8"/>
        </w:rPr>
        <w:t> </w:t>
      </w:r>
      <w:r>
        <w:rPr/>
        <w:t>facilities</w:t>
      </w:r>
      <w:r>
        <w:rPr>
          <w:spacing w:val="-8"/>
        </w:rPr>
        <w:t> </w:t>
      </w:r>
      <w:r>
        <w:rPr/>
        <w:t>is</w:t>
      </w:r>
      <w:r>
        <w:rPr>
          <w:spacing w:val="-8"/>
        </w:rPr>
        <w:t> </w:t>
      </w:r>
      <w:r>
        <w:rPr/>
        <w:t>illegal</w:t>
      </w:r>
      <w:r>
        <w:rPr>
          <w:spacing w:val="-8"/>
        </w:rPr>
        <w:t> </w:t>
      </w:r>
      <w:r>
        <w:rPr/>
        <w:t>and</w:t>
      </w:r>
      <w:r>
        <w:rPr>
          <w:spacing w:val="-8"/>
        </w:rPr>
        <w:t> </w:t>
      </w:r>
      <w:r>
        <w:rPr/>
        <w:t>a</w:t>
      </w:r>
      <w:r>
        <w:rPr>
          <w:spacing w:val="-5"/>
        </w:rPr>
        <w:t> </w:t>
      </w:r>
      <w:r>
        <w:rPr/>
        <w:t>punishable</w:t>
      </w:r>
      <w:r>
        <w:rPr>
          <w:spacing w:val="-5"/>
        </w:rPr>
        <w:t> </w:t>
      </w:r>
      <w:r>
        <w:rPr/>
        <w:t>offense.</w:t>
      </w:r>
      <w:r>
        <w:rPr>
          <w:spacing w:val="-4"/>
        </w:rPr>
        <w:t> </w:t>
      </w:r>
      <w:r>
        <w:rPr/>
        <w:t>In other facilities, correctional medical and social service staff may advocate condom availability while administration and security officers oppose it.</w:t>
      </w:r>
    </w:p>
    <w:p>
      <w:pPr>
        <w:pStyle w:val="BodyText"/>
        <w:spacing w:before="5"/>
        <w:rPr>
          <w:sz w:val="26"/>
        </w:rPr>
      </w:pPr>
    </w:p>
    <w:p>
      <w:pPr>
        <w:pStyle w:val="BodyText"/>
        <w:ind w:left="280" w:right="544"/>
      </w:pPr>
      <w:r>
        <w:rPr/>
        <w:t>Sixteen prison systems mandate HIV</w:t>
      </w:r>
      <w:r>
        <w:rPr>
          <w:spacing w:val="-3"/>
        </w:rPr>
        <w:t> </w:t>
      </w:r>
      <w:r>
        <w:rPr/>
        <w:t>testing, and although 77 percent make testing available to inmates on request, few inmates request it for several reasons. First, confidentiality of results is not guaranteed. Second, mandatory testing</w:t>
      </w:r>
      <w:r>
        <w:rPr>
          <w:spacing w:val="-3"/>
        </w:rPr>
        <w:t> </w:t>
      </w:r>
      <w:r>
        <w:rPr/>
        <w:t>may</w:t>
      </w:r>
      <w:r>
        <w:rPr>
          <w:spacing w:val="-3"/>
        </w:rPr>
        <w:t> </w:t>
      </w:r>
      <w:r>
        <w:rPr/>
        <w:t>result</w:t>
      </w:r>
      <w:r>
        <w:rPr>
          <w:spacing w:val="-3"/>
        </w:rPr>
        <w:t> </w:t>
      </w:r>
      <w:r>
        <w:rPr/>
        <w:t>in</w:t>
      </w:r>
      <w:r>
        <w:rPr>
          <w:spacing w:val="-3"/>
        </w:rPr>
        <w:t> </w:t>
      </w:r>
      <w:r>
        <w:rPr/>
        <w:t>the</w:t>
      </w:r>
      <w:r>
        <w:rPr>
          <w:spacing w:val="-4"/>
        </w:rPr>
        <w:t> </w:t>
      </w:r>
      <w:r>
        <w:rPr/>
        <w:t>segregation</w:t>
      </w:r>
      <w:r>
        <w:rPr>
          <w:spacing w:val="-3"/>
        </w:rPr>
        <w:t> </w:t>
      </w:r>
      <w:r>
        <w:rPr/>
        <w:t>of</w:t>
      </w:r>
      <w:r>
        <w:rPr>
          <w:spacing w:val="-3"/>
        </w:rPr>
        <w:t> </w:t>
      </w:r>
      <w:r>
        <w:rPr/>
        <w:t>those</w:t>
      </w:r>
      <w:r>
        <w:rPr>
          <w:spacing w:val="-4"/>
        </w:rPr>
        <w:t> </w:t>
      </w:r>
      <w:r>
        <w:rPr/>
        <w:t>who</w:t>
      </w:r>
      <w:r>
        <w:rPr>
          <w:spacing w:val="-3"/>
        </w:rPr>
        <w:t> </w:t>
      </w:r>
      <w:r>
        <w:rPr/>
        <w:t>test</w:t>
      </w:r>
      <w:r>
        <w:rPr>
          <w:spacing w:val="-3"/>
        </w:rPr>
        <w:t> </w:t>
      </w:r>
      <w:r>
        <w:rPr/>
        <w:t>positive</w:t>
      </w:r>
      <w:r>
        <w:rPr>
          <w:spacing w:val="-4"/>
        </w:rPr>
        <w:t> </w:t>
      </w:r>
      <w:r>
        <w:rPr/>
        <w:t>from</w:t>
      </w:r>
      <w:r>
        <w:rPr>
          <w:spacing w:val="-3"/>
        </w:rPr>
        <w:t> </w:t>
      </w:r>
      <w:r>
        <w:rPr/>
        <w:t>those</w:t>
      </w:r>
      <w:r>
        <w:rPr>
          <w:spacing w:val="-4"/>
        </w:rPr>
        <w:t> </w:t>
      </w:r>
      <w:r>
        <w:rPr/>
        <w:t>who test negative or who do not test. Third, prisoners do not wish to acknowledge activities that could subject them to further sanctions. Fourth, confidentiality on</w:t>
      </w:r>
      <w:r>
        <w:rPr>
          <w:spacing w:val="-4"/>
        </w:rPr>
        <w:t> </w:t>
      </w:r>
      <w:r>
        <w:rPr/>
        <w:t>discharge</w:t>
      </w:r>
      <w:r>
        <w:rPr>
          <w:spacing w:val="-5"/>
        </w:rPr>
        <w:t> </w:t>
      </w:r>
      <w:r>
        <w:rPr/>
        <w:t>is</w:t>
      </w:r>
      <w:r>
        <w:rPr>
          <w:spacing w:val="-4"/>
        </w:rPr>
        <w:t> </w:t>
      </w:r>
      <w:r>
        <w:rPr/>
        <w:t>eliminated</w:t>
      </w:r>
      <w:r>
        <w:rPr>
          <w:spacing w:val="-4"/>
        </w:rPr>
        <w:t> </w:t>
      </w:r>
      <w:r>
        <w:rPr/>
        <w:t>because</w:t>
      </w:r>
      <w:r>
        <w:rPr>
          <w:spacing w:val="-5"/>
        </w:rPr>
        <w:t> </w:t>
      </w:r>
      <w:r>
        <w:rPr/>
        <w:t>the</w:t>
      </w:r>
      <w:r>
        <w:rPr>
          <w:spacing w:val="-5"/>
        </w:rPr>
        <w:t> </w:t>
      </w:r>
      <w:r>
        <w:rPr/>
        <w:t>Federal</w:t>
      </w:r>
      <w:r>
        <w:rPr>
          <w:spacing w:val="-4"/>
        </w:rPr>
        <w:t> </w:t>
      </w:r>
      <w:r>
        <w:rPr/>
        <w:t>Bureau</w:t>
      </w:r>
      <w:r>
        <w:rPr>
          <w:spacing w:val="-2"/>
        </w:rPr>
        <w:t> </w:t>
      </w:r>
      <w:r>
        <w:rPr/>
        <w:t>of</w:t>
      </w:r>
      <w:r>
        <w:rPr>
          <w:spacing w:val="-8"/>
        </w:rPr>
        <w:t> </w:t>
      </w:r>
      <w:r>
        <w:rPr/>
        <w:t>Prisons</w:t>
      </w:r>
      <w:r>
        <w:rPr>
          <w:spacing w:val="-8"/>
        </w:rPr>
        <w:t> </w:t>
      </w:r>
      <w:r>
        <w:rPr/>
        <w:t>requires</w:t>
      </w:r>
      <w:r>
        <w:rPr>
          <w:spacing w:val="-8"/>
        </w:rPr>
        <w:t> </w:t>
      </w:r>
      <w:r>
        <w:rPr/>
        <w:t>HIV testing for all inmates on their release. HIV-positive inmates are asked to directly notify sex partners and significant others of the results. However, the Bureau</w:t>
      </w:r>
      <w:r>
        <w:rPr>
          <w:spacing w:val="-3"/>
        </w:rPr>
        <w:t> </w:t>
      </w:r>
      <w:r>
        <w:rPr/>
        <w:t>of</w:t>
      </w:r>
      <w:r>
        <w:rPr>
          <w:spacing w:val="-3"/>
        </w:rPr>
        <w:t> </w:t>
      </w:r>
      <w:r>
        <w:rPr/>
        <w:t>Prisons</w:t>
      </w:r>
      <w:r>
        <w:rPr>
          <w:spacing w:val="-3"/>
        </w:rPr>
        <w:t> </w:t>
      </w:r>
      <w:r>
        <w:rPr/>
        <w:t>handles</w:t>
      </w:r>
      <w:r>
        <w:rPr>
          <w:spacing w:val="-3"/>
        </w:rPr>
        <w:t> </w:t>
      </w:r>
      <w:r>
        <w:rPr/>
        <w:t>only</w:t>
      </w:r>
      <w:r>
        <w:rPr>
          <w:spacing w:val="-3"/>
        </w:rPr>
        <w:t> </w:t>
      </w:r>
      <w:r>
        <w:rPr/>
        <w:t>a</w:t>
      </w:r>
      <w:r>
        <w:rPr>
          <w:spacing w:val="-4"/>
        </w:rPr>
        <w:t> </w:t>
      </w:r>
      <w:r>
        <w:rPr/>
        <w:t>small</w:t>
      </w:r>
      <w:r>
        <w:rPr>
          <w:spacing w:val="-3"/>
        </w:rPr>
        <w:t> </w:t>
      </w:r>
      <w:r>
        <w:rPr/>
        <w:t>percentage</w:t>
      </w:r>
      <w:r>
        <w:rPr>
          <w:spacing w:val="-4"/>
        </w:rPr>
        <w:t> </w:t>
      </w:r>
      <w:r>
        <w:rPr/>
        <w:t>of</w:t>
      </w:r>
      <w:r>
        <w:rPr>
          <w:spacing w:val="-3"/>
        </w:rPr>
        <w:t> </w:t>
      </w:r>
      <w:r>
        <w:rPr/>
        <w:t>inmates,</w:t>
      </w:r>
      <w:r>
        <w:rPr>
          <w:spacing w:val="-3"/>
        </w:rPr>
        <w:t> </w:t>
      </w:r>
      <w:r>
        <w:rPr/>
        <w:t>and</w:t>
      </w:r>
      <w:r>
        <w:rPr>
          <w:spacing w:val="-3"/>
        </w:rPr>
        <w:t> </w:t>
      </w:r>
      <w:r>
        <w:rPr/>
        <w:t>its</w:t>
      </w:r>
      <w:r>
        <w:rPr>
          <w:spacing w:val="-3"/>
        </w:rPr>
        <w:t> </w:t>
      </w:r>
      <w:r>
        <w:rPr/>
        <w:t>policy</w:t>
      </w:r>
      <w:r>
        <w:rPr>
          <w:spacing w:val="-3"/>
        </w:rPr>
        <w:t> </w:t>
      </w:r>
      <w:r>
        <w:rPr/>
        <w:t>is not the norm.</w:t>
      </w:r>
    </w:p>
    <w:p>
      <w:pPr>
        <w:pStyle w:val="BodyText"/>
        <w:spacing w:before="11"/>
        <w:rPr>
          <w:sz w:val="25"/>
        </w:rPr>
      </w:pPr>
    </w:p>
    <w:p>
      <w:pPr>
        <w:pStyle w:val="BodyText"/>
        <w:ind w:left="280" w:right="502"/>
      </w:pPr>
      <w:r>
        <w:rPr/>
        <w:t>Although there are large numbers of substance abusers within correctional facilities, less than 15 percent participate in treatment programs. This is partly because of lack of program availability and the common type of program offered (i.e., 12-Step, abstinence- based.)</w:t>
      </w:r>
      <w:r>
        <w:rPr>
          <w:spacing w:val="-14"/>
        </w:rPr>
        <w:t> </w:t>
      </w:r>
      <w:r>
        <w:rPr/>
        <w:t>A</w:t>
      </w:r>
      <w:r>
        <w:rPr>
          <w:spacing w:val="-15"/>
        </w:rPr>
        <w:t> </w:t>
      </w:r>
      <w:r>
        <w:rPr/>
        <w:t>1991 study reported that only 1 percent of inmates with moderate to severe substance abuse disorders received appropriate treatment. Many of these treatment programs advocate sexual abstinence</w:t>
      </w:r>
      <w:r>
        <w:rPr>
          <w:spacing w:val="-9"/>
        </w:rPr>
        <w:t> </w:t>
      </w:r>
      <w:r>
        <w:rPr/>
        <w:t>during</w:t>
      </w:r>
      <w:r>
        <w:rPr>
          <w:spacing w:val="-8"/>
        </w:rPr>
        <w:t> </w:t>
      </w:r>
      <w:r>
        <w:rPr/>
        <w:t>recovery.</w:t>
      </w:r>
      <w:r>
        <w:rPr>
          <w:spacing w:val="-8"/>
        </w:rPr>
        <w:t> </w:t>
      </w:r>
      <w:r>
        <w:rPr/>
        <w:t>Often,</w:t>
      </w:r>
      <w:r>
        <w:rPr>
          <w:spacing w:val="-8"/>
        </w:rPr>
        <w:t> </w:t>
      </w:r>
      <w:r>
        <w:rPr/>
        <w:t>these</w:t>
      </w:r>
      <w:r>
        <w:rPr>
          <w:spacing w:val="-9"/>
        </w:rPr>
        <w:t> </w:t>
      </w:r>
      <w:r>
        <w:rPr/>
        <w:t>programs</w:t>
      </w:r>
      <w:r>
        <w:rPr>
          <w:spacing w:val="-8"/>
        </w:rPr>
        <w:t> </w:t>
      </w:r>
      <w:r>
        <w:rPr/>
        <w:t>offer</w:t>
      </w:r>
      <w:r>
        <w:rPr>
          <w:spacing w:val="-8"/>
        </w:rPr>
        <w:t> </w:t>
      </w:r>
      <w:r>
        <w:rPr/>
        <w:t>no</w:t>
      </w:r>
      <w:r>
        <w:rPr>
          <w:spacing w:val="-8"/>
        </w:rPr>
        <w:t> </w:t>
      </w:r>
      <w:r>
        <w:rPr/>
        <w:t>or</w:t>
      </w:r>
      <w:r>
        <w:rPr>
          <w:spacing w:val="-5"/>
        </w:rPr>
        <w:t> </w:t>
      </w:r>
      <w:r>
        <w:rPr/>
        <w:t>little</w:t>
      </w:r>
      <w:r>
        <w:rPr>
          <w:spacing w:val="-6"/>
        </w:rPr>
        <w:t> </w:t>
      </w:r>
      <w:r>
        <w:rPr/>
        <w:t>information about</w:t>
      </w:r>
      <w:r>
        <w:rPr>
          <w:spacing w:val="-4"/>
        </w:rPr>
        <w:t> </w:t>
      </w:r>
      <w:r>
        <w:rPr/>
        <w:t>safer</w:t>
      </w:r>
      <w:r>
        <w:rPr>
          <w:spacing w:val="-4"/>
        </w:rPr>
        <w:t> </w:t>
      </w:r>
      <w:r>
        <w:rPr/>
        <w:t>sex</w:t>
      </w:r>
      <w:r>
        <w:rPr>
          <w:spacing w:val="-4"/>
        </w:rPr>
        <w:t> </w:t>
      </w:r>
      <w:r>
        <w:rPr/>
        <w:t>practices</w:t>
      </w:r>
      <w:r>
        <w:rPr>
          <w:spacing w:val="-4"/>
        </w:rPr>
        <w:t> </w:t>
      </w:r>
      <w:r>
        <w:rPr/>
        <w:t>or</w:t>
      </w:r>
      <w:r>
        <w:rPr>
          <w:spacing w:val="-4"/>
        </w:rPr>
        <w:t> </w:t>
      </w:r>
      <w:r>
        <w:rPr/>
        <w:t>advocacy</w:t>
      </w:r>
      <w:r>
        <w:rPr>
          <w:spacing w:val="-4"/>
        </w:rPr>
        <w:t> </w:t>
      </w:r>
      <w:r>
        <w:rPr/>
        <w:t>around</w:t>
      </w:r>
      <w:r>
        <w:rPr>
          <w:spacing w:val="-4"/>
        </w:rPr>
        <w:t> </w:t>
      </w:r>
      <w:r>
        <w:rPr/>
        <w:t>changing</w:t>
      </w:r>
      <w:r>
        <w:rPr>
          <w:spacing w:val="-4"/>
        </w:rPr>
        <w:t> </w:t>
      </w:r>
      <w:r>
        <w:rPr/>
        <w:t>sexual</w:t>
      </w:r>
      <w:r>
        <w:rPr>
          <w:spacing w:val="-4"/>
        </w:rPr>
        <w:t> </w:t>
      </w:r>
      <w:r>
        <w:rPr/>
        <w:t>behaviors.</w:t>
      </w:r>
      <w:r>
        <w:rPr>
          <w:spacing w:val="-18"/>
        </w:rPr>
        <w:t> </w:t>
      </w:r>
      <w:r>
        <w:rPr/>
        <w:t>When persons with substance abuse disorders in treatment relapse, as is often the</w:t>
      </w:r>
    </w:p>
    <w:p>
      <w:pPr>
        <w:spacing w:after="0"/>
        <w:sectPr>
          <w:pgSz w:w="12240" w:h="15840"/>
          <w:pgMar w:header="0" w:footer="792" w:top="1580" w:bottom="980" w:left="1400" w:right="1180"/>
        </w:sectPr>
      </w:pPr>
    </w:p>
    <w:p>
      <w:pPr>
        <w:pStyle w:val="BodyText"/>
        <w:spacing w:before="66"/>
        <w:ind w:left="280" w:right="502"/>
      </w:pPr>
      <w:r>
        <w:rPr/>
        <w:t>case, they may also engage in risky sexual behaviors.</w:t>
      </w:r>
      <w:r>
        <w:rPr>
          <w:spacing w:val="-6"/>
        </w:rPr>
        <w:t> </w:t>
      </w:r>
      <w:r>
        <w:rPr/>
        <w:t>They are most likely to engage in risky sexual behaviors with sexual partners from similar treatment networks. These partners may include people who have used syringes, traded sex</w:t>
      </w:r>
      <w:r>
        <w:rPr>
          <w:spacing w:val="-5"/>
        </w:rPr>
        <w:t> </w:t>
      </w:r>
      <w:r>
        <w:rPr/>
        <w:t>for</w:t>
      </w:r>
      <w:r>
        <w:rPr>
          <w:spacing w:val="-3"/>
        </w:rPr>
        <w:t> </w:t>
      </w:r>
      <w:r>
        <w:rPr/>
        <w:t>money</w:t>
      </w:r>
      <w:r>
        <w:rPr>
          <w:spacing w:val="-3"/>
        </w:rPr>
        <w:t> </w:t>
      </w:r>
      <w:r>
        <w:rPr/>
        <w:t>or</w:t>
      </w:r>
      <w:r>
        <w:rPr>
          <w:spacing w:val="-3"/>
        </w:rPr>
        <w:t> </w:t>
      </w:r>
      <w:r>
        <w:rPr/>
        <w:t>drugs,</w:t>
      </w:r>
      <w:r>
        <w:rPr>
          <w:spacing w:val="-3"/>
        </w:rPr>
        <w:t> </w:t>
      </w:r>
      <w:r>
        <w:rPr/>
        <w:t>or</w:t>
      </w:r>
      <w:r>
        <w:rPr>
          <w:spacing w:val="-3"/>
        </w:rPr>
        <w:t> </w:t>
      </w:r>
      <w:r>
        <w:rPr/>
        <w:t>been</w:t>
      </w:r>
      <w:r>
        <w:rPr>
          <w:spacing w:val="-3"/>
        </w:rPr>
        <w:t> </w:t>
      </w:r>
      <w:r>
        <w:rPr/>
        <w:t>victims</w:t>
      </w:r>
      <w:r>
        <w:rPr>
          <w:spacing w:val="-3"/>
        </w:rPr>
        <w:t> </w:t>
      </w:r>
      <w:r>
        <w:rPr/>
        <w:t>of</w:t>
      </w:r>
      <w:r>
        <w:rPr>
          <w:spacing w:val="-3"/>
        </w:rPr>
        <w:t> </w:t>
      </w:r>
      <w:r>
        <w:rPr/>
        <w:t>trauma.</w:t>
      </w:r>
      <w:r>
        <w:rPr>
          <w:spacing w:val="-24"/>
        </w:rPr>
        <w:t> </w:t>
      </w:r>
      <w:r>
        <w:rPr/>
        <w:t>All</w:t>
      </w:r>
      <w:r>
        <w:rPr>
          <w:spacing w:val="-3"/>
        </w:rPr>
        <w:t> </w:t>
      </w:r>
      <w:r>
        <w:rPr/>
        <w:t>of</w:t>
      </w:r>
      <w:r>
        <w:rPr>
          <w:spacing w:val="-3"/>
        </w:rPr>
        <w:t> </w:t>
      </w:r>
      <w:r>
        <w:rPr/>
        <w:t>these</w:t>
      </w:r>
      <w:r>
        <w:rPr>
          <w:spacing w:val="-4"/>
        </w:rPr>
        <w:t> </w:t>
      </w:r>
      <w:r>
        <w:rPr/>
        <w:t>populations</w:t>
      </w:r>
      <w:r>
        <w:rPr>
          <w:spacing w:val="-3"/>
        </w:rPr>
        <w:t> </w:t>
      </w:r>
      <w:r>
        <w:rPr/>
        <w:t>are likely to have higher rates of HIV infection, making transmission likely.</w:t>
      </w:r>
    </w:p>
    <w:p>
      <w:pPr>
        <w:pStyle w:val="BodyText"/>
        <w:spacing w:before="11"/>
        <w:rPr>
          <w:sz w:val="26"/>
        </w:rPr>
      </w:pPr>
    </w:p>
    <w:p>
      <w:pPr>
        <w:pStyle w:val="Heading2"/>
      </w:pPr>
      <w:r>
        <w:rPr>
          <w:spacing w:val="-2"/>
        </w:rPr>
        <w:t>Adolescents</w:t>
      </w:r>
    </w:p>
    <w:p>
      <w:pPr>
        <w:pStyle w:val="BodyText"/>
        <w:spacing w:before="7"/>
        <w:rPr>
          <w:b/>
          <w:sz w:val="27"/>
        </w:rPr>
      </w:pPr>
    </w:p>
    <w:p>
      <w:pPr>
        <w:pStyle w:val="BodyText"/>
        <w:spacing w:before="1"/>
        <w:ind w:left="280" w:right="581"/>
      </w:pPr>
      <w:r>
        <w:rPr/>
        <w:t>Adolescents are another group that is experiencing an increase in incidence and</w:t>
      </w:r>
      <w:r>
        <w:rPr>
          <w:spacing w:val="-7"/>
        </w:rPr>
        <w:t> </w:t>
      </w:r>
      <w:r>
        <w:rPr/>
        <w:t>prevalence</w:t>
      </w:r>
      <w:r>
        <w:rPr>
          <w:spacing w:val="-8"/>
        </w:rPr>
        <w:t> </w:t>
      </w:r>
      <w:r>
        <w:rPr/>
        <w:t>of</w:t>
      </w:r>
      <w:r>
        <w:rPr>
          <w:spacing w:val="-7"/>
        </w:rPr>
        <w:t> </w:t>
      </w:r>
      <w:r>
        <w:rPr/>
        <w:t>HIV.</w:t>
      </w:r>
      <w:r>
        <w:rPr>
          <w:spacing w:val="-7"/>
        </w:rPr>
        <w:t> </w:t>
      </w:r>
      <w:r>
        <w:rPr/>
        <w:t>Findings</w:t>
      </w:r>
      <w:r>
        <w:rPr>
          <w:spacing w:val="-7"/>
        </w:rPr>
        <w:t> </w:t>
      </w:r>
      <w:r>
        <w:rPr/>
        <w:t>from</w:t>
      </w:r>
      <w:r>
        <w:rPr>
          <w:spacing w:val="-7"/>
        </w:rPr>
        <w:t> </w:t>
      </w:r>
      <w:r>
        <w:rPr/>
        <w:t>the</w:t>
      </w:r>
      <w:r>
        <w:rPr>
          <w:spacing w:val="-8"/>
        </w:rPr>
        <w:t> </w:t>
      </w:r>
      <w:r>
        <w:rPr/>
        <w:t>Monitoring</w:t>
      </w:r>
      <w:r>
        <w:rPr>
          <w:spacing w:val="-7"/>
        </w:rPr>
        <w:t> </w:t>
      </w:r>
      <w:r>
        <w:rPr/>
        <w:t>the</w:t>
      </w:r>
      <w:r>
        <w:rPr>
          <w:spacing w:val="-8"/>
        </w:rPr>
        <w:t> </w:t>
      </w:r>
      <w:r>
        <w:rPr/>
        <w:t>Future</w:t>
      </w:r>
      <w:r>
        <w:rPr>
          <w:spacing w:val="-8"/>
        </w:rPr>
        <w:t> </w:t>
      </w:r>
      <w:r>
        <w:rPr/>
        <w:t>surveys</w:t>
      </w:r>
      <w:r>
        <w:rPr>
          <w:spacing w:val="-7"/>
        </w:rPr>
        <w:t> </w:t>
      </w:r>
      <w:r>
        <w:rPr/>
        <w:t>have revealed a dramatic and sustained increase in consumption of licit and illicit drugs among adolescents--this after nearly two decades of sustained decrease in drug consumption. Studies also note that teens are having sex earlier than ever before, often with multiple partners and inconsistent use of condoms, putting them at greater risk for HIV/AIDS. Beyond this, young people find themselves marginalized in U.S. society; this is especially true for young gay and</w:t>
      </w:r>
      <w:r>
        <w:rPr>
          <w:spacing w:val="-1"/>
        </w:rPr>
        <w:t> </w:t>
      </w:r>
      <w:r>
        <w:rPr/>
        <w:t>bisexual</w:t>
      </w:r>
      <w:r>
        <w:rPr>
          <w:spacing w:val="-1"/>
        </w:rPr>
        <w:t> </w:t>
      </w:r>
      <w:r>
        <w:rPr/>
        <w:t>youth,</w:t>
      </w:r>
      <w:r>
        <w:rPr>
          <w:spacing w:val="-1"/>
        </w:rPr>
        <w:t> </w:t>
      </w:r>
      <w:r>
        <w:rPr/>
        <w:t>sexually</w:t>
      </w:r>
      <w:r>
        <w:rPr>
          <w:spacing w:val="-1"/>
        </w:rPr>
        <w:t> </w:t>
      </w:r>
      <w:r>
        <w:rPr/>
        <w:t>active</w:t>
      </w:r>
      <w:r>
        <w:rPr>
          <w:spacing w:val="-2"/>
        </w:rPr>
        <w:t> </w:t>
      </w:r>
      <w:r>
        <w:rPr/>
        <w:t>young</w:t>
      </w:r>
      <w:r>
        <w:rPr>
          <w:spacing w:val="-1"/>
        </w:rPr>
        <w:t> </w:t>
      </w:r>
      <w:r>
        <w:rPr/>
        <w:t>women,</w:t>
      </w:r>
      <w:r>
        <w:rPr>
          <w:spacing w:val="-1"/>
        </w:rPr>
        <w:t> </w:t>
      </w:r>
      <w:r>
        <w:rPr/>
        <w:t>and</w:t>
      </w:r>
      <w:r>
        <w:rPr>
          <w:spacing w:val="-1"/>
        </w:rPr>
        <w:t> </w:t>
      </w:r>
      <w:r>
        <w:rPr/>
        <w:t>young</w:t>
      </w:r>
      <w:r>
        <w:rPr>
          <w:spacing w:val="-1"/>
        </w:rPr>
        <w:t> </w:t>
      </w:r>
      <w:r>
        <w:rPr/>
        <w:t>people</w:t>
      </w:r>
      <w:r>
        <w:rPr>
          <w:spacing w:val="-2"/>
        </w:rPr>
        <w:t> </w:t>
      </w:r>
      <w:r>
        <w:rPr/>
        <w:t>of </w:t>
      </w:r>
      <w:r>
        <w:rPr>
          <w:spacing w:val="-2"/>
        </w:rPr>
        <w:t>color.</w:t>
      </w:r>
    </w:p>
    <w:p>
      <w:pPr>
        <w:pStyle w:val="BodyText"/>
        <w:spacing w:before="3"/>
        <w:rPr>
          <w:sz w:val="26"/>
        </w:rPr>
      </w:pPr>
    </w:p>
    <w:p>
      <w:pPr>
        <w:pStyle w:val="BodyText"/>
        <w:ind w:left="280" w:right="581"/>
      </w:pPr>
      <w:r>
        <w:rPr/>
        <w:t>According</w:t>
      </w:r>
      <w:r>
        <w:rPr>
          <w:spacing w:val="-7"/>
        </w:rPr>
        <w:t> </w:t>
      </w:r>
      <w:r>
        <w:rPr/>
        <w:t>to</w:t>
      </w:r>
      <w:r>
        <w:rPr>
          <w:spacing w:val="-3"/>
        </w:rPr>
        <w:t> </w:t>
      </w:r>
      <w:r>
        <w:rPr/>
        <w:t>the</w:t>
      </w:r>
      <w:r>
        <w:rPr>
          <w:spacing w:val="-4"/>
        </w:rPr>
        <w:t> </w:t>
      </w:r>
      <w:r>
        <w:rPr/>
        <w:t>CDC,</w:t>
      </w:r>
      <w:r>
        <w:rPr>
          <w:spacing w:val="-23"/>
        </w:rPr>
        <w:t> </w:t>
      </w:r>
      <w:r>
        <w:rPr/>
        <w:t>AIDS</w:t>
      </w:r>
      <w:r>
        <w:rPr>
          <w:spacing w:val="-3"/>
        </w:rPr>
        <w:t> </w:t>
      </w:r>
      <w:r>
        <w:rPr/>
        <w:t>is</w:t>
      </w:r>
      <w:r>
        <w:rPr>
          <w:spacing w:val="-3"/>
        </w:rPr>
        <w:t> </w:t>
      </w:r>
      <w:r>
        <w:rPr/>
        <w:t>the</w:t>
      </w:r>
      <w:r>
        <w:rPr>
          <w:spacing w:val="-4"/>
        </w:rPr>
        <w:t> </w:t>
      </w:r>
      <w:r>
        <w:rPr/>
        <w:t>fifth</w:t>
      </w:r>
      <w:r>
        <w:rPr>
          <w:spacing w:val="-3"/>
        </w:rPr>
        <w:t> </w:t>
      </w:r>
      <w:r>
        <w:rPr/>
        <w:t>leading</w:t>
      </w:r>
      <w:r>
        <w:rPr>
          <w:spacing w:val="-3"/>
        </w:rPr>
        <w:t> </w:t>
      </w:r>
      <w:r>
        <w:rPr/>
        <w:t>cause</w:t>
      </w:r>
      <w:r>
        <w:rPr>
          <w:spacing w:val="-4"/>
        </w:rPr>
        <w:t> </w:t>
      </w:r>
      <w:r>
        <w:rPr/>
        <w:t>of</w:t>
      </w:r>
      <w:r>
        <w:rPr>
          <w:spacing w:val="-3"/>
        </w:rPr>
        <w:t> </w:t>
      </w:r>
      <w:r>
        <w:rPr/>
        <w:t>death</w:t>
      </w:r>
      <w:r>
        <w:rPr>
          <w:spacing w:val="-3"/>
        </w:rPr>
        <w:t> </w:t>
      </w:r>
      <w:r>
        <w:rPr/>
        <w:t>for</w:t>
      </w:r>
      <w:r>
        <w:rPr>
          <w:spacing w:val="-23"/>
        </w:rPr>
        <w:t> </w:t>
      </w:r>
      <w:r>
        <w:rPr/>
        <w:t>Americans between the ages of 25 and 44 </w:t>
      </w:r>
      <w:r>
        <w:rPr>
          <w:i/>
        </w:rPr>
        <w:t>(Source: CDC)</w:t>
      </w:r>
      <w:r>
        <w:rPr/>
        <w:t>.</w:t>
      </w:r>
      <w:r>
        <w:rPr>
          <w:spacing w:val="-26"/>
        </w:rPr>
        <w:t> </w:t>
      </w:r>
      <w:r>
        <w:rPr/>
        <w:t>At greatest risk are young, disadvantaged females, particularly</w:t>
      </w:r>
      <w:r>
        <w:rPr>
          <w:spacing w:val="-31"/>
        </w:rPr>
        <w:t> </w:t>
      </w:r>
      <w:r>
        <w:rPr/>
        <w:t>African</w:t>
      </w:r>
      <w:r>
        <w:rPr>
          <w:spacing w:val="-31"/>
        </w:rPr>
        <w:t> </w:t>
      </w:r>
      <w:r>
        <w:rPr/>
        <w:t>American females, who are being infected with HIV</w:t>
      </w:r>
      <w:r>
        <w:rPr>
          <w:spacing w:val="-2"/>
        </w:rPr>
        <w:t> </w:t>
      </w:r>
      <w:r>
        <w:rPr/>
        <w:t>at younger ages and higher rates than their male counterparts </w:t>
      </w:r>
      <w:r>
        <w:rPr>
          <w:i/>
        </w:rPr>
        <w:t>(Source: CDC)</w:t>
      </w:r>
      <w:r>
        <w:rPr/>
        <w:t>. Because of the long and variable time between HIV infection and</w:t>
      </w:r>
      <w:r>
        <w:rPr>
          <w:spacing w:val="-23"/>
        </w:rPr>
        <w:t> </w:t>
      </w:r>
      <w:r>
        <w:rPr/>
        <w:t>AIDS, surveillance of HIV infection provides a clearer picture of the pandemic in young people than surveillance of</w:t>
      </w:r>
      <w:r>
        <w:rPr>
          <w:spacing w:val="-14"/>
        </w:rPr>
        <w:t> </w:t>
      </w:r>
      <w:r>
        <w:rPr/>
        <w:t>AIDS cases.</w:t>
      </w:r>
    </w:p>
    <w:p>
      <w:pPr>
        <w:pStyle w:val="BodyText"/>
        <w:spacing w:line="237" w:lineRule="auto"/>
        <w:ind w:left="280" w:right="544"/>
      </w:pPr>
      <w:r>
        <w:rPr/>
        <w:t>From</w:t>
      </w:r>
      <w:r>
        <w:rPr>
          <w:spacing w:val="-3"/>
        </w:rPr>
        <w:t> </w:t>
      </w:r>
      <w:r>
        <w:rPr/>
        <w:t>the</w:t>
      </w:r>
      <w:r>
        <w:rPr>
          <w:spacing w:val="-8"/>
        </w:rPr>
        <w:t> </w:t>
      </w:r>
      <w:r>
        <w:rPr/>
        <w:t>States</w:t>
      </w:r>
      <w:r>
        <w:rPr>
          <w:spacing w:val="-7"/>
        </w:rPr>
        <w:t> </w:t>
      </w:r>
      <w:r>
        <w:rPr/>
        <w:t>for</w:t>
      </w:r>
      <w:r>
        <w:rPr>
          <w:spacing w:val="-7"/>
        </w:rPr>
        <w:t> </w:t>
      </w:r>
      <w:r>
        <w:rPr/>
        <w:t>which</w:t>
      </w:r>
      <w:r>
        <w:rPr>
          <w:spacing w:val="-7"/>
        </w:rPr>
        <w:t> </w:t>
      </w:r>
      <w:r>
        <w:rPr/>
        <w:t>HIV</w:t>
      </w:r>
      <w:r>
        <w:rPr>
          <w:spacing w:val="-18"/>
        </w:rPr>
        <w:t> </w:t>
      </w:r>
      <w:r>
        <w:rPr/>
        <w:t>is</w:t>
      </w:r>
      <w:r>
        <w:rPr>
          <w:spacing w:val="-7"/>
        </w:rPr>
        <w:t> </w:t>
      </w:r>
      <w:r>
        <w:rPr/>
        <w:t>a</w:t>
      </w:r>
      <w:r>
        <w:rPr>
          <w:spacing w:val="-8"/>
        </w:rPr>
        <w:t> </w:t>
      </w:r>
      <w:r>
        <w:rPr/>
        <w:t>reportable</w:t>
      </w:r>
      <w:r>
        <w:rPr>
          <w:spacing w:val="-8"/>
        </w:rPr>
        <w:t> </w:t>
      </w:r>
      <w:r>
        <w:rPr/>
        <w:t>condition,</w:t>
      </w:r>
      <w:r>
        <w:rPr>
          <w:spacing w:val="-7"/>
        </w:rPr>
        <w:t> </w:t>
      </w:r>
      <w:r>
        <w:rPr/>
        <w:t>young</w:t>
      </w:r>
      <w:r>
        <w:rPr>
          <w:spacing w:val="-7"/>
        </w:rPr>
        <w:t> </w:t>
      </w:r>
      <w:r>
        <w:rPr/>
        <w:t>people</w:t>
      </w:r>
      <w:r>
        <w:rPr>
          <w:spacing w:val="-8"/>
        </w:rPr>
        <w:t> </w:t>
      </w:r>
      <w:r>
        <w:rPr/>
        <w:t>ages</w:t>
      </w:r>
      <w:r>
        <w:rPr>
          <w:spacing w:val="-7"/>
        </w:rPr>
        <w:t> </w:t>
      </w:r>
      <w:r>
        <w:rPr/>
        <w:t>13 to 24 accounted for a much greater proportion of HIV than</w:t>
      </w:r>
      <w:r>
        <w:rPr>
          <w:spacing w:val="-21"/>
        </w:rPr>
        <w:t> </w:t>
      </w:r>
      <w:r>
        <w:rPr/>
        <w:t>AIDS cases (17 percent versus 4 percent). Of these HIV</w:t>
      </w:r>
      <w:r>
        <w:rPr>
          <w:spacing w:val="-5"/>
        </w:rPr>
        <w:t> </w:t>
      </w:r>
      <w:r>
        <w:rPr/>
        <w:t>infections, 38 percent were reported among young females, and 56 percent were among</w:t>
      </w:r>
      <w:r>
        <w:rPr>
          <w:spacing w:val="-3"/>
        </w:rPr>
        <w:t> </w:t>
      </w:r>
      <w:r>
        <w:rPr/>
        <w:t>African</w:t>
      </w:r>
      <w:r>
        <w:rPr>
          <w:spacing w:val="-3"/>
        </w:rPr>
        <w:t> </w:t>
      </w:r>
      <w:r>
        <w:rPr/>
        <w:t>Americans </w:t>
      </w:r>
      <w:r>
        <w:rPr>
          <w:i/>
        </w:rPr>
        <w:t>(Source: CDC)</w:t>
      </w:r>
      <w:r>
        <w:rPr/>
        <w:t>.</w:t>
      </w:r>
    </w:p>
    <w:p>
      <w:pPr>
        <w:pStyle w:val="BodyText"/>
        <w:spacing w:before="2"/>
        <w:rPr>
          <w:sz w:val="27"/>
        </w:rPr>
      </w:pPr>
    </w:p>
    <w:p>
      <w:pPr>
        <w:pStyle w:val="BodyText"/>
        <w:ind w:left="280" w:right="554"/>
      </w:pPr>
      <w:r>
        <w:rPr/>
        <w:t>Adolescents may benefit from treatment that is developmentally appropriate and</w:t>
      </w:r>
      <w:r>
        <w:rPr>
          <w:spacing w:val="-7"/>
        </w:rPr>
        <w:t> </w:t>
      </w:r>
      <w:r>
        <w:rPr/>
        <w:t>peer</w:t>
      </w:r>
      <w:r>
        <w:rPr>
          <w:spacing w:val="-5"/>
        </w:rPr>
        <w:t> </w:t>
      </w:r>
      <w:r>
        <w:rPr/>
        <w:t>oriented.</w:t>
      </w:r>
      <w:r>
        <w:rPr>
          <w:spacing w:val="-21"/>
        </w:rPr>
        <w:t> </w:t>
      </w:r>
      <w:r>
        <w:rPr/>
        <w:t>Addressing</w:t>
      </w:r>
      <w:r>
        <w:rPr>
          <w:spacing w:val="-5"/>
        </w:rPr>
        <w:t> </w:t>
      </w:r>
      <w:r>
        <w:rPr/>
        <w:t>educational</w:t>
      </w:r>
      <w:r>
        <w:rPr>
          <w:spacing w:val="-5"/>
        </w:rPr>
        <w:t> </w:t>
      </w:r>
      <w:r>
        <w:rPr/>
        <w:t>needs</w:t>
      </w:r>
      <w:r>
        <w:rPr>
          <w:spacing w:val="-5"/>
        </w:rPr>
        <w:t> </w:t>
      </w:r>
      <w:r>
        <w:rPr/>
        <w:t>may</w:t>
      </w:r>
      <w:r>
        <w:rPr>
          <w:spacing w:val="-5"/>
        </w:rPr>
        <w:t> </w:t>
      </w:r>
      <w:r>
        <w:rPr/>
        <w:t>be</w:t>
      </w:r>
      <w:r>
        <w:rPr>
          <w:spacing w:val="-6"/>
        </w:rPr>
        <w:t> </w:t>
      </w:r>
      <w:r>
        <w:rPr/>
        <w:t>particularly</w:t>
      </w:r>
      <w:r>
        <w:rPr>
          <w:spacing w:val="-5"/>
        </w:rPr>
        <w:t> </w:t>
      </w:r>
      <w:r>
        <w:rPr/>
        <w:t>important as well as involving family members in the planning of treatment and therapy. Substance abuse among adolescents is frequently associated with depression, eating disorders, and sexual abuse history. Histories of familial sexual and substance abuse are predictive of serious adolescent substance involvement and subsequent treatment needs.</w:t>
      </w:r>
    </w:p>
    <w:p>
      <w:pPr>
        <w:pStyle w:val="BodyText"/>
        <w:spacing w:before="7"/>
        <w:rPr>
          <w:sz w:val="26"/>
        </w:rPr>
      </w:pPr>
    </w:p>
    <w:p>
      <w:pPr>
        <w:pStyle w:val="Heading2"/>
      </w:pPr>
      <w:r>
        <w:rPr/>
        <w:t>Older</w:t>
      </w:r>
      <w:r>
        <w:rPr>
          <w:spacing w:val="-16"/>
        </w:rPr>
        <w:t> </w:t>
      </w:r>
      <w:r>
        <w:rPr>
          <w:spacing w:val="-2"/>
        </w:rPr>
        <w:t>adults</w:t>
      </w:r>
    </w:p>
    <w:p>
      <w:pPr>
        <w:pStyle w:val="BodyText"/>
        <w:spacing w:before="7"/>
        <w:rPr>
          <w:b/>
          <w:sz w:val="27"/>
        </w:rPr>
      </w:pPr>
    </w:p>
    <w:p>
      <w:pPr>
        <w:pStyle w:val="BodyText"/>
        <w:spacing w:before="1"/>
        <w:ind w:left="280"/>
      </w:pPr>
      <w:r>
        <w:rPr/>
        <w:t>The</w:t>
      </w:r>
      <w:r>
        <w:rPr>
          <w:spacing w:val="-3"/>
        </w:rPr>
        <w:t> </w:t>
      </w:r>
      <w:r>
        <w:rPr/>
        <w:t>last</w:t>
      </w:r>
      <w:r>
        <w:rPr>
          <w:spacing w:val="-1"/>
        </w:rPr>
        <w:t> </w:t>
      </w:r>
      <w:r>
        <w:rPr/>
        <w:t>few</w:t>
      </w:r>
      <w:r>
        <w:rPr>
          <w:spacing w:val="-2"/>
        </w:rPr>
        <w:t> </w:t>
      </w:r>
      <w:r>
        <w:rPr/>
        <w:t>years</w:t>
      </w:r>
      <w:r>
        <w:rPr>
          <w:spacing w:val="-1"/>
        </w:rPr>
        <w:t> </w:t>
      </w:r>
      <w:r>
        <w:rPr/>
        <w:t>have</w:t>
      </w:r>
      <w:r>
        <w:rPr>
          <w:spacing w:val="-3"/>
        </w:rPr>
        <w:t> </w:t>
      </w:r>
      <w:r>
        <w:rPr/>
        <w:t>witnessed</w:t>
      </w:r>
      <w:r>
        <w:rPr>
          <w:spacing w:val="-1"/>
        </w:rPr>
        <w:t> </w:t>
      </w:r>
      <w:r>
        <w:rPr/>
        <w:t>greater</w:t>
      </w:r>
      <w:r>
        <w:rPr>
          <w:spacing w:val="-1"/>
        </w:rPr>
        <w:t> </w:t>
      </w:r>
      <w:r>
        <w:rPr/>
        <w:t>increases</w:t>
      </w:r>
      <w:r>
        <w:rPr>
          <w:spacing w:val="-2"/>
        </w:rPr>
        <w:t> </w:t>
      </w:r>
      <w:r>
        <w:rPr/>
        <w:t>in</w:t>
      </w:r>
      <w:r>
        <w:rPr>
          <w:spacing w:val="-1"/>
        </w:rPr>
        <w:t> </w:t>
      </w:r>
      <w:r>
        <w:rPr/>
        <w:t>the</w:t>
      </w:r>
      <w:r>
        <w:rPr>
          <w:spacing w:val="-3"/>
        </w:rPr>
        <w:t> </w:t>
      </w:r>
      <w:r>
        <w:rPr/>
        <w:t>number</w:t>
      </w:r>
      <w:r>
        <w:rPr>
          <w:spacing w:val="-1"/>
        </w:rPr>
        <w:t> </w:t>
      </w:r>
      <w:r>
        <w:rPr/>
        <w:t>of</w:t>
      </w:r>
      <w:r>
        <w:rPr>
          <w:spacing w:val="-1"/>
        </w:rPr>
        <w:t> </w:t>
      </w:r>
      <w:r>
        <w:rPr>
          <w:spacing w:val="-4"/>
        </w:rPr>
        <w:t>HIV/</w:t>
      </w:r>
    </w:p>
    <w:p>
      <w:pPr>
        <w:spacing w:after="0"/>
        <w:sectPr>
          <w:pgSz w:w="12240" w:h="15840"/>
          <w:pgMar w:header="0" w:footer="792" w:top="1260" w:bottom="980" w:left="1400" w:right="1180"/>
        </w:sectPr>
      </w:pPr>
    </w:p>
    <w:p>
      <w:pPr>
        <w:pStyle w:val="BodyText"/>
        <w:spacing w:before="66"/>
        <w:ind w:left="280" w:right="549"/>
      </w:pPr>
      <w:r>
        <w:rPr/>
        <w:t>AIDS cases among middle-aged and older individuals than in those under 40 years of age.</w:t>
      </w:r>
      <w:r>
        <w:rPr>
          <w:spacing w:val="-7"/>
        </w:rPr>
        <w:t> </w:t>
      </w:r>
      <w:r>
        <w:rPr/>
        <w:t>Although many of these</w:t>
      </w:r>
      <w:r>
        <w:rPr>
          <w:spacing w:val="-17"/>
        </w:rPr>
        <w:t> </w:t>
      </w:r>
      <w:r>
        <w:rPr/>
        <w:t>AIDS cases are the result of HIV infection</w:t>
      </w:r>
      <w:r>
        <w:rPr>
          <w:spacing w:val="-3"/>
        </w:rPr>
        <w:t> </w:t>
      </w:r>
      <w:r>
        <w:rPr/>
        <w:t>at</w:t>
      </w:r>
      <w:r>
        <w:rPr>
          <w:spacing w:val="-3"/>
        </w:rPr>
        <w:t> </w:t>
      </w:r>
      <w:r>
        <w:rPr/>
        <w:t>a</w:t>
      </w:r>
      <w:r>
        <w:rPr>
          <w:spacing w:val="-4"/>
        </w:rPr>
        <w:t> </w:t>
      </w:r>
      <w:r>
        <w:rPr/>
        <w:t>younger</w:t>
      </w:r>
      <w:r>
        <w:rPr>
          <w:spacing w:val="-3"/>
        </w:rPr>
        <w:t> </w:t>
      </w:r>
      <w:r>
        <w:rPr/>
        <w:t>age,</w:t>
      </w:r>
      <w:r>
        <w:rPr>
          <w:spacing w:val="-3"/>
        </w:rPr>
        <w:t> </w:t>
      </w:r>
      <w:r>
        <w:rPr/>
        <w:t>many</w:t>
      </w:r>
      <w:r>
        <w:rPr>
          <w:spacing w:val="-7"/>
        </w:rPr>
        <w:t> </w:t>
      </w:r>
      <w:r>
        <w:rPr/>
        <w:t>people</w:t>
      </w:r>
      <w:r>
        <w:rPr>
          <w:spacing w:val="-8"/>
        </w:rPr>
        <w:t> </w:t>
      </w:r>
      <w:r>
        <w:rPr/>
        <w:t>become</w:t>
      </w:r>
      <w:r>
        <w:rPr>
          <w:spacing w:val="-8"/>
        </w:rPr>
        <w:t> </w:t>
      </w:r>
      <w:r>
        <w:rPr/>
        <w:t>infected</w:t>
      </w:r>
      <w:r>
        <w:rPr>
          <w:spacing w:val="-7"/>
        </w:rPr>
        <w:t> </w:t>
      </w:r>
      <w:r>
        <w:rPr/>
        <w:t>after</w:t>
      </w:r>
      <w:r>
        <w:rPr>
          <w:spacing w:val="-7"/>
        </w:rPr>
        <w:t> </w:t>
      </w:r>
      <w:r>
        <w:rPr/>
        <w:t>age</w:t>
      </w:r>
      <w:r>
        <w:rPr>
          <w:spacing w:val="-8"/>
        </w:rPr>
        <w:t> </w:t>
      </w:r>
      <w:r>
        <w:rPr/>
        <w:t>50.</w:t>
      </w:r>
      <w:r>
        <w:rPr>
          <w:spacing w:val="-7"/>
        </w:rPr>
        <w:t> </w:t>
      </w:r>
      <w:r>
        <w:rPr/>
        <w:t>Rates</w:t>
      </w:r>
      <w:r>
        <w:rPr>
          <w:spacing w:val="-7"/>
        </w:rPr>
        <w:t> </w:t>
      </w:r>
      <w:r>
        <w:rPr/>
        <w:t>of HIV</w:t>
      </w:r>
      <w:r>
        <w:rPr>
          <w:spacing w:val="-5"/>
        </w:rPr>
        <w:t> </w:t>
      </w:r>
      <w:r>
        <w:rPr/>
        <w:t>infection among older adults are difficult to ascertain because very few people over 50 years of age routinely test for HIV. Because older adults are diagnosed with HIV/AIDS at advanced stages, older adults are less amenable to treatment, become</w:t>
      </w:r>
      <w:r>
        <w:rPr>
          <w:spacing w:val="-1"/>
        </w:rPr>
        <w:t> </w:t>
      </w:r>
      <w:r>
        <w:rPr/>
        <w:t>sicker, and die</w:t>
      </w:r>
      <w:r>
        <w:rPr>
          <w:spacing w:val="-1"/>
        </w:rPr>
        <w:t> </w:t>
      </w:r>
      <w:r>
        <w:rPr/>
        <w:t>faster than their under-50 counterparts. In addition, retroviral treatments and opportunistic infection prophylaxis may interact with medications the older person is taking to treat other preexisting chronic illnesses and conditions.</w:t>
      </w:r>
      <w:r>
        <w:rPr>
          <w:spacing w:val="-19"/>
        </w:rPr>
        <w:t> </w:t>
      </w:r>
      <w:r>
        <w:rPr/>
        <w:t>Also, the vast majority of medication studies are done on much younger subjects.</w:t>
      </w:r>
      <w:r>
        <w:rPr>
          <w:spacing w:val="-1"/>
        </w:rPr>
        <w:t> </w:t>
      </w:r>
      <w:r>
        <w:rPr/>
        <w:t>There is little research on the metabolism of anti-HIV drugs in older adults.</w:t>
      </w:r>
    </w:p>
    <w:p>
      <w:pPr>
        <w:pStyle w:val="BodyText"/>
        <w:spacing w:before="8"/>
        <w:rPr>
          <w:sz w:val="25"/>
        </w:rPr>
      </w:pPr>
    </w:p>
    <w:p>
      <w:pPr>
        <w:pStyle w:val="BodyText"/>
        <w:spacing w:before="1"/>
        <w:ind w:left="280" w:right="502"/>
      </w:pPr>
      <w:r>
        <w:rPr/>
        <w:t>There is, as well, little research on the substance-abusing behavior of older adults, and very few substance abuse treatment programs address the needs of older adult substance abusers.</w:t>
      </w:r>
      <w:r>
        <w:rPr>
          <w:spacing w:val="40"/>
        </w:rPr>
        <w:t> </w:t>
      </w:r>
      <w:r>
        <w:rPr/>
        <w:t>Unfortunately, many medical professionals do not consider older patients to be at risk for either substance abuse (with the exception of alcohol use) or HIV infection.</w:t>
      </w:r>
      <w:r>
        <w:rPr>
          <w:spacing w:val="-21"/>
        </w:rPr>
        <w:t> </w:t>
      </w:r>
      <w:r>
        <w:rPr/>
        <w:t>A</w:t>
      </w:r>
      <w:r>
        <w:rPr>
          <w:spacing w:val="-8"/>
        </w:rPr>
        <w:t> </w:t>
      </w:r>
      <w:r>
        <w:rPr/>
        <w:t>study in</w:t>
      </w:r>
      <w:r>
        <w:rPr>
          <w:spacing w:val="-6"/>
        </w:rPr>
        <w:t> </w:t>
      </w:r>
      <w:r>
        <w:rPr/>
        <w:t>Texas found that most doctors never asked patients older than 50 years questions about substance abuse or HIV/AIDS or discussed risk factor reduction. Doctors were much more</w:t>
      </w:r>
      <w:r>
        <w:rPr>
          <w:spacing w:val="-8"/>
        </w:rPr>
        <w:t> </w:t>
      </w:r>
      <w:r>
        <w:rPr/>
        <w:t>likely</w:t>
      </w:r>
      <w:r>
        <w:rPr>
          <w:spacing w:val="-7"/>
        </w:rPr>
        <w:t> </w:t>
      </w:r>
      <w:r>
        <w:rPr/>
        <w:t>to</w:t>
      </w:r>
      <w:r>
        <w:rPr>
          <w:spacing w:val="-7"/>
        </w:rPr>
        <w:t> </w:t>
      </w:r>
      <w:r>
        <w:rPr/>
        <w:t>rarely</w:t>
      </w:r>
      <w:r>
        <w:rPr>
          <w:spacing w:val="-7"/>
        </w:rPr>
        <w:t> </w:t>
      </w:r>
      <w:r>
        <w:rPr/>
        <w:t>or</w:t>
      </w:r>
      <w:r>
        <w:rPr>
          <w:spacing w:val="-7"/>
        </w:rPr>
        <w:t> </w:t>
      </w:r>
      <w:r>
        <w:rPr/>
        <w:t>never</w:t>
      </w:r>
      <w:r>
        <w:rPr>
          <w:spacing w:val="-7"/>
        </w:rPr>
        <w:t> </w:t>
      </w:r>
      <w:r>
        <w:rPr/>
        <w:t>ask</w:t>
      </w:r>
      <w:r>
        <w:rPr>
          <w:spacing w:val="-7"/>
        </w:rPr>
        <w:t> </w:t>
      </w:r>
      <w:r>
        <w:rPr/>
        <w:t>patients</w:t>
      </w:r>
      <w:r>
        <w:rPr>
          <w:spacing w:val="-7"/>
        </w:rPr>
        <w:t> </w:t>
      </w:r>
      <w:r>
        <w:rPr/>
        <w:t>over</w:t>
      </w:r>
      <w:r>
        <w:rPr>
          <w:spacing w:val="-7"/>
        </w:rPr>
        <w:t> </w:t>
      </w:r>
      <w:r>
        <w:rPr/>
        <w:t>50</w:t>
      </w:r>
      <w:r>
        <w:rPr>
          <w:spacing w:val="-7"/>
        </w:rPr>
        <w:t> </w:t>
      </w:r>
      <w:r>
        <w:rPr/>
        <w:t>about</w:t>
      </w:r>
      <w:r>
        <w:rPr>
          <w:spacing w:val="-8"/>
        </w:rPr>
        <w:t> </w:t>
      </w:r>
      <w:r>
        <w:rPr/>
        <w:t>HIV/AIDS</w:t>
      </w:r>
      <w:r>
        <w:rPr>
          <w:spacing w:val="-7"/>
        </w:rPr>
        <w:t> </w:t>
      </w:r>
      <w:r>
        <w:rPr/>
        <w:t>risk</w:t>
      </w:r>
      <w:r>
        <w:rPr>
          <w:spacing w:val="-7"/>
        </w:rPr>
        <w:t> </w:t>
      </w:r>
      <w:r>
        <w:rPr/>
        <w:t>factors (40 percent) than to rarely or never ask patients under 30 (7 percent). Older persons may not be comfortable disclosing their sexual behaviors or substance abuse to others, since their generation or culture may not encourage such disclosures.</w:t>
      </w:r>
      <w:r>
        <w:rPr>
          <w:spacing w:val="-2"/>
        </w:rPr>
        <w:t> </w:t>
      </w:r>
      <w:r>
        <w:rPr/>
        <w:t>This can make finding treatment programs and support programs especially difficult.</w:t>
      </w:r>
    </w:p>
    <w:p>
      <w:pPr>
        <w:pStyle w:val="BodyText"/>
        <w:spacing w:before="6"/>
        <w:rPr>
          <w:sz w:val="25"/>
        </w:rPr>
      </w:pPr>
    </w:p>
    <w:p>
      <w:pPr>
        <w:pStyle w:val="BodyText"/>
        <w:spacing w:before="1"/>
        <w:ind w:left="280" w:right="669"/>
      </w:pPr>
      <w:r>
        <w:rPr/>
        <w:t>Certainly, there is a need to educate service providers about the sex- and substance- related behaviors of older persons.</w:t>
      </w:r>
      <w:r>
        <w:rPr>
          <w:spacing w:val="-20"/>
        </w:rPr>
        <w:t> </w:t>
      </w:r>
      <w:r>
        <w:rPr/>
        <w:t>At the very least, service providers should conduct thorough sex and substance abuse risk assessments with</w:t>
      </w:r>
      <w:r>
        <w:rPr>
          <w:spacing w:val="-4"/>
        </w:rPr>
        <w:t> </w:t>
      </w:r>
      <w:r>
        <w:rPr/>
        <w:t>their</w:t>
      </w:r>
      <w:r>
        <w:rPr>
          <w:spacing w:val="-4"/>
        </w:rPr>
        <w:t> </w:t>
      </w:r>
      <w:r>
        <w:rPr/>
        <w:t>patients</w:t>
      </w:r>
      <w:r>
        <w:rPr>
          <w:spacing w:val="-4"/>
        </w:rPr>
        <w:t> </w:t>
      </w:r>
      <w:r>
        <w:rPr/>
        <w:t>over</w:t>
      </w:r>
      <w:r>
        <w:rPr>
          <w:spacing w:val="-4"/>
        </w:rPr>
        <w:t> </w:t>
      </w:r>
      <w:r>
        <w:rPr/>
        <w:t>50,</w:t>
      </w:r>
      <w:r>
        <w:rPr>
          <w:spacing w:val="-4"/>
        </w:rPr>
        <w:t> </w:t>
      </w:r>
      <w:r>
        <w:rPr/>
        <w:t>and</w:t>
      </w:r>
      <w:r>
        <w:rPr>
          <w:spacing w:val="-4"/>
        </w:rPr>
        <w:t> </w:t>
      </w:r>
      <w:r>
        <w:rPr/>
        <w:t>challenge</w:t>
      </w:r>
      <w:r>
        <w:rPr>
          <w:spacing w:val="-8"/>
        </w:rPr>
        <w:t> </w:t>
      </w:r>
      <w:r>
        <w:rPr/>
        <w:t>all</w:t>
      </w:r>
      <w:r>
        <w:rPr>
          <w:spacing w:val="-7"/>
        </w:rPr>
        <w:t> </w:t>
      </w:r>
      <w:r>
        <w:rPr/>
        <w:t>assumptions</w:t>
      </w:r>
      <w:r>
        <w:rPr>
          <w:spacing w:val="-7"/>
        </w:rPr>
        <w:t> </w:t>
      </w:r>
      <w:r>
        <w:rPr/>
        <w:t>that</w:t>
      </w:r>
      <w:r>
        <w:rPr>
          <w:spacing w:val="-7"/>
        </w:rPr>
        <w:t> </w:t>
      </w:r>
      <w:r>
        <w:rPr/>
        <w:t>older</w:t>
      </w:r>
      <w:r>
        <w:rPr>
          <w:spacing w:val="-7"/>
        </w:rPr>
        <w:t> </w:t>
      </w:r>
      <w:r>
        <w:rPr/>
        <w:t>people</w:t>
      </w:r>
      <w:r>
        <w:rPr>
          <w:spacing w:val="-8"/>
        </w:rPr>
        <w:t> </w:t>
      </w:r>
      <w:r>
        <w:rPr/>
        <w:t>do not engage in these activities or will not discuss them.</w:t>
      </w:r>
    </w:p>
    <w:p>
      <w:pPr>
        <w:pStyle w:val="BodyText"/>
        <w:spacing w:before="11"/>
        <w:rPr>
          <w:sz w:val="26"/>
        </w:rPr>
      </w:pPr>
    </w:p>
    <w:p>
      <w:pPr>
        <w:pStyle w:val="Heading2"/>
      </w:pPr>
      <w:r>
        <w:rPr/>
        <w:t>Sex</w:t>
      </w:r>
      <w:r>
        <w:rPr>
          <w:spacing w:val="-3"/>
        </w:rPr>
        <w:t> </w:t>
      </w:r>
      <w:r>
        <w:rPr/>
        <w:t>industry</w:t>
      </w:r>
      <w:r>
        <w:rPr>
          <w:spacing w:val="-2"/>
        </w:rPr>
        <w:t> workers</w:t>
      </w:r>
    </w:p>
    <w:p>
      <w:pPr>
        <w:pStyle w:val="BodyText"/>
        <w:spacing w:before="7"/>
        <w:rPr>
          <w:b/>
          <w:sz w:val="27"/>
        </w:rPr>
      </w:pPr>
    </w:p>
    <w:p>
      <w:pPr>
        <w:pStyle w:val="BodyText"/>
        <w:ind w:left="280" w:right="668"/>
      </w:pPr>
      <w:r>
        <w:rPr/>
        <w:t>Among sex workers, street prostitutes are the most vulnerable to HIV infection, given the coexisting features of poverty, homelessness, history of childhood sexual abuse, and alcohol and drug dependence. Comparatively, male and female sex workers who work in massage parlors, escort services, their</w:t>
      </w:r>
      <w:r>
        <w:rPr>
          <w:spacing w:val="-3"/>
        </w:rPr>
        <w:t> </w:t>
      </w:r>
      <w:r>
        <w:rPr/>
        <w:t>own</w:t>
      </w:r>
      <w:r>
        <w:rPr>
          <w:spacing w:val="-3"/>
        </w:rPr>
        <w:t> </w:t>
      </w:r>
      <w:r>
        <w:rPr/>
        <w:t>apartments,</w:t>
      </w:r>
      <w:r>
        <w:rPr>
          <w:spacing w:val="-3"/>
        </w:rPr>
        <w:t> </w:t>
      </w:r>
      <w:r>
        <w:rPr/>
        <w:t>or</w:t>
      </w:r>
      <w:r>
        <w:rPr>
          <w:spacing w:val="-3"/>
        </w:rPr>
        <w:t> </w:t>
      </w:r>
      <w:r>
        <w:rPr/>
        <w:t>brothels</w:t>
      </w:r>
      <w:r>
        <w:rPr>
          <w:spacing w:val="-3"/>
        </w:rPr>
        <w:t> </w:t>
      </w:r>
      <w:r>
        <w:rPr/>
        <w:t>rather</w:t>
      </w:r>
      <w:r>
        <w:rPr>
          <w:spacing w:val="-3"/>
        </w:rPr>
        <w:t> </w:t>
      </w:r>
      <w:r>
        <w:rPr/>
        <w:t>than</w:t>
      </w:r>
      <w:r>
        <w:rPr>
          <w:spacing w:val="-3"/>
        </w:rPr>
        <w:t> </w:t>
      </w:r>
      <w:r>
        <w:rPr/>
        <w:t>on</w:t>
      </w:r>
      <w:r>
        <w:rPr>
          <w:spacing w:val="-3"/>
        </w:rPr>
        <w:t> </w:t>
      </w:r>
      <w:r>
        <w:rPr/>
        <w:t>the</w:t>
      </w:r>
      <w:r>
        <w:rPr>
          <w:spacing w:val="-4"/>
        </w:rPr>
        <w:t> </w:t>
      </w:r>
      <w:r>
        <w:rPr/>
        <w:t>street</w:t>
      </w:r>
      <w:r>
        <w:rPr>
          <w:spacing w:val="-7"/>
        </w:rPr>
        <w:t> </w:t>
      </w:r>
      <w:r>
        <w:rPr/>
        <w:t>are</w:t>
      </w:r>
      <w:r>
        <w:rPr>
          <w:spacing w:val="-8"/>
        </w:rPr>
        <w:t> </w:t>
      </w:r>
      <w:r>
        <w:rPr/>
        <w:t>far</w:t>
      </w:r>
      <w:r>
        <w:rPr>
          <w:spacing w:val="-7"/>
        </w:rPr>
        <w:t> </w:t>
      </w:r>
      <w:r>
        <w:rPr/>
        <w:t>less</w:t>
      </w:r>
      <w:r>
        <w:rPr>
          <w:spacing w:val="-7"/>
        </w:rPr>
        <w:t> </w:t>
      </w:r>
      <w:r>
        <w:rPr/>
        <w:t>likely</w:t>
      </w:r>
      <w:r>
        <w:rPr>
          <w:spacing w:val="-7"/>
        </w:rPr>
        <w:t> </w:t>
      </w:r>
      <w:r>
        <w:rPr/>
        <w:t>to be</w:t>
      </w:r>
      <w:r>
        <w:rPr>
          <w:spacing w:val="-8"/>
        </w:rPr>
        <w:t> </w:t>
      </w:r>
      <w:r>
        <w:rPr/>
        <w:t>at</w:t>
      </w:r>
      <w:r>
        <w:rPr>
          <w:spacing w:val="-7"/>
        </w:rPr>
        <w:t> </w:t>
      </w:r>
      <w:r>
        <w:rPr/>
        <w:t>risk</w:t>
      </w:r>
      <w:r>
        <w:rPr>
          <w:spacing w:val="-7"/>
        </w:rPr>
        <w:t> </w:t>
      </w:r>
      <w:r>
        <w:rPr/>
        <w:t>for</w:t>
      </w:r>
      <w:r>
        <w:rPr>
          <w:spacing w:val="-7"/>
        </w:rPr>
        <w:t> </w:t>
      </w:r>
      <w:r>
        <w:rPr/>
        <w:t>infection,</w:t>
      </w:r>
      <w:r>
        <w:rPr>
          <w:spacing w:val="-7"/>
        </w:rPr>
        <w:t> </w:t>
      </w:r>
      <w:r>
        <w:rPr/>
        <w:t>less</w:t>
      </w:r>
      <w:r>
        <w:rPr>
          <w:spacing w:val="-7"/>
        </w:rPr>
        <w:t> </w:t>
      </w:r>
      <w:r>
        <w:rPr/>
        <w:t>likely</w:t>
      </w:r>
      <w:r>
        <w:rPr>
          <w:spacing w:val="-7"/>
        </w:rPr>
        <w:t> </w:t>
      </w:r>
      <w:r>
        <w:rPr/>
        <w:t>to</w:t>
      </w:r>
      <w:r>
        <w:rPr>
          <w:spacing w:val="-7"/>
        </w:rPr>
        <w:t> </w:t>
      </w:r>
      <w:r>
        <w:rPr/>
        <w:t>depend</w:t>
      </w:r>
      <w:r>
        <w:rPr>
          <w:spacing w:val="-7"/>
        </w:rPr>
        <w:t> </w:t>
      </w:r>
      <w:r>
        <w:rPr/>
        <w:t>on</w:t>
      </w:r>
      <w:r>
        <w:rPr>
          <w:spacing w:val="-7"/>
        </w:rPr>
        <w:t> </w:t>
      </w:r>
      <w:r>
        <w:rPr/>
        <w:t>substances,</w:t>
      </w:r>
      <w:r>
        <w:rPr>
          <w:spacing w:val="-7"/>
        </w:rPr>
        <w:t> </w:t>
      </w:r>
      <w:r>
        <w:rPr/>
        <w:t>and</w:t>
      </w:r>
      <w:r>
        <w:rPr>
          <w:spacing w:val="-3"/>
        </w:rPr>
        <w:t> </w:t>
      </w:r>
      <w:r>
        <w:rPr/>
        <w:t>more</w:t>
      </w:r>
      <w:r>
        <w:rPr>
          <w:spacing w:val="-4"/>
        </w:rPr>
        <w:t> </w:t>
      </w:r>
      <w:r>
        <w:rPr/>
        <w:t>likely</w:t>
      </w:r>
      <w:r>
        <w:rPr>
          <w:spacing w:val="-3"/>
        </w:rPr>
        <w:t> </w:t>
      </w:r>
      <w:r>
        <w:rPr/>
        <w:t>to control sexual transactions and insist on condom use.</w:t>
      </w:r>
    </w:p>
    <w:p>
      <w:pPr>
        <w:spacing w:after="0"/>
        <w:sectPr>
          <w:pgSz w:w="12240" w:h="15840"/>
          <w:pgMar w:header="0" w:footer="792" w:top="1260" w:bottom="980" w:left="1400" w:right="1180"/>
        </w:sectPr>
      </w:pPr>
    </w:p>
    <w:p>
      <w:pPr>
        <w:pStyle w:val="BodyText"/>
        <w:spacing w:before="66"/>
        <w:ind w:left="280" w:right="517"/>
      </w:pPr>
      <w:r>
        <w:rPr/>
        <w:t>Among female sex workers, IDU continues to be the major cause of HIV infection. Female injection drug users who trade sex for money or drugs are more likely to share syringes than injection drug users who do not exchange sex</w:t>
      </w:r>
      <w:r>
        <w:rPr>
          <w:spacing w:val="-5"/>
        </w:rPr>
        <w:t> </w:t>
      </w:r>
      <w:r>
        <w:rPr/>
        <w:t>for</w:t>
      </w:r>
      <w:r>
        <w:rPr>
          <w:spacing w:val="-5"/>
        </w:rPr>
        <w:t> </w:t>
      </w:r>
      <w:r>
        <w:rPr/>
        <w:t>money</w:t>
      </w:r>
      <w:r>
        <w:rPr>
          <w:spacing w:val="-5"/>
        </w:rPr>
        <w:t> </w:t>
      </w:r>
      <w:r>
        <w:rPr/>
        <w:t>or</w:t>
      </w:r>
      <w:r>
        <w:rPr>
          <w:spacing w:val="-5"/>
        </w:rPr>
        <w:t> </w:t>
      </w:r>
      <w:r>
        <w:rPr/>
        <w:t>drugs.</w:t>
      </w:r>
      <w:r>
        <w:rPr>
          <w:spacing w:val="-5"/>
        </w:rPr>
        <w:t> </w:t>
      </w:r>
      <w:r>
        <w:rPr/>
        <w:t>Drug</w:t>
      </w:r>
      <w:r>
        <w:rPr>
          <w:spacing w:val="-5"/>
        </w:rPr>
        <w:t> </w:t>
      </w:r>
      <w:r>
        <w:rPr/>
        <w:t>use</w:t>
      </w:r>
      <w:r>
        <w:rPr>
          <w:spacing w:val="-3"/>
        </w:rPr>
        <w:t> </w:t>
      </w:r>
      <w:r>
        <w:rPr/>
        <w:t>also</w:t>
      </w:r>
      <w:r>
        <w:rPr>
          <w:spacing w:val="-2"/>
        </w:rPr>
        <w:t> </w:t>
      </w:r>
      <w:r>
        <w:rPr/>
        <w:t>increases</w:t>
      </w:r>
      <w:r>
        <w:rPr>
          <w:spacing w:val="-2"/>
        </w:rPr>
        <w:t> </w:t>
      </w:r>
      <w:r>
        <w:rPr/>
        <w:t>the</w:t>
      </w:r>
      <w:r>
        <w:rPr>
          <w:spacing w:val="-3"/>
        </w:rPr>
        <w:t> </w:t>
      </w:r>
      <w:r>
        <w:rPr/>
        <w:t>likelihood</w:t>
      </w:r>
      <w:r>
        <w:rPr>
          <w:spacing w:val="-2"/>
        </w:rPr>
        <w:t> </w:t>
      </w:r>
      <w:r>
        <w:rPr/>
        <w:t>of</w:t>
      </w:r>
      <w:r>
        <w:rPr>
          <w:spacing w:val="-2"/>
        </w:rPr>
        <w:t> </w:t>
      </w:r>
      <w:r>
        <w:rPr/>
        <w:t>sex</w:t>
      </w:r>
      <w:r>
        <w:rPr>
          <w:spacing w:val="-2"/>
        </w:rPr>
        <w:t> </w:t>
      </w:r>
      <w:r>
        <w:rPr/>
        <w:t>work</w:t>
      </w:r>
      <w:r>
        <w:rPr>
          <w:spacing w:val="-2"/>
        </w:rPr>
        <w:t> </w:t>
      </w:r>
      <w:r>
        <w:rPr/>
        <w:t>and risky</w:t>
      </w:r>
      <w:r>
        <w:rPr>
          <w:spacing w:val="-4"/>
        </w:rPr>
        <w:t> </w:t>
      </w:r>
      <w:r>
        <w:rPr/>
        <w:t>sex.</w:t>
      </w:r>
      <w:r>
        <w:rPr>
          <w:spacing w:val="-4"/>
        </w:rPr>
        <w:t> </w:t>
      </w:r>
      <w:r>
        <w:rPr/>
        <w:t>Studies</w:t>
      </w:r>
      <w:r>
        <w:rPr>
          <w:spacing w:val="-4"/>
        </w:rPr>
        <w:t> </w:t>
      </w:r>
      <w:r>
        <w:rPr/>
        <w:t>of</w:t>
      </w:r>
      <w:r>
        <w:rPr>
          <w:spacing w:val="-4"/>
        </w:rPr>
        <w:t> </w:t>
      </w:r>
      <w:r>
        <w:rPr/>
        <w:t>crack</w:t>
      </w:r>
      <w:r>
        <w:rPr>
          <w:spacing w:val="-4"/>
        </w:rPr>
        <w:t> </w:t>
      </w:r>
      <w:r>
        <w:rPr/>
        <w:t>cocaine</w:t>
      </w:r>
      <w:r>
        <w:rPr>
          <w:spacing w:val="-5"/>
        </w:rPr>
        <w:t> </w:t>
      </w:r>
      <w:r>
        <w:rPr/>
        <w:t>abusers</w:t>
      </w:r>
      <w:r>
        <w:rPr>
          <w:spacing w:val="-4"/>
        </w:rPr>
        <w:t> </w:t>
      </w:r>
      <w:r>
        <w:rPr/>
        <w:t>in</w:t>
      </w:r>
      <w:r>
        <w:rPr>
          <w:spacing w:val="-8"/>
        </w:rPr>
        <w:t> </w:t>
      </w:r>
      <w:r>
        <w:rPr/>
        <w:t>three</w:t>
      </w:r>
      <w:r>
        <w:rPr>
          <w:spacing w:val="-9"/>
        </w:rPr>
        <w:t> </w:t>
      </w:r>
      <w:r>
        <w:rPr/>
        <w:t>urban</w:t>
      </w:r>
      <w:r>
        <w:rPr>
          <w:spacing w:val="-8"/>
        </w:rPr>
        <w:t> </w:t>
      </w:r>
      <w:r>
        <w:rPr/>
        <w:t>neighborhoods</w:t>
      </w:r>
      <w:r>
        <w:rPr>
          <w:spacing w:val="-8"/>
        </w:rPr>
        <w:t> </w:t>
      </w:r>
      <w:r>
        <w:rPr/>
        <w:t>found that 68 percent of the women who were regular crack smokers exchanged sex for drugs or money. Of those, 30 percent had not used a condom in 30 days.</w:t>
      </w:r>
    </w:p>
    <w:p>
      <w:pPr>
        <w:pStyle w:val="BodyText"/>
        <w:spacing w:line="237" w:lineRule="auto"/>
        <w:ind w:left="280" w:right="499"/>
      </w:pPr>
      <w:r>
        <w:rPr/>
        <w:t>Recent research has also demonstrated an association between HIV infection, heavy</w:t>
      </w:r>
      <w:r>
        <w:rPr>
          <w:spacing w:val="-3"/>
        </w:rPr>
        <w:t> </w:t>
      </w:r>
      <w:r>
        <w:rPr/>
        <w:t>crack</w:t>
      </w:r>
      <w:r>
        <w:rPr>
          <w:spacing w:val="-3"/>
        </w:rPr>
        <w:t> </w:t>
      </w:r>
      <w:r>
        <w:rPr/>
        <w:t>use,</w:t>
      </w:r>
      <w:r>
        <w:rPr>
          <w:spacing w:val="-3"/>
        </w:rPr>
        <w:t> </w:t>
      </w:r>
      <w:r>
        <w:rPr/>
        <w:t>and</w:t>
      </w:r>
      <w:r>
        <w:rPr>
          <w:spacing w:val="-3"/>
        </w:rPr>
        <w:t> </w:t>
      </w:r>
      <w:r>
        <w:rPr/>
        <w:t>unprotected</w:t>
      </w:r>
      <w:r>
        <w:rPr>
          <w:spacing w:val="-3"/>
        </w:rPr>
        <w:t> </w:t>
      </w:r>
      <w:r>
        <w:rPr/>
        <w:t>fellatio.</w:t>
      </w:r>
      <w:r>
        <w:rPr>
          <w:spacing w:val="-9"/>
        </w:rPr>
        <w:t> </w:t>
      </w:r>
      <w:r>
        <w:rPr/>
        <w:t>This</w:t>
      </w:r>
      <w:r>
        <w:rPr>
          <w:spacing w:val="-3"/>
        </w:rPr>
        <w:t> </w:t>
      </w:r>
      <w:r>
        <w:rPr/>
        <w:t>is</w:t>
      </w:r>
      <w:r>
        <w:rPr>
          <w:spacing w:val="-3"/>
        </w:rPr>
        <w:t> </w:t>
      </w:r>
      <w:r>
        <w:rPr/>
        <w:t>likely</w:t>
      </w:r>
      <w:r>
        <w:rPr>
          <w:spacing w:val="-3"/>
        </w:rPr>
        <w:t> </w:t>
      </w:r>
      <w:r>
        <w:rPr/>
        <w:t>due</w:t>
      </w:r>
      <w:r>
        <w:rPr>
          <w:spacing w:val="-4"/>
        </w:rPr>
        <w:t> </w:t>
      </w:r>
      <w:r>
        <w:rPr/>
        <w:t>to</w:t>
      </w:r>
      <w:r>
        <w:rPr>
          <w:spacing w:val="-3"/>
        </w:rPr>
        <w:t> </w:t>
      </w:r>
      <w:r>
        <w:rPr/>
        <w:t>the</w:t>
      </w:r>
      <w:r>
        <w:rPr>
          <w:spacing w:val="-4"/>
        </w:rPr>
        <w:t> </w:t>
      </w:r>
      <w:r>
        <w:rPr/>
        <w:t>combination of poor dental hygiene, damage to the mouth from hot crack stems or pipes, high frequency of fellatio, and inconsistent or marginal condom use. Street- based</w:t>
      </w:r>
      <w:r>
        <w:rPr>
          <w:spacing w:val="-5"/>
        </w:rPr>
        <w:t> </w:t>
      </w:r>
      <w:r>
        <w:rPr/>
        <w:t>sex</w:t>
      </w:r>
      <w:r>
        <w:rPr>
          <w:spacing w:val="-5"/>
        </w:rPr>
        <w:t> </w:t>
      </w:r>
      <w:r>
        <w:rPr/>
        <w:t>workers</w:t>
      </w:r>
      <w:r>
        <w:rPr>
          <w:spacing w:val="-5"/>
        </w:rPr>
        <w:t> </w:t>
      </w:r>
      <w:r>
        <w:rPr/>
        <w:t>may</w:t>
      </w:r>
      <w:r>
        <w:rPr>
          <w:spacing w:val="-5"/>
        </w:rPr>
        <w:t> </w:t>
      </w:r>
      <w:r>
        <w:rPr/>
        <w:t>agree</w:t>
      </w:r>
      <w:r>
        <w:rPr>
          <w:spacing w:val="-6"/>
        </w:rPr>
        <w:t> </w:t>
      </w:r>
      <w:r>
        <w:rPr/>
        <w:t>to</w:t>
      </w:r>
      <w:r>
        <w:rPr>
          <w:spacing w:val="-5"/>
        </w:rPr>
        <w:t> </w:t>
      </w:r>
      <w:r>
        <w:rPr/>
        <w:t>unprotected</w:t>
      </w:r>
      <w:r>
        <w:rPr>
          <w:spacing w:val="-5"/>
        </w:rPr>
        <w:t> </w:t>
      </w:r>
      <w:r>
        <w:rPr/>
        <w:t>sex</w:t>
      </w:r>
      <w:r>
        <w:rPr>
          <w:spacing w:val="-5"/>
        </w:rPr>
        <w:t> </w:t>
      </w:r>
      <w:r>
        <w:rPr/>
        <w:t>if</w:t>
      </w:r>
      <w:r>
        <w:rPr>
          <w:spacing w:val="-5"/>
        </w:rPr>
        <w:t> </w:t>
      </w:r>
      <w:r>
        <w:rPr/>
        <w:t>clients</w:t>
      </w:r>
      <w:r>
        <w:rPr>
          <w:spacing w:val="-5"/>
        </w:rPr>
        <w:t> </w:t>
      </w:r>
      <w:r>
        <w:rPr/>
        <w:t>offer</w:t>
      </w:r>
      <w:r>
        <w:rPr>
          <w:spacing w:val="-5"/>
        </w:rPr>
        <w:t> </w:t>
      </w:r>
      <w:r>
        <w:rPr/>
        <w:t>more</w:t>
      </w:r>
      <w:r>
        <w:rPr>
          <w:spacing w:val="-6"/>
        </w:rPr>
        <w:t> </w:t>
      </w:r>
      <w:r>
        <w:rPr/>
        <w:t>money,</w:t>
      </w:r>
      <w:r>
        <w:rPr>
          <w:spacing w:val="-5"/>
        </w:rPr>
        <w:t> </w:t>
      </w:r>
      <w:r>
        <w:rPr/>
        <w:t>if workers themselves are desperate for money to buy drugs, or if activity has been slow.</w:t>
      </w:r>
    </w:p>
    <w:p>
      <w:pPr>
        <w:pStyle w:val="BodyText"/>
        <w:spacing w:before="4"/>
        <w:rPr>
          <w:sz w:val="27"/>
        </w:rPr>
      </w:pPr>
    </w:p>
    <w:p>
      <w:pPr>
        <w:pStyle w:val="BodyText"/>
        <w:ind w:left="280" w:right="502"/>
      </w:pPr>
      <w:r>
        <w:rPr/>
        <w:t>HIV treatment challenges may occur given the sex workers' more immediate needs for drugs, food, and housing. These needs overshadow future concerns about living with HIV/AIDS. Beyond this, sex workers with HIV/AIDS may continue to work routinely for the purpose of exchanging sex for drugs or money. Sex workers thus run risks of spreading HIV/AIDS as well as reinfection</w:t>
      </w:r>
      <w:r>
        <w:rPr>
          <w:spacing w:val="-4"/>
        </w:rPr>
        <w:t> </w:t>
      </w:r>
      <w:r>
        <w:rPr/>
        <w:t>of</w:t>
      </w:r>
      <w:r>
        <w:rPr>
          <w:spacing w:val="-4"/>
        </w:rPr>
        <w:t> </w:t>
      </w:r>
      <w:r>
        <w:rPr/>
        <w:t>HIV</w:t>
      </w:r>
      <w:r>
        <w:rPr>
          <w:spacing w:val="-10"/>
        </w:rPr>
        <w:t> </w:t>
      </w:r>
      <w:r>
        <w:rPr/>
        <w:t>and</w:t>
      </w:r>
      <w:r>
        <w:rPr>
          <w:spacing w:val="-4"/>
        </w:rPr>
        <w:t> </w:t>
      </w:r>
      <w:r>
        <w:rPr/>
        <w:t>the</w:t>
      </w:r>
      <w:r>
        <w:rPr>
          <w:spacing w:val="-5"/>
        </w:rPr>
        <w:t> </w:t>
      </w:r>
      <w:r>
        <w:rPr/>
        <w:t>acquisition</w:t>
      </w:r>
      <w:r>
        <w:rPr>
          <w:spacing w:val="-4"/>
        </w:rPr>
        <w:t> </w:t>
      </w:r>
      <w:r>
        <w:rPr/>
        <w:t>and</w:t>
      </w:r>
      <w:r>
        <w:rPr>
          <w:spacing w:val="-4"/>
        </w:rPr>
        <w:t> </w:t>
      </w:r>
      <w:r>
        <w:rPr/>
        <w:t>transmission</w:t>
      </w:r>
      <w:r>
        <w:rPr>
          <w:spacing w:val="-4"/>
        </w:rPr>
        <w:t> </w:t>
      </w:r>
      <w:r>
        <w:rPr/>
        <w:t>of</w:t>
      </w:r>
      <w:r>
        <w:rPr>
          <w:spacing w:val="-4"/>
        </w:rPr>
        <w:t> </w:t>
      </w:r>
      <w:r>
        <w:rPr/>
        <w:t>other</w:t>
      </w:r>
      <w:r>
        <w:rPr>
          <w:spacing w:val="-4"/>
        </w:rPr>
        <w:t> </w:t>
      </w:r>
      <w:r>
        <w:rPr/>
        <w:t>diseases</w:t>
      </w:r>
      <w:r>
        <w:rPr>
          <w:spacing w:val="-4"/>
        </w:rPr>
        <w:t> </w:t>
      </w:r>
      <w:r>
        <w:rPr/>
        <w:t>such as hepatitis and STDs.</w:t>
      </w:r>
    </w:p>
    <w:p>
      <w:pPr>
        <w:pStyle w:val="BodyText"/>
        <w:spacing w:before="7"/>
        <w:rPr>
          <w:sz w:val="26"/>
        </w:rPr>
      </w:pPr>
    </w:p>
    <w:p>
      <w:pPr>
        <w:pStyle w:val="BodyText"/>
        <w:ind w:left="280" w:right="502"/>
      </w:pPr>
      <w:r>
        <w:rPr/>
        <w:t>There</w:t>
      </w:r>
      <w:r>
        <w:rPr>
          <w:spacing w:val="-4"/>
        </w:rPr>
        <w:t> </w:t>
      </w:r>
      <w:r>
        <w:rPr/>
        <w:t>are</w:t>
      </w:r>
      <w:r>
        <w:rPr>
          <w:spacing w:val="-4"/>
        </w:rPr>
        <w:t> </w:t>
      </w:r>
      <w:r>
        <w:rPr/>
        <w:t>many</w:t>
      </w:r>
      <w:r>
        <w:rPr>
          <w:spacing w:val="-3"/>
        </w:rPr>
        <w:t> </w:t>
      </w:r>
      <w:r>
        <w:rPr/>
        <w:t>examples</w:t>
      </w:r>
      <w:r>
        <w:rPr>
          <w:spacing w:val="-3"/>
        </w:rPr>
        <w:t> </w:t>
      </w:r>
      <w:r>
        <w:rPr/>
        <w:t>of</w:t>
      </w:r>
      <w:r>
        <w:rPr>
          <w:spacing w:val="-3"/>
        </w:rPr>
        <w:t> </w:t>
      </w:r>
      <w:r>
        <w:rPr/>
        <w:t>effective</w:t>
      </w:r>
      <w:r>
        <w:rPr>
          <w:spacing w:val="-4"/>
        </w:rPr>
        <w:t> </w:t>
      </w:r>
      <w:r>
        <w:rPr/>
        <w:t>treatment</w:t>
      </w:r>
      <w:r>
        <w:rPr>
          <w:spacing w:val="-4"/>
        </w:rPr>
        <w:t> </w:t>
      </w:r>
      <w:r>
        <w:rPr/>
        <w:t>programs</w:t>
      </w:r>
      <w:r>
        <w:rPr>
          <w:spacing w:val="-3"/>
        </w:rPr>
        <w:t> </w:t>
      </w:r>
      <w:r>
        <w:rPr/>
        <w:t>for</w:t>
      </w:r>
      <w:r>
        <w:rPr>
          <w:spacing w:val="-3"/>
        </w:rPr>
        <w:t> </w:t>
      </w:r>
      <w:r>
        <w:rPr/>
        <w:t>sex</w:t>
      </w:r>
      <w:r>
        <w:rPr>
          <w:spacing w:val="-3"/>
        </w:rPr>
        <w:t> </w:t>
      </w:r>
      <w:r>
        <w:rPr/>
        <w:t>workers</w:t>
      </w:r>
      <w:r>
        <w:rPr>
          <w:spacing w:val="-3"/>
        </w:rPr>
        <w:t> </w:t>
      </w:r>
      <w:r>
        <w:rPr/>
        <w:t>with substance abuse disorders, including the California Prostitutes Education Project (CAL-PEP); Sisters Helping Each Other in Chicago, Illinois; Second Chance in Toledo, Ohio; the Threshold Project in Seattle,</w:t>
      </w:r>
      <w:r>
        <w:rPr>
          <w:spacing w:val="-9"/>
        </w:rPr>
        <w:t> </w:t>
      </w:r>
      <w:r>
        <w:rPr/>
        <w:t>Washington; Alternatives</w:t>
      </w:r>
      <w:r>
        <w:rPr>
          <w:spacing w:val="-11"/>
        </w:rPr>
        <w:t> </w:t>
      </w:r>
      <w:r>
        <w:rPr/>
        <w:t>for</w:t>
      </w:r>
      <w:r>
        <w:rPr>
          <w:spacing w:val="-10"/>
        </w:rPr>
        <w:t> </w:t>
      </w:r>
      <w:r>
        <w:rPr/>
        <w:t>Girls</w:t>
      </w:r>
      <w:r>
        <w:rPr>
          <w:spacing w:val="-11"/>
        </w:rPr>
        <w:t> </w:t>
      </w:r>
      <w:r>
        <w:rPr/>
        <w:t>in</w:t>
      </w:r>
      <w:r>
        <w:rPr>
          <w:spacing w:val="-10"/>
        </w:rPr>
        <w:t> </w:t>
      </w:r>
      <w:r>
        <w:rPr/>
        <w:t>Detroit,</w:t>
      </w:r>
      <w:r>
        <w:rPr>
          <w:spacing w:val="-11"/>
        </w:rPr>
        <w:t> </w:t>
      </w:r>
      <w:r>
        <w:rPr/>
        <w:t>Michigan;</w:t>
      </w:r>
      <w:r>
        <w:rPr>
          <w:spacing w:val="-12"/>
        </w:rPr>
        <w:t> </w:t>
      </w:r>
      <w:r>
        <w:rPr/>
        <w:t>and</w:t>
      </w:r>
      <w:r>
        <w:rPr>
          <w:spacing w:val="-3"/>
        </w:rPr>
        <w:t> </w:t>
      </w:r>
      <w:r>
        <w:rPr/>
        <w:t>the</w:t>
      </w:r>
      <w:r>
        <w:rPr>
          <w:spacing w:val="-4"/>
        </w:rPr>
        <w:t> </w:t>
      </w:r>
      <w:r>
        <w:rPr/>
        <w:t>On</w:t>
      </w:r>
      <w:r>
        <w:rPr>
          <w:spacing w:val="-3"/>
        </w:rPr>
        <w:t> </w:t>
      </w:r>
      <w:r>
        <w:rPr/>
        <w:t>the</w:t>
      </w:r>
      <w:r>
        <w:rPr>
          <w:spacing w:val="-4"/>
        </w:rPr>
        <w:t> </w:t>
      </w:r>
      <w:r>
        <w:rPr/>
        <w:t>Streets</w:t>
      </w:r>
      <w:r>
        <w:rPr>
          <w:spacing w:val="-3"/>
        </w:rPr>
        <w:t> </w:t>
      </w:r>
      <w:r>
        <w:rPr/>
        <w:t>Mobile</w:t>
      </w:r>
      <w:r>
        <w:rPr>
          <w:spacing w:val="-4"/>
        </w:rPr>
        <w:t> </w:t>
      </w:r>
      <w:r>
        <w:rPr/>
        <w:t>Unit- Options Program in New</w:t>
      </w:r>
      <w:r>
        <w:rPr>
          <w:spacing w:val="-6"/>
        </w:rPr>
        <w:t> </w:t>
      </w:r>
      <w:r>
        <w:rPr/>
        <w:t>York City. Most of these programs use former sex workers as outreach staff, use a risk-reduction model of care, and establish linkages with organizations in the treatment continuum.</w:t>
      </w:r>
    </w:p>
    <w:p>
      <w:pPr>
        <w:pStyle w:val="BodyText"/>
        <w:spacing w:before="6"/>
        <w:rPr>
          <w:sz w:val="26"/>
        </w:rPr>
      </w:pPr>
    </w:p>
    <w:p>
      <w:pPr>
        <w:pStyle w:val="Heading2"/>
      </w:pPr>
      <w:r>
        <w:rPr/>
        <w:t>Individual</w:t>
      </w:r>
      <w:r>
        <w:rPr>
          <w:spacing w:val="-6"/>
        </w:rPr>
        <w:t> </w:t>
      </w:r>
      <w:r>
        <w:rPr/>
        <w:t>therapy</w:t>
      </w:r>
      <w:r>
        <w:rPr>
          <w:spacing w:val="-4"/>
        </w:rPr>
        <w:t> </w:t>
      </w:r>
      <w:r>
        <w:rPr>
          <w:spacing w:val="-2"/>
        </w:rPr>
        <w:t>strategies</w:t>
      </w:r>
    </w:p>
    <w:p>
      <w:pPr>
        <w:pStyle w:val="ListParagraph"/>
        <w:numPr>
          <w:ilvl w:val="0"/>
          <w:numId w:val="21"/>
        </w:numPr>
        <w:tabs>
          <w:tab w:pos="1216" w:val="left" w:leader="none"/>
          <w:tab w:pos="1218" w:val="left" w:leader="none"/>
        </w:tabs>
        <w:spacing w:line="235" w:lineRule="auto" w:before="264" w:after="0"/>
        <w:ind w:left="1218" w:right="803" w:hanging="459"/>
        <w:jc w:val="left"/>
        <w:rPr>
          <w:sz w:val="28"/>
        </w:rPr>
      </w:pPr>
      <w:r>
        <w:rPr>
          <w:sz w:val="28"/>
        </w:rPr>
        <w:t>Clients</w:t>
      </w:r>
      <w:r>
        <w:rPr>
          <w:spacing w:val="-2"/>
          <w:sz w:val="28"/>
        </w:rPr>
        <w:t> </w:t>
      </w:r>
      <w:r>
        <w:rPr>
          <w:sz w:val="28"/>
        </w:rPr>
        <w:t>may</w:t>
      </w:r>
      <w:r>
        <w:rPr>
          <w:spacing w:val="-2"/>
          <w:sz w:val="28"/>
        </w:rPr>
        <w:t> </w:t>
      </w:r>
      <w:r>
        <w:rPr>
          <w:sz w:val="28"/>
        </w:rPr>
        <w:t>raise</w:t>
      </w:r>
      <w:r>
        <w:rPr>
          <w:spacing w:val="-3"/>
          <w:sz w:val="28"/>
        </w:rPr>
        <w:t> </w:t>
      </w:r>
      <w:r>
        <w:rPr>
          <w:sz w:val="28"/>
        </w:rPr>
        <w:t>several</w:t>
      </w:r>
      <w:r>
        <w:rPr>
          <w:spacing w:val="-2"/>
          <w:sz w:val="28"/>
        </w:rPr>
        <w:t> </w:t>
      </w:r>
      <w:r>
        <w:rPr>
          <w:sz w:val="28"/>
        </w:rPr>
        <w:t>issues</w:t>
      </w:r>
      <w:r>
        <w:rPr>
          <w:spacing w:val="-2"/>
          <w:sz w:val="28"/>
        </w:rPr>
        <w:t> </w:t>
      </w:r>
      <w:r>
        <w:rPr>
          <w:sz w:val="28"/>
        </w:rPr>
        <w:t>in</w:t>
      </w:r>
      <w:r>
        <w:rPr>
          <w:spacing w:val="-2"/>
          <w:sz w:val="28"/>
        </w:rPr>
        <w:t> </w:t>
      </w:r>
      <w:r>
        <w:rPr>
          <w:sz w:val="28"/>
        </w:rPr>
        <w:t>therapy</w:t>
      </w:r>
      <w:r>
        <w:rPr>
          <w:spacing w:val="-2"/>
          <w:sz w:val="28"/>
        </w:rPr>
        <w:t> </w:t>
      </w:r>
      <w:r>
        <w:rPr>
          <w:sz w:val="28"/>
        </w:rPr>
        <w:t>that</w:t>
      </w:r>
      <w:r>
        <w:rPr>
          <w:spacing w:val="-2"/>
          <w:sz w:val="28"/>
        </w:rPr>
        <w:t> </w:t>
      </w:r>
      <w:r>
        <w:rPr>
          <w:sz w:val="28"/>
        </w:rPr>
        <w:t>then</w:t>
      </w:r>
      <w:r>
        <w:rPr>
          <w:spacing w:val="-2"/>
          <w:sz w:val="28"/>
        </w:rPr>
        <w:t> </w:t>
      </w:r>
      <w:r>
        <w:rPr>
          <w:sz w:val="28"/>
        </w:rPr>
        <w:t>become</w:t>
      </w:r>
      <w:r>
        <w:rPr>
          <w:spacing w:val="-3"/>
          <w:sz w:val="28"/>
        </w:rPr>
        <w:t> </w:t>
      </w:r>
      <w:r>
        <w:rPr>
          <w:sz w:val="28"/>
        </w:rPr>
        <w:t>clinical issues. Following are common issues that clients raise during the inpatient</w:t>
      </w:r>
      <w:r>
        <w:rPr>
          <w:spacing w:val="-5"/>
          <w:sz w:val="28"/>
        </w:rPr>
        <w:t> </w:t>
      </w:r>
      <w:r>
        <w:rPr>
          <w:sz w:val="28"/>
        </w:rPr>
        <w:t>treatment</w:t>
      </w:r>
      <w:r>
        <w:rPr>
          <w:spacing w:val="-5"/>
          <w:sz w:val="28"/>
        </w:rPr>
        <w:t> </w:t>
      </w:r>
      <w:r>
        <w:rPr>
          <w:sz w:val="28"/>
        </w:rPr>
        <w:t>process</w:t>
      </w:r>
      <w:r>
        <w:rPr>
          <w:spacing w:val="-5"/>
          <w:sz w:val="28"/>
        </w:rPr>
        <w:t> </w:t>
      </w:r>
      <w:r>
        <w:rPr>
          <w:sz w:val="28"/>
        </w:rPr>
        <w:t>along</w:t>
      </w:r>
      <w:r>
        <w:rPr>
          <w:spacing w:val="-5"/>
          <w:sz w:val="28"/>
        </w:rPr>
        <w:t> </w:t>
      </w:r>
      <w:r>
        <w:rPr>
          <w:sz w:val="28"/>
        </w:rPr>
        <w:t>with</w:t>
      </w:r>
      <w:r>
        <w:rPr>
          <w:spacing w:val="-5"/>
          <w:sz w:val="28"/>
        </w:rPr>
        <w:t> </w:t>
      </w:r>
      <w:r>
        <w:rPr>
          <w:sz w:val="28"/>
        </w:rPr>
        <w:t>suggested</w:t>
      </w:r>
      <w:r>
        <w:rPr>
          <w:spacing w:val="-5"/>
          <w:sz w:val="28"/>
        </w:rPr>
        <w:t> </w:t>
      </w:r>
      <w:r>
        <w:rPr>
          <w:sz w:val="28"/>
        </w:rPr>
        <w:t>responses</w:t>
      </w:r>
      <w:r>
        <w:rPr>
          <w:spacing w:val="-5"/>
          <w:sz w:val="28"/>
        </w:rPr>
        <w:t> </w:t>
      </w:r>
      <w:r>
        <w:rPr>
          <w:sz w:val="28"/>
        </w:rPr>
        <w:t>from</w:t>
      </w:r>
      <w:r>
        <w:rPr>
          <w:spacing w:val="-5"/>
          <w:sz w:val="28"/>
        </w:rPr>
        <w:t> </w:t>
      </w:r>
      <w:r>
        <w:rPr>
          <w:sz w:val="28"/>
        </w:rPr>
        <w:t>the counselor during individual therapy:</w:t>
      </w:r>
    </w:p>
    <w:p>
      <w:pPr>
        <w:pStyle w:val="ListParagraph"/>
        <w:numPr>
          <w:ilvl w:val="0"/>
          <w:numId w:val="21"/>
        </w:numPr>
        <w:tabs>
          <w:tab w:pos="1217" w:val="left" w:leader="none"/>
        </w:tabs>
        <w:spacing w:line="325" w:lineRule="exact" w:before="0" w:after="0"/>
        <w:ind w:left="1217" w:right="0" w:hanging="457"/>
        <w:jc w:val="left"/>
        <w:rPr>
          <w:sz w:val="28"/>
        </w:rPr>
      </w:pPr>
      <w:r>
        <w:rPr>
          <w:sz w:val="28"/>
        </w:rPr>
        <w:t>Feeling</w:t>
      </w:r>
      <w:r>
        <w:rPr>
          <w:spacing w:val="-6"/>
          <w:sz w:val="28"/>
        </w:rPr>
        <w:t> </w:t>
      </w:r>
      <w:r>
        <w:rPr>
          <w:sz w:val="28"/>
        </w:rPr>
        <w:t>the</w:t>
      </w:r>
      <w:r>
        <w:rPr>
          <w:spacing w:val="-3"/>
          <w:sz w:val="28"/>
        </w:rPr>
        <w:t> </w:t>
      </w:r>
      <w:r>
        <w:rPr>
          <w:sz w:val="28"/>
        </w:rPr>
        <w:t>problem</w:t>
      </w:r>
      <w:r>
        <w:rPr>
          <w:spacing w:val="-3"/>
          <w:sz w:val="28"/>
        </w:rPr>
        <w:t> </w:t>
      </w:r>
      <w:r>
        <w:rPr>
          <w:sz w:val="28"/>
        </w:rPr>
        <w:t>(of</w:t>
      </w:r>
      <w:r>
        <w:rPr>
          <w:spacing w:val="-1"/>
          <w:sz w:val="28"/>
        </w:rPr>
        <w:t> </w:t>
      </w:r>
      <w:r>
        <w:rPr>
          <w:sz w:val="28"/>
        </w:rPr>
        <w:t>HIV</w:t>
      </w:r>
      <w:r>
        <w:rPr>
          <w:spacing w:val="-14"/>
          <w:sz w:val="28"/>
        </w:rPr>
        <w:t> </w:t>
      </w:r>
      <w:r>
        <w:rPr>
          <w:sz w:val="28"/>
        </w:rPr>
        <w:t>infection</w:t>
      </w:r>
      <w:r>
        <w:rPr>
          <w:spacing w:val="-2"/>
          <w:sz w:val="28"/>
        </w:rPr>
        <w:t> </w:t>
      </w:r>
      <w:r>
        <w:rPr>
          <w:sz w:val="28"/>
        </w:rPr>
        <w:t>or</w:t>
      </w:r>
      <w:r>
        <w:rPr>
          <w:spacing w:val="-3"/>
          <w:sz w:val="28"/>
        </w:rPr>
        <w:t> </w:t>
      </w:r>
      <w:r>
        <w:rPr>
          <w:sz w:val="28"/>
        </w:rPr>
        <w:t>living</w:t>
      </w:r>
      <w:r>
        <w:rPr>
          <w:spacing w:val="-1"/>
          <w:sz w:val="28"/>
        </w:rPr>
        <w:t> </w:t>
      </w:r>
      <w:r>
        <w:rPr>
          <w:sz w:val="28"/>
        </w:rPr>
        <w:t>with</w:t>
      </w:r>
      <w:r>
        <w:rPr>
          <w:spacing w:val="-33"/>
          <w:sz w:val="28"/>
        </w:rPr>
        <w:t> </w:t>
      </w:r>
      <w:r>
        <w:rPr>
          <w:sz w:val="28"/>
        </w:rPr>
        <w:t>AIDS)</w:t>
      </w:r>
      <w:r>
        <w:rPr>
          <w:spacing w:val="-3"/>
          <w:sz w:val="28"/>
        </w:rPr>
        <w:t> </w:t>
      </w:r>
      <w:r>
        <w:rPr>
          <w:sz w:val="28"/>
        </w:rPr>
        <w:t>has</w:t>
      </w:r>
      <w:r>
        <w:rPr>
          <w:spacing w:val="-1"/>
          <w:sz w:val="28"/>
        </w:rPr>
        <w:t> </w:t>
      </w:r>
      <w:r>
        <w:rPr>
          <w:spacing w:val="-5"/>
          <w:sz w:val="28"/>
        </w:rPr>
        <w:t>not</w:t>
      </w:r>
    </w:p>
    <w:p>
      <w:pPr>
        <w:pStyle w:val="BodyText"/>
        <w:spacing w:line="237" w:lineRule="auto"/>
        <w:ind w:left="1218" w:right="499"/>
      </w:pPr>
      <w:r>
        <w:rPr/>
        <w:t>"hit</w:t>
      </w:r>
      <w:r>
        <w:rPr>
          <w:spacing w:val="-8"/>
        </w:rPr>
        <w:t> </w:t>
      </w:r>
      <w:r>
        <w:rPr/>
        <w:t>them"</w:t>
      </w:r>
      <w:r>
        <w:rPr>
          <w:spacing w:val="-8"/>
        </w:rPr>
        <w:t> </w:t>
      </w:r>
      <w:r>
        <w:rPr/>
        <w:t>yet.</w:t>
      </w:r>
      <w:r>
        <w:rPr>
          <w:spacing w:val="-18"/>
        </w:rPr>
        <w:t> </w:t>
      </w:r>
      <w:r>
        <w:rPr/>
        <w:t>The</w:t>
      </w:r>
      <w:r>
        <w:rPr>
          <w:spacing w:val="-8"/>
        </w:rPr>
        <w:t> </w:t>
      </w:r>
      <w:r>
        <w:rPr/>
        <w:t>counselor</w:t>
      </w:r>
      <w:r>
        <w:rPr>
          <w:spacing w:val="-8"/>
        </w:rPr>
        <w:t> </w:t>
      </w:r>
      <w:r>
        <w:rPr/>
        <w:t>can</w:t>
      </w:r>
      <w:r>
        <w:rPr>
          <w:spacing w:val="-8"/>
        </w:rPr>
        <w:t> </w:t>
      </w:r>
      <w:r>
        <w:rPr/>
        <w:t>provide</w:t>
      </w:r>
      <w:r>
        <w:rPr>
          <w:spacing w:val="-9"/>
        </w:rPr>
        <w:t> </w:t>
      </w:r>
      <w:r>
        <w:rPr/>
        <w:t>the</w:t>
      </w:r>
      <w:r>
        <w:rPr>
          <w:spacing w:val="-9"/>
        </w:rPr>
        <w:t> </w:t>
      </w:r>
      <w:r>
        <w:rPr/>
        <w:t>client</w:t>
      </w:r>
      <w:r>
        <w:rPr>
          <w:spacing w:val="-9"/>
        </w:rPr>
        <w:t> </w:t>
      </w:r>
      <w:r>
        <w:rPr/>
        <w:t>with</w:t>
      </w:r>
      <w:r>
        <w:rPr>
          <w:spacing w:val="-8"/>
        </w:rPr>
        <w:t> </w:t>
      </w:r>
      <w:r>
        <w:rPr/>
        <w:t>education about</w:t>
      </w:r>
      <w:r>
        <w:rPr>
          <w:spacing w:val="-2"/>
        </w:rPr>
        <w:t> </w:t>
      </w:r>
      <w:r>
        <w:rPr/>
        <w:t>risky</w:t>
      </w:r>
      <w:r>
        <w:rPr>
          <w:spacing w:val="-1"/>
        </w:rPr>
        <w:t> </w:t>
      </w:r>
      <w:r>
        <w:rPr/>
        <w:t>behaviors,</w:t>
      </w:r>
      <w:r>
        <w:rPr>
          <w:spacing w:val="-1"/>
        </w:rPr>
        <w:t> </w:t>
      </w:r>
      <w:r>
        <w:rPr/>
        <w:t>living</w:t>
      </w:r>
      <w:r>
        <w:rPr>
          <w:spacing w:val="-1"/>
        </w:rPr>
        <w:t> </w:t>
      </w:r>
      <w:r>
        <w:rPr/>
        <w:t>with</w:t>
      </w:r>
      <w:r>
        <w:rPr>
          <w:spacing w:val="-29"/>
        </w:rPr>
        <w:t> </w:t>
      </w:r>
      <w:r>
        <w:rPr/>
        <w:t>AIDS,</w:t>
      </w:r>
      <w:r>
        <w:rPr>
          <w:spacing w:val="-1"/>
        </w:rPr>
        <w:t> </w:t>
      </w:r>
      <w:r>
        <w:rPr/>
        <w:t>and</w:t>
      </w:r>
      <w:r>
        <w:rPr>
          <w:spacing w:val="-1"/>
        </w:rPr>
        <w:t> </w:t>
      </w:r>
      <w:r>
        <w:rPr/>
        <w:t>so</w:t>
      </w:r>
      <w:r>
        <w:rPr>
          <w:spacing w:val="-1"/>
        </w:rPr>
        <w:t> </w:t>
      </w:r>
      <w:r>
        <w:rPr/>
        <w:t>on.</w:t>
      </w:r>
      <w:r>
        <w:rPr>
          <w:spacing w:val="-1"/>
        </w:rPr>
        <w:t> </w:t>
      </w:r>
      <w:r>
        <w:rPr/>
        <w:t>Presenting </w:t>
      </w:r>
      <w:r>
        <w:rPr>
          <w:spacing w:val="-5"/>
        </w:rPr>
        <w:t>the</w:t>
      </w:r>
    </w:p>
    <w:p>
      <w:pPr>
        <w:spacing w:after="0" w:line="237" w:lineRule="auto"/>
        <w:sectPr>
          <w:pgSz w:w="12240" w:h="15840"/>
          <w:pgMar w:header="0" w:footer="792" w:top="1580" w:bottom="980" w:left="1400" w:right="1180"/>
        </w:sectPr>
      </w:pPr>
    </w:p>
    <w:p>
      <w:pPr>
        <w:pStyle w:val="BodyText"/>
        <w:spacing w:before="66"/>
        <w:ind w:left="1218" w:right="502"/>
      </w:pPr>
      <w:r>
        <w:rPr/>
        <w:t>client</w:t>
      </w:r>
      <w:r>
        <w:rPr>
          <w:spacing w:val="-10"/>
        </w:rPr>
        <w:t> </w:t>
      </w:r>
      <w:r>
        <w:rPr/>
        <w:t>with</w:t>
      </w:r>
      <w:r>
        <w:rPr>
          <w:spacing w:val="-9"/>
        </w:rPr>
        <w:t> </w:t>
      </w:r>
      <w:r>
        <w:rPr/>
        <w:t>future</w:t>
      </w:r>
      <w:r>
        <w:rPr>
          <w:spacing w:val="-10"/>
        </w:rPr>
        <w:t> </w:t>
      </w:r>
      <w:r>
        <w:rPr/>
        <w:t>scenarios</w:t>
      </w:r>
      <w:r>
        <w:rPr>
          <w:spacing w:val="-9"/>
        </w:rPr>
        <w:t> </w:t>
      </w:r>
      <w:r>
        <w:rPr/>
        <w:t>and</w:t>
      </w:r>
      <w:r>
        <w:rPr>
          <w:spacing w:val="-9"/>
        </w:rPr>
        <w:t> </w:t>
      </w:r>
      <w:r>
        <w:rPr/>
        <w:t>life</w:t>
      </w:r>
      <w:r>
        <w:rPr>
          <w:spacing w:val="-10"/>
        </w:rPr>
        <w:t> </w:t>
      </w:r>
      <w:r>
        <w:rPr/>
        <w:t>trajectories</w:t>
      </w:r>
      <w:r>
        <w:rPr>
          <w:spacing w:val="-9"/>
        </w:rPr>
        <w:t> </w:t>
      </w:r>
      <w:r>
        <w:rPr/>
        <w:t>if</w:t>
      </w:r>
      <w:r>
        <w:rPr>
          <w:spacing w:val="-9"/>
        </w:rPr>
        <w:t> </w:t>
      </w:r>
      <w:r>
        <w:rPr/>
        <w:t>behaviors</w:t>
      </w:r>
      <w:r>
        <w:rPr>
          <w:spacing w:val="-9"/>
        </w:rPr>
        <w:t> </w:t>
      </w:r>
      <w:r>
        <w:rPr/>
        <w:t>remain unchanged may be helpful. Sharing success stories about positive changes in peers may also be a helpful strategy.</w:t>
      </w:r>
    </w:p>
    <w:p>
      <w:pPr>
        <w:pStyle w:val="ListParagraph"/>
        <w:numPr>
          <w:ilvl w:val="0"/>
          <w:numId w:val="21"/>
        </w:numPr>
        <w:tabs>
          <w:tab w:pos="1217" w:val="left" w:leader="none"/>
        </w:tabs>
        <w:spacing w:line="324" w:lineRule="exact" w:before="0" w:after="0"/>
        <w:ind w:left="1217" w:right="0" w:hanging="457"/>
        <w:jc w:val="left"/>
        <w:rPr>
          <w:sz w:val="28"/>
        </w:rPr>
      </w:pPr>
      <w:r>
        <w:rPr>
          <w:sz w:val="28"/>
        </w:rPr>
        <w:t>Expressing</w:t>
      </w:r>
      <w:r>
        <w:rPr>
          <w:spacing w:val="-8"/>
          <w:sz w:val="28"/>
        </w:rPr>
        <w:t> </w:t>
      </w:r>
      <w:r>
        <w:rPr>
          <w:sz w:val="28"/>
        </w:rPr>
        <w:t>the</w:t>
      </w:r>
      <w:r>
        <w:rPr>
          <w:spacing w:val="-4"/>
          <w:sz w:val="28"/>
        </w:rPr>
        <w:t> </w:t>
      </w:r>
      <w:r>
        <w:rPr>
          <w:sz w:val="28"/>
        </w:rPr>
        <w:t>need</w:t>
      </w:r>
      <w:r>
        <w:rPr>
          <w:spacing w:val="-4"/>
          <w:sz w:val="28"/>
        </w:rPr>
        <w:t> </w:t>
      </w:r>
      <w:r>
        <w:rPr>
          <w:sz w:val="28"/>
        </w:rPr>
        <w:t>to</w:t>
      </w:r>
      <w:r>
        <w:rPr>
          <w:spacing w:val="-3"/>
          <w:sz w:val="28"/>
        </w:rPr>
        <w:t> </w:t>
      </w:r>
      <w:r>
        <w:rPr>
          <w:sz w:val="28"/>
        </w:rPr>
        <w:t>make</w:t>
      </w:r>
      <w:r>
        <w:rPr>
          <w:spacing w:val="-5"/>
          <w:sz w:val="28"/>
        </w:rPr>
        <w:t> </w:t>
      </w:r>
      <w:r>
        <w:rPr>
          <w:sz w:val="28"/>
        </w:rPr>
        <w:t>their</w:t>
      </w:r>
      <w:r>
        <w:rPr>
          <w:spacing w:val="-3"/>
          <w:sz w:val="28"/>
        </w:rPr>
        <w:t> </w:t>
      </w:r>
      <w:r>
        <w:rPr>
          <w:sz w:val="28"/>
        </w:rPr>
        <w:t>own</w:t>
      </w:r>
      <w:r>
        <w:rPr>
          <w:spacing w:val="-4"/>
          <w:sz w:val="28"/>
        </w:rPr>
        <w:t> </w:t>
      </w:r>
      <w:r>
        <w:rPr>
          <w:sz w:val="28"/>
        </w:rPr>
        <w:t>decisions</w:t>
      </w:r>
      <w:r>
        <w:rPr>
          <w:spacing w:val="-3"/>
          <w:sz w:val="28"/>
        </w:rPr>
        <w:t> </w:t>
      </w:r>
      <w:r>
        <w:rPr>
          <w:sz w:val="28"/>
        </w:rPr>
        <w:t>and</w:t>
      </w:r>
      <w:r>
        <w:rPr>
          <w:spacing w:val="-1"/>
          <w:sz w:val="28"/>
        </w:rPr>
        <w:t> </w:t>
      </w:r>
      <w:r>
        <w:rPr>
          <w:spacing w:val="-2"/>
          <w:sz w:val="28"/>
        </w:rPr>
        <w:t>choices</w:t>
      </w:r>
    </w:p>
    <w:p>
      <w:pPr>
        <w:pStyle w:val="BodyText"/>
        <w:spacing w:line="237" w:lineRule="auto"/>
        <w:ind w:left="1218" w:right="503"/>
      </w:pPr>
      <w:r>
        <w:rPr/>
        <w:t>regarding care, treatment, and their lives. Counselors should underscore the fact that clients must decide what is in their best interests, taking care to define "their best interests" within the client's definition of self as either an individual, a provider, a parent or caregiver, a member of a family or community, or a combination thereof. Counselors should balance this by letting clients</w:t>
      </w:r>
      <w:r>
        <w:rPr>
          <w:spacing w:val="-1"/>
        </w:rPr>
        <w:t> </w:t>
      </w:r>
      <w:r>
        <w:rPr/>
        <w:t>know</w:t>
      </w:r>
      <w:r>
        <w:rPr>
          <w:spacing w:val="-1"/>
        </w:rPr>
        <w:t> </w:t>
      </w:r>
      <w:r>
        <w:rPr/>
        <w:t>that</w:t>
      </w:r>
      <w:r>
        <w:rPr>
          <w:spacing w:val="-1"/>
        </w:rPr>
        <w:t> </w:t>
      </w:r>
      <w:r>
        <w:rPr/>
        <w:t>no one</w:t>
      </w:r>
      <w:r>
        <w:rPr>
          <w:spacing w:val="-8"/>
        </w:rPr>
        <w:t> </w:t>
      </w:r>
      <w:r>
        <w:rPr/>
        <w:t>has</w:t>
      </w:r>
      <w:r>
        <w:rPr>
          <w:spacing w:val="-7"/>
        </w:rPr>
        <w:t> </w:t>
      </w:r>
      <w:r>
        <w:rPr/>
        <w:t>all</w:t>
      </w:r>
      <w:r>
        <w:rPr>
          <w:spacing w:val="-7"/>
        </w:rPr>
        <w:t> </w:t>
      </w:r>
      <w:r>
        <w:rPr/>
        <w:t>the</w:t>
      </w:r>
      <w:r>
        <w:rPr>
          <w:spacing w:val="-8"/>
        </w:rPr>
        <w:t> </w:t>
      </w:r>
      <w:r>
        <w:rPr/>
        <w:t>answers</w:t>
      </w:r>
      <w:r>
        <w:rPr>
          <w:spacing w:val="-7"/>
        </w:rPr>
        <w:t> </w:t>
      </w:r>
      <w:r>
        <w:rPr/>
        <w:t>to</w:t>
      </w:r>
      <w:r>
        <w:rPr>
          <w:spacing w:val="-7"/>
        </w:rPr>
        <w:t> </w:t>
      </w:r>
      <w:r>
        <w:rPr/>
        <w:t>their</w:t>
      </w:r>
      <w:r>
        <w:rPr>
          <w:spacing w:val="-7"/>
        </w:rPr>
        <w:t> </w:t>
      </w:r>
      <w:r>
        <w:rPr/>
        <w:t>problems,</w:t>
      </w:r>
      <w:r>
        <w:rPr>
          <w:spacing w:val="-7"/>
        </w:rPr>
        <w:t> </w:t>
      </w:r>
      <w:r>
        <w:rPr/>
        <w:t>and</w:t>
      </w:r>
      <w:r>
        <w:rPr>
          <w:spacing w:val="-3"/>
        </w:rPr>
        <w:t> </w:t>
      </w:r>
      <w:r>
        <w:rPr/>
        <w:t>reassure</w:t>
      </w:r>
      <w:r>
        <w:rPr>
          <w:spacing w:val="-4"/>
        </w:rPr>
        <w:t> </w:t>
      </w:r>
      <w:r>
        <w:rPr/>
        <w:t>clients</w:t>
      </w:r>
      <w:r>
        <w:rPr>
          <w:spacing w:val="-3"/>
        </w:rPr>
        <w:t> </w:t>
      </w:r>
      <w:r>
        <w:rPr/>
        <w:t>that</w:t>
      </w:r>
      <w:r>
        <w:rPr>
          <w:spacing w:val="-3"/>
        </w:rPr>
        <w:t> </w:t>
      </w:r>
      <w:r>
        <w:rPr/>
        <w:t>their feelings are valid, not unusual, and realistic. Changing one's life is hard work.</w:t>
      </w:r>
    </w:p>
    <w:p>
      <w:pPr>
        <w:pStyle w:val="ListParagraph"/>
        <w:numPr>
          <w:ilvl w:val="0"/>
          <w:numId w:val="21"/>
        </w:numPr>
        <w:tabs>
          <w:tab w:pos="1217" w:val="left" w:leader="none"/>
        </w:tabs>
        <w:spacing w:line="308" w:lineRule="exact" w:before="0" w:after="0"/>
        <w:ind w:left="1217" w:right="0" w:hanging="457"/>
        <w:jc w:val="left"/>
        <w:rPr>
          <w:sz w:val="28"/>
        </w:rPr>
      </w:pPr>
      <w:r>
        <w:rPr>
          <w:sz w:val="28"/>
        </w:rPr>
        <w:t>Knowing</w:t>
      </w:r>
      <w:r>
        <w:rPr>
          <w:spacing w:val="-9"/>
          <w:sz w:val="28"/>
        </w:rPr>
        <w:t> </w:t>
      </w:r>
      <w:r>
        <w:rPr>
          <w:sz w:val="28"/>
        </w:rPr>
        <w:t>how</w:t>
      </w:r>
      <w:r>
        <w:rPr>
          <w:spacing w:val="-6"/>
          <w:sz w:val="28"/>
        </w:rPr>
        <w:t> </w:t>
      </w:r>
      <w:r>
        <w:rPr>
          <w:sz w:val="28"/>
        </w:rPr>
        <w:t>to</w:t>
      </w:r>
      <w:r>
        <w:rPr>
          <w:spacing w:val="-5"/>
          <w:sz w:val="28"/>
        </w:rPr>
        <w:t> </w:t>
      </w:r>
      <w:r>
        <w:rPr>
          <w:sz w:val="28"/>
        </w:rPr>
        <w:t>change</w:t>
      </w:r>
      <w:r>
        <w:rPr>
          <w:spacing w:val="-7"/>
          <w:sz w:val="28"/>
        </w:rPr>
        <w:t> </w:t>
      </w:r>
      <w:r>
        <w:rPr>
          <w:sz w:val="28"/>
        </w:rPr>
        <w:t>behavior,</w:t>
      </w:r>
      <w:r>
        <w:rPr>
          <w:spacing w:val="-6"/>
          <w:sz w:val="28"/>
        </w:rPr>
        <w:t> </w:t>
      </w:r>
      <w:r>
        <w:rPr>
          <w:sz w:val="28"/>
        </w:rPr>
        <w:t>yet</w:t>
      </w:r>
      <w:r>
        <w:rPr>
          <w:spacing w:val="-5"/>
          <w:sz w:val="28"/>
        </w:rPr>
        <w:t> </w:t>
      </w:r>
      <w:r>
        <w:rPr>
          <w:sz w:val="28"/>
        </w:rPr>
        <w:t>not</w:t>
      </w:r>
      <w:r>
        <w:rPr>
          <w:spacing w:val="-7"/>
          <w:sz w:val="28"/>
        </w:rPr>
        <w:t> </w:t>
      </w:r>
      <w:r>
        <w:rPr>
          <w:sz w:val="28"/>
        </w:rPr>
        <w:t>making</w:t>
      </w:r>
      <w:r>
        <w:rPr>
          <w:spacing w:val="-6"/>
          <w:sz w:val="28"/>
        </w:rPr>
        <w:t> </w:t>
      </w:r>
      <w:r>
        <w:rPr>
          <w:sz w:val="28"/>
        </w:rPr>
        <w:t>these</w:t>
      </w:r>
      <w:r>
        <w:rPr>
          <w:spacing w:val="-6"/>
          <w:sz w:val="28"/>
        </w:rPr>
        <w:t> </w:t>
      </w:r>
      <w:r>
        <w:rPr>
          <w:spacing w:val="-2"/>
          <w:sz w:val="28"/>
        </w:rPr>
        <w:t>changes.</w:t>
      </w:r>
    </w:p>
    <w:p>
      <w:pPr>
        <w:pStyle w:val="ListParagraph"/>
        <w:numPr>
          <w:ilvl w:val="0"/>
          <w:numId w:val="21"/>
        </w:numPr>
        <w:tabs>
          <w:tab w:pos="1217" w:val="left" w:leader="none"/>
        </w:tabs>
        <w:spacing w:line="350" w:lineRule="exact" w:before="0" w:after="0"/>
        <w:ind w:left="1217" w:right="0" w:hanging="457"/>
        <w:jc w:val="left"/>
        <w:rPr>
          <w:sz w:val="28"/>
        </w:rPr>
      </w:pPr>
      <w:r>
        <w:rPr>
          <w:sz w:val="28"/>
        </w:rPr>
        <w:t>The</w:t>
      </w:r>
      <w:r>
        <w:rPr>
          <w:spacing w:val="-5"/>
          <w:sz w:val="28"/>
        </w:rPr>
        <w:t> </w:t>
      </w:r>
      <w:r>
        <w:rPr>
          <w:sz w:val="28"/>
        </w:rPr>
        <w:t>counselor</w:t>
      </w:r>
      <w:r>
        <w:rPr>
          <w:spacing w:val="-2"/>
          <w:sz w:val="28"/>
        </w:rPr>
        <w:t> </w:t>
      </w:r>
      <w:r>
        <w:rPr>
          <w:sz w:val="28"/>
        </w:rPr>
        <w:t>should</w:t>
      </w:r>
      <w:r>
        <w:rPr>
          <w:spacing w:val="-2"/>
          <w:sz w:val="28"/>
        </w:rPr>
        <w:t> </w:t>
      </w:r>
      <w:r>
        <w:rPr>
          <w:sz w:val="28"/>
        </w:rPr>
        <w:t>support</w:t>
      </w:r>
      <w:r>
        <w:rPr>
          <w:spacing w:val="-2"/>
          <w:sz w:val="28"/>
        </w:rPr>
        <w:t> </w:t>
      </w:r>
      <w:r>
        <w:rPr>
          <w:sz w:val="28"/>
        </w:rPr>
        <w:t>client</w:t>
      </w:r>
      <w:r>
        <w:rPr>
          <w:spacing w:val="-2"/>
          <w:sz w:val="28"/>
        </w:rPr>
        <w:t> </w:t>
      </w:r>
      <w:r>
        <w:rPr>
          <w:sz w:val="28"/>
        </w:rPr>
        <w:t>efforts</w:t>
      </w:r>
      <w:r>
        <w:rPr>
          <w:spacing w:val="-2"/>
          <w:sz w:val="28"/>
        </w:rPr>
        <w:t> </w:t>
      </w:r>
      <w:r>
        <w:rPr>
          <w:sz w:val="28"/>
        </w:rPr>
        <w:t>to</w:t>
      </w:r>
      <w:r>
        <w:rPr>
          <w:spacing w:val="-2"/>
          <w:sz w:val="28"/>
        </w:rPr>
        <w:t> </w:t>
      </w:r>
      <w:r>
        <w:rPr>
          <w:sz w:val="28"/>
        </w:rPr>
        <w:t>reduce</w:t>
      </w:r>
      <w:r>
        <w:rPr>
          <w:spacing w:val="-3"/>
          <w:sz w:val="28"/>
        </w:rPr>
        <w:t> </w:t>
      </w:r>
      <w:r>
        <w:rPr>
          <w:sz w:val="28"/>
        </w:rPr>
        <w:t>risk</w:t>
      </w:r>
      <w:r>
        <w:rPr>
          <w:spacing w:val="-1"/>
          <w:sz w:val="28"/>
        </w:rPr>
        <w:t> </w:t>
      </w:r>
      <w:r>
        <w:rPr>
          <w:spacing w:val="-2"/>
          <w:sz w:val="28"/>
        </w:rPr>
        <w:t>behaviors</w:t>
      </w:r>
    </w:p>
    <w:p>
      <w:pPr>
        <w:pStyle w:val="BodyText"/>
        <w:spacing w:line="237" w:lineRule="auto"/>
        <w:ind w:left="1218" w:right="502"/>
      </w:pPr>
      <w:r>
        <w:rPr/>
        <w:t>but</w:t>
      </w:r>
      <w:r>
        <w:rPr>
          <w:spacing w:val="-9"/>
        </w:rPr>
        <w:t> </w:t>
      </w:r>
      <w:r>
        <w:rPr/>
        <w:t>educate</w:t>
      </w:r>
      <w:r>
        <w:rPr>
          <w:spacing w:val="-9"/>
        </w:rPr>
        <w:t> </w:t>
      </w:r>
      <w:r>
        <w:rPr/>
        <w:t>the</w:t>
      </w:r>
      <w:r>
        <w:rPr>
          <w:spacing w:val="-9"/>
        </w:rPr>
        <w:t> </w:t>
      </w:r>
      <w:r>
        <w:rPr/>
        <w:t>client</w:t>
      </w:r>
      <w:r>
        <w:rPr>
          <w:spacing w:val="-9"/>
        </w:rPr>
        <w:t> </w:t>
      </w:r>
      <w:r>
        <w:rPr/>
        <w:t>as</w:t>
      </w:r>
      <w:r>
        <w:rPr>
          <w:spacing w:val="-8"/>
        </w:rPr>
        <w:t> </w:t>
      </w:r>
      <w:r>
        <w:rPr/>
        <w:t>to</w:t>
      </w:r>
      <w:r>
        <w:rPr>
          <w:spacing w:val="-8"/>
        </w:rPr>
        <w:t> </w:t>
      </w:r>
      <w:r>
        <w:rPr/>
        <w:t>why</w:t>
      </w:r>
      <w:r>
        <w:rPr>
          <w:spacing w:val="-8"/>
        </w:rPr>
        <w:t> </w:t>
      </w:r>
      <w:r>
        <w:rPr/>
        <w:t>risk</w:t>
      </w:r>
      <w:r>
        <w:rPr>
          <w:spacing w:val="-8"/>
        </w:rPr>
        <w:t> </w:t>
      </w:r>
      <w:r>
        <w:rPr/>
        <w:t>remains.</w:t>
      </w:r>
      <w:r>
        <w:rPr>
          <w:spacing w:val="-8"/>
        </w:rPr>
        <w:t> </w:t>
      </w:r>
      <w:r>
        <w:rPr/>
        <w:t>Exploring</w:t>
      </w:r>
      <w:r>
        <w:rPr>
          <w:spacing w:val="-4"/>
        </w:rPr>
        <w:t> </w:t>
      </w:r>
      <w:r>
        <w:rPr/>
        <w:t>what</w:t>
      </w:r>
      <w:r>
        <w:rPr>
          <w:spacing w:val="-8"/>
        </w:rPr>
        <w:t> </w:t>
      </w:r>
      <w:r>
        <w:rPr/>
        <w:t>the</w:t>
      </w:r>
      <w:r>
        <w:rPr>
          <w:spacing w:val="-8"/>
        </w:rPr>
        <w:t> </w:t>
      </w:r>
      <w:r>
        <w:rPr/>
        <w:t>client is</w:t>
      </w:r>
      <w:r>
        <w:rPr>
          <w:spacing w:val="-5"/>
        </w:rPr>
        <w:t> </w:t>
      </w:r>
      <w:r>
        <w:rPr/>
        <w:t>willing</w:t>
      </w:r>
      <w:r>
        <w:rPr>
          <w:spacing w:val="-5"/>
        </w:rPr>
        <w:t> </w:t>
      </w:r>
      <w:r>
        <w:rPr/>
        <w:t>to</w:t>
      </w:r>
      <w:r>
        <w:rPr>
          <w:spacing w:val="-5"/>
        </w:rPr>
        <w:t> </w:t>
      </w:r>
      <w:r>
        <w:rPr/>
        <w:t>consider</w:t>
      </w:r>
      <w:r>
        <w:rPr>
          <w:spacing w:val="-5"/>
        </w:rPr>
        <w:t> </w:t>
      </w:r>
      <w:r>
        <w:rPr/>
        <w:t>changing</w:t>
      </w:r>
      <w:r>
        <w:rPr>
          <w:spacing w:val="-5"/>
        </w:rPr>
        <w:t> </w:t>
      </w:r>
      <w:r>
        <w:rPr/>
        <w:t>provides</w:t>
      </w:r>
      <w:r>
        <w:rPr>
          <w:spacing w:val="-5"/>
        </w:rPr>
        <w:t> </w:t>
      </w:r>
      <w:r>
        <w:rPr/>
        <w:t>an</w:t>
      </w:r>
      <w:r>
        <w:rPr>
          <w:spacing w:val="-5"/>
        </w:rPr>
        <w:t> </w:t>
      </w:r>
      <w:r>
        <w:rPr/>
        <w:t>outline</w:t>
      </w:r>
      <w:r>
        <w:rPr>
          <w:spacing w:val="-1"/>
        </w:rPr>
        <w:t> </w:t>
      </w:r>
      <w:r>
        <w:rPr/>
        <w:t>of possible</w:t>
      </w:r>
      <w:r>
        <w:rPr>
          <w:spacing w:val="-2"/>
        </w:rPr>
        <w:t> </w:t>
      </w:r>
      <w:r>
        <w:rPr/>
        <w:t>actions. Working together with the client on strategies to resolve barriers to change in small steps may be a useful tactic as well.</w:t>
      </w:r>
    </w:p>
    <w:p>
      <w:pPr>
        <w:pStyle w:val="ListParagraph"/>
        <w:numPr>
          <w:ilvl w:val="0"/>
          <w:numId w:val="21"/>
        </w:numPr>
        <w:tabs>
          <w:tab w:pos="1217" w:val="left" w:leader="none"/>
        </w:tabs>
        <w:spacing w:line="342" w:lineRule="exact" w:before="0" w:after="0"/>
        <w:ind w:left="1217" w:right="0" w:hanging="457"/>
        <w:jc w:val="left"/>
        <w:rPr>
          <w:sz w:val="28"/>
        </w:rPr>
      </w:pPr>
      <w:r>
        <w:rPr>
          <w:sz w:val="28"/>
        </w:rPr>
        <w:t>Giving</w:t>
      </w:r>
      <w:r>
        <w:rPr>
          <w:spacing w:val="-7"/>
          <w:sz w:val="28"/>
        </w:rPr>
        <w:t> </w:t>
      </w:r>
      <w:r>
        <w:rPr>
          <w:sz w:val="28"/>
        </w:rPr>
        <w:t>up</w:t>
      </w:r>
      <w:r>
        <w:rPr>
          <w:spacing w:val="-3"/>
          <w:sz w:val="28"/>
        </w:rPr>
        <w:t> </w:t>
      </w:r>
      <w:r>
        <w:rPr>
          <w:sz w:val="28"/>
        </w:rPr>
        <w:t>hope</w:t>
      </w:r>
      <w:r>
        <w:rPr>
          <w:spacing w:val="-4"/>
          <w:sz w:val="28"/>
        </w:rPr>
        <w:t> </w:t>
      </w:r>
      <w:r>
        <w:rPr>
          <w:sz w:val="28"/>
        </w:rPr>
        <w:t>for</w:t>
      </w:r>
      <w:r>
        <w:rPr>
          <w:spacing w:val="-3"/>
          <w:sz w:val="28"/>
        </w:rPr>
        <w:t> </w:t>
      </w:r>
      <w:r>
        <w:rPr>
          <w:sz w:val="28"/>
        </w:rPr>
        <w:t>change</w:t>
      </w:r>
      <w:r>
        <w:rPr>
          <w:spacing w:val="-4"/>
          <w:sz w:val="28"/>
        </w:rPr>
        <w:t> </w:t>
      </w:r>
      <w:r>
        <w:rPr>
          <w:sz w:val="28"/>
        </w:rPr>
        <w:t>or</w:t>
      </w:r>
      <w:r>
        <w:rPr>
          <w:spacing w:val="-3"/>
          <w:sz w:val="28"/>
        </w:rPr>
        <w:t> </w:t>
      </w:r>
      <w:r>
        <w:rPr>
          <w:sz w:val="28"/>
        </w:rPr>
        <w:t>feeling</w:t>
      </w:r>
      <w:r>
        <w:rPr>
          <w:spacing w:val="-3"/>
          <w:sz w:val="28"/>
        </w:rPr>
        <w:t> </w:t>
      </w:r>
      <w:r>
        <w:rPr>
          <w:sz w:val="28"/>
        </w:rPr>
        <w:t>overwhelmed</w:t>
      </w:r>
      <w:r>
        <w:rPr>
          <w:spacing w:val="-3"/>
          <w:sz w:val="28"/>
        </w:rPr>
        <w:t> </w:t>
      </w:r>
      <w:r>
        <w:rPr>
          <w:sz w:val="28"/>
        </w:rPr>
        <w:t>by </w:t>
      </w:r>
      <w:r>
        <w:rPr>
          <w:spacing w:val="-2"/>
          <w:sz w:val="28"/>
        </w:rPr>
        <w:t>problems.</w:t>
      </w:r>
    </w:p>
    <w:p>
      <w:pPr>
        <w:pStyle w:val="BodyText"/>
        <w:rPr>
          <w:sz w:val="30"/>
        </w:rPr>
      </w:pPr>
    </w:p>
    <w:p>
      <w:pPr>
        <w:pStyle w:val="BodyText"/>
        <w:spacing w:before="262"/>
        <w:ind w:left="280" w:right="502"/>
      </w:pPr>
      <w:r>
        <w:rPr/>
        <w:t>Service providers should know that this initial phase of client change is the longest and most difficult for many clients. It is not uncommon for clients to spend a lot of time in inpatient treatment weighing the pros and cons of their behavior. Clients may have invested much energy in intentionally not</w:t>
      </w:r>
      <w:r>
        <w:rPr>
          <w:spacing w:val="-1"/>
        </w:rPr>
        <w:t> </w:t>
      </w:r>
      <w:r>
        <w:rPr/>
        <w:t>thinking about</w:t>
      </w:r>
      <w:r>
        <w:rPr>
          <w:spacing w:val="-9"/>
        </w:rPr>
        <w:t> </w:t>
      </w:r>
      <w:r>
        <w:rPr/>
        <w:t>the</w:t>
      </w:r>
      <w:r>
        <w:rPr>
          <w:spacing w:val="-9"/>
        </w:rPr>
        <w:t> </w:t>
      </w:r>
      <w:r>
        <w:rPr/>
        <w:t>problem.</w:t>
      </w:r>
      <w:r>
        <w:rPr>
          <w:spacing w:val="-18"/>
        </w:rPr>
        <w:t> </w:t>
      </w:r>
      <w:r>
        <w:rPr/>
        <w:t>Thinking</w:t>
      </w:r>
      <w:r>
        <w:rPr>
          <w:spacing w:val="-8"/>
        </w:rPr>
        <w:t> </w:t>
      </w:r>
      <w:r>
        <w:rPr/>
        <w:t>about</w:t>
      </w:r>
      <w:r>
        <w:rPr>
          <w:spacing w:val="-9"/>
        </w:rPr>
        <w:t> </w:t>
      </w:r>
      <w:r>
        <w:rPr/>
        <w:t>the</w:t>
      </w:r>
      <w:r>
        <w:rPr>
          <w:spacing w:val="-5"/>
        </w:rPr>
        <w:t> </w:t>
      </w:r>
      <w:r>
        <w:rPr/>
        <w:t>problem</w:t>
      </w:r>
      <w:r>
        <w:rPr>
          <w:spacing w:val="-4"/>
        </w:rPr>
        <w:t> </w:t>
      </w:r>
      <w:r>
        <w:rPr/>
        <w:t>may</w:t>
      </w:r>
      <w:r>
        <w:rPr>
          <w:spacing w:val="-4"/>
        </w:rPr>
        <w:t> </w:t>
      </w:r>
      <w:r>
        <w:rPr/>
        <w:t>release</w:t>
      </w:r>
      <w:r>
        <w:rPr>
          <w:spacing w:val="-5"/>
        </w:rPr>
        <w:t> </w:t>
      </w:r>
      <w:r>
        <w:rPr/>
        <w:t>painful</w:t>
      </w:r>
      <w:r>
        <w:rPr>
          <w:spacing w:val="-4"/>
        </w:rPr>
        <w:t> </w:t>
      </w:r>
      <w:r>
        <w:rPr/>
        <w:t>issues</w:t>
      </w:r>
      <w:r>
        <w:rPr>
          <w:spacing w:val="-4"/>
        </w:rPr>
        <w:t> </w:t>
      </w:r>
      <w:r>
        <w:rPr/>
        <w:t>(real or perceived) for clients that they have not allowed themselves to reflect on.</w:t>
      </w:r>
    </w:p>
    <w:p>
      <w:pPr>
        <w:pStyle w:val="BodyText"/>
        <w:spacing w:line="237" w:lineRule="auto"/>
        <w:ind w:left="280" w:right="1016"/>
      </w:pPr>
      <w:r>
        <w:rPr/>
        <w:t>Service</w:t>
      </w:r>
      <w:r>
        <w:rPr>
          <w:spacing w:val="-5"/>
        </w:rPr>
        <w:t> </w:t>
      </w:r>
      <w:r>
        <w:rPr/>
        <w:t>providers</w:t>
      </w:r>
      <w:r>
        <w:rPr>
          <w:spacing w:val="-3"/>
        </w:rPr>
        <w:t> </w:t>
      </w:r>
      <w:r>
        <w:rPr/>
        <w:t>should</w:t>
      </w:r>
      <w:r>
        <w:rPr>
          <w:spacing w:val="-3"/>
        </w:rPr>
        <w:t> </w:t>
      </w:r>
      <w:r>
        <w:rPr/>
        <w:t>be</w:t>
      </w:r>
      <w:r>
        <w:rPr>
          <w:spacing w:val="-5"/>
        </w:rPr>
        <w:t> </w:t>
      </w:r>
      <w:r>
        <w:rPr/>
        <w:t>acutely</w:t>
      </w:r>
      <w:r>
        <w:rPr>
          <w:spacing w:val="-3"/>
        </w:rPr>
        <w:t> </w:t>
      </w:r>
      <w:r>
        <w:rPr/>
        <w:t>aware</w:t>
      </w:r>
      <w:r>
        <w:rPr>
          <w:spacing w:val="-5"/>
        </w:rPr>
        <w:t> </w:t>
      </w:r>
      <w:r>
        <w:rPr/>
        <w:t>of</w:t>
      </w:r>
      <w:r>
        <w:rPr>
          <w:spacing w:val="-3"/>
        </w:rPr>
        <w:t> </w:t>
      </w:r>
      <w:r>
        <w:rPr/>
        <w:t>the</w:t>
      </w:r>
      <w:r>
        <w:rPr>
          <w:spacing w:val="-5"/>
        </w:rPr>
        <w:t> </w:t>
      </w:r>
      <w:r>
        <w:rPr/>
        <w:t>power</w:t>
      </w:r>
      <w:r>
        <w:rPr>
          <w:spacing w:val="-3"/>
        </w:rPr>
        <w:t> </w:t>
      </w:r>
      <w:r>
        <w:rPr/>
        <w:t>of</w:t>
      </w:r>
      <w:r>
        <w:rPr>
          <w:spacing w:val="-3"/>
        </w:rPr>
        <w:t> </w:t>
      </w:r>
      <w:r>
        <w:rPr/>
        <w:t>denial</w:t>
      </w:r>
      <w:r>
        <w:rPr>
          <w:spacing w:val="-3"/>
        </w:rPr>
        <w:t> </w:t>
      </w:r>
      <w:r>
        <w:rPr/>
        <w:t>for</w:t>
      </w:r>
      <w:r>
        <w:rPr>
          <w:spacing w:val="-3"/>
        </w:rPr>
        <w:t> </w:t>
      </w:r>
      <w:r>
        <w:rPr/>
        <w:t>many substance-abusing clients living with HIV/AIDS.</w:t>
      </w:r>
    </w:p>
    <w:p>
      <w:pPr>
        <w:pStyle w:val="BodyText"/>
        <w:rPr>
          <w:sz w:val="27"/>
        </w:rPr>
      </w:pPr>
    </w:p>
    <w:p>
      <w:pPr>
        <w:pStyle w:val="BodyText"/>
        <w:ind w:left="280" w:right="502"/>
      </w:pPr>
      <w:r>
        <w:rPr/>
        <w:t>It</w:t>
      </w:r>
      <w:r>
        <w:rPr>
          <w:spacing w:val="-9"/>
        </w:rPr>
        <w:t> </w:t>
      </w:r>
      <w:r>
        <w:rPr/>
        <w:t>is</w:t>
      </w:r>
      <w:r>
        <w:rPr>
          <w:spacing w:val="-8"/>
        </w:rPr>
        <w:t> </w:t>
      </w:r>
      <w:r>
        <w:rPr/>
        <w:t>often</w:t>
      </w:r>
      <w:r>
        <w:rPr>
          <w:spacing w:val="-8"/>
        </w:rPr>
        <w:t> </w:t>
      </w:r>
      <w:r>
        <w:rPr/>
        <w:t>difficult</w:t>
      </w:r>
      <w:r>
        <w:rPr>
          <w:spacing w:val="-8"/>
        </w:rPr>
        <w:t> </w:t>
      </w:r>
      <w:r>
        <w:rPr/>
        <w:t>for</w:t>
      </w:r>
      <w:r>
        <w:rPr>
          <w:spacing w:val="-8"/>
        </w:rPr>
        <w:t> </w:t>
      </w:r>
      <w:r>
        <w:rPr/>
        <w:t>the</w:t>
      </w:r>
      <w:r>
        <w:rPr>
          <w:spacing w:val="-9"/>
        </w:rPr>
        <w:t> </w:t>
      </w:r>
      <w:r>
        <w:rPr/>
        <w:t>client</w:t>
      </w:r>
      <w:r>
        <w:rPr>
          <w:spacing w:val="-9"/>
        </w:rPr>
        <w:t> </w:t>
      </w:r>
      <w:r>
        <w:rPr/>
        <w:t>to</w:t>
      </w:r>
      <w:r>
        <w:rPr>
          <w:spacing w:val="-8"/>
        </w:rPr>
        <w:t> </w:t>
      </w:r>
      <w:r>
        <w:rPr/>
        <w:t>anticipate</w:t>
      </w:r>
      <w:r>
        <w:rPr>
          <w:spacing w:val="-9"/>
        </w:rPr>
        <w:t> </w:t>
      </w:r>
      <w:r>
        <w:rPr/>
        <w:t>potential</w:t>
      </w:r>
      <w:r>
        <w:rPr>
          <w:spacing w:val="-8"/>
        </w:rPr>
        <w:t> </w:t>
      </w:r>
      <w:r>
        <w:rPr/>
        <w:t>problems,</w:t>
      </w:r>
      <w:r>
        <w:rPr>
          <w:spacing w:val="-8"/>
        </w:rPr>
        <w:t> </w:t>
      </w:r>
      <w:r>
        <w:rPr/>
        <w:t>interactions, and pitfalls, particularly those that will be faced in the external community.</w:t>
      </w:r>
    </w:p>
    <w:p>
      <w:pPr>
        <w:pStyle w:val="BodyText"/>
        <w:spacing w:line="237" w:lineRule="auto"/>
        <w:ind w:left="280" w:right="505"/>
      </w:pPr>
      <w:r>
        <w:rPr/>
        <w:t>The counselor must help the client examine the barriers that may arise and develop strong responsive coping skills and activities.</w:t>
      </w:r>
      <w:r>
        <w:rPr>
          <w:spacing w:val="-16"/>
        </w:rPr>
        <w:t> </w:t>
      </w:r>
      <w:r>
        <w:rPr/>
        <w:t>A</w:t>
      </w:r>
      <w:r>
        <w:rPr>
          <w:spacing w:val="-16"/>
        </w:rPr>
        <w:t> </w:t>
      </w:r>
      <w:r>
        <w:rPr/>
        <w:t>weak plan of action can</w:t>
      </w:r>
      <w:r>
        <w:rPr>
          <w:spacing w:val="-3"/>
        </w:rPr>
        <w:t> </w:t>
      </w:r>
      <w:r>
        <w:rPr/>
        <w:t>lead</w:t>
      </w:r>
      <w:r>
        <w:rPr>
          <w:spacing w:val="-3"/>
        </w:rPr>
        <w:t> </w:t>
      </w:r>
      <w:r>
        <w:rPr/>
        <w:t>to</w:t>
      </w:r>
      <w:r>
        <w:rPr>
          <w:spacing w:val="-3"/>
        </w:rPr>
        <w:t> </w:t>
      </w:r>
      <w:r>
        <w:rPr/>
        <w:t>quick</w:t>
      </w:r>
      <w:r>
        <w:rPr>
          <w:spacing w:val="-3"/>
        </w:rPr>
        <w:t> </w:t>
      </w:r>
      <w:r>
        <w:rPr/>
        <w:t>lapses</w:t>
      </w:r>
      <w:r>
        <w:rPr>
          <w:spacing w:val="-3"/>
        </w:rPr>
        <w:t> </w:t>
      </w:r>
      <w:r>
        <w:rPr/>
        <w:t>and</w:t>
      </w:r>
      <w:r>
        <w:rPr>
          <w:spacing w:val="-3"/>
        </w:rPr>
        <w:t> </w:t>
      </w:r>
      <w:r>
        <w:rPr/>
        <w:t>relapses.</w:t>
      </w:r>
      <w:r>
        <w:rPr>
          <w:spacing w:val="-9"/>
        </w:rPr>
        <w:t> </w:t>
      </w:r>
      <w:r>
        <w:rPr/>
        <w:t>This</w:t>
      </w:r>
      <w:r>
        <w:rPr>
          <w:spacing w:val="-3"/>
        </w:rPr>
        <w:t> </w:t>
      </w:r>
      <w:r>
        <w:rPr/>
        <w:t>level</w:t>
      </w:r>
      <w:r>
        <w:rPr>
          <w:spacing w:val="-3"/>
        </w:rPr>
        <w:t> </w:t>
      </w:r>
      <w:r>
        <w:rPr/>
        <w:t>of</w:t>
      </w:r>
      <w:r>
        <w:rPr>
          <w:spacing w:val="-3"/>
        </w:rPr>
        <w:t> </w:t>
      </w:r>
      <w:r>
        <w:rPr/>
        <w:t>client</w:t>
      </w:r>
      <w:r>
        <w:rPr>
          <w:spacing w:val="-9"/>
        </w:rPr>
        <w:t> </w:t>
      </w:r>
      <w:r>
        <w:rPr/>
        <w:t>activity</w:t>
      </w:r>
      <w:r>
        <w:rPr>
          <w:spacing w:val="-8"/>
        </w:rPr>
        <w:t> </w:t>
      </w:r>
      <w:r>
        <w:rPr/>
        <w:t>(preparing</w:t>
      </w:r>
      <w:r>
        <w:rPr>
          <w:spacing w:val="-8"/>
        </w:rPr>
        <w:t> </w:t>
      </w:r>
      <w:r>
        <w:rPr/>
        <w:t>for action) is characterized by switches in both personal external cues for</w:t>
      </w:r>
      <w:r>
        <w:rPr/>
        <w:t> behaviors and the ways in which clients perceive and cope with internal situations. This is a time for counselors to develop specific plans and identify individuals in a person's social environment who may provide support or information to the client upon discharge.</w:t>
      </w:r>
    </w:p>
    <w:p>
      <w:pPr>
        <w:spacing w:after="0" w:line="237" w:lineRule="auto"/>
        <w:sectPr>
          <w:footerReference w:type="default" r:id="rId31"/>
          <w:pgSz w:w="12240" w:h="15840"/>
          <w:pgMar w:footer="797" w:header="0" w:top="1260" w:bottom="980" w:left="1400" w:right="1180"/>
        </w:sectPr>
      </w:pPr>
    </w:p>
    <w:p>
      <w:pPr>
        <w:pStyle w:val="Heading1"/>
        <w:numPr>
          <w:ilvl w:val="0"/>
          <w:numId w:val="3"/>
        </w:numPr>
        <w:tabs>
          <w:tab w:pos="640" w:val="left" w:leader="none"/>
        </w:tabs>
        <w:spacing w:line="240" w:lineRule="auto" w:before="70" w:after="0"/>
        <w:ind w:left="640" w:right="0" w:hanging="360"/>
        <w:jc w:val="left"/>
        <w:rPr>
          <w:color w:val="1E384B"/>
        </w:rPr>
      </w:pPr>
      <w:r>
        <w:rPr>
          <w:color w:val="1E384B"/>
        </w:rPr>
        <w:t>Lesbian,</w:t>
      </w:r>
      <w:r>
        <w:rPr>
          <w:color w:val="1E384B"/>
          <w:spacing w:val="-5"/>
        </w:rPr>
        <w:t> </w:t>
      </w:r>
      <w:r>
        <w:rPr>
          <w:color w:val="1E384B"/>
        </w:rPr>
        <w:t>Gay</w:t>
      </w:r>
      <w:r>
        <w:rPr>
          <w:color w:val="1E384B"/>
          <w:spacing w:val="-2"/>
        </w:rPr>
        <w:t> </w:t>
      </w:r>
      <w:r>
        <w:rPr>
          <w:color w:val="1E384B"/>
        </w:rPr>
        <w:t>and</w:t>
      </w:r>
      <w:r>
        <w:rPr>
          <w:color w:val="1E384B"/>
          <w:spacing w:val="-2"/>
        </w:rPr>
        <w:t> </w:t>
      </w:r>
      <w:r>
        <w:rPr>
          <w:color w:val="1E384B"/>
        </w:rPr>
        <w:t>Bisexual</w:t>
      </w:r>
      <w:r>
        <w:rPr>
          <w:color w:val="1E384B"/>
          <w:spacing w:val="-3"/>
        </w:rPr>
        <w:t> </w:t>
      </w:r>
      <w:r>
        <w:rPr>
          <w:color w:val="1E384B"/>
        </w:rPr>
        <w:t>Behavioral</w:t>
      </w:r>
      <w:r>
        <w:rPr>
          <w:color w:val="1E384B"/>
          <w:spacing w:val="-3"/>
        </w:rPr>
        <w:t> </w:t>
      </w:r>
      <w:r>
        <w:rPr>
          <w:color w:val="1E384B"/>
          <w:spacing w:val="-2"/>
        </w:rPr>
        <w:t>Health</w:t>
      </w:r>
    </w:p>
    <w:p>
      <w:pPr>
        <w:pStyle w:val="BodyText"/>
        <w:spacing w:before="9"/>
        <w:rPr>
          <w:b/>
          <w:sz w:val="55"/>
        </w:rPr>
      </w:pPr>
    </w:p>
    <w:p>
      <w:pPr>
        <w:pStyle w:val="BodyText"/>
        <w:ind w:left="280" w:right="668"/>
      </w:pPr>
      <w:r>
        <w:rPr>
          <w:color w:val="1E384B"/>
        </w:rPr>
        <w:t>SAMHSA</w:t>
      </w:r>
      <w:r>
        <w:rPr>
          <w:color w:val="1E384B"/>
          <w:spacing w:val="-18"/>
        </w:rPr>
        <w:t> </w:t>
      </w:r>
      <w:r>
        <w:rPr>
          <w:color w:val="1E384B"/>
        </w:rPr>
        <w:t>Releases</w:t>
      </w:r>
      <w:r>
        <w:rPr>
          <w:color w:val="1E384B"/>
          <w:spacing w:val="-6"/>
        </w:rPr>
        <w:t> </w:t>
      </w:r>
      <w:r>
        <w:rPr>
          <w:color w:val="1E384B"/>
        </w:rPr>
        <w:t>New</w:t>
      </w:r>
      <w:r>
        <w:rPr>
          <w:color w:val="1E384B"/>
          <w:spacing w:val="-5"/>
        </w:rPr>
        <w:t> </w:t>
      </w:r>
      <w:r>
        <w:rPr>
          <w:color w:val="1E384B"/>
        </w:rPr>
        <w:t>Data</w:t>
      </w:r>
      <w:r>
        <w:rPr>
          <w:color w:val="1E384B"/>
          <w:spacing w:val="-5"/>
        </w:rPr>
        <w:t> </w:t>
      </w:r>
      <w:r>
        <w:rPr>
          <w:color w:val="1E384B"/>
        </w:rPr>
        <w:t>on</w:t>
      </w:r>
      <w:r>
        <w:rPr>
          <w:color w:val="1E384B"/>
          <w:spacing w:val="-5"/>
        </w:rPr>
        <w:t> </w:t>
      </w:r>
      <w:r>
        <w:rPr>
          <w:color w:val="1E384B"/>
        </w:rPr>
        <w:t>Lesbian,</w:t>
      </w:r>
      <w:r>
        <w:rPr>
          <w:color w:val="1E384B"/>
          <w:spacing w:val="-5"/>
        </w:rPr>
        <w:t> </w:t>
      </w:r>
      <w:r>
        <w:rPr>
          <w:color w:val="1E384B"/>
        </w:rPr>
        <w:t>Gay</w:t>
      </w:r>
      <w:r>
        <w:rPr>
          <w:color w:val="1E384B"/>
          <w:spacing w:val="-5"/>
        </w:rPr>
        <w:t> </w:t>
      </w:r>
      <w:r>
        <w:rPr>
          <w:color w:val="1E384B"/>
        </w:rPr>
        <w:t>and</w:t>
      </w:r>
      <w:r>
        <w:rPr>
          <w:color w:val="1E384B"/>
          <w:spacing w:val="-5"/>
        </w:rPr>
        <w:t> </w:t>
      </w:r>
      <w:r>
        <w:rPr>
          <w:color w:val="1E384B"/>
        </w:rPr>
        <w:t>Bisexual</w:t>
      </w:r>
      <w:r>
        <w:rPr>
          <w:color w:val="1E384B"/>
          <w:spacing w:val="-5"/>
        </w:rPr>
        <w:t> </w:t>
      </w:r>
      <w:r>
        <w:rPr>
          <w:color w:val="1E384B"/>
        </w:rPr>
        <w:t>Behavioral </w:t>
      </w:r>
      <w:r>
        <w:rPr>
          <w:color w:val="1E384B"/>
          <w:spacing w:val="-2"/>
        </w:rPr>
        <w:t>Health</w:t>
      </w:r>
    </w:p>
    <w:p>
      <w:pPr>
        <w:pStyle w:val="BodyText"/>
        <w:spacing w:before="6"/>
        <w:rPr>
          <w:sz w:val="27"/>
        </w:rPr>
      </w:pPr>
    </w:p>
    <w:p>
      <w:pPr>
        <w:pStyle w:val="BodyText"/>
        <w:ind w:left="280" w:right="544"/>
      </w:pPr>
      <w:r>
        <w:rPr>
          <w:color w:val="4A4A4A"/>
        </w:rPr>
        <w:t>In June 2023, The Substance</w:t>
      </w:r>
      <w:r>
        <w:rPr>
          <w:color w:val="4A4A4A"/>
          <w:spacing w:val="-4"/>
        </w:rPr>
        <w:t> </w:t>
      </w:r>
      <w:r>
        <w:rPr>
          <w:color w:val="4A4A4A"/>
        </w:rPr>
        <w:t>Abuse and Mental Health Services Administration (SAMHSA) released a new data report </w:t>
      </w:r>
      <w:r>
        <w:rPr>
          <w:color w:val="1F419A"/>
          <w:u w:val="single" w:color="1F419A"/>
        </w:rPr>
        <w:t>Lesbian, Gay, and</w:t>
      </w:r>
      <w:r>
        <w:rPr>
          <w:color w:val="1F419A"/>
        </w:rPr>
        <w:t> </w:t>
      </w:r>
      <w:r>
        <w:rPr>
          <w:color w:val="1F419A"/>
          <w:u w:val="single" w:color="1F419A"/>
        </w:rPr>
        <w:t>Bisexual</w:t>
      </w:r>
      <w:r>
        <w:rPr>
          <w:color w:val="1F419A"/>
          <w:spacing w:val="-4"/>
          <w:u w:val="single" w:color="1F419A"/>
        </w:rPr>
        <w:t> </w:t>
      </w:r>
      <w:r>
        <w:rPr>
          <w:color w:val="1F419A"/>
          <w:u w:val="single" w:color="1F419A"/>
        </w:rPr>
        <w:t>Behavioral</w:t>
      </w:r>
      <w:r>
        <w:rPr>
          <w:color w:val="1F419A"/>
          <w:spacing w:val="-4"/>
          <w:u w:val="single" w:color="1F419A"/>
        </w:rPr>
        <w:t> </w:t>
      </w:r>
      <w:r>
        <w:rPr>
          <w:color w:val="1F419A"/>
          <w:u w:val="single" w:color="1F419A"/>
        </w:rPr>
        <w:t>Health:</w:t>
      </w:r>
      <w:r>
        <w:rPr>
          <w:color w:val="1F419A"/>
          <w:spacing w:val="-4"/>
          <w:u w:val="single" w:color="1F419A"/>
        </w:rPr>
        <w:t> </w:t>
      </w:r>
      <w:r>
        <w:rPr>
          <w:color w:val="1F419A"/>
          <w:u w:val="single" w:color="1F419A"/>
        </w:rPr>
        <w:t>Results</w:t>
      </w:r>
      <w:r>
        <w:rPr>
          <w:color w:val="1F419A"/>
          <w:spacing w:val="-4"/>
          <w:u w:val="single" w:color="1F419A"/>
        </w:rPr>
        <w:t> </w:t>
      </w:r>
      <w:r>
        <w:rPr>
          <w:color w:val="1F419A"/>
          <w:u w:val="single" w:color="1F419A"/>
        </w:rPr>
        <w:t>from</w:t>
      </w:r>
      <w:r>
        <w:rPr>
          <w:color w:val="1F419A"/>
          <w:spacing w:val="-4"/>
          <w:u w:val="single" w:color="1F419A"/>
        </w:rPr>
        <w:t> </w:t>
      </w:r>
      <w:r>
        <w:rPr>
          <w:color w:val="1F419A"/>
          <w:u w:val="single" w:color="1F419A"/>
        </w:rPr>
        <w:t>the</w:t>
      </w:r>
      <w:r>
        <w:rPr>
          <w:color w:val="1F419A"/>
          <w:spacing w:val="-5"/>
          <w:u w:val="single" w:color="1F419A"/>
        </w:rPr>
        <w:t> </w:t>
      </w:r>
      <w:r>
        <w:rPr>
          <w:color w:val="1F419A"/>
          <w:u w:val="single" w:color="1F419A"/>
        </w:rPr>
        <w:t>2021</w:t>
      </w:r>
      <w:r>
        <w:rPr>
          <w:color w:val="1F419A"/>
          <w:spacing w:val="-4"/>
          <w:u w:val="single" w:color="1F419A"/>
        </w:rPr>
        <w:t> </w:t>
      </w:r>
      <w:r>
        <w:rPr>
          <w:color w:val="1F419A"/>
          <w:u w:val="single" w:color="1F419A"/>
        </w:rPr>
        <w:t>and</w:t>
      </w:r>
      <w:r>
        <w:rPr>
          <w:color w:val="1F419A"/>
          <w:spacing w:val="-4"/>
          <w:u w:val="single" w:color="1F419A"/>
        </w:rPr>
        <w:t> </w:t>
      </w:r>
      <w:r>
        <w:rPr>
          <w:color w:val="1F419A"/>
          <w:u w:val="single" w:color="1F419A"/>
        </w:rPr>
        <w:t>2022</w:t>
      </w:r>
      <w:r>
        <w:rPr>
          <w:color w:val="1F419A"/>
          <w:spacing w:val="-4"/>
          <w:u w:val="single" w:color="1F419A"/>
        </w:rPr>
        <w:t> </w:t>
      </w:r>
      <w:r>
        <w:rPr>
          <w:color w:val="1F419A"/>
          <w:u w:val="single" w:color="1F419A"/>
        </w:rPr>
        <w:t>National</w:t>
      </w:r>
      <w:r>
        <w:rPr>
          <w:color w:val="1F419A"/>
          <w:spacing w:val="-4"/>
          <w:u w:val="single" w:color="1F419A"/>
        </w:rPr>
        <w:t> </w:t>
      </w:r>
      <w:r>
        <w:rPr>
          <w:color w:val="1F419A"/>
          <w:u w:val="single" w:color="1F419A"/>
        </w:rPr>
        <w:t>Surveys</w:t>
      </w:r>
      <w:r>
        <w:rPr>
          <w:color w:val="1F419A"/>
        </w:rPr>
        <w:t> </w:t>
      </w:r>
      <w:r>
        <w:rPr>
          <w:color w:val="1F419A"/>
          <w:u w:val="single" w:color="1F419A"/>
        </w:rPr>
        <w:t>on Drug Use and Health (PDF | 2.1 MB)</w:t>
      </w:r>
      <w:r>
        <w:rPr>
          <w:color w:val="4A4A4A"/>
        </w:rPr>
        <w:t>, indicating that lesbian, gay, and bisexual adults are more likely than straight adults to use substances, experience mental health conditions including major depressive episodes, and experience serious thoughts of suicide.</w:t>
      </w:r>
    </w:p>
    <w:p>
      <w:pPr>
        <w:pStyle w:val="BodyText"/>
        <w:rPr>
          <w:sz w:val="34"/>
        </w:rPr>
      </w:pPr>
    </w:p>
    <w:p>
      <w:pPr>
        <w:pStyle w:val="BodyText"/>
        <w:ind w:left="280" w:right="668"/>
      </w:pPr>
      <w:r>
        <w:rPr>
          <w:color w:val="4A4A4A"/>
        </w:rPr>
        <w:t>“We know that statistically, lesbian, gay and bisexual</w:t>
      </w:r>
      <w:r>
        <w:rPr>
          <w:color w:val="4A4A4A"/>
          <w:spacing w:val="-8"/>
        </w:rPr>
        <w:t> </w:t>
      </w:r>
      <w:r>
        <w:rPr>
          <w:color w:val="4A4A4A"/>
        </w:rPr>
        <w:t>Americans face increased risks for mental health and substance use issues, which is often related to stress caused by stigma, discrimination and harassment,” said HHS Assistant</w:t>
      </w:r>
      <w:r>
        <w:rPr>
          <w:color w:val="4A4A4A"/>
          <w:spacing w:val="-4"/>
        </w:rPr>
        <w:t> </w:t>
      </w:r>
      <w:r>
        <w:rPr>
          <w:color w:val="4A4A4A"/>
        </w:rPr>
        <w:t>Secretary</w:t>
      </w:r>
      <w:r>
        <w:rPr>
          <w:color w:val="4A4A4A"/>
          <w:spacing w:val="-4"/>
        </w:rPr>
        <w:t> </w:t>
      </w:r>
      <w:r>
        <w:rPr>
          <w:color w:val="4A4A4A"/>
        </w:rPr>
        <w:t>for</w:t>
      </w:r>
      <w:r>
        <w:rPr>
          <w:color w:val="4A4A4A"/>
          <w:spacing w:val="-4"/>
        </w:rPr>
        <w:t> </w:t>
      </w:r>
      <w:r>
        <w:rPr>
          <w:color w:val="4A4A4A"/>
        </w:rPr>
        <w:t>Mental</w:t>
      </w:r>
      <w:r>
        <w:rPr>
          <w:color w:val="4A4A4A"/>
          <w:spacing w:val="-4"/>
        </w:rPr>
        <w:t> </w:t>
      </w:r>
      <w:r>
        <w:rPr>
          <w:color w:val="4A4A4A"/>
        </w:rPr>
        <w:t>Health</w:t>
      </w:r>
      <w:r>
        <w:rPr>
          <w:color w:val="4A4A4A"/>
          <w:spacing w:val="-4"/>
        </w:rPr>
        <w:t> </w:t>
      </w:r>
      <w:r>
        <w:rPr>
          <w:color w:val="4A4A4A"/>
        </w:rPr>
        <w:t>and</w:t>
      </w:r>
      <w:r>
        <w:rPr>
          <w:color w:val="4A4A4A"/>
          <w:spacing w:val="-4"/>
        </w:rPr>
        <w:t> </w:t>
      </w:r>
      <w:r>
        <w:rPr>
          <w:color w:val="4A4A4A"/>
        </w:rPr>
        <w:t>Substance</w:t>
      </w:r>
      <w:r>
        <w:rPr>
          <w:color w:val="4A4A4A"/>
          <w:spacing w:val="-5"/>
        </w:rPr>
        <w:t> </w:t>
      </w:r>
      <w:r>
        <w:rPr>
          <w:color w:val="4A4A4A"/>
        </w:rPr>
        <w:t>Use</w:t>
      </w:r>
      <w:r>
        <w:rPr>
          <w:color w:val="4A4A4A"/>
          <w:spacing w:val="-5"/>
        </w:rPr>
        <w:t> </w:t>
      </w:r>
      <w:r>
        <w:rPr>
          <w:color w:val="4A4A4A"/>
        </w:rPr>
        <w:t>Miriam</w:t>
      </w:r>
      <w:r>
        <w:rPr>
          <w:color w:val="4A4A4A"/>
          <w:spacing w:val="-4"/>
        </w:rPr>
        <w:t> </w:t>
      </w:r>
      <w:r>
        <w:rPr>
          <w:color w:val="4A4A4A"/>
        </w:rPr>
        <w:t>E.</w:t>
      </w:r>
      <w:r>
        <w:rPr>
          <w:color w:val="4A4A4A"/>
          <w:spacing w:val="-4"/>
        </w:rPr>
        <w:t> </w:t>
      </w:r>
      <w:r>
        <w:rPr>
          <w:color w:val="4A4A4A"/>
        </w:rPr>
        <w:t>Delphin- Rittmon, Ph.D., and the leader of SAMHSA. “SAMHSA</w:t>
      </w:r>
      <w:r>
        <w:rPr>
          <w:color w:val="4A4A4A"/>
          <w:spacing w:val="-5"/>
        </w:rPr>
        <w:t> </w:t>
      </w:r>
      <w:r>
        <w:rPr>
          <w:color w:val="4A4A4A"/>
        </w:rPr>
        <w:t>is committed to addressing this issue by increasing services and supports for LGBTQI+ </w:t>
      </w:r>
      <w:r>
        <w:rPr>
          <w:color w:val="4A4A4A"/>
          <w:spacing w:val="-2"/>
        </w:rPr>
        <w:t>individuals.”</w:t>
      </w:r>
    </w:p>
    <w:p>
      <w:pPr>
        <w:pStyle w:val="BodyText"/>
        <w:rPr>
          <w:sz w:val="34"/>
        </w:rPr>
      </w:pPr>
    </w:p>
    <w:p>
      <w:pPr>
        <w:pStyle w:val="BodyText"/>
        <w:ind w:left="280" w:right="502"/>
      </w:pPr>
      <w:r>
        <w:rPr>
          <w:color w:val="4A4A4A"/>
        </w:rPr>
        <w:t>SAMHSA’s</w:t>
      </w:r>
      <w:r>
        <w:rPr>
          <w:color w:val="4A4A4A"/>
          <w:spacing w:val="-5"/>
        </w:rPr>
        <w:t> </w:t>
      </w:r>
      <w:r>
        <w:rPr>
          <w:color w:val="4A4A4A"/>
        </w:rPr>
        <w:t>approach</w:t>
      </w:r>
      <w:r>
        <w:rPr>
          <w:color w:val="4A4A4A"/>
          <w:spacing w:val="-5"/>
        </w:rPr>
        <w:t> </w:t>
      </w:r>
      <w:r>
        <w:rPr>
          <w:color w:val="4A4A4A"/>
        </w:rPr>
        <w:t>to</w:t>
      </w:r>
      <w:r>
        <w:rPr>
          <w:color w:val="4A4A4A"/>
          <w:spacing w:val="-5"/>
        </w:rPr>
        <w:t> </w:t>
      </w:r>
      <w:r>
        <w:rPr>
          <w:color w:val="4A4A4A"/>
        </w:rPr>
        <w:t>addressing</w:t>
      </w:r>
      <w:r>
        <w:rPr>
          <w:color w:val="4A4A4A"/>
          <w:spacing w:val="-5"/>
        </w:rPr>
        <w:t> </w:t>
      </w:r>
      <w:r>
        <w:rPr>
          <w:color w:val="4A4A4A"/>
        </w:rPr>
        <w:t>the</w:t>
      </w:r>
      <w:r>
        <w:rPr>
          <w:color w:val="4A4A4A"/>
          <w:spacing w:val="-6"/>
        </w:rPr>
        <w:t> </w:t>
      </w:r>
      <w:r>
        <w:rPr>
          <w:color w:val="4A4A4A"/>
        </w:rPr>
        <w:t>behavioral</w:t>
      </w:r>
      <w:r>
        <w:rPr>
          <w:color w:val="4A4A4A"/>
          <w:spacing w:val="-5"/>
        </w:rPr>
        <w:t> </w:t>
      </w:r>
      <w:r>
        <w:rPr>
          <w:color w:val="4A4A4A"/>
        </w:rPr>
        <w:t>health</w:t>
      </w:r>
      <w:r>
        <w:rPr>
          <w:color w:val="4A4A4A"/>
          <w:spacing w:val="-5"/>
        </w:rPr>
        <w:t> </w:t>
      </w:r>
      <w:r>
        <w:rPr>
          <w:color w:val="4A4A4A"/>
        </w:rPr>
        <w:t>needs</w:t>
      </w:r>
      <w:r>
        <w:rPr>
          <w:color w:val="4A4A4A"/>
          <w:spacing w:val="-5"/>
        </w:rPr>
        <w:t> </w:t>
      </w:r>
      <w:r>
        <w:rPr>
          <w:color w:val="4A4A4A"/>
        </w:rPr>
        <w:t>of</w:t>
      </w:r>
      <w:r>
        <w:rPr>
          <w:color w:val="4A4A4A"/>
          <w:spacing w:val="-5"/>
        </w:rPr>
        <w:t> </w:t>
      </w:r>
      <w:r>
        <w:rPr>
          <w:color w:val="4A4A4A"/>
        </w:rPr>
        <w:t>LGBTQI+ people with, affected by, or at risk for mental health and substance use conditions, builds on the President’s </w:t>
      </w:r>
      <w:r>
        <w:rPr>
          <w:color w:val="1F419A"/>
          <w:u w:val="single" w:color="1F419A"/>
        </w:rPr>
        <w:t>Executive Order on</w:t>
      </w:r>
      <w:r>
        <w:rPr>
          <w:color w:val="1F419A"/>
          <w:spacing w:val="-14"/>
          <w:u w:val="single" w:color="1F419A"/>
        </w:rPr>
        <w:t> </w:t>
      </w:r>
      <w:r>
        <w:rPr>
          <w:color w:val="1F419A"/>
          <w:u w:val="single" w:color="1F419A"/>
        </w:rPr>
        <w:t>Advancing Equality</w:t>
      </w:r>
      <w:r>
        <w:rPr>
          <w:color w:val="1F419A"/>
        </w:rPr>
        <w:t> </w:t>
      </w:r>
      <w:r>
        <w:rPr>
          <w:color w:val="1F419A"/>
          <w:u w:val="single" w:color="1F419A"/>
        </w:rPr>
        <w:t>for</w:t>
      </w:r>
      <w:r>
        <w:rPr>
          <w:color w:val="1F419A"/>
          <w:spacing w:val="-10"/>
          <w:u w:val="single" w:color="1F419A"/>
        </w:rPr>
        <w:t> </w:t>
      </w:r>
      <w:r>
        <w:rPr>
          <w:color w:val="1F419A"/>
          <w:u w:val="single" w:color="1F419A"/>
        </w:rPr>
        <w:t>Lesbian,</w:t>
      </w:r>
      <w:r>
        <w:rPr>
          <w:color w:val="1F419A"/>
          <w:spacing w:val="-10"/>
          <w:u w:val="single" w:color="1F419A"/>
        </w:rPr>
        <w:t> </w:t>
      </w:r>
      <w:r>
        <w:rPr>
          <w:color w:val="1F419A"/>
          <w:u w:val="single" w:color="1F419A"/>
        </w:rPr>
        <w:t>Gay,</w:t>
      </w:r>
      <w:r>
        <w:rPr>
          <w:color w:val="1F419A"/>
          <w:spacing w:val="-10"/>
          <w:u w:val="single" w:color="1F419A"/>
        </w:rPr>
        <w:t> </w:t>
      </w:r>
      <w:r>
        <w:rPr>
          <w:color w:val="1F419A"/>
          <w:u w:val="single" w:color="1F419A"/>
        </w:rPr>
        <w:t>Bisexual,</w:t>
      </w:r>
      <w:r>
        <w:rPr>
          <w:color w:val="1F419A"/>
          <w:spacing w:val="-15"/>
          <w:u w:val="single" w:color="1F419A"/>
        </w:rPr>
        <w:t> </w:t>
      </w:r>
      <w:r>
        <w:rPr>
          <w:color w:val="1F419A"/>
          <w:u w:val="single" w:color="1F419A"/>
        </w:rPr>
        <w:t>Transgender,</w:t>
      </w:r>
      <w:r>
        <w:rPr>
          <w:color w:val="1F419A"/>
          <w:spacing w:val="-10"/>
          <w:u w:val="single" w:color="1F419A"/>
        </w:rPr>
        <w:t> </w:t>
      </w:r>
      <w:r>
        <w:rPr>
          <w:color w:val="1F419A"/>
          <w:u w:val="single" w:color="1F419A"/>
        </w:rPr>
        <w:t>Queer,</w:t>
      </w:r>
      <w:r>
        <w:rPr>
          <w:color w:val="1F419A"/>
          <w:spacing w:val="-10"/>
          <w:u w:val="single" w:color="1F419A"/>
        </w:rPr>
        <w:t> </w:t>
      </w:r>
      <w:r>
        <w:rPr>
          <w:color w:val="1F419A"/>
          <w:u w:val="single" w:color="1F419A"/>
        </w:rPr>
        <w:t>and</w:t>
      </w:r>
      <w:r>
        <w:rPr>
          <w:color w:val="1F419A"/>
          <w:spacing w:val="-10"/>
          <w:u w:val="single" w:color="1F419A"/>
        </w:rPr>
        <w:t> </w:t>
      </w:r>
      <w:r>
        <w:rPr>
          <w:color w:val="1F419A"/>
          <w:u w:val="single" w:color="1F419A"/>
        </w:rPr>
        <w:t>Intersex</w:t>
      </w:r>
      <w:r>
        <w:rPr>
          <w:color w:val="1F419A"/>
          <w:spacing w:val="-10"/>
          <w:u w:val="single" w:color="1F419A"/>
        </w:rPr>
        <w:t> </w:t>
      </w:r>
      <w:r>
        <w:rPr>
          <w:color w:val="1F419A"/>
          <w:u w:val="single" w:color="1F419A"/>
        </w:rPr>
        <w:t>Individuals</w:t>
      </w:r>
      <w:r>
        <w:rPr>
          <w:color w:val="1F419A"/>
          <w:spacing w:val="-10"/>
          <w:u w:val="single" w:color="1F419A"/>
        </w:rPr>
        <w:t> </w:t>
      </w:r>
      <w:r>
        <w:rPr>
          <w:color w:val="1F419A"/>
          <w:u w:val="single" w:color="1F419A"/>
        </w:rPr>
        <w:t>(EO</w:t>
      </w:r>
      <w:r>
        <w:rPr>
          <w:color w:val="1F419A"/>
        </w:rPr>
        <w:t> </w:t>
      </w:r>
      <w:r>
        <w:rPr>
          <w:color w:val="1F419A"/>
          <w:spacing w:val="-2"/>
          <w:u w:val="single" w:color="1F419A"/>
        </w:rPr>
        <w:t>14075)</w:t>
      </w:r>
      <w:r>
        <w:rPr>
          <w:color w:val="4A4A4A"/>
          <w:spacing w:val="-2"/>
        </w:rPr>
        <w:t>.</w:t>
      </w:r>
    </w:p>
    <w:p>
      <w:pPr>
        <w:pStyle w:val="BodyText"/>
        <w:spacing w:before="4"/>
        <w:rPr>
          <w:sz w:val="34"/>
        </w:rPr>
      </w:pPr>
    </w:p>
    <w:p>
      <w:pPr>
        <w:pStyle w:val="BodyText"/>
        <w:spacing w:before="1"/>
        <w:ind w:left="280" w:right="502"/>
      </w:pPr>
      <w:r>
        <w:rPr>
          <w:color w:val="4A4A4A"/>
        </w:rPr>
        <w:t>Since 2020, SAMHSA</w:t>
      </w:r>
      <w:r>
        <w:rPr>
          <w:color w:val="4A4A4A"/>
          <w:spacing w:val="-5"/>
        </w:rPr>
        <w:t> </w:t>
      </w:r>
      <w:r>
        <w:rPr>
          <w:color w:val="4A4A4A"/>
        </w:rPr>
        <w:t>has funded a </w:t>
      </w:r>
      <w:r>
        <w:rPr>
          <w:color w:val="1F419A"/>
          <w:u w:val="single" w:color="1F419A"/>
        </w:rPr>
        <w:t>Center of Excellence for LGBTQ+</w:t>
      </w:r>
      <w:r>
        <w:rPr>
          <w:color w:val="1F419A"/>
        </w:rPr>
        <w:t> </w:t>
      </w:r>
      <w:r>
        <w:rPr>
          <w:color w:val="1F419A"/>
          <w:u w:val="single" w:color="1F419A"/>
        </w:rPr>
        <w:t>Behavioral</w:t>
      </w:r>
      <w:r>
        <w:rPr>
          <w:color w:val="1F419A"/>
          <w:spacing w:val="-6"/>
          <w:u w:val="single" w:color="1F419A"/>
        </w:rPr>
        <w:t> </w:t>
      </w:r>
      <w:r>
        <w:rPr>
          <w:color w:val="1F419A"/>
          <w:u w:val="single" w:color="1F419A"/>
        </w:rPr>
        <w:t>Health</w:t>
      </w:r>
      <w:r>
        <w:rPr>
          <w:color w:val="1F419A"/>
          <w:spacing w:val="-6"/>
          <w:u w:val="single" w:color="1F419A"/>
        </w:rPr>
        <w:t> </w:t>
      </w:r>
      <w:r>
        <w:rPr>
          <w:color w:val="1F419A"/>
          <w:u w:val="single" w:color="1F419A"/>
        </w:rPr>
        <w:t>Equity</w:t>
      </w:r>
      <w:r>
        <w:rPr>
          <w:color w:val="4A4A4A"/>
        </w:rPr>
        <w:t>,</w:t>
      </w:r>
      <w:r>
        <w:rPr>
          <w:color w:val="4A4A4A"/>
          <w:spacing w:val="-6"/>
        </w:rPr>
        <w:t> </w:t>
      </w:r>
      <w:r>
        <w:rPr>
          <w:color w:val="4A4A4A"/>
        </w:rPr>
        <w:t>which</w:t>
      </w:r>
      <w:r>
        <w:rPr>
          <w:color w:val="4A4A4A"/>
          <w:spacing w:val="-6"/>
        </w:rPr>
        <w:t> </w:t>
      </w:r>
      <w:r>
        <w:rPr>
          <w:color w:val="4A4A4A"/>
        </w:rPr>
        <w:t>is</w:t>
      </w:r>
      <w:r>
        <w:rPr>
          <w:color w:val="4A4A4A"/>
          <w:spacing w:val="-6"/>
        </w:rPr>
        <w:t> </w:t>
      </w:r>
      <w:r>
        <w:rPr>
          <w:color w:val="4A4A4A"/>
        </w:rPr>
        <w:t>designed</w:t>
      </w:r>
      <w:r>
        <w:rPr>
          <w:color w:val="4A4A4A"/>
          <w:spacing w:val="-6"/>
        </w:rPr>
        <w:t> </w:t>
      </w:r>
      <w:r>
        <w:rPr>
          <w:color w:val="4A4A4A"/>
        </w:rPr>
        <w:t>to</w:t>
      </w:r>
      <w:r>
        <w:rPr>
          <w:color w:val="4A4A4A"/>
          <w:spacing w:val="-6"/>
        </w:rPr>
        <w:t> </w:t>
      </w:r>
      <w:r>
        <w:rPr>
          <w:color w:val="4A4A4A"/>
        </w:rPr>
        <w:t>support</w:t>
      </w:r>
      <w:r>
        <w:rPr>
          <w:color w:val="4A4A4A"/>
          <w:spacing w:val="-6"/>
        </w:rPr>
        <w:t> </w:t>
      </w:r>
      <w:r>
        <w:rPr>
          <w:color w:val="4A4A4A"/>
        </w:rPr>
        <w:t>the</w:t>
      </w:r>
      <w:r>
        <w:rPr>
          <w:color w:val="4A4A4A"/>
          <w:spacing w:val="-7"/>
        </w:rPr>
        <w:t> </w:t>
      </w:r>
      <w:r>
        <w:rPr>
          <w:color w:val="4A4A4A"/>
        </w:rPr>
        <w:t>implementation</w:t>
      </w:r>
      <w:r>
        <w:rPr>
          <w:color w:val="4A4A4A"/>
          <w:spacing w:val="-6"/>
        </w:rPr>
        <w:t> </w:t>
      </w:r>
      <w:r>
        <w:rPr>
          <w:color w:val="4A4A4A"/>
        </w:rPr>
        <w:t>of change strategies within mental health and substance use disorder treatment systems to address disparities impacting the LGBTQ+ community.</w:t>
      </w:r>
    </w:p>
    <w:p>
      <w:pPr>
        <w:pStyle w:val="BodyText"/>
        <w:spacing w:before="6"/>
        <w:rPr>
          <w:sz w:val="34"/>
        </w:rPr>
      </w:pPr>
    </w:p>
    <w:p>
      <w:pPr>
        <w:pStyle w:val="BodyText"/>
        <w:ind w:left="280" w:right="502"/>
      </w:pPr>
      <w:r>
        <w:rPr>
          <w:color w:val="4A4A4A"/>
        </w:rPr>
        <w:t>In fall 2022, the 988 Suicide &amp; Crisis Lifeline launched a pilot service for LGBTQI+</w:t>
      </w:r>
      <w:r>
        <w:rPr>
          <w:color w:val="4A4A4A"/>
          <w:spacing w:val="-4"/>
        </w:rPr>
        <w:t> </w:t>
      </w:r>
      <w:r>
        <w:rPr>
          <w:color w:val="4A4A4A"/>
        </w:rPr>
        <w:t>youth</w:t>
      </w:r>
      <w:r>
        <w:rPr>
          <w:color w:val="4A4A4A"/>
          <w:spacing w:val="-4"/>
        </w:rPr>
        <w:t> </w:t>
      </w:r>
      <w:r>
        <w:rPr>
          <w:color w:val="4A4A4A"/>
        </w:rPr>
        <w:t>offering</w:t>
      </w:r>
      <w:r>
        <w:rPr>
          <w:color w:val="4A4A4A"/>
          <w:spacing w:val="-4"/>
        </w:rPr>
        <w:t> </w:t>
      </w:r>
      <w:r>
        <w:rPr>
          <w:color w:val="4A4A4A"/>
        </w:rPr>
        <w:t>24/7</w:t>
      </w:r>
      <w:r>
        <w:rPr>
          <w:color w:val="4A4A4A"/>
          <w:spacing w:val="-4"/>
        </w:rPr>
        <w:t> </w:t>
      </w:r>
      <w:r>
        <w:rPr>
          <w:color w:val="4A4A4A"/>
        </w:rPr>
        <w:t>call,</w:t>
      </w:r>
      <w:r>
        <w:rPr>
          <w:color w:val="4A4A4A"/>
          <w:spacing w:val="-4"/>
        </w:rPr>
        <w:t> </w:t>
      </w:r>
      <w:r>
        <w:rPr>
          <w:color w:val="4A4A4A"/>
        </w:rPr>
        <w:t>text</w:t>
      </w:r>
      <w:r>
        <w:rPr>
          <w:color w:val="4A4A4A"/>
          <w:spacing w:val="-4"/>
        </w:rPr>
        <w:t> </w:t>
      </w:r>
      <w:r>
        <w:rPr>
          <w:color w:val="4A4A4A"/>
        </w:rPr>
        <w:t>and</w:t>
      </w:r>
      <w:r>
        <w:rPr>
          <w:color w:val="4A4A4A"/>
          <w:spacing w:val="-4"/>
        </w:rPr>
        <w:t> </w:t>
      </w:r>
      <w:r>
        <w:rPr>
          <w:color w:val="4A4A4A"/>
        </w:rPr>
        <w:t>chat</w:t>
      </w:r>
      <w:r>
        <w:rPr>
          <w:color w:val="4A4A4A"/>
          <w:spacing w:val="-4"/>
        </w:rPr>
        <w:t> </w:t>
      </w:r>
      <w:r>
        <w:rPr>
          <w:color w:val="4A4A4A"/>
        </w:rPr>
        <w:t>access</w:t>
      </w:r>
      <w:r>
        <w:rPr>
          <w:color w:val="4A4A4A"/>
          <w:spacing w:val="-4"/>
        </w:rPr>
        <w:t> </w:t>
      </w:r>
      <w:r>
        <w:rPr>
          <w:color w:val="4A4A4A"/>
        </w:rPr>
        <w:t>to</w:t>
      </w:r>
      <w:r>
        <w:rPr>
          <w:color w:val="4A4A4A"/>
          <w:spacing w:val="-4"/>
        </w:rPr>
        <w:t> </w:t>
      </w:r>
      <w:r>
        <w:rPr>
          <w:color w:val="4A4A4A"/>
        </w:rPr>
        <w:t>specially</w:t>
      </w:r>
      <w:r>
        <w:rPr>
          <w:color w:val="4A4A4A"/>
          <w:spacing w:val="-4"/>
        </w:rPr>
        <w:t> </w:t>
      </w:r>
      <w:r>
        <w:rPr>
          <w:color w:val="4A4A4A"/>
        </w:rPr>
        <w:t>trained crisis counselors.</w:t>
      </w:r>
    </w:p>
    <w:p>
      <w:pPr>
        <w:spacing w:after="0"/>
        <w:sectPr>
          <w:pgSz w:w="12240" w:h="15840"/>
          <w:pgMar w:header="0" w:footer="797" w:top="1260" w:bottom="980" w:left="1400" w:right="1180"/>
        </w:sectPr>
      </w:pPr>
    </w:p>
    <w:p>
      <w:pPr>
        <w:pStyle w:val="BodyText"/>
        <w:spacing w:before="66"/>
        <w:ind w:left="280"/>
      </w:pPr>
      <w:r>
        <w:rPr>
          <w:color w:val="4A4A4A"/>
        </w:rPr>
        <w:t>The</w:t>
      </w:r>
      <w:r>
        <w:rPr>
          <w:color w:val="4A4A4A"/>
          <w:spacing w:val="-7"/>
        </w:rPr>
        <w:t> </w:t>
      </w:r>
      <w:r>
        <w:rPr>
          <w:color w:val="4A4A4A"/>
        </w:rPr>
        <w:t>report</w:t>
      </w:r>
      <w:r>
        <w:rPr>
          <w:color w:val="4A4A4A"/>
          <w:spacing w:val="-3"/>
        </w:rPr>
        <w:t> </w:t>
      </w:r>
      <w:r>
        <w:rPr>
          <w:color w:val="4A4A4A"/>
        </w:rPr>
        <w:t>covers</w:t>
      </w:r>
      <w:r>
        <w:rPr>
          <w:color w:val="4A4A4A"/>
          <w:spacing w:val="-2"/>
        </w:rPr>
        <w:t> </w:t>
      </w:r>
      <w:r>
        <w:rPr>
          <w:color w:val="4A4A4A"/>
        </w:rPr>
        <w:t>adults</w:t>
      </w:r>
      <w:r>
        <w:rPr>
          <w:color w:val="4A4A4A"/>
          <w:spacing w:val="-3"/>
        </w:rPr>
        <w:t> </w:t>
      </w:r>
      <w:r>
        <w:rPr>
          <w:color w:val="4A4A4A"/>
        </w:rPr>
        <w:t>aged</w:t>
      </w:r>
      <w:r>
        <w:rPr>
          <w:color w:val="4A4A4A"/>
          <w:spacing w:val="-3"/>
        </w:rPr>
        <w:t> </w:t>
      </w:r>
      <w:r>
        <w:rPr>
          <w:color w:val="4A4A4A"/>
        </w:rPr>
        <w:t>18</w:t>
      </w:r>
      <w:r>
        <w:rPr>
          <w:color w:val="4A4A4A"/>
          <w:spacing w:val="-3"/>
        </w:rPr>
        <w:t> </w:t>
      </w:r>
      <w:r>
        <w:rPr>
          <w:color w:val="4A4A4A"/>
        </w:rPr>
        <w:t>or</w:t>
      </w:r>
      <w:r>
        <w:rPr>
          <w:color w:val="4A4A4A"/>
          <w:spacing w:val="-3"/>
        </w:rPr>
        <w:t> </w:t>
      </w:r>
      <w:r>
        <w:rPr>
          <w:color w:val="4A4A4A"/>
        </w:rPr>
        <w:t>older.</w:t>
      </w:r>
      <w:r>
        <w:rPr>
          <w:color w:val="4A4A4A"/>
          <w:spacing w:val="-17"/>
        </w:rPr>
        <w:t> </w:t>
      </w:r>
      <w:r>
        <w:rPr>
          <w:color w:val="4A4A4A"/>
        </w:rPr>
        <w:t>Age</w:t>
      </w:r>
      <w:r>
        <w:rPr>
          <w:color w:val="4A4A4A"/>
          <w:spacing w:val="-4"/>
        </w:rPr>
        <w:t> </w:t>
      </w:r>
      <w:r>
        <w:rPr>
          <w:color w:val="4A4A4A"/>
        </w:rPr>
        <w:t>adjusted</w:t>
      </w:r>
      <w:r>
        <w:rPr>
          <w:color w:val="4A4A4A"/>
          <w:spacing w:val="-3"/>
        </w:rPr>
        <w:t> </w:t>
      </w:r>
      <w:r>
        <w:rPr>
          <w:color w:val="4A4A4A"/>
        </w:rPr>
        <w:t>findings</w:t>
      </w:r>
      <w:r>
        <w:rPr>
          <w:color w:val="4A4A4A"/>
          <w:spacing w:val="-2"/>
        </w:rPr>
        <w:t> include:</w:t>
      </w:r>
    </w:p>
    <w:p>
      <w:pPr>
        <w:pStyle w:val="BodyText"/>
        <w:spacing w:before="8"/>
        <w:rPr>
          <w:sz w:val="35"/>
        </w:rPr>
      </w:pPr>
    </w:p>
    <w:p>
      <w:pPr>
        <w:pStyle w:val="ListParagraph"/>
        <w:numPr>
          <w:ilvl w:val="0"/>
          <w:numId w:val="22"/>
        </w:numPr>
        <w:tabs>
          <w:tab w:pos="1000" w:val="left" w:leader="none"/>
        </w:tabs>
        <w:spacing w:line="235" w:lineRule="auto" w:before="0" w:after="0"/>
        <w:ind w:left="1000" w:right="696" w:hanging="500"/>
        <w:jc w:val="left"/>
        <w:rPr>
          <w:sz w:val="28"/>
        </w:rPr>
      </w:pPr>
      <w:r>
        <w:rPr>
          <w:color w:val="4A4A4A"/>
          <w:position w:val="1"/>
          <w:sz w:val="28"/>
        </w:rPr>
        <w:t>Lesbian</w:t>
      </w:r>
      <w:r>
        <w:rPr>
          <w:color w:val="4A4A4A"/>
          <w:spacing w:val="-4"/>
          <w:position w:val="1"/>
          <w:sz w:val="28"/>
        </w:rPr>
        <w:t> </w:t>
      </w:r>
      <w:r>
        <w:rPr>
          <w:color w:val="4A4A4A"/>
          <w:position w:val="1"/>
          <w:sz w:val="28"/>
        </w:rPr>
        <w:t>and</w:t>
      </w:r>
      <w:r>
        <w:rPr>
          <w:color w:val="4A4A4A"/>
          <w:spacing w:val="-4"/>
          <w:position w:val="1"/>
          <w:sz w:val="28"/>
        </w:rPr>
        <w:t> </w:t>
      </w:r>
      <w:r>
        <w:rPr>
          <w:color w:val="4A4A4A"/>
          <w:position w:val="1"/>
          <w:sz w:val="28"/>
        </w:rPr>
        <w:t>bisexual</w:t>
      </w:r>
      <w:r>
        <w:rPr>
          <w:color w:val="4A4A4A"/>
          <w:spacing w:val="-4"/>
          <w:position w:val="1"/>
          <w:sz w:val="28"/>
        </w:rPr>
        <w:t> </w:t>
      </w:r>
      <w:r>
        <w:rPr>
          <w:color w:val="4A4A4A"/>
          <w:position w:val="1"/>
          <w:sz w:val="28"/>
        </w:rPr>
        <w:t>females</w:t>
      </w:r>
      <w:r>
        <w:rPr>
          <w:color w:val="4A4A4A"/>
          <w:spacing w:val="-4"/>
          <w:position w:val="1"/>
          <w:sz w:val="28"/>
        </w:rPr>
        <w:t> </w:t>
      </w:r>
      <w:r>
        <w:rPr>
          <w:color w:val="4A4A4A"/>
          <w:position w:val="1"/>
          <w:sz w:val="28"/>
        </w:rPr>
        <w:t>were</w:t>
      </w:r>
      <w:r>
        <w:rPr>
          <w:color w:val="4A4A4A"/>
          <w:spacing w:val="-5"/>
          <w:position w:val="1"/>
          <w:sz w:val="28"/>
        </w:rPr>
        <w:t> </w:t>
      </w:r>
      <w:r>
        <w:rPr>
          <w:color w:val="4A4A4A"/>
          <w:position w:val="1"/>
          <w:sz w:val="28"/>
        </w:rPr>
        <w:t>more</w:t>
      </w:r>
      <w:r>
        <w:rPr>
          <w:color w:val="4A4A4A"/>
          <w:spacing w:val="-5"/>
          <w:position w:val="1"/>
          <w:sz w:val="28"/>
        </w:rPr>
        <w:t> </w:t>
      </w:r>
      <w:r>
        <w:rPr>
          <w:color w:val="4A4A4A"/>
          <w:position w:val="1"/>
          <w:sz w:val="28"/>
        </w:rPr>
        <w:t>likely</w:t>
      </w:r>
      <w:r>
        <w:rPr>
          <w:color w:val="4A4A4A"/>
          <w:spacing w:val="-4"/>
          <w:position w:val="1"/>
          <w:sz w:val="28"/>
        </w:rPr>
        <w:t> </w:t>
      </w:r>
      <w:r>
        <w:rPr>
          <w:color w:val="4A4A4A"/>
          <w:position w:val="1"/>
          <w:sz w:val="28"/>
        </w:rPr>
        <w:t>than</w:t>
      </w:r>
      <w:r>
        <w:rPr>
          <w:color w:val="4A4A4A"/>
          <w:spacing w:val="-4"/>
          <w:position w:val="1"/>
          <w:sz w:val="28"/>
        </w:rPr>
        <w:t> </w:t>
      </w:r>
      <w:r>
        <w:rPr>
          <w:color w:val="4A4A4A"/>
          <w:position w:val="1"/>
          <w:sz w:val="28"/>
        </w:rPr>
        <w:t>straight</w:t>
      </w:r>
      <w:r>
        <w:rPr>
          <w:color w:val="4A4A4A"/>
          <w:spacing w:val="-4"/>
          <w:position w:val="1"/>
          <w:sz w:val="28"/>
        </w:rPr>
        <w:t> </w:t>
      </w:r>
      <w:r>
        <w:rPr>
          <w:color w:val="4A4A4A"/>
          <w:position w:val="1"/>
          <w:sz w:val="28"/>
        </w:rPr>
        <w:t>females</w:t>
      </w:r>
      <w:r>
        <w:rPr>
          <w:color w:val="4A4A4A"/>
          <w:spacing w:val="-4"/>
          <w:position w:val="1"/>
          <w:sz w:val="28"/>
        </w:rPr>
        <w:t> </w:t>
      </w:r>
      <w:r>
        <w:rPr>
          <w:color w:val="4A4A4A"/>
          <w:position w:val="1"/>
          <w:sz w:val="28"/>
        </w:rPr>
        <w:t>to </w:t>
      </w:r>
      <w:r>
        <w:rPr>
          <w:color w:val="4A4A4A"/>
          <w:sz w:val="28"/>
        </w:rPr>
        <w:t>have engaged in binge drinking in the past month, and about twice as likely to have engaged in heavy drinking in the past month.</w:t>
      </w:r>
    </w:p>
    <w:p>
      <w:pPr>
        <w:pStyle w:val="BodyText"/>
        <w:spacing w:before="10"/>
        <w:rPr>
          <w:sz w:val="23"/>
        </w:rPr>
      </w:pPr>
    </w:p>
    <w:p>
      <w:pPr>
        <w:pStyle w:val="ListParagraph"/>
        <w:numPr>
          <w:ilvl w:val="0"/>
          <w:numId w:val="22"/>
        </w:numPr>
        <w:tabs>
          <w:tab w:pos="1000" w:val="left" w:leader="none"/>
        </w:tabs>
        <w:spacing w:line="235" w:lineRule="auto" w:before="0" w:after="0"/>
        <w:ind w:left="1000" w:right="525" w:hanging="500"/>
        <w:jc w:val="left"/>
        <w:rPr>
          <w:sz w:val="28"/>
        </w:rPr>
      </w:pPr>
      <w:r>
        <w:rPr>
          <w:color w:val="4A4A4A"/>
          <w:position w:val="1"/>
          <w:sz w:val="28"/>
        </w:rPr>
        <w:t>Gay</w:t>
      </w:r>
      <w:r>
        <w:rPr>
          <w:color w:val="4A4A4A"/>
          <w:spacing w:val="-3"/>
          <w:position w:val="1"/>
          <w:sz w:val="28"/>
        </w:rPr>
        <w:t> </w:t>
      </w:r>
      <w:r>
        <w:rPr>
          <w:color w:val="4A4A4A"/>
          <w:position w:val="1"/>
          <w:sz w:val="28"/>
        </w:rPr>
        <w:t>and</w:t>
      </w:r>
      <w:r>
        <w:rPr>
          <w:color w:val="4A4A4A"/>
          <w:spacing w:val="-3"/>
          <w:position w:val="1"/>
          <w:sz w:val="28"/>
        </w:rPr>
        <w:t> </w:t>
      </w:r>
      <w:r>
        <w:rPr>
          <w:color w:val="4A4A4A"/>
          <w:position w:val="1"/>
          <w:sz w:val="28"/>
        </w:rPr>
        <w:t>bisexual</w:t>
      </w:r>
      <w:r>
        <w:rPr>
          <w:color w:val="4A4A4A"/>
          <w:spacing w:val="-3"/>
          <w:position w:val="1"/>
          <w:sz w:val="28"/>
        </w:rPr>
        <w:t> </w:t>
      </w:r>
      <w:r>
        <w:rPr>
          <w:color w:val="4A4A4A"/>
          <w:position w:val="1"/>
          <w:sz w:val="28"/>
        </w:rPr>
        <w:t>males</w:t>
      </w:r>
      <w:r>
        <w:rPr>
          <w:color w:val="4A4A4A"/>
          <w:spacing w:val="-3"/>
          <w:position w:val="1"/>
          <w:sz w:val="28"/>
        </w:rPr>
        <w:t> </w:t>
      </w:r>
      <w:r>
        <w:rPr>
          <w:color w:val="4A4A4A"/>
          <w:position w:val="1"/>
          <w:sz w:val="28"/>
        </w:rPr>
        <w:t>and</w:t>
      </w:r>
      <w:r>
        <w:rPr>
          <w:color w:val="4A4A4A"/>
          <w:spacing w:val="-3"/>
          <w:position w:val="1"/>
          <w:sz w:val="28"/>
        </w:rPr>
        <w:t> </w:t>
      </w:r>
      <w:r>
        <w:rPr>
          <w:color w:val="4A4A4A"/>
          <w:position w:val="1"/>
          <w:sz w:val="28"/>
        </w:rPr>
        <w:t>females</w:t>
      </w:r>
      <w:r>
        <w:rPr>
          <w:color w:val="4A4A4A"/>
          <w:spacing w:val="-3"/>
          <w:position w:val="1"/>
          <w:sz w:val="28"/>
        </w:rPr>
        <w:t> </w:t>
      </w:r>
      <w:r>
        <w:rPr>
          <w:color w:val="4A4A4A"/>
          <w:position w:val="1"/>
          <w:sz w:val="28"/>
        </w:rPr>
        <w:t>were</w:t>
      </w:r>
      <w:r>
        <w:rPr>
          <w:color w:val="4A4A4A"/>
          <w:spacing w:val="-4"/>
          <w:position w:val="1"/>
          <w:sz w:val="28"/>
        </w:rPr>
        <w:t> </w:t>
      </w:r>
      <w:r>
        <w:rPr>
          <w:color w:val="4A4A4A"/>
          <w:position w:val="1"/>
          <w:sz w:val="28"/>
        </w:rPr>
        <w:t>two</w:t>
      </w:r>
      <w:r>
        <w:rPr>
          <w:color w:val="4A4A4A"/>
          <w:spacing w:val="-3"/>
          <w:position w:val="1"/>
          <w:sz w:val="28"/>
        </w:rPr>
        <w:t> </w:t>
      </w:r>
      <w:r>
        <w:rPr>
          <w:color w:val="4A4A4A"/>
          <w:position w:val="1"/>
          <w:sz w:val="28"/>
        </w:rPr>
        <w:t>to</w:t>
      </w:r>
      <w:r>
        <w:rPr>
          <w:color w:val="4A4A4A"/>
          <w:spacing w:val="-3"/>
          <w:position w:val="1"/>
          <w:sz w:val="28"/>
        </w:rPr>
        <w:t> </w:t>
      </w:r>
      <w:r>
        <w:rPr>
          <w:color w:val="4A4A4A"/>
          <w:position w:val="1"/>
          <w:sz w:val="28"/>
        </w:rPr>
        <w:t>three</w:t>
      </w:r>
      <w:r>
        <w:rPr>
          <w:color w:val="4A4A4A"/>
          <w:spacing w:val="-4"/>
          <w:position w:val="1"/>
          <w:sz w:val="28"/>
        </w:rPr>
        <w:t> </w:t>
      </w:r>
      <w:r>
        <w:rPr>
          <w:color w:val="4A4A4A"/>
          <w:position w:val="1"/>
          <w:sz w:val="28"/>
        </w:rPr>
        <w:t>times</w:t>
      </w:r>
      <w:r>
        <w:rPr>
          <w:color w:val="4A4A4A"/>
          <w:spacing w:val="-3"/>
          <w:position w:val="1"/>
          <w:sz w:val="28"/>
        </w:rPr>
        <w:t> </w:t>
      </w:r>
      <w:r>
        <w:rPr>
          <w:color w:val="4A4A4A"/>
          <w:position w:val="1"/>
          <w:sz w:val="28"/>
        </w:rPr>
        <w:t>more</w:t>
      </w:r>
      <w:r>
        <w:rPr>
          <w:color w:val="4A4A4A"/>
          <w:spacing w:val="-4"/>
          <w:position w:val="1"/>
          <w:sz w:val="28"/>
        </w:rPr>
        <w:t> </w:t>
      </w:r>
      <w:r>
        <w:rPr>
          <w:color w:val="4A4A4A"/>
          <w:position w:val="1"/>
          <w:sz w:val="28"/>
        </w:rPr>
        <w:t>likely </w:t>
      </w:r>
      <w:r>
        <w:rPr>
          <w:color w:val="4A4A4A"/>
          <w:sz w:val="28"/>
        </w:rPr>
        <w:t>than their straight counterparts to have used illicit drugs other than marijuana in the past year.</w:t>
      </w:r>
    </w:p>
    <w:p>
      <w:pPr>
        <w:pStyle w:val="BodyText"/>
        <w:spacing w:before="10"/>
        <w:rPr>
          <w:sz w:val="23"/>
        </w:rPr>
      </w:pPr>
    </w:p>
    <w:p>
      <w:pPr>
        <w:pStyle w:val="ListParagraph"/>
        <w:numPr>
          <w:ilvl w:val="0"/>
          <w:numId w:val="22"/>
        </w:numPr>
        <w:tabs>
          <w:tab w:pos="1000" w:val="left" w:leader="none"/>
        </w:tabs>
        <w:spacing w:line="235" w:lineRule="auto" w:before="0" w:after="0"/>
        <w:ind w:left="1000" w:right="625" w:hanging="500"/>
        <w:jc w:val="left"/>
        <w:rPr>
          <w:sz w:val="28"/>
        </w:rPr>
      </w:pPr>
      <w:r>
        <w:rPr>
          <w:color w:val="4A4A4A"/>
          <w:position w:val="1"/>
          <w:sz w:val="28"/>
        </w:rPr>
        <w:t>About</w:t>
      </w:r>
      <w:r>
        <w:rPr>
          <w:color w:val="4A4A4A"/>
          <w:spacing w:val="-4"/>
          <w:position w:val="1"/>
          <w:sz w:val="28"/>
        </w:rPr>
        <w:t> </w:t>
      </w:r>
      <w:r>
        <w:rPr>
          <w:color w:val="4A4A4A"/>
          <w:position w:val="1"/>
          <w:sz w:val="28"/>
        </w:rPr>
        <w:t>one</w:t>
      </w:r>
      <w:r>
        <w:rPr>
          <w:color w:val="4A4A4A"/>
          <w:spacing w:val="-5"/>
          <w:position w:val="1"/>
          <w:sz w:val="28"/>
        </w:rPr>
        <w:t> </w:t>
      </w:r>
      <w:r>
        <w:rPr>
          <w:color w:val="4A4A4A"/>
          <w:position w:val="1"/>
          <w:sz w:val="28"/>
        </w:rPr>
        <w:t>third</w:t>
      </w:r>
      <w:r>
        <w:rPr>
          <w:color w:val="4A4A4A"/>
          <w:spacing w:val="-4"/>
          <w:position w:val="1"/>
          <w:sz w:val="28"/>
        </w:rPr>
        <w:t> </w:t>
      </w:r>
      <w:r>
        <w:rPr>
          <w:color w:val="4A4A4A"/>
          <w:position w:val="1"/>
          <w:sz w:val="28"/>
        </w:rPr>
        <w:t>of</w:t>
      </w:r>
      <w:r>
        <w:rPr>
          <w:color w:val="4A4A4A"/>
          <w:spacing w:val="-4"/>
          <w:position w:val="1"/>
          <w:sz w:val="28"/>
        </w:rPr>
        <w:t> </w:t>
      </w:r>
      <w:r>
        <w:rPr>
          <w:color w:val="4A4A4A"/>
          <w:position w:val="1"/>
          <w:sz w:val="28"/>
        </w:rPr>
        <w:t>bisexual</w:t>
      </w:r>
      <w:r>
        <w:rPr>
          <w:color w:val="4A4A4A"/>
          <w:spacing w:val="-4"/>
          <w:position w:val="1"/>
          <w:sz w:val="28"/>
        </w:rPr>
        <w:t> </w:t>
      </w:r>
      <w:r>
        <w:rPr>
          <w:color w:val="4A4A4A"/>
          <w:position w:val="1"/>
          <w:sz w:val="28"/>
        </w:rPr>
        <w:t>females,</w:t>
      </w:r>
      <w:r>
        <w:rPr>
          <w:color w:val="4A4A4A"/>
          <w:spacing w:val="-4"/>
          <w:position w:val="1"/>
          <w:sz w:val="28"/>
        </w:rPr>
        <w:t> </w:t>
      </w:r>
      <w:r>
        <w:rPr>
          <w:color w:val="4A4A4A"/>
          <w:position w:val="1"/>
          <w:sz w:val="28"/>
        </w:rPr>
        <w:t>bisexual</w:t>
      </w:r>
      <w:r>
        <w:rPr>
          <w:color w:val="4A4A4A"/>
          <w:spacing w:val="-4"/>
          <w:position w:val="1"/>
          <w:sz w:val="28"/>
        </w:rPr>
        <w:t> </w:t>
      </w:r>
      <w:r>
        <w:rPr>
          <w:color w:val="4A4A4A"/>
          <w:position w:val="1"/>
          <w:sz w:val="28"/>
        </w:rPr>
        <w:t>males,</w:t>
      </w:r>
      <w:r>
        <w:rPr>
          <w:color w:val="4A4A4A"/>
          <w:spacing w:val="-4"/>
          <w:position w:val="1"/>
          <w:sz w:val="28"/>
        </w:rPr>
        <w:t> </w:t>
      </w:r>
      <w:r>
        <w:rPr>
          <w:color w:val="4A4A4A"/>
          <w:position w:val="1"/>
          <w:sz w:val="28"/>
        </w:rPr>
        <w:t>and</w:t>
      </w:r>
      <w:r>
        <w:rPr>
          <w:color w:val="4A4A4A"/>
          <w:spacing w:val="-4"/>
          <w:position w:val="1"/>
          <w:sz w:val="28"/>
        </w:rPr>
        <w:t> </w:t>
      </w:r>
      <w:r>
        <w:rPr>
          <w:color w:val="4A4A4A"/>
          <w:position w:val="1"/>
          <w:sz w:val="28"/>
        </w:rPr>
        <w:t>gay</w:t>
      </w:r>
      <w:r>
        <w:rPr>
          <w:color w:val="4A4A4A"/>
          <w:spacing w:val="-4"/>
          <w:position w:val="1"/>
          <w:sz w:val="28"/>
        </w:rPr>
        <w:t> </w:t>
      </w:r>
      <w:r>
        <w:rPr>
          <w:color w:val="4A4A4A"/>
          <w:position w:val="1"/>
          <w:sz w:val="28"/>
        </w:rPr>
        <w:t>males</w:t>
      </w:r>
      <w:r>
        <w:rPr>
          <w:color w:val="4A4A4A"/>
          <w:spacing w:val="-4"/>
          <w:position w:val="1"/>
          <w:sz w:val="28"/>
        </w:rPr>
        <w:t> </w:t>
      </w:r>
      <w:r>
        <w:rPr>
          <w:color w:val="4A4A4A"/>
          <w:position w:val="1"/>
          <w:sz w:val="28"/>
        </w:rPr>
        <w:t>had </w:t>
      </w:r>
      <w:r>
        <w:rPr>
          <w:color w:val="4A4A4A"/>
          <w:sz w:val="28"/>
        </w:rPr>
        <w:t>a substance use disorder (SUD) in the past year.</w:t>
      </w:r>
      <w:r>
        <w:rPr>
          <w:color w:val="4A4A4A"/>
          <w:spacing w:val="-8"/>
          <w:sz w:val="28"/>
        </w:rPr>
        <w:t> </w:t>
      </w:r>
      <w:r>
        <w:rPr>
          <w:color w:val="4A4A4A"/>
          <w:sz w:val="28"/>
        </w:rPr>
        <w:t>About one fourth of lesbian females had an SUD in the past year.</w:t>
      </w:r>
    </w:p>
    <w:p>
      <w:pPr>
        <w:pStyle w:val="BodyText"/>
        <w:spacing w:before="4"/>
        <w:rPr>
          <w:sz w:val="24"/>
        </w:rPr>
      </w:pPr>
    </w:p>
    <w:p>
      <w:pPr>
        <w:pStyle w:val="ListParagraph"/>
        <w:numPr>
          <w:ilvl w:val="0"/>
          <w:numId w:val="22"/>
        </w:numPr>
        <w:tabs>
          <w:tab w:pos="1000" w:val="left" w:leader="none"/>
        </w:tabs>
        <w:spacing w:line="230" w:lineRule="auto" w:before="0" w:after="0"/>
        <w:ind w:left="1000" w:right="773" w:hanging="500"/>
        <w:jc w:val="left"/>
        <w:rPr>
          <w:sz w:val="28"/>
        </w:rPr>
      </w:pPr>
      <w:r>
        <w:rPr>
          <w:color w:val="4A4A4A"/>
          <w:position w:val="1"/>
          <w:sz w:val="28"/>
        </w:rPr>
        <w:t>Bisexual</w:t>
      </w:r>
      <w:r>
        <w:rPr>
          <w:color w:val="4A4A4A"/>
          <w:spacing w:val="-4"/>
          <w:position w:val="1"/>
          <w:sz w:val="28"/>
        </w:rPr>
        <w:t> </w:t>
      </w:r>
      <w:r>
        <w:rPr>
          <w:color w:val="4A4A4A"/>
          <w:position w:val="1"/>
          <w:sz w:val="28"/>
        </w:rPr>
        <w:t>females</w:t>
      </w:r>
      <w:r>
        <w:rPr>
          <w:color w:val="4A4A4A"/>
          <w:spacing w:val="-4"/>
          <w:position w:val="1"/>
          <w:sz w:val="28"/>
        </w:rPr>
        <w:t> </w:t>
      </w:r>
      <w:r>
        <w:rPr>
          <w:color w:val="4A4A4A"/>
          <w:position w:val="1"/>
          <w:sz w:val="28"/>
        </w:rPr>
        <w:t>were</w:t>
      </w:r>
      <w:r>
        <w:rPr>
          <w:color w:val="4A4A4A"/>
          <w:spacing w:val="-5"/>
          <w:position w:val="1"/>
          <w:sz w:val="28"/>
        </w:rPr>
        <w:t> </w:t>
      </w:r>
      <w:r>
        <w:rPr>
          <w:color w:val="4A4A4A"/>
          <w:position w:val="1"/>
          <w:sz w:val="28"/>
        </w:rPr>
        <w:t>three</w:t>
      </w:r>
      <w:r>
        <w:rPr>
          <w:color w:val="4A4A4A"/>
          <w:spacing w:val="-5"/>
          <w:position w:val="1"/>
          <w:sz w:val="28"/>
        </w:rPr>
        <w:t> </w:t>
      </w:r>
      <w:r>
        <w:rPr>
          <w:color w:val="4A4A4A"/>
          <w:position w:val="1"/>
          <w:sz w:val="28"/>
        </w:rPr>
        <w:t>times</w:t>
      </w:r>
      <w:r>
        <w:rPr>
          <w:color w:val="4A4A4A"/>
          <w:spacing w:val="-4"/>
          <w:position w:val="1"/>
          <w:sz w:val="28"/>
        </w:rPr>
        <w:t> </w:t>
      </w:r>
      <w:r>
        <w:rPr>
          <w:color w:val="4A4A4A"/>
          <w:position w:val="1"/>
          <w:sz w:val="28"/>
        </w:rPr>
        <w:t>more</w:t>
      </w:r>
      <w:r>
        <w:rPr>
          <w:color w:val="4A4A4A"/>
          <w:spacing w:val="-5"/>
          <w:position w:val="1"/>
          <w:sz w:val="28"/>
        </w:rPr>
        <w:t> </w:t>
      </w:r>
      <w:r>
        <w:rPr>
          <w:color w:val="4A4A4A"/>
          <w:position w:val="1"/>
          <w:sz w:val="28"/>
        </w:rPr>
        <w:t>likely</w:t>
      </w:r>
      <w:r>
        <w:rPr>
          <w:color w:val="4A4A4A"/>
          <w:spacing w:val="-4"/>
          <w:position w:val="1"/>
          <w:sz w:val="28"/>
        </w:rPr>
        <w:t> </w:t>
      </w:r>
      <w:r>
        <w:rPr>
          <w:color w:val="4A4A4A"/>
          <w:position w:val="1"/>
          <w:sz w:val="28"/>
        </w:rPr>
        <w:t>than</w:t>
      </w:r>
      <w:r>
        <w:rPr>
          <w:color w:val="4A4A4A"/>
          <w:spacing w:val="-4"/>
          <w:position w:val="1"/>
          <w:sz w:val="28"/>
        </w:rPr>
        <w:t> </w:t>
      </w:r>
      <w:r>
        <w:rPr>
          <w:color w:val="4A4A4A"/>
          <w:position w:val="1"/>
          <w:sz w:val="28"/>
        </w:rPr>
        <w:t>straight</w:t>
      </w:r>
      <w:r>
        <w:rPr>
          <w:color w:val="4A4A4A"/>
          <w:spacing w:val="-4"/>
          <w:position w:val="1"/>
          <w:sz w:val="28"/>
        </w:rPr>
        <w:t> </w:t>
      </w:r>
      <w:r>
        <w:rPr>
          <w:color w:val="4A4A4A"/>
          <w:position w:val="1"/>
          <w:sz w:val="28"/>
        </w:rPr>
        <w:t>females</w:t>
      </w:r>
      <w:r>
        <w:rPr>
          <w:color w:val="4A4A4A"/>
          <w:spacing w:val="-4"/>
          <w:position w:val="1"/>
          <w:sz w:val="28"/>
        </w:rPr>
        <w:t> </w:t>
      </w:r>
      <w:r>
        <w:rPr>
          <w:color w:val="4A4A4A"/>
          <w:position w:val="1"/>
          <w:sz w:val="28"/>
        </w:rPr>
        <w:t>to </w:t>
      </w:r>
      <w:r>
        <w:rPr>
          <w:color w:val="4A4A4A"/>
          <w:sz w:val="28"/>
        </w:rPr>
        <w:t>have had an opioid use disorder in the past year.</w:t>
      </w:r>
    </w:p>
    <w:p>
      <w:pPr>
        <w:pStyle w:val="BodyText"/>
        <w:spacing w:before="2"/>
        <w:rPr>
          <w:sz w:val="24"/>
        </w:rPr>
      </w:pPr>
    </w:p>
    <w:p>
      <w:pPr>
        <w:pStyle w:val="ListParagraph"/>
        <w:numPr>
          <w:ilvl w:val="0"/>
          <w:numId w:val="22"/>
        </w:numPr>
        <w:tabs>
          <w:tab w:pos="1000" w:val="left" w:leader="none"/>
        </w:tabs>
        <w:spacing w:line="235" w:lineRule="auto" w:before="0" w:after="0"/>
        <w:ind w:left="1000" w:right="586" w:hanging="500"/>
        <w:jc w:val="left"/>
        <w:rPr>
          <w:sz w:val="28"/>
        </w:rPr>
      </w:pPr>
      <w:r>
        <w:rPr>
          <w:color w:val="4A4A4A"/>
          <w:position w:val="1"/>
          <w:sz w:val="28"/>
        </w:rPr>
        <w:t>The prevalence of serious mental illness (SMI) in the past year was </w:t>
      </w:r>
      <w:r>
        <w:rPr>
          <w:color w:val="4A4A4A"/>
          <w:sz w:val="28"/>
        </w:rPr>
        <w:t>more</w:t>
      </w:r>
      <w:r>
        <w:rPr>
          <w:color w:val="4A4A4A"/>
          <w:spacing w:val="-5"/>
          <w:sz w:val="28"/>
        </w:rPr>
        <w:t> </w:t>
      </w:r>
      <w:r>
        <w:rPr>
          <w:color w:val="4A4A4A"/>
          <w:sz w:val="28"/>
        </w:rPr>
        <w:t>than</w:t>
      </w:r>
      <w:r>
        <w:rPr>
          <w:color w:val="4A4A4A"/>
          <w:spacing w:val="-4"/>
          <w:sz w:val="28"/>
        </w:rPr>
        <w:t> </w:t>
      </w:r>
      <w:r>
        <w:rPr>
          <w:color w:val="4A4A4A"/>
          <w:sz w:val="28"/>
        </w:rPr>
        <w:t>three</w:t>
      </w:r>
      <w:r>
        <w:rPr>
          <w:color w:val="4A4A4A"/>
          <w:spacing w:val="-5"/>
          <w:sz w:val="28"/>
        </w:rPr>
        <w:t> </w:t>
      </w:r>
      <w:r>
        <w:rPr>
          <w:color w:val="4A4A4A"/>
          <w:sz w:val="28"/>
        </w:rPr>
        <w:t>times</w:t>
      </w:r>
      <w:r>
        <w:rPr>
          <w:color w:val="4A4A4A"/>
          <w:spacing w:val="-4"/>
          <w:sz w:val="28"/>
        </w:rPr>
        <w:t> </w:t>
      </w:r>
      <w:r>
        <w:rPr>
          <w:color w:val="4A4A4A"/>
          <w:sz w:val="28"/>
        </w:rPr>
        <w:t>higher</w:t>
      </w:r>
      <w:r>
        <w:rPr>
          <w:color w:val="4A4A4A"/>
          <w:spacing w:val="-4"/>
          <w:sz w:val="28"/>
        </w:rPr>
        <w:t> </w:t>
      </w:r>
      <w:r>
        <w:rPr>
          <w:color w:val="4A4A4A"/>
          <w:sz w:val="28"/>
        </w:rPr>
        <w:t>among</w:t>
      </w:r>
      <w:r>
        <w:rPr>
          <w:color w:val="4A4A4A"/>
          <w:spacing w:val="-4"/>
          <w:sz w:val="28"/>
        </w:rPr>
        <w:t> </w:t>
      </w:r>
      <w:r>
        <w:rPr>
          <w:color w:val="4A4A4A"/>
          <w:sz w:val="28"/>
        </w:rPr>
        <w:t>bisexual</w:t>
      </w:r>
      <w:r>
        <w:rPr>
          <w:color w:val="4A4A4A"/>
          <w:spacing w:val="-4"/>
          <w:sz w:val="28"/>
        </w:rPr>
        <w:t> </w:t>
      </w:r>
      <w:r>
        <w:rPr>
          <w:color w:val="4A4A4A"/>
          <w:sz w:val="28"/>
        </w:rPr>
        <w:t>males</w:t>
      </w:r>
      <w:r>
        <w:rPr>
          <w:color w:val="4A4A4A"/>
          <w:spacing w:val="-4"/>
          <w:sz w:val="28"/>
        </w:rPr>
        <w:t> </w:t>
      </w:r>
      <w:r>
        <w:rPr>
          <w:color w:val="4A4A4A"/>
          <w:sz w:val="28"/>
        </w:rPr>
        <w:t>than</w:t>
      </w:r>
      <w:r>
        <w:rPr>
          <w:color w:val="4A4A4A"/>
          <w:spacing w:val="-4"/>
          <w:sz w:val="28"/>
        </w:rPr>
        <w:t> </w:t>
      </w:r>
      <w:r>
        <w:rPr>
          <w:color w:val="4A4A4A"/>
          <w:sz w:val="28"/>
        </w:rPr>
        <w:t>among</w:t>
      </w:r>
      <w:r>
        <w:rPr>
          <w:color w:val="4A4A4A"/>
          <w:spacing w:val="-4"/>
          <w:sz w:val="28"/>
        </w:rPr>
        <w:t> </w:t>
      </w:r>
      <w:r>
        <w:rPr>
          <w:color w:val="4A4A4A"/>
          <w:sz w:val="28"/>
        </w:rPr>
        <w:t>straight males and more than twice as high among gay males than among straight males.</w:t>
      </w:r>
    </w:p>
    <w:p>
      <w:pPr>
        <w:pStyle w:val="BodyText"/>
        <w:spacing w:before="3"/>
        <w:rPr>
          <w:sz w:val="24"/>
        </w:rPr>
      </w:pPr>
    </w:p>
    <w:p>
      <w:pPr>
        <w:pStyle w:val="ListParagraph"/>
        <w:numPr>
          <w:ilvl w:val="0"/>
          <w:numId w:val="22"/>
        </w:numPr>
        <w:tabs>
          <w:tab w:pos="1000" w:val="left" w:leader="none"/>
        </w:tabs>
        <w:spacing w:line="235" w:lineRule="auto" w:before="0" w:after="0"/>
        <w:ind w:left="1000" w:right="625" w:hanging="500"/>
        <w:jc w:val="left"/>
        <w:rPr>
          <w:sz w:val="28"/>
        </w:rPr>
      </w:pPr>
      <w:r>
        <w:rPr>
          <w:color w:val="4A4A4A"/>
          <w:position w:val="1"/>
          <w:sz w:val="28"/>
        </w:rPr>
        <w:t>More than one in four bisexual females and more than one in seven </w:t>
      </w:r>
      <w:r>
        <w:rPr>
          <w:color w:val="4A4A4A"/>
          <w:sz w:val="28"/>
        </w:rPr>
        <w:t>lesbian</w:t>
      </w:r>
      <w:r>
        <w:rPr>
          <w:color w:val="4A4A4A"/>
          <w:spacing w:val="-3"/>
          <w:sz w:val="28"/>
        </w:rPr>
        <w:t> </w:t>
      </w:r>
      <w:r>
        <w:rPr>
          <w:color w:val="4A4A4A"/>
          <w:sz w:val="28"/>
        </w:rPr>
        <w:t>females</w:t>
      </w:r>
      <w:r>
        <w:rPr>
          <w:color w:val="4A4A4A"/>
          <w:spacing w:val="-3"/>
          <w:sz w:val="28"/>
        </w:rPr>
        <w:t> </w:t>
      </w:r>
      <w:r>
        <w:rPr>
          <w:color w:val="4A4A4A"/>
          <w:sz w:val="28"/>
        </w:rPr>
        <w:t>had</w:t>
      </w:r>
      <w:r>
        <w:rPr>
          <w:color w:val="4A4A4A"/>
          <w:spacing w:val="-3"/>
          <w:sz w:val="28"/>
        </w:rPr>
        <w:t> </w:t>
      </w:r>
      <w:r>
        <w:rPr>
          <w:color w:val="4A4A4A"/>
          <w:sz w:val="28"/>
        </w:rPr>
        <w:t>a</w:t>
      </w:r>
      <w:r>
        <w:rPr>
          <w:color w:val="4A4A4A"/>
          <w:spacing w:val="-4"/>
          <w:sz w:val="28"/>
        </w:rPr>
        <w:t> </w:t>
      </w:r>
      <w:r>
        <w:rPr>
          <w:color w:val="4A4A4A"/>
          <w:sz w:val="28"/>
        </w:rPr>
        <w:t>major</w:t>
      </w:r>
      <w:r>
        <w:rPr>
          <w:color w:val="4A4A4A"/>
          <w:spacing w:val="-3"/>
          <w:sz w:val="28"/>
        </w:rPr>
        <w:t> </w:t>
      </w:r>
      <w:r>
        <w:rPr>
          <w:color w:val="4A4A4A"/>
          <w:sz w:val="28"/>
        </w:rPr>
        <w:t>depressive</w:t>
      </w:r>
      <w:r>
        <w:rPr>
          <w:color w:val="4A4A4A"/>
          <w:spacing w:val="-4"/>
          <w:sz w:val="28"/>
        </w:rPr>
        <w:t> </w:t>
      </w:r>
      <w:r>
        <w:rPr>
          <w:color w:val="4A4A4A"/>
          <w:sz w:val="28"/>
        </w:rPr>
        <w:t>episode</w:t>
      </w:r>
      <w:r>
        <w:rPr>
          <w:color w:val="4A4A4A"/>
          <w:spacing w:val="-4"/>
          <w:sz w:val="28"/>
        </w:rPr>
        <w:t> </w:t>
      </w:r>
      <w:r>
        <w:rPr>
          <w:color w:val="4A4A4A"/>
          <w:sz w:val="28"/>
        </w:rPr>
        <w:t>(MDE)</w:t>
      </w:r>
      <w:r>
        <w:rPr>
          <w:color w:val="4A4A4A"/>
          <w:spacing w:val="-3"/>
          <w:sz w:val="28"/>
        </w:rPr>
        <w:t> </w:t>
      </w:r>
      <w:r>
        <w:rPr>
          <w:color w:val="4A4A4A"/>
          <w:sz w:val="28"/>
        </w:rPr>
        <w:t>in</w:t>
      </w:r>
      <w:r>
        <w:rPr>
          <w:color w:val="4A4A4A"/>
          <w:spacing w:val="-3"/>
          <w:sz w:val="28"/>
        </w:rPr>
        <w:t> </w:t>
      </w:r>
      <w:r>
        <w:rPr>
          <w:color w:val="4A4A4A"/>
          <w:sz w:val="28"/>
        </w:rPr>
        <w:t>the</w:t>
      </w:r>
      <w:r>
        <w:rPr>
          <w:color w:val="4A4A4A"/>
          <w:spacing w:val="-4"/>
          <w:sz w:val="28"/>
        </w:rPr>
        <w:t> </w:t>
      </w:r>
      <w:r>
        <w:rPr>
          <w:color w:val="4A4A4A"/>
          <w:sz w:val="28"/>
        </w:rPr>
        <w:t>past</w:t>
      </w:r>
      <w:r>
        <w:rPr>
          <w:color w:val="4A4A4A"/>
          <w:spacing w:val="-3"/>
          <w:sz w:val="28"/>
        </w:rPr>
        <w:t> </w:t>
      </w:r>
      <w:r>
        <w:rPr>
          <w:color w:val="4A4A4A"/>
          <w:sz w:val="28"/>
        </w:rPr>
        <w:t>year. Sexual</w:t>
      </w:r>
      <w:r>
        <w:rPr>
          <w:color w:val="4A4A4A"/>
          <w:spacing w:val="-4"/>
          <w:sz w:val="28"/>
        </w:rPr>
        <w:t> </w:t>
      </w:r>
      <w:r>
        <w:rPr>
          <w:color w:val="4A4A4A"/>
          <w:sz w:val="28"/>
        </w:rPr>
        <w:t>minority</w:t>
      </w:r>
      <w:r>
        <w:rPr>
          <w:color w:val="4A4A4A"/>
          <w:spacing w:val="-4"/>
          <w:sz w:val="28"/>
        </w:rPr>
        <w:t> </w:t>
      </w:r>
      <w:r>
        <w:rPr>
          <w:color w:val="4A4A4A"/>
          <w:sz w:val="28"/>
        </w:rPr>
        <w:t>males</w:t>
      </w:r>
      <w:r>
        <w:rPr>
          <w:color w:val="4A4A4A"/>
          <w:spacing w:val="-4"/>
          <w:sz w:val="28"/>
        </w:rPr>
        <w:t> </w:t>
      </w:r>
      <w:r>
        <w:rPr>
          <w:color w:val="4A4A4A"/>
          <w:sz w:val="28"/>
        </w:rPr>
        <w:t>were</w:t>
      </w:r>
      <w:r>
        <w:rPr>
          <w:color w:val="4A4A4A"/>
          <w:spacing w:val="-5"/>
          <w:sz w:val="28"/>
        </w:rPr>
        <w:t> </w:t>
      </w:r>
      <w:r>
        <w:rPr>
          <w:color w:val="4A4A4A"/>
          <w:sz w:val="28"/>
        </w:rPr>
        <w:t>two</w:t>
      </w:r>
      <w:r>
        <w:rPr>
          <w:color w:val="4A4A4A"/>
          <w:spacing w:val="-4"/>
          <w:sz w:val="28"/>
        </w:rPr>
        <w:t> </w:t>
      </w:r>
      <w:r>
        <w:rPr>
          <w:color w:val="4A4A4A"/>
          <w:sz w:val="28"/>
        </w:rPr>
        <w:t>to</w:t>
      </w:r>
      <w:r>
        <w:rPr>
          <w:color w:val="4A4A4A"/>
          <w:spacing w:val="-4"/>
          <w:sz w:val="28"/>
        </w:rPr>
        <w:t> </w:t>
      </w:r>
      <w:r>
        <w:rPr>
          <w:color w:val="4A4A4A"/>
          <w:sz w:val="28"/>
        </w:rPr>
        <w:t>three</w:t>
      </w:r>
      <w:r>
        <w:rPr>
          <w:color w:val="4A4A4A"/>
          <w:spacing w:val="-5"/>
          <w:sz w:val="28"/>
        </w:rPr>
        <w:t> </w:t>
      </w:r>
      <w:r>
        <w:rPr>
          <w:color w:val="4A4A4A"/>
          <w:sz w:val="28"/>
        </w:rPr>
        <w:t>times</w:t>
      </w:r>
      <w:r>
        <w:rPr>
          <w:color w:val="4A4A4A"/>
          <w:spacing w:val="-4"/>
          <w:sz w:val="28"/>
        </w:rPr>
        <w:t> </w:t>
      </w:r>
      <w:r>
        <w:rPr>
          <w:color w:val="4A4A4A"/>
          <w:sz w:val="28"/>
        </w:rPr>
        <w:t>more</w:t>
      </w:r>
      <w:r>
        <w:rPr>
          <w:color w:val="4A4A4A"/>
          <w:spacing w:val="-5"/>
          <w:sz w:val="28"/>
        </w:rPr>
        <w:t> </w:t>
      </w:r>
      <w:r>
        <w:rPr>
          <w:color w:val="4A4A4A"/>
          <w:sz w:val="28"/>
        </w:rPr>
        <w:t>likely</w:t>
      </w:r>
      <w:r>
        <w:rPr>
          <w:color w:val="4A4A4A"/>
          <w:spacing w:val="-4"/>
          <w:sz w:val="28"/>
        </w:rPr>
        <w:t> </w:t>
      </w:r>
      <w:r>
        <w:rPr>
          <w:color w:val="4A4A4A"/>
          <w:sz w:val="28"/>
        </w:rPr>
        <w:t>than</w:t>
      </w:r>
      <w:r>
        <w:rPr>
          <w:color w:val="4A4A4A"/>
          <w:spacing w:val="-4"/>
          <w:sz w:val="28"/>
        </w:rPr>
        <w:t> </w:t>
      </w:r>
      <w:r>
        <w:rPr>
          <w:color w:val="4A4A4A"/>
          <w:sz w:val="28"/>
        </w:rPr>
        <w:t>straight males to have had an MDE in the past year.</w:t>
      </w:r>
    </w:p>
    <w:p>
      <w:pPr>
        <w:pStyle w:val="BodyText"/>
        <w:spacing w:before="8"/>
        <w:rPr>
          <w:sz w:val="24"/>
        </w:rPr>
      </w:pPr>
    </w:p>
    <w:p>
      <w:pPr>
        <w:pStyle w:val="ListParagraph"/>
        <w:numPr>
          <w:ilvl w:val="0"/>
          <w:numId w:val="22"/>
        </w:numPr>
        <w:tabs>
          <w:tab w:pos="1000" w:val="left" w:leader="none"/>
        </w:tabs>
        <w:spacing w:line="230" w:lineRule="auto" w:before="0" w:after="0"/>
        <w:ind w:left="1000" w:right="773" w:hanging="500"/>
        <w:jc w:val="left"/>
        <w:rPr>
          <w:sz w:val="28"/>
        </w:rPr>
      </w:pPr>
      <w:r>
        <w:rPr>
          <w:color w:val="4A4A4A"/>
          <w:position w:val="1"/>
          <w:sz w:val="28"/>
        </w:rPr>
        <w:t>Bisexual</w:t>
      </w:r>
      <w:r>
        <w:rPr>
          <w:color w:val="4A4A4A"/>
          <w:spacing w:val="-4"/>
          <w:position w:val="1"/>
          <w:sz w:val="28"/>
        </w:rPr>
        <w:t> </w:t>
      </w:r>
      <w:r>
        <w:rPr>
          <w:color w:val="4A4A4A"/>
          <w:position w:val="1"/>
          <w:sz w:val="28"/>
        </w:rPr>
        <w:t>females</w:t>
      </w:r>
      <w:r>
        <w:rPr>
          <w:color w:val="4A4A4A"/>
          <w:spacing w:val="-4"/>
          <w:position w:val="1"/>
          <w:sz w:val="28"/>
        </w:rPr>
        <w:t> </w:t>
      </w:r>
      <w:r>
        <w:rPr>
          <w:color w:val="4A4A4A"/>
          <w:position w:val="1"/>
          <w:sz w:val="28"/>
        </w:rPr>
        <w:t>were</w:t>
      </w:r>
      <w:r>
        <w:rPr>
          <w:color w:val="4A4A4A"/>
          <w:spacing w:val="-5"/>
          <w:position w:val="1"/>
          <w:sz w:val="28"/>
        </w:rPr>
        <w:t> </w:t>
      </w:r>
      <w:r>
        <w:rPr>
          <w:color w:val="4A4A4A"/>
          <w:position w:val="1"/>
          <w:sz w:val="28"/>
        </w:rPr>
        <w:t>six</w:t>
      </w:r>
      <w:r>
        <w:rPr>
          <w:color w:val="4A4A4A"/>
          <w:spacing w:val="-4"/>
          <w:position w:val="1"/>
          <w:sz w:val="28"/>
        </w:rPr>
        <w:t> </w:t>
      </w:r>
      <w:r>
        <w:rPr>
          <w:color w:val="4A4A4A"/>
          <w:position w:val="1"/>
          <w:sz w:val="28"/>
        </w:rPr>
        <w:t>times</w:t>
      </w:r>
      <w:r>
        <w:rPr>
          <w:color w:val="4A4A4A"/>
          <w:spacing w:val="-4"/>
          <w:position w:val="1"/>
          <w:sz w:val="28"/>
        </w:rPr>
        <w:t> </w:t>
      </w:r>
      <w:r>
        <w:rPr>
          <w:color w:val="4A4A4A"/>
          <w:position w:val="1"/>
          <w:sz w:val="28"/>
        </w:rPr>
        <w:t>more</w:t>
      </w:r>
      <w:r>
        <w:rPr>
          <w:color w:val="4A4A4A"/>
          <w:spacing w:val="-5"/>
          <w:position w:val="1"/>
          <w:sz w:val="28"/>
        </w:rPr>
        <w:t> </w:t>
      </w:r>
      <w:r>
        <w:rPr>
          <w:color w:val="4A4A4A"/>
          <w:position w:val="1"/>
          <w:sz w:val="28"/>
        </w:rPr>
        <w:t>likely</w:t>
      </w:r>
      <w:r>
        <w:rPr>
          <w:color w:val="4A4A4A"/>
          <w:spacing w:val="-4"/>
          <w:position w:val="1"/>
          <w:sz w:val="28"/>
        </w:rPr>
        <w:t> </w:t>
      </w:r>
      <w:r>
        <w:rPr>
          <w:color w:val="4A4A4A"/>
          <w:position w:val="1"/>
          <w:sz w:val="28"/>
        </w:rPr>
        <w:t>to</w:t>
      </w:r>
      <w:r>
        <w:rPr>
          <w:color w:val="4A4A4A"/>
          <w:spacing w:val="-4"/>
          <w:position w:val="1"/>
          <w:sz w:val="28"/>
        </w:rPr>
        <w:t> </w:t>
      </w:r>
      <w:r>
        <w:rPr>
          <w:color w:val="4A4A4A"/>
          <w:position w:val="1"/>
          <w:sz w:val="28"/>
        </w:rPr>
        <w:t>have</w:t>
      </w:r>
      <w:r>
        <w:rPr>
          <w:color w:val="4A4A4A"/>
          <w:spacing w:val="-5"/>
          <w:position w:val="1"/>
          <w:sz w:val="28"/>
        </w:rPr>
        <w:t> </w:t>
      </w:r>
      <w:r>
        <w:rPr>
          <w:color w:val="4A4A4A"/>
          <w:position w:val="1"/>
          <w:sz w:val="28"/>
        </w:rPr>
        <w:t>attempted</w:t>
      </w:r>
      <w:r>
        <w:rPr>
          <w:color w:val="4A4A4A"/>
          <w:spacing w:val="-4"/>
          <w:position w:val="1"/>
          <w:sz w:val="28"/>
        </w:rPr>
        <w:t> </w:t>
      </w:r>
      <w:r>
        <w:rPr>
          <w:color w:val="4A4A4A"/>
          <w:position w:val="1"/>
          <w:sz w:val="28"/>
        </w:rPr>
        <w:t>suicide </w:t>
      </w:r>
      <w:r>
        <w:rPr>
          <w:color w:val="4A4A4A"/>
          <w:sz w:val="28"/>
        </w:rPr>
        <w:t>in the past year than straight females.</w:t>
      </w:r>
    </w:p>
    <w:p>
      <w:pPr>
        <w:pStyle w:val="BodyText"/>
        <w:spacing w:before="6"/>
        <w:rPr>
          <w:sz w:val="23"/>
        </w:rPr>
      </w:pPr>
    </w:p>
    <w:p>
      <w:pPr>
        <w:pStyle w:val="BodyText"/>
        <w:ind w:left="280" w:right="668"/>
      </w:pPr>
      <w:r>
        <w:rPr>
          <w:color w:val="4A4A4A"/>
        </w:rPr>
        <w:t>The 2023 survey asks all respondents their sex at assigned at birth and their gender</w:t>
      </w:r>
      <w:r>
        <w:rPr>
          <w:color w:val="4A4A4A"/>
          <w:spacing w:val="-8"/>
        </w:rPr>
        <w:t> </w:t>
      </w:r>
      <w:r>
        <w:rPr>
          <w:color w:val="4A4A4A"/>
        </w:rPr>
        <w:t>identity,</w:t>
      </w:r>
      <w:r>
        <w:rPr>
          <w:color w:val="4A4A4A"/>
          <w:spacing w:val="-8"/>
        </w:rPr>
        <w:t> </w:t>
      </w:r>
      <w:r>
        <w:rPr>
          <w:color w:val="4A4A4A"/>
        </w:rPr>
        <w:t>including</w:t>
      </w:r>
      <w:r>
        <w:rPr>
          <w:color w:val="4A4A4A"/>
          <w:spacing w:val="-8"/>
        </w:rPr>
        <w:t> </w:t>
      </w:r>
      <w:r>
        <w:rPr>
          <w:color w:val="4A4A4A"/>
        </w:rPr>
        <w:t>whether</w:t>
      </w:r>
      <w:r>
        <w:rPr>
          <w:color w:val="4A4A4A"/>
          <w:spacing w:val="-8"/>
        </w:rPr>
        <w:t> </w:t>
      </w:r>
      <w:r>
        <w:rPr>
          <w:color w:val="4A4A4A"/>
        </w:rPr>
        <w:t>they</w:t>
      </w:r>
      <w:r>
        <w:rPr>
          <w:color w:val="4A4A4A"/>
          <w:spacing w:val="-8"/>
        </w:rPr>
        <w:t> </w:t>
      </w:r>
      <w:r>
        <w:rPr>
          <w:color w:val="4A4A4A"/>
        </w:rPr>
        <w:t>identify</w:t>
      </w:r>
      <w:r>
        <w:rPr>
          <w:color w:val="4A4A4A"/>
          <w:spacing w:val="-8"/>
        </w:rPr>
        <w:t> </w:t>
      </w:r>
      <w:r>
        <w:rPr>
          <w:color w:val="4A4A4A"/>
        </w:rPr>
        <w:t>as</w:t>
      </w:r>
      <w:r>
        <w:rPr>
          <w:color w:val="4A4A4A"/>
          <w:spacing w:val="-8"/>
        </w:rPr>
        <w:t> </w:t>
      </w:r>
      <w:r>
        <w:rPr>
          <w:color w:val="4A4A4A"/>
        </w:rPr>
        <w:t>male,</w:t>
      </w:r>
      <w:r>
        <w:rPr>
          <w:color w:val="4A4A4A"/>
          <w:spacing w:val="-8"/>
        </w:rPr>
        <w:t> </w:t>
      </w:r>
      <w:r>
        <w:rPr>
          <w:color w:val="4A4A4A"/>
        </w:rPr>
        <w:t>female,</w:t>
      </w:r>
      <w:r>
        <w:rPr>
          <w:color w:val="4A4A4A"/>
          <w:spacing w:val="-8"/>
        </w:rPr>
        <w:t> </w:t>
      </w:r>
      <w:r>
        <w:rPr>
          <w:color w:val="4A4A4A"/>
        </w:rPr>
        <w:t>transgender, or another identity.</w:t>
      </w:r>
    </w:p>
    <w:p>
      <w:pPr>
        <w:pStyle w:val="BodyText"/>
        <w:spacing w:before="8"/>
        <w:rPr>
          <w:sz w:val="34"/>
        </w:rPr>
      </w:pPr>
    </w:p>
    <w:p>
      <w:pPr>
        <w:pStyle w:val="BodyText"/>
        <w:ind w:left="280" w:right="566"/>
        <w:jc w:val="both"/>
      </w:pPr>
      <w:r>
        <w:rPr>
          <w:color w:val="4A4A4A"/>
        </w:rPr>
        <w:t>If</w:t>
      </w:r>
      <w:r>
        <w:rPr>
          <w:color w:val="4A4A4A"/>
          <w:spacing w:val="-3"/>
        </w:rPr>
        <w:t> </w:t>
      </w:r>
      <w:r>
        <w:rPr>
          <w:color w:val="4A4A4A"/>
        </w:rPr>
        <w:t>you</w:t>
      </w:r>
      <w:r>
        <w:rPr>
          <w:color w:val="4A4A4A"/>
          <w:spacing w:val="-3"/>
        </w:rPr>
        <w:t> </w:t>
      </w:r>
      <w:r>
        <w:rPr>
          <w:color w:val="4A4A4A"/>
        </w:rPr>
        <w:t>or</w:t>
      </w:r>
      <w:r>
        <w:rPr>
          <w:color w:val="4A4A4A"/>
          <w:spacing w:val="-3"/>
        </w:rPr>
        <w:t> </w:t>
      </w:r>
      <w:r>
        <w:rPr>
          <w:color w:val="4A4A4A"/>
        </w:rPr>
        <w:t>someone</w:t>
      </w:r>
      <w:r>
        <w:rPr>
          <w:color w:val="4A4A4A"/>
          <w:spacing w:val="-4"/>
        </w:rPr>
        <w:t> </w:t>
      </w:r>
      <w:r>
        <w:rPr>
          <w:color w:val="4A4A4A"/>
        </w:rPr>
        <w:t>you</w:t>
      </w:r>
      <w:r>
        <w:rPr>
          <w:color w:val="4A4A4A"/>
          <w:spacing w:val="-3"/>
        </w:rPr>
        <w:t> </w:t>
      </w:r>
      <w:r>
        <w:rPr>
          <w:color w:val="4A4A4A"/>
        </w:rPr>
        <w:t>know</w:t>
      </w:r>
      <w:r>
        <w:rPr>
          <w:color w:val="4A4A4A"/>
          <w:spacing w:val="-3"/>
        </w:rPr>
        <w:t> </w:t>
      </w:r>
      <w:r>
        <w:rPr>
          <w:color w:val="4A4A4A"/>
        </w:rPr>
        <w:t>is</w:t>
      </w:r>
      <w:r>
        <w:rPr>
          <w:color w:val="4A4A4A"/>
          <w:spacing w:val="-3"/>
        </w:rPr>
        <w:t> </w:t>
      </w:r>
      <w:r>
        <w:rPr>
          <w:color w:val="4A4A4A"/>
        </w:rPr>
        <w:t>struggling</w:t>
      </w:r>
      <w:r>
        <w:rPr>
          <w:color w:val="4A4A4A"/>
          <w:spacing w:val="-3"/>
        </w:rPr>
        <w:t> </w:t>
      </w:r>
      <w:r>
        <w:rPr>
          <w:color w:val="4A4A4A"/>
        </w:rPr>
        <w:t>or</w:t>
      </w:r>
      <w:r>
        <w:rPr>
          <w:color w:val="4A4A4A"/>
          <w:spacing w:val="-3"/>
        </w:rPr>
        <w:t> </w:t>
      </w:r>
      <w:r>
        <w:rPr>
          <w:color w:val="4A4A4A"/>
        </w:rPr>
        <w:t>in</w:t>
      </w:r>
      <w:r>
        <w:rPr>
          <w:color w:val="4A4A4A"/>
          <w:spacing w:val="-3"/>
        </w:rPr>
        <w:t> </w:t>
      </w:r>
      <w:r>
        <w:rPr>
          <w:color w:val="4A4A4A"/>
        </w:rPr>
        <w:t>crisis,</w:t>
      </w:r>
      <w:r>
        <w:rPr>
          <w:color w:val="4A4A4A"/>
          <w:spacing w:val="-3"/>
        </w:rPr>
        <w:t> </w:t>
      </w:r>
      <w:r>
        <w:rPr>
          <w:color w:val="4A4A4A"/>
        </w:rPr>
        <w:t>help</w:t>
      </w:r>
      <w:r>
        <w:rPr>
          <w:color w:val="4A4A4A"/>
          <w:spacing w:val="-3"/>
        </w:rPr>
        <w:t> </w:t>
      </w:r>
      <w:r>
        <w:rPr>
          <w:color w:val="4A4A4A"/>
        </w:rPr>
        <w:t>is</w:t>
      </w:r>
      <w:r>
        <w:rPr>
          <w:color w:val="4A4A4A"/>
          <w:spacing w:val="-3"/>
        </w:rPr>
        <w:t> </w:t>
      </w:r>
      <w:r>
        <w:rPr>
          <w:color w:val="4A4A4A"/>
        </w:rPr>
        <w:t>available.</w:t>
      </w:r>
      <w:r>
        <w:rPr>
          <w:color w:val="4A4A4A"/>
          <w:spacing w:val="-3"/>
        </w:rPr>
        <w:t> </w:t>
      </w:r>
      <w:r>
        <w:rPr>
          <w:color w:val="4A4A4A"/>
        </w:rPr>
        <w:t>Call</w:t>
      </w:r>
      <w:r>
        <w:rPr>
          <w:color w:val="4A4A4A"/>
          <w:spacing w:val="-3"/>
        </w:rPr>
        <w:t> </w:t>
      </w:r>
      <w:r>
        <w:rPr>
          <w:color w:val="4A4A4A"/>
        </w:rPr>
        <w:t>or text</w:t>
      </w:r>
      <w:r>
        <w:rPr>
          <w:color w:val="4A4A4A"/>
          <w:spacing w:val="-1"/>
        </w:rPr>
        <w:t> </w:t>
      </w:r>
      <w:r>
        <w:rPr>
          <w:color w:val="1F419A"/>
          <w:u w:val="single" w:color="1F419A"/>
        </w:rPr>
        <w:t>988</w:t>
      </w:r>
      <w:r>
        <w:rPr>
          <w:color w:val="1F419A"/>
        </w:rPr>
        <w:t> </w:t>
      </w:r>
      <w:r>
        <w:rPr>
          <w:color w:val="4A4A4A"/>
        </w:rPr>
        <w:t>or chat</w:t>
      </w:r>
      <w:r>
        <w:rPr>
          <w:color w:val="4A4A4A"/>
          <w:spacing w:val="-1"/>
        </w:rPr>
        <w:t> </w:t>
      </w:r>
      <w:r>
        <w:rPr>
          <w:color w:val="1F419A"/>
          <w:u w:val="single" w:color="1F419A"/>
        </w:rPr>
        <w:t>988lifeline.org</w:t>
      </w:r>
      <w:r>
        <w:rPr>
          <w:color w:val="4A4A4A"/>
        </w:rPr>
        <w:t>.</w:t>
      </w:r>
      <w:r>
        <w:rPr>
          <w:color w:val="4A4A4A"/>
          <w:spacing w:val="-6"/>
        </w:rPr>
        <w:t> </w:t>
      </w:r>
      <w:r>
        <w:rPr>
          <w:color w:val="4A4A4A"/>
        </w:rPr>
        <w:t>To learn how to get support for mental health, drug, and alcohol issues, visit </w:t>
      </w:r>
      <w:r>
        <w:rPr>
          <w:color w:val="1F419A"/>
          <w:u w:val="single" w:color="1F419A"/>
        </w:rPr>
        <w:t>FindSupport.gov</w:t>
      </w:r>
      <w:r>
        <w:rPr>
          <w:color w:val="4A4A4A"/>
        </w:rPr>
        <w:t>.</w:t>
      </w:r>
    </w:p>
    <w:p>
      <w:pPr>
        <w:spacing w:after="0"/>
        <w:jc w:val="both"/>
        <w:sectPr>
          <w:pgSz w:w="12240" w:h="15840"/>
          <w:pgMar w:header="0" w:footer="797" w:top="1260" w:bottom="980" w:left="1400" w:right="1180"/>
        </w:sectPr>
      </w:pPr>
    </w:p>
    <w:p>
      <w:pPr>
        <w:pStyle w:val="BodyText"/>
        <w:spacing w:before="66"/>
        <w:ind w:left="280"/>
      </w:pPr>
      <w:r>
        <w:rPr>
          <w:color w:val="24465B"/>
        </w:rPr>
        <w:t>The</w:t>
      </w:r>
      <w:r>
        <w:rPr>
          <w:color w:val="24465B"/>
          <w:spacing w:val="-2"/>
        </w:rPr>
        <w:t> </w:t>
      </w:r>
      <w:r>
        <w:rPr>
          <w:color w:val="24465B"/>
        </w:rPr>
        <w:t>following</w:t>
      </w:r>
      <w:r>
        <w:rPr>
          <w:color w:val="24465B"/>
          <w:spacing w:val="-1"/>
        </w:rPr>
        <w:t> </w:t>
      </w:r>
      <w:r>
        <w:rPr>
          <w:color w:val="24465B"/>
        </w:rPr>
        <w:t>is</w:t>
      </w:r>
      <w:r>
        <w:rPr>
          <w:color w:val="24465B"/>
          <w:spacing w:val="-1"/>
        </w:rPr>
        <w:t> </w:t>
      </w:r>
      <w:r>
        <w:rPr>
          <w:color w:val="24465B"/>
        </w:rPr>
        <w:t>the</w:t>
      </w:r>
      <w:r>
        <w:rPr>
          <w:color w:val="24465B"/>
          <w:spacing w:val="-1"/>
        </w:rPr>
        <w:t> </w:t>
      </w:r>
      <w:r>
        <w:rPr>
          <w:color w:val="24465B"/>
        </w:rPr>
        <w:t>full</w:t>
      </w:r>
      <w:r>
        <w:rPr>
          <w:color w:val="24465B"/>
          <w:spacing w:val="-1"/>
        </w:rPr>
        <w:t> </w:t>
      </w:r>
      <w:r>
        <w:rPr>
          <w:color w:val="24465B"/>
        </w:rPr>
        <w:t>report</w:t>
      </w:r>
      <w:r>
        <w:rPr>
          <w:color w:val="24465B"/>
          <w:spacing w:val="-1"/>
        </w:rPr>
        <w:t> </w:t>
      </w:r>
      <w:r>
        <w:rPr>
          <w:color w:val="24465B"/>
        </w:rPr>
        <w:t>released</w:t>
      </w:r>
      <w:r>
        <w:rPr>
          <w:color w:val="24465B"/>
          <w:spacing w:val="-1"/>
        </w:rPr>
        <w:t> </w:t>
      </w:r>
      <w:r>
        <w:rPr>
          <w:color w:val="24465B"/>
        </w:rPr>
        <w:t>from SAMHSA</w:t>
      </w:r>
      <w:r>
        <w:rPr>
          <w:color w:val="24465B"/>
          <w:spacing w:val="-17"/>
        </w:rPr>
        <w:t> </w:t>
      </w:r>
      <w:r>
        <w:rPr>
          <w:color w:val="24465B"/>
        </w:rPr>
        <w:t>in</w:t>
      </w:r>
      <w:r>
        <w:rPr>
          <w:color w:val="24465B"/>
          <w:spacing w:val="-1"/>
        </w:rPr>
        <w:t> </w:t>
      </w:r>
      <w:r>
        <w:rPr>
          <w:color w:val="24465B"/>
        </w:rPr>
        <w:t>June, </w:t>
      </w:r>
      <w:r>
        <w:rPr>
          <w:color w:val="24465B"/>
          <w:spacing w:val="-2"/>
        </w:rPr>
        <w:t>2023:</w:t>
      </w:r>
    </w:p>
    <w:p>
      <w:pPr>
        <w:pStyle w:val="BodyText"/>
        <w:spacing w:before="7"/>
        <w:rPr>
          <w:sz w:val="27"/>
        </w:rPr>
      </w:pPr>
    </w:p>
    <w:p>
      <w:pPr>
        <w:spacing w:before="0"/>
        <w:ind w:left="280" w:right="499" w:firstLine="0"/>
        <w:jc w:val="left"/>
        <w:rPr>
          <w:sz w:val="28"/>
        </w:rPr>
      </w:pPr>
      <w:r>
        <w:rPr>
          <w:b/>
          <w:color w:val="24465B"/>
          <w:sz w:val="28"/>
        </w:rPr>
        <w:t>Lesbian,</w:t>
      </w:r>
      <w:r>
        <w:rPr>
          <w:b/>
          <w:color w:val="24465B"/>
          <w:spacing w:val="-6"/>
          <w:sz w:val="28"/>
        </w:rPr>
        <w:t> </w:t>
      </w:r>
      <w:r>
        <w:rPr>
          <w:b/>
          <w:color w:val="24465B"/>
          <w:sz w:val="28"/>
        </w:rPr>
        <w:t>Gay,</w:t>
      </w:r>
      <w:r>
        <w:rPr>
          <w:b/>
          <w:color w:val="24465B"/>
          <w:spacing w:val="-6"/>
          <w:sz w:val="28"/>
        </w:rPr>
        <w:t> </w:t>
      </w:r>
      <w:r>
        <w:rPr>
          <w:b/>
          <w:color w:val="24465B"/>
          <w:sz w:val="28"/>
        </w:rPr>
        <w:t>and</w:t>
      </w:r>
      <w:r>
        <w:rPr>
          <w:b/>
          <w:color w:val="24465B"/>
          <w:spacing w:val="-6"/>
          <w:sz w:val="28"/>
        </w:rPr>
        <w:t> </w:t>
      </w:r>
      <w:r>
        <w:rPr>
          <w:b/>
          <w:color w:val="24465B"/>
          <w:sz w:val="28"/>
        </w:rPr>
        <w:t>Bisexual</w:t>
      </w:r>
      <w:r>
        <w:rPr>
          <w:b/>
          <w:color w:val="24465B"/>
          <w:spacing w:val="-6"/>
          <w:sz w:val="28"/>
        </w:rPr>
        <w:t> </w:t>
      </w:r>
      <w:r>
        <w:rPr>
          <w:b/>
          <w:color w:val="24465B"/>
          <w:sz w:val="28"/>
        </w:rPr>
        <w:t>Behavioral</w:t>
      </w:r>
      <w:r>
        <w:rPr>
          <w:b/>
          <w:color w:val="24465B"/>
          <w:spacing w:val="-6"/>
          <w:sz w:val="28"/>
        </w:rPr>
        <w:t> </w:t>
      </w:r>
      <w:r>
        <w:rPr>
          <w:b/>
          <w:color w:val="24465B"/>
          <w:sz w:val="28"/>
        </w:rPr>
        <w:t>Health:</w:t>
      </w:r>
      <w:r>
        <w:rPr>
          <w:b/>
          <w:color w:val="24465B"/>
          <w:spacing w:val="-7"/>
          <w:sz w:val="28"/>
        </w:rPr>
        <w:t> </w:t>
      </w:r>
      <w:r>
        <w:rPr>
          <w:color w:val="24465B"/>
          <w:sz w:val="28"/>
        </w:rPr>
        <w:t>Results</w:t>
      </w:r>
      <w:r>
        <w:rPr>
          <w:color w:val="24465B"/>
          <w:spacing w:val="-6"/>
          <w:sz w:val="28"/>
        </w:rPr>
        <w:t> </w:t>
      </w:r>
      <w:r>
        <w:rPr>
          <w:color w:val="24465B"/>
          <w:sz w:val="28"/>
        </w:rPr>
        <w:t>from</w:t>
      </w:r>
      <w:r>
        <w:rPr>
          <w:color w:val="24465B"/>
          <w:spacing w:val="-6"/>
          <w:sz w:val="28"/>
        </w:rPr>
        <w:t> </w:t>
      </w:r>
      <w:r>
        <w:rPr>
          <w:color w:val="24465B"/>
          <w:sz w:val="28"/>
        </w:rPr>
        <w:t>the</w:t>
      </w:r>
      <w:r>
        <w:rPr>
          <w:color w:val="24465B"/>
          <w:spacing w:val="-7"/>
          <w:sz w:val="28"/>
        </w:rPr>
        <w:t> </w:t>
      </w:r>
      <w:r>
        <w:rPr>
          <w:color w:val="24465B"/>
          <w:sz w:val="28"/>
        </w:rPr>
        <w:t>2021</w:t>
      </w:r>
      <w:r>
        <w:rPr>
          <w:color w:val="24465B"/>
          <w:spacing w:val="-6"/>
          <w:sz w:val="28"/>
        </w:rPr>
        <w:t> </w:t>
      </w:r>
      <w:r>
        <w:rPr>
          <w:color w:val="24465B"/>
          <w:sz w:val="28"/>
        </w:rPr>
        <w:t>and 2022 National Surveys on Drug Use and Health</w:t>
      </w:r>
    </w:p>
    <w:p>
      <w:pPr>
        <w:pStyle w:val="BodyText"/>
        <w:spacing w:before="6"/>
        <w:rPr>
          <w:sz w:val="27"/>
        </w:rPr>
      </w:pPr>
    </w:p>
    <w:p>
      <w:pPr>
        <w:pStyle w:val="Heading2"/>
        <w:spacing w:line="321" w:lineRule="exact"/>
      </w:pPr>
      <w:r>
        <w:rPr>
          <w:color w:val="21465B"/>
          <w:spacing w:val="-2"/>
        </w:rPr>
        <w:t>Acknowledgments</w:t>
      </w:r>
    </w:p>
    <w:p>
      <w:pPr>
        <w:pStyle w:val="BodyText"/>
        <w:ind w:left="280" w:right="502"/>
      </w:pPr>
      <w:r>
        <w:rPr/>
        <w:t>This</w:t>
      </w:r>
      <w:r>
        <w:rPr>
          <w:spacing w:val="-5"/>
        </w:rPr>
        <w:t> </w:t>
      </w:r>
      <w:r>
        <w:rPr/>
        <w:t>report</w:t>
      </w:r>
      <w:r>
        <w:rPr>
          <w:spacing w:val="-4"/>
        </w:rPr>
        <w:t> </w:t>
      </w:r>
      <w:r>
        <w:rPr/>
        <w:t>was</w:t>
      </w:r>
      <w:r>
        <w:rPr>
          <w:spacing w:val="-4"/>
        </w:rPr>
        <w:t> </w:t>
      </w:r>
      <w:r>
        <w:rPr/>
        <w:t>prepared</w:t>
      </w:r>
      <w:r>
        <w:rPr>
          <w:spacing w:val="-4"/>
        </w:rPr>
        <w:t> </w:t>
      </w:r>
      <w:r>
        <w:rPr/>
        <w:t>for</w:t>
      </w:r>
      <w:r>
        <w:rPr>
          <w:spacing w:val="-4"/>
        </w:rPr>
        <w:t> </w:t>
      </w:r>
      <w:r>
        <w:rPr/>
        <w:t>the</w:t>
      </w:r>
      <w:r>
        <w:rPr>
          <w:spacing w:val="-5"/>
        </w:rPr>
        <w:t> </w:t>
      </w:r>
      <w:r>
        <w:rPr/>
        <w:t>Substance</w:t>
      </w:r>
      <w:r>
        <w:rPr>
          <w:spacing w:val="-18"/>
        </w:rPr>
        <w:t> </w:t>
      </w:r>
      <w:r>
        <w:rPr/>
        <w:t>Abuse</w:t>
      </w:r>
      <w:r>
        <w:rPr>
          <w:spacing w:val="-4"/>
        </w:rPr>
        <w:t> </w:t>
      </w:r>
      <w:r>
        <w:rPr/>
        <w:t>and</w:t>
      </w:r>
      <w:r>
        <w:rPr>
          <w:spacing w:val="-4"/>
        </w:rPr>
        <w:t> </w:t>
      </w:r>
      <w:r>
        <w:rPr/>
        <w:t>Mental</w:t>
      </w:r>
      <w:r>
        <w:rPr>
          <w:spacing w:val="-4"/>
        </w:rPr>
        <w:t> </w:t>
      </w:r>
      <w:r>
        <w:rPr/>
        <w:t>Health</w:t>
      </w:r>
      <w:r>
        <w:rPr>
          <w:spacing w:val="-4"/>
        </w:rPr>
        <w:t> </w:t>
      </w:r>
      <w:r>
        <w:rPr/>
        <w:t>Services Administration (SAMHSA), under Contract No. HHSS283201700002C with SAMHSA, U.S. Department of Health and Human Services (HHS). Marlon Daniel served as the government project officer and as the contracting officer representative. SAMHSA</w:t>
      </w:r>
      <w:r>
        <w:rPr>
          <w:spacing w:val="-4"/>
        </w:rPr>
        <w:t> </w:t>
      </w:r>
      <w:r>
        <w:rPr/>
        <w:t>review was led by Douglas Richesson, Iva Magas, Samantha Brown, and Jennifer Hoenig. Tenecia Smith was an additional </w:t>
      </w:r>
      <w:r>
        <w:rPr>
          <w:spacing w:val="-2"/>
        </w:rPr>
        <w:t>reviewer.</w:t>
      </w:r>
    </w:p>
    <w:p>
      <w:pPr>
        <w:pStyle w:val="Heading2"/>
        <w:spacing w:line="321" w:lineRule="exact" w:before="105"/>
      </w:pPr>
      <w:r>
        <w:rPr>
          <w:color w:val="21465B"/>
        </w:rPr>
        <w:t>Public</w:t>
      </w:r>
      <w:r>
        <w:rPr>
          <w:color w:val="21465B"/>
          <w:spacing w:val="-2"/>
        </w:rPr>
        <w:t> </w:t>
      </w:r>
      <w:r>
        <w:rPr>
          <w:color w:val="21465B"/>
        </w:rPr>
        <w:t>Domain </w:t>
      </w:r>
      <w:r>
        <w:rPr>
          <w:color w:val="21465B"/>
          <w:spacing w:val="-2"/>
        </w:rPr>
        <w:t>Notice</w:t>
      </w:r>
    </w:p>
    <w:p>
      <w:pPr>
        <w:pStyle w:val="BodyText"/>
        <w:ind w:left="280" w:right="502"/>
      </w:pPr>
      <w:r>
        <w:rPr/>
        <w:t>All</w:t>
      </w:r>
      <w:r>
        <w:rPr>
          <w:spacing w:val="-3"/>
        </w:rPr>
        <w:t> </w:t>
      </w:r>
      <w:r>
        <w:rPr/>
        <w:t>material</w:t>
      </w:r>
      <w:r>
        <w:rPr>
          <w:spacing w:val="-3"/>
        </w:rPr>
        <w:t> </w:t>
      </w:r>
      <w:r>
        <w:rPr/>
        <w:t>appearing</w:t>
      </w:r>
      <w:r>
        <w:rPr>
          <w:spacing w:val="-3"/>
        </w:rPr>
        <w:t> </w:t>
      </w:r>
      <w:r>
        <w:rPr/>
        <w:t>in</w:t>
      </w:r>
      <w:r>
        <w:rPr>
          <w:spacing w:val="-3"/>
        </w:rPr>
        <w:t> </w:t>
      </w:r>
      <w:r>
        <w:rPr/>
        <w:t>this</w:t>
      </w:r>
      <w:r>
        <w:rPr>
          <w:spacing w:val="-3"/>
        </w:rPr>
        <w:t> </w:t>
      </w:r>
      <w:r>
        <w:rPr/>
        <w:t>report</w:t>
      </w:r>
      <w:r>
        <w:rPr>
          <w:spacing w:val="-3"/>
        </w:rPr>
        <w:t> </w:t>
      </w:r>
      <w:r>
        <w:rPr/>
        <w:t>is</w:t>
      </w:r>
      <w:r>
        <w:rPr>
          <w:spacing w:val="-3"/>
        </w:rPr>
        <w:t> </w:t>
      </w:r>
      <w:r>
        <w:rPr/>
        <w:t>in</w:t>
      </w:r>
      <w:r>
        <w:rPr>
          <w:spacing w:val="-3"/>
        </w:rPr>
        <w:t> </w:t>
      </w:r>
      <w:r>
        <w:rPr/>
        <w:t>the</w:t>
      </w:r>
      <w:r>
        <w:rPr>
          <w:spacing w:val="-4"/>
        </w:rPr>
        <w:t> </w:t>
      </w:r>
      <w:r>
        <w:rPr/>
        <w:t>public</w:t>
      </w:r>
      <w:r>
        <w:rPr>
          <w:spacing w:val="-4"/>
        </w:rPr>
        <w:t> </w:t>
      </w:r>
      <w:r>
        <w:rPr/>
        <w:t>domain</w:t>
      </w:r>
      <w:r>
        <w:rPr>
          <w:spacing w:val="-3"/>
        </w:rPr>
        <w:t> </w:t>
      </w:r>
      <w:r>
        <w:rPr/>
        <w:t>and</w:t>
      </w:r>
      <w:r>
        <w:rPr>
          <w:spacing w:val="-3"/>
        </w:rPr>
        <w:t> </w:t>
      </w:r>
      <w:r>
        <w:rPr/>
        <w:t>may</w:t>
      </w:r>
      <w:r>
        <w:rPr>
          <w:spacing w:val="-3"/>
        </w:rPr>
        <w:t> </w:t>
      </w:r>
      <w:r>
        <w:rPr/>
        <w:t>be reproduced or copied without permission from SAMHSA.</w:t>
      </w:r>
    </w:p>
    <w:p>
      <w:pPr>
        <w:pStyle w:val="Heading2"/>
        <w:spacing w:line="321" w:lineRule="exact" w:before="115"/>
      </w:pPr>
      <w:r>
        <w:rPr>
          <w:color w:val="21465B"/>
          <w:spacing w:val="-2"/>
        </w:rPr>
        <w:t>Electronic</w:t>
      </w:r>
      <w:r>
        <w:rPr>
          <w:color w:val="21465B"/>
          <w:spacing w:val="-5"/>
        </w:rPr>
        <w:t> </w:t>
      </w:r>
      <w:r>
        <w:rPr>
          <w:color w:val="21465B"/>
          <w:spacing w:val="-2"/>
        </w:rPr>
        <w:t>Access</w:t>
      </w:r>
    </w:p>
    <w:p>
      <w:pPr>
        <w:pStyle w:val="BodyText"/>
        <w:ind w:left="280" w:right="502"/>
      </w:pPr>
      <w:r>
        <w:rPr/>
        <w:t>This publication may be downloaded at </w:t>
      </w:r>
      <w:r>
        <w:rPr>
          <w:color w:val="2756AA"/>
        </w:rPr>
        <w:t>https://store.samhsa.gov</w:t>
      </w:r>
      <w:r>
        <w:rPr/>
        <w:t>. Or call SAMHSA</w:t>
      </w:r>
      <w:r>
        <w:rPr>
          <w:spacing w:val="-18"/>
        </w:rPr>
        <w:t> </w:t>
      </w:r>
      <w:r>
        <w:rPr/>
        <w:t>at</w:t>
      </w:r>
      <w:r>
        <w:rPr>
          <w:spacing w:val="-10"/>
        </w:rPr>
        <w:t> </w:t>
      </w:r>
      <w:r>
        <w:rPr/>
        <w:t>1-877-SAMHSA-7</w:t>
      </w:r>
      <w:r>
        <w:rPr>
          <w:spacing w:val="-7"/>
        </w:rPr>
        <w:t> </w:t>
      </w:r>
      <w:r>
        <w:rPr/>
        <w:t>(1-877-726-4727)</w:t>
      </w:r>
      <w:r>
        <w:rPr>
          <w:spacing w:val="-7"/>
        </w:rPr>
        <w:t> </w:t>
      </w:r>
      <w:r>
        <w:rPr/>
        <w:t>(English</w:t>
      </w:r>
      <w:r>
        <w:rPr>
          <w:spacing w:val="-7"/>
        </w:rPr>
        <w:t> </w:t>
      </w:r>
      <w:r>
        <w:rPr/>
        <w:t>and</w:t>
      </w:r>
      <w:r>
        <w:rPr>
          <w:spacing w:val="-7"/>
        </w:rPr>
        <w:t> </w:t>
      </w:r>
      <w:r>
        <w:rPr/>
        <w:t>Español).</w:t>
      </w:r>
    </w:p>
    <w:p>
      <w:pPr>
        <w:pStyle w:val="Heading2"/>
        <w:spacing w:line="317" w:lineRule="exact"/>
      </w:pPr>
      <w:r>
        <w:rPr>
          <w:color w:val="21465B"/>
        </w:rPr>
        <w:t>Recommended</w:t>
      </w:r>
      <w:r>
        <w:rPr>
          <w:color w:val="21465B"/>
          <w:spacing w:val="-4"/>
        </w:rPr>
        <w:t> </w:t>
      </w:r>
      <w:r>
        <w:rPr>
          <w:color w:val="21465B"/>
          <w:spacing w:val="-2"/>
        </w:rPr>
        <w:t>Citation</w:t>
      </w:r>
    </w:p>
    <w:p>
      <w:pPr>
        <w:spacing w:before="0"/>
        <w:ind w:left="280" w:right="567" w:firstLine="0"/>
        <w:jc w:val="both"/>
        <w:rPr>
          <w:sz w:val="28"/>
        </w:rPr>
      </w:pPr>
      <w:r>
        <w:rPr>
          <w:sz w:val="28"/>
        </w:rPr>
        <w:t>Substance</w:t>
      </w:r>
      <w:r>
        <w:rPr>
          <w:spacing w:val="-18"/>
          <w:sz w:val="28"/>
        </w:rPr>
        <w:t> </w:t>
      </w:r>
      <w:r>
        <w:rPr>
          <w:sz w:val="28"/>
        </w:rPr>
        <w:t>Abuse</w:t>
      </w:r>
      <w:r>
        <w:rPr>
          <w:spacing w:val="-10"/>
          <w:sz w:val="28"/>
        </w:rPr>
        <w:t> </w:t>
      </w:r>
      <w:r>
        <w:rPr>
          <w:sz w:val="28"/>
        </w:rPr>
        <w:t>and</w:t>
      </w:r>
      <w:r>
        <w:rPr>
          <w:spacing w:val="-5"/>
          <w:sz w:val="28"/>
        </w:rPr>
        <w:t> </w:t>
      </w:r>
      <w:r>
        <w:rPr>
          <w:sz w:val="28"/>
        </w:rPr>
        <w:t>Mental</w:t>
      </w:r>
      <w:r>
        <w:rPr>
          <w:spacing w:val="-5"/>
          <w:sz w:val="28"/>
        </w:rPr>
        <w:t> </w:t>
      </w:r>
      <w:r>
        <w:rPr>
          <w:sz w:val="28"/>
        </w:rPr>
        <w:t>Health</w:t>
      </w:r>
      <w:r>
        <w:rPr>
          <w:spacing w:val="-5"/>
          <w:sz w:val="28"/>
        </w:rPr>
        <w:t> </w:t>
      </w:r>
      <w:r>
        <w:rPr>
          <w:sz w:val="28"/>
        </w:rPr>
        <w:t>Services</w:t>
      </w:r>
      <w:r>
        <w:rPr>
          <w:spacing w:val="-18"/>
          <w:sz w:val="28"/>
        </w:rPr>
        <w:t> </w:t>
      </w:r>
      <w:r>
        <w:rPr>
          <w:sz w:val="28"/>
        </w:rPr>
        <w:t>Administration.</w:t>
      </w:r>
      <w:r>
        <w:rPr>
          <w:spacing w:val="-5"/>
          <w:sz w:val="28"/>
        </w:rPr>
        <w:t> </w:t>
      </w:r>
      <w:r>
        <w:rPr>
          <w:sz w:val="28"/>
        </w:rPr>
        <w:t>(2023).</w:t>
      </w:r>
      <w:r>
        <w:rPr>
          <w:spacing w:val="-5"/>
          <w:sz w:val="28"/>
        </w:rPr>
        <w:t> </w:t>
      </w:r>
      <w:r>
        <w:rPr>
          <w:i/>
          <w:sz w:val="28"/>
        </w:rPr>
        <w:t>Lesbian,</w:t>
      </w:r>
      <w:r>
        <w:rPr>
          <w:i/>
          <w:sz w:val="28"/>
        </w:rPr>
        <w:t> gay,</w:t>
      </w:r>
      <w:r>
        <w:rPr>
          <w:i/>
          <w:spacing w:val="-3"/>
          <w:sz w:val="28"/>
        </w:rPr>
        <w:t> </w:t>
      </w:r>
      <w:r>
        <w:rPr>
          <w:i/>
          <w:sz w:val="28"/>
        </w:rPr>
        <w:t>and</w:t>
      </w:r>
      <w:r>
        <w:rPr>
          <w:i/>
          <w:spacing w:val="-3"/>
          <w:sz w:val="28"/>
        </w:rPr>
        <w:t> </w:t>
      </w:r>
      <w:r>
        <w:rPr>
          <w:i/>
          <w:sz w:val="28"/>
        </w:rPr>
        <w:t>bisexual</w:t>
      </w:r>
      <w:r>
        <w:rPr>
          <w:i/>
          <w:spacing w:val="-3"/>
          <w:sz w:val="28"/>
        </w:rPr>
        <w:t> </w:t>
      </w:r>
      <w:r>
        <w:rPr>
          <w:i/>
          <w:sz w:val="28"/>
        </w:rPr>
        <w:t>behavioral</w:t>
      </w:r>
      <w:r>
        <w:rPr>
          <w:i/>
          <w:spacing w:val="-3"/>
          <w:sz w:val="28"/>
        </w:rPr>
        <w:t> </w:t>
      </w:r>
      <w:r>
        <w:rPr>
          <w:i/>
          <w:sz w:val="28"/>
        </w:rPr>
        <w:t>health:</w:t>
      </w:r>
      <w:r>
        <w:rPr>
          <w:i/>
          <w:spacing w:val="-3"/>
          <w:sz w:val="28"/>
        </w:rPr>
        <w:t> </w:t>
      </w:r>
      <w:r>
        <w:rPr>
          <w:i/>
          <w:sz w:val="28"/>
        </w:rPr>
        <w:t>Results</w:t>
      </w:r>
      <w:r>
        <w:rPr>
          <w:i/>
          <w:spacing w:val="-3"/>
          <w:sz w:val="28"/>
        </w:rPr>
        <w:t> </w:t>
      </w:r>
      <w:r>
        <w:rPr>
          <w:i/>
          <w:sz w:val="28"/>
        </w:rPr>
        <w:t>from</w:t>
      </w:r>
      <w:r>
        <w:rPr>
          <w:i/>
          <w:spacing w:val="-3"/>
          <w:sz w:val="28"/>
        </w:rPr>
        <w:t> </w:t>
      </w:r>
      <w:r>
        <w:rPr>
          <w:i/>
          <w:sz w:val="28"/>
        </w:rPr>
        <w:t>the</w:t>
      </w:r>
      <w:r>
        <w:rPr>
          <w:i/>
          <w:spacing w:val="-4"/>
          <w:sz w:val="28"/>
        </w:rPr>
        <w:t> </w:t>
      </w:r>
      <w:r>
        <w:rPr>
          <w:i/>
          <w:sz w:val="28"/>
        </w:rPr>
        <w:t>2021</w:t>
      </w:r>
      <w:r>
        <w:rPr>
          <w:i/>
          <w:spacing w:val="-3"/>
          <w:sz w:val="28"/>
        </w:rPr>
        <w:t> </w:t>
      </w:r>
      <w:r>
        <w:rPr>
          <w:i/>
          <w:sz w:val="28"/>
        </w:rPr>
        <w:t>and</w:t>
      </w:r>
      <w:r>
        <w:rPr>
          <w:i/>
          <w:spacing w:val="-3"/>
          <w:sz w:val="28"/>
        </w:rPr>
        <w:t> </w:t>
      </w:r>
      <w:r>
        <w:rPr>
          <w:i/>
          <w:sz w:val="28"/>
        </w:rPr>
        <w:t>2022</w:t>
      </w:r>
      <w:r>
        <w:rPr>
          <w:i/>
          <w:spacing w:val="-3"/>
          <w:sz w:val="28"/>
        </w:rPr>
        <w:t> </w:t>
      </w:r>
      <w:r>
        <w:rPr>
          <w:i/>
          <w:sz w:val="28"/>
        </w:rPr>
        <w:t>National Surveys on Drug Use and Health </w:t>
      </w:r>
      <w:r>
        <w:rPr>
          <w:sz w:val="28"/>
        </w:rPr>
        <w:t>(SAMHSA</w:t>
      </w:r>
      <w:r>
        <w:rPr>
          <w:spacing w:val="-1"/>
          <w:sz w:val="28"/>
        </w:rPr>
        <w:t> </w:t>
      </w:r>
      <w:r>
        <w:rPr>
          <w:sz w:val="28"/>
        </w:rPr>
        <w:t>Publication No.</w:t>
      </w:r>
    </w:p>
    <w:p>
      <w:pPr>
        <w:pStyle w:val="BodyText"/>
        <w:spacing w:line="237" w:lineRule="auto"/>
        <w:ind w:left="280" w:right="1153"/>
      </w:pPr>
      <w:r>
        <w:rPr/>
        <w:t>PEP23-07-01-001). Center for Behavioral Health Statistics and Quality, Substance Abuse and Mental Health Services Administration. </w:t>
      </w:r>
      <w:r>
        <w:rPr>
          <w:color w:val="2756AA"/>
        </w:rPr>
        <w:t>https:// </w:t>
      </w:r>
      <w:hyperlink r:id="rId32">
        <w:r>
          <w:rPr>
            <w:color w:val="2756AA"/>
            <w:spacing w:val="-2"/>
          </w:rPr>
          <w:t>www.samhsa.gov/data/report/LGB-Behavioral-Health-Report-2021-2022</w:t>
        </w:r>
      </w:hyperlink>
    </w:p>
    <w:p>
      <w:pPr>
        <w:pStyle w:val="Heading2"/>
        <w:spacing w:line="321" w:lineRule="exact" w:before="116"/>
      </w:pPr>
      <w:r>
        <w:rPr>
          <w:color w:val="21465B"/>
        </w:rPr>
        <w:t>Originating</w:t>
      </w:r>
      <w:r>
        <w:rPr>
          <w:color w:val="21465B"/>
          <w:spacing w:val="-1"/>
        </w:rPr>
        <w:t> </w:t>
      </w:r>
      <w:r>
        <w:rPr>
          <w:color w:val="21465B"/>
          <w:spacing w:val="-2"/>
        </w:rPr>
        <w:t>Office</w:t>
      </w:r>
    </w:p>
    <w:p>
      <w:pPr>
        <w:pStyle w:val="BodyText"/>
        <w:ind w:left="280" w:right="502"/>
      </w:pPr>
      <w:r>
        <w:rPr/>
        <w:t>Center for Behavioral Health Statistics and Quality, Substance</w:t>
      </w:r>
      <w:r>
        <w:rPr>
          <w:spacing w:val="-6"/>
        </w:rPr>
        <w:t> </w:t>
      </w:r>
      <w:r>
        <w:rPr/>
        <w:t>Abuse and Mental</w:t>
      </w:r>
      <w:r>
        <w:rPr>
          <w:spacing w:val="-7"/>
        </w:rPr>
        <w:t> </w:t>
      </w:r>
      <w:r>
        <w:rPr/>
        <w:t>Health</w:t>
      </w:r>
      <w:r>
        <w:rPr>
          <w:spacing w:val="-5"/>
        </w:rPr>
        <w:t> </w:t>
      </w:r>
      <w:r>
        <w:rPr/>
        <w:t>Services</w:t>
      </w:r>
      <w:r>
        <w:rPr>
          <w:spacing w:val="-18"/>
        </w:rPr>
        <w:t> </w:t>
      </w:r>
      <w:r>
        <w:rPr/>
        <w:t>Administration,</w:t>
      </w:r>
      <w:r>
        <w:rPr>
          <w:spacing w:val="-5"/>
        </w:rPr>
        <w:t> </w:t>
      </w:r>
      <w:r>
        <w:rPr/>
        <w:t>5600</w:t>
      </w:r>
      <w:r>
        <w:rPr>
          <w:spacing w:val="-5"/>
        </w:rPr>
        <w:t> </w:t>
      </w:r>
      <w:r>
        <w:rPr/>
        <w:t>Fishers</w:t>
      </w:r>
      <w:r>
        <w:rPr>
          <w:spacing w:val="-5"/>
        </w:rPr>
        <w:t> </w:t>
      </w:r>
      <w:r>
        <w:rPr/>
        <w:t>Lane,</w:t>
      </w:r>
      <w:r>
        <w:rPr>
          <w:spacing w:val="-5"/>
        </w:rPr>
        <w:t> </w:t>
      </w:r>
      <w:r>
        <w:rPr/>
        <w:t>Room</w:t>
      </w:r>
      <w:r>
        <w:rPr>
          <w:spacing w:val="-5"/>
        </w:rPr>
        <w:t> </w:t>
      </w:r>
      <w:r>
        <w:rPr/>
        <w:t>15-E09D, Rockville, MD 20857. For questions about this report, please email </w:t>
      </w:r>
      <w:hyperlink r:id="rId33">
        <w:r>
          <w:rPr>
            <w:color w:val="2756AA"/>
            <w:spacing w:val="-2"/>
          </w:rPr>
          <w:t>CBHSQrequest@samhsa.hhs.gov</w:t>
        </w:r>
        <w:r>
          <w:rPr>
            <w:spacing w:val="-2"/>
          </w:rPr>
          <w:t>.</w:t>
        </w:r>
      </w:hyperlink>
    </w:p>
    <w:p>
      <w:pPr>
        <w:pStyle w:val="Heading2"/>
        <w:spacing w:line="313" w:lineRule="exact"/>
      </w:pPr>
      <w:r>
        <w:rPr>
          <w:color w:val="21465B"/>
        </w:rPr>
        <w:t>Nondiscrimination</w:t>
      </w:r>
      <w:r>
        <w:rPr>
          <w:color w:val="21465B"/>
          <w:spacing w:val="-4"/>
        </w:rPr>
        <w:t> </w:t>
      </w:r>
      <w:r>
        <w:rPr>
          <w:color w:val="21465B"/>
          <w:spacing w:val="-2"/>
        </w:rPr>
        <w:t>Notice</w:t>
      </w:r>
    </w:p>
    <w:p>
      <w:pPr>
        <w:pStyle w:val="BodyText"/>
        <w:ind w:left="280" w:right="502"/>
      </w:pPr>
      <w:r>
        <w:rPr/>
        <w:t>The Substance</w:t>
      </w:r>
      <w:r>
        <w:rPr>
          <w:spacing w:val="-10"/>
        </w:rPr>
        <w:t> </w:t>
      </w:r>
      <w:r>
        <w:rPr/>
        <w:t>Abuse and Mental Health Services</w:t>
      </w:r>
      <w:r>
        <w:rPr>
          <w:spacing w:val="-10"/>
        </w:rPr>
        <w:t> </w:t>
      </w:r>
      <w:r>
        <w:rPr/>
        <w:t>Administration (SAMHSA) complies</w:t>
      </w:r>
      <w:r>
        <w:rPr>
          <w:spacing w:val="-4"/>
        </w:rPr>
        <w:t> </w:t>
      </w:r>
      <w:r>
        <w:rPr/>
        <w:t>with</w:t>
      </w:r>
      <w:r>
        <w:rPr>
          <w:spacing w:val="-4"/>
        </w:rPr>
        <w:t> </w:t>
      </w:r>
      <w:r>
        <w:rPr/>
        <w:t>applicable</w:t>
      </w:r>
      <w:r>
        <w:rPr>
          <w:spacing w:val="-5"/>
        </w:rPr>
        <w:t> </w:t>
      </w:r>
      <w:r>
        <w:rPr/>
        <w:t>Federal</w:t>
      </w:r>
      <w:r>
        <w:rPr>
          <w:spacing w:val="-4"/>
        </w:rPr>
        <w:t> </w:t>
      </w:r>
      <w:r>
        <w:rPr/>
        <w:t>civil</w:t>
      </w:r>
      <w:r>
        <w:rPr>
          <w:spacing w:val="-4"/>
        </w:rPr>
        <w:t> </w:t>
      </w:r>
      <w:r>
        <w:rPr/>
        <w:t>rights</w:t>
      </w:r>
      <w:r>
        <w:rPr>
          <w:spacing w:val="-4"/>
        </w:rPr>
        <w:t> </w:t>
      </w:r>
      <w:r>
        <w:rPr/>
        <w:t>laws</w:t>
      </w:r>
      <w:r>
        <w:rPr>
          <w:spacing w:val="-4"/>
        </w:rPr>
        <w:t> </w:t>
      </w:r>
      <w:r>
        <w:rPr/>
        <w:t>and</w:t>
      </w:r>
      <w:r>
        <w:rPr>
          <w:spacing w:val="-4"/>
        </w:rPr>
        <w:t> </w:t>
      </w:r>
      <w:r>
        <w:rPr/>
        <w:t>does</w:t>
      </w:r>
      <w:r>
        <w:rPr>
          <w:spacing w:val="-4"/>
        </w:rPr>
        <w:t> </w:t>
      </w:r>
      <w:r>
        <w:rPr/>
        <w:t>not</w:t>
      </w:r>
      <w:r>
        <w:rPr>
          <w:spacing w:val="-4"/>
        </w:rPr>
        <w:t> </w:t>
      </w:r>
      <w:r>
        <w:rPr/>
        <w:t>discriminate</w:t>
      </w:r>
      <w:r>
        <w:rPr>
          <w:spacing w:val="-5"/>
        </w:rPr>
        <w:t> </w:t>
      </w:r>
      <w:r>
        <w:rPr/>
        <w:t>on the basis of race, color, national origin, age, disability, religion, or sex (including pregnancy, sexual orientation, and gender identity). SAMHSA</w:t>
      </w:r>
      <w:r>
        <w:rPr>
          <w:spacing w:val="-14"/>
        </w:rPr>
        <w:t> </w:t>
      </w:r>
      <w:r>
        <w:rPr/>
        <w:t>does not exclude people or treat them differently because of race, color, national origin,</w:t>
      </w:r>
      <w:r>
        <w:rPr>
          <w:spacing w:val="-6"/>
        </w:rPr>
        <w:t> </w:t>
      </w:r>
      <w:r>
        <w:rPr/>
        <w:t>age,</w:t>
      </w:r>
      <w:r>
        <w:rPr>
          <w:spacing w:val="-6"/>
        </w:rPr>
        <w:t> </w:t>
      </w:r>
      <w:r>
        <w:rPr/>
        <w:t>disability,</w:t>
      </w:r>
      <w:r>
        <w:rPr>
          <w:spacing w:val="-6"/>
        </w:rPr>
        <w:t> </w:t>
      </w:r>
      <w:r>
        <w:rPr/>
        <w:t>religion,</w:t>
      </w:r>
      <w:r>
        <w:rPr>
          <w:spacing w:val="-6"/>
        </w:rPr>
        <w:t> </w:t>
      </w:r>
      <w:r>
        <w:rPr/>
        <w:t>or</w:t>
      </w:r>
      <w:r>
        <w:rPr>
          <w:spacing w:val="-6"/>
        </w:rPr>
        <w:t> </w:t>
      </w:r>
      <w:r>
        <w:rPr/>
        <w:t>sex</w:t>
      </w:r>
      <w:r>
        <w:rPr>
          <w:spacing w:val="-6"/>
        </w:rPr>
        <w:t> </w:t>
      </w:r>
      <w:r>
        <w:rPr/>
        <w:t>(including</w:t>
      </w:r>
      <w:r>
        <w:rPr>
          <w:spacing w:val="-6"/>
        </w:rPr>
        <w:t> </w:t>
      </w:r>
      <w:r>
        <w:rPr/>
        <w:t>pregnancy,</w:t>
      </w:r>
      <w:r>
        <w:rPr>
          <w:spacing w:val="-6"/>
        </w:rPr>
        <w:t> </w:t>
      </w:r>
      <w:r>
        <w:rPr/>
        <w:t>sexual</w:t>
      </w:r>
      <w:r>
        <w:rPr>
          <w:spacing w:val="-6"/>
        </w:rPr>
        <w:t> </w:t>
      </w:r>
      <w:r>
        <w:rPr/>
        <w:t>orientation, and gender identity).</w:t>
      </w:r>
    </w:p>
    <w:p>
      <w:pPr>
        <w:spacing w:after="0"/>
        <w:sectPr>
          <w:pgSz w:w="12240" w:h="15840"/>
          <w:pgMar w:header="0" w:footer="797" w:top="1260" w:bottom="980" w:left="1400" w:right="1180"/>
        </w:sectPr>
      </w:pPr>
    </w:p>
    <w:p>
      <w:pPr>
        <w:pStyle w:val="BodyText"/>
        <w:spacing w:before="66"/>
        <w:ind w:left="280" w:right="552"/>
      </w:pPr>
      <w:r>
        <w:rPr/>
        <w:t>Substance use and mental health issues have significant impacts on people, families,</w:t>
      </w:r>
      <w:r>
        <w:rPr>
          <w:spacing w:val="-6"/>
        </w:rPr>
        <w:t> </w:t>
      </w:r>
      <w:r>
        <w:rPr/>
        <w:t>communities,</w:t>
      </w:r>
      <w:r>
        <w:rPr>
          <w:spacing w:val="-4"/>
        </w:rPr>
        <w:t> </w:t>
      </w:r>
      <w:r>
        <w:rPr/>
        <w:t>and</w:t>
      </w:r>
      <w:r>
        <w:rPr>
          <w:spacing w:val="-4"/>
        </w:rPr>
        <w:t> </w:t>
      </w:r>
      <w:r>
        <w:rPr/>
        <w:t>societies.</w:t>
      </w:r>
      <w:r>
        <w:rPr>
          <w:spacing w:val="-18"/>
        </w:rPr>
        <w:t> </w:t>
      </w:r>
      <w:r>
        <w:rPr/>
        <w:t>A</w:t>
      </w:r>
      <w:r>
        <w:rPr>
          <w:spacing w:val="-17"/>
        </w:rPr>
        <w:t> </w:t>
      </w:r>
      <w:r>
        <w:rPr/>
        <w:t>higher</w:t>
      </w:r>
      <w:r>
        <w:rPr>
          <w:spacing w:val="-4"/>
        </w:rPr>
        <w:t> </w:t>
      </w:r>
      <w:r>
        <w:rPr/>
        <w:t>prevalence</w:t>
      </w:r>
      <w:r>
        <w:rPr>
          <w:spacing w:val="-5"/>
        </w:rPr>
        <w:t> </w:t>
      </w:r>
      <w:r>
        <w:rPr/>
        <w:t>of</w:t>
      </w:r>
      <w:r>
        <w:rPr>
          <w:spacing w:val="-4"/>
        </w:rPr>
        <w:t> </w:t>
      </w:r>
      <w:r>
        <w:rPr/>
        <w:t>substance</w:t>
      </w:r>
      <w:r>
        <w:rPr>
          <w:spacing w:val="-5"/>
        </w:rPr>
        <w:t> </w:t>
      </w:r>
      <w:r>
        <w:rPr/>
        <w:t>use</w:t>
      </w:r>
      <w:r>
        <w:rPr>
          <w:spacing w:val="-5"/>
        </w:rPr>
        <w:t> </w:t>
      </w:r>
      <w:r>
        <w:rPr/>
        <w:t>and mental health issues has been well documented among people who identify as lesbian, gay, or bisexual (also referred to as sexual minorities) than among those who identify as heterosexual or straight.</w:t>
      </w:r>
      <w:r>
        <w:rPr>
          <w:color w:val="2756AA"/>
        </w:rPr>
        <w:t>1</w:t>
      </w:r>
      <w:r>
        <w:rPr/>
        <w:t>,</w:t>
      </w:r>
      <w:r>
        <w:rPr>
          <w:color w:val="2756AA"/>
        </w:rPr>
        <w:t>2</w:t>
      </w:r>
      <w:r>
        <w:rPr/>
        <w:t>,</w:t>
      </w:r>
      <w:r>
        <w:rPr>
          <w:color w:val="2756AA"/>
        </w:rPr>
        <w:t>3 </w:t>
      </w:r>
      <w:r>
        <w:rPr/>
        <w:t>Sexual minorities experience unique stressors that can contribute to adverse substance use and mental health outcomes.</w:t>
      </w:r>
      <w:r>
        <w:rPr>
          <w:color w:val="2756AA"/>
        </w:rPr>
        <w:t>4</w:t>
      </w:r>
      <w:r>
        <w:rPr/>
        <w:t>,</w:t>
      </w:r>
      <w:r>
        <w:rPr>
          <w:color w:val="2756AA"/>
        </w:rPr>
        <w:t>5</w:t>
      </w:r>
      <w:r>
        <w:rPr/>
        <w:t>,</w:t>
      </w:r>
      <w:r>
        <w:rPr>
          <w:color w:val="2756AA"/>
        </w:rPr>
        <w:t>6 </w:t>
      </w:r>
      <w:r>
        <w:rPr/>
        <w:t>People who identify as bisexual may experience additional problems with substance use and mental health due to sexual orientation-based discrimination, bisexual invisibility and erasure, and a lack of bisexual-affirmative support.</w:t>
      </w:r>
      <w:r>
        <w:rPr>
          <w:color w:val="2756AA"/>
        </w:rPr>
        <w:t>7 </w:t>
      </w:r>
      <w:r>
        <w:rPr/>
        <w:t>Challenges faced by members of sexual minorities can be further compounded by the experience of being female or a person of color.</w:t>
      </w:r>
      <w:r>
        <w:rPr>
          <w:color w:val="2756AA"/>
        </w:rPr>
        <w:t>8</w:t>
      </w:r>
      <w:r>
        <w:rPr/>
        <w:t>,</w:t>
      </w:r>
      <w:r>
        <w:rPr>
          <w:color w:val="2756AA"/>
        </w:rPr>
        <w:t>9</w:t>
      </w:r>
      <w:r>
        <w:rPr/>
        <w:t>,</w:t>
      </w:r>
      <w:r>
        <w:rPr>
          <w:color w:val="2756AA"/>
        </w:rPr>
        <w:t>10</w:t>
      </w:r>
    </w:p>
    <w:p>
      <w:pPr>
        <w:pStyle w:val="Heading2"/>
        <w:spacing w:line="321" w:lineRule="exact" w:before="96"/>
      </w:pPr>
      <w:r>
        <w:rPr>
          <w:color w:val="24465B"/>
        </w:rPr>
        <w:t>Survey</w:t>
      </w:r>
      <w:r>
        <w:rPr>
          <w:color w:val="24465B"/>
          <w:spacing w:val="-2"/>
        </w:rPr>
        <w:t> Background</w:t>
      </w:r>
    </w:p>
    <w:p>
      <w:pPr>
        <w:pStyle w:val="BodyText"/>
        <w:ind w:left="280"/>
      </w:pPr>
      <w:r>
        <w:rPr/>
        <w:t>The National Survey on Drug Use and Health (NSDUH) is an annual survey sponsored</w:t>
      </w:r>
      <w:r>
        <w:rPr>
          <w:spacing w:val="-8"/>
        </w:rPr>
        <w:t> </w:t>
      </w:r>
      <w:r>
        <w:rPr/>
        <w:t>by</w:t>
      </w:r>
      <w:r>
        <w:rPr>
          <w:spacing w:val="-5"/>
        </w:rPr>
        <w:t> </w:t>
      </w:r>
      <w:r>
        <w:rPr/>
        <w:t>the</w:t>
      </w:r>
      <w:r>
        <w:rPr>
          <w:spacing w:val="-5"/>
        </w:rPr>
        <w:t> </w:t>
      </w:r>
      <w:r>
        <w:rPr/>
        <w:t>Substance</w:t>
      </w:r>
      <w:r>
        <w:rPr>
          <w:spacing w:val="-18"/>
        </w:rPr>
        <w:t> </w:t>
      </w:r>
      <w:r>
        <w:rPr/>
        <w:t>Abuse</w:t>
      </w:r>
      <w:r>
        <w:rPr>
          <w:spacing w:val="-5"/>
        </w:rPr>
        <w:t> </w:t>
      </w:r>
      <w:r>
        <w:rPr/>
        <w:t>and</w:t>
      </w:r>
      <w:r>
        <w:rPr>
          <w:spacing w:val="-5"/>
        </w:rPr>
        <w:t> </w:t>
      </w:r>
      <w:r>
        <w:rPr/>
        <w:t>Mental</w:t>
      </w:r>
      <w:r>
        <w:rPr>
          <w:spacing w:val="-5"/>
        </w:rPr>
        <w:t> </w:t>
      </w:r>
      <w:r>
        <w:rPr/>
        <w:t>Health</w:t>
      </w:r>
      <w:r>
        <w:rPr>
          <w:spacing w:val="-5"/>
        </w:rPr>
        <w:t> </w:t>
      </w:r>
      <w:r>
        <w:rPr/>
        <w:t>Services</w:t>
      </w:r>
      <w:r>
        <w:rPr>
          <w:spacing w:val="-18"/>
        </w:rPr>
        <w:t> </w:t>
      </w:r>
      <w:r>
        <w:rPr/>
        <w:t>Administration (SAMHSA) within the U.S. Department of Health and Human Services.</w:t>
      </w:r>
    </w:p>
    <w:p>
      <w:pPr>
        <w:pStyle w:val="BodyText"/>
        <w:spacing w:line="237" w:lineRule="auto"/>
        <w:ind w:left="280" w:right="502"/>
      </w:pPr>
      <w:r>
        <w:rPr/>
        <w:t>NSDUH covers residents of households and people in noninstitutional group settings.</w:t>
      </w:r>
      <w:r>
        <w:rPr>
          <w:spacing w:val="-10"/>
        </w:rPr>
        <w:t> </w:t>
      </w:r>
      <w:r>
        <w:rPr/>
        <w:t>The</w:t>
      </w:r>
      <w:r>
        <w:rPr>
          <w:spacing w:val="-5"/>
        </w:rPr>
        <w:t> </w:t>
      </w:r>
      <w:r>
        <w:rPr/>
        <w:t>survey</w:t>
      </w:r>
      <w:r>
        <w:rPr>
          <w:spacing w:val="-4"/>
        </w:rPr>
        <w:t> </w:t>
      </w:r>
      <w:r>
        <w:rPr/>
        <w:t>excludes</w:t>
      </w:r>
      <w:r>
        <w:rPr>
          <w:spacing w:val="-4"/>
        </w:rPr>
        <w:t> </w:t>
      </w:r>
      <w:r>
        <w:rPr/>
        <w:t>people</w:t>
      </w:r>
      <w:r>
        <w:rPr>
          <w:spacing w:val="-5"/>
        </w:rPr>
        <w:t> </w:t>
      </w:r>
      <w:r>
        <w:rPr/>
        <w:t>with</w:t>
      </w:r>
      <w:r>
        <w:rPr>
          <w:spacing w:val="-4"/>
        </w:rPr>
        <w:t> </w:t>
      </w:r>
      <w:r>
        <w:rPr/>
        <w:t>no</w:t>
      </w:r>
      <w:r>
        <w:rPr>
          <w:spacing w:val="-4"/>
        </w:rPr>
        <w:t> </w:t>
      </w:r>
      <w:r>
        <w:rPr/>
        <w:t>fixed</w:t>
      </w:r>
      <w:r>
        <w:rPr>
          <w:spacing w:val="-4"/>
        </w:rPr>
        <w:t> </w:t>
      </w:r>
      <w:r>
        <w:rPr/>
        <w:t>address,</w:t>
      </w:r>
      <w:r>
        <w:rPr>
          <w:spacing w:val="-4"/>
        </w:rPr>
        <w:t> </w:t>
      </w:r>
      <w:r>
        <w:rPr/>
        <w:t>military</w:t>
      </w:r>
      <w:r>
        <w:rPr>
          <w:spacing w:val="-4"/>
        </w:rPr>
        <w:t> </w:t>
      </w:r>
      <w:r>
        <w:rPr/>
        <w:t>personnel on active duty, and residents of institutional group settings, such as jails, nursing homes, mental health institutions, and long-term care hospitals.</w:t>
      </w:r>
    </w:p>
    <w:p>
      <w:pPr>
        <w:spacing w:before="0"/>
        <w:ind w:left="280" w:right="502" w:firstLine="0"/>
        <w:jc w:val="left"/>
        <w:rPr>
          <w:sz w:val="28"/>
        </w:rPr>
      </w:pPr>
      <w:r>
        <w:rPr>
          <w:sz w:val="28"/>
        </w:rPr>
        <w:t>Further</w:t>
      </w:r>
      <w:r>
        <w:rPr>
          <w:spacing w:val="-3"/>
          <w:sz w:val="28"/>
        </w:rPr>
        <w:t> </w:t>
      </w:r>
      <w:r>
        <w:rPr>
          <w:sz w:val="28"/>
        </w:rPr>
        <w:t>information</w:t>
      </w:r>
      <w:r>
        <w:rPr>
          <w:spacing w:val="-3"/>
          <w:sz w:val="28"/>
        </w:rPr>
        <w:t> </w:t>
      </w:r>
      <w:r>
        <w:rPr>
          <w:sz w:val="28"/>
        </w:rPr>
        <w:t>about</w:t>
      </w:r>
      <w:r>
        <w:rPr>
          <w:spacing w:val="-3"/>
          <w:sz w:val="28"/>
        </w:rPr>
        <w:t> </w:t>
      </w:r>
      <w:r>
        <w:rPr>
          <w:sz w:val="28"/>
        </w:rPr>
        <w:t>the</w:t>
      </w:r>
      <w:r>
        <w:rPr>
          <w:spacing w:val="-4"/>
          <w:sz w:val="28"/>
        </w:rPr>
        <w:t> </w:t>
      </w:r>
      <w:r>
        <w:rPr>
          <w:sz w:val="28"/>
        </w:rPr>
        <w:t>NSDUH</w:t>
      </w:r>
      <w:r>
        <w:rPr>
          <w:spacing w:val="-3"/>
          <w:sz w:val="28"/>
        </w:rPr>
        <w:t> </w:t>
      </w:r>
      <w:r>
        <w:rPr>
          <w:sz w:val="28"/>
        </w:rPr>
        <w:t>design</w:t>
      </w:r>
      <w:r>
        <w:rPr>
          <w:spacing w:val="-3"/>
          <w:sz w:val="28"/>
        </w:rPr>
        <w:t> </w:t>
      </w:r>
      <w:r>
        <w:rPr>
          <w:sz w:val="28"/>
        </w:rPr>
        <w:t>and</w:t>
      </w:r>
      <w:r>
        <w:rPr>
          <w:spacing w:val="-3"/>
          <w:sz w:val="28"/>
        </w:rPr>
        <w:t> </w:t>
      </w:r>
      <w:r>
        <w:rPr>
          <w:sz w:val="28"/>
        </w:rPr>
        <w:t>methods</w:t>
      </w:r>
      <w:r>
        <w:rPr>
          <w:spacing w:val="-3"/>
          <w:sz w:val="28"/>
        </w:rPr>
        <w:t> </w:t>
      </w:r>
      <w:r>
        <w:rPr>
          <w:sz w:val="28"/>
        </w:rPr>
        <w:t>can</w:t>
      </w:r>
      <w:r>
        <w:rPr>
          <w:spacing w:val="-3"/>
          <w:sz w:val="28"/>
        </w:rPr>
        <w:t> </w:t>
      </w:r>
      <w:r>
        <w:rPr>
          <w:sz w:val="28"/>
        </w:rPr>
        <w:t>be</w:t>
      </w:r>
      <w:r>
        <w:rPr>
          <w:spacing w:val="-4"/>
          <w:sz w:val="28"/>
        </w:rPr>
        <w:t> </w:t>
      </w:r>
      <w:r>
        <w:rPr>
          <w:sz w:val="28"/>
        </w:rPr>
        <w:t>found</w:t>
      </w:r>
      <w:r>
        <w:rPr>
          <w:spacing w:val="-3"/>
          <w:sz w:val="28"/>
        </w:rPr>
        <w:t> </w:t>
      </w:r>
      <w:r>
        <w:rPr>
          <w:sz w:val="28"/>
        </w:rPr>
        <w:t>in</w:t>
      </w:r>
      <w:r>
        <w:rPr>
          <w:spacing w:val="-3"/>
          <w:sz w:val="28"/>
        </w:rPr>
        <w:t> </w:t>
      </w:r>
      <w:r>
        <w:rPr>
          <w:sz w:val="28"/>
        </w:rPr>
        <w:t>the </w:t>
      </w:r>
      <w:r>
        <w:rPr>
          <w:i/>
          <w:sz w:val="28"/>
        </w:rPr>
        <w:t>2021 National Survey on Drug Use and Health (NSDUH): Methodological</w:t>
      </w:r>
      <w:r>
        <w:rPr>
          <w:i/>
          <w:sz w:val="28"/>
        </w:rPr>
        <w:t> Summary and Definitions</w:t>
      </w:r>
      <w:r>
        <w:rPr>
          <w:sz w:val="28"/>
        </w:rPr>
        <w:t>.</w:t>
      </w:r>
      <w:r>
        <w:rPr>
          <w:color w:val="2756AA"/>
          <w:sz w:val="28"/>
        </w:rPr>
        <w:t>11</w:t>
      </w:r>
      <w:r>
        <w:rPr>
          <w:color w:val="2756AA"/>
          <w:spacing w:val="-2"/>
          <w:sz w:val="28"/>
        </w:rPr>
        <w:t> </w:t>
      </w:r>
      <w:r>
        <w:rPr>
          <w:sz w:val="28"/>
        </w:rPr>
        <w:t>Appendix</w:t>
      </w:r>
      <w:r>
        <w:rPr>
          <w:spacing w:val="-2"/>
          <w:sz w:val="28"/>
        </w:rPr>
        <w:t> </w:t>
      </w:r>
      <w:r>
        <w:rPr>
          <w:sz w:val="28"/>
        </w:rPr>
        <w:t>A</w:t>
      </w:r>
      <w:r>
        <w:rPr>
          <w:spacing w:val="-2"/>
          <w:sz w:val="28"/>
        </w:rPr>
        <w:t> </w:t>
      </w:r>
      <w:r>
        <w:rPr>
          <w:sz w:val="28"/>
        </w:rPr>
        <w:t>in the 2021 Methodological Summary and Definitions report also defines relevant measures and terms.</w:t>
      </w:r>
    </w:p>
    <w:p>
      <w:pPr>
        <w:pStyle w:val="Heading2"/>
        <w:spacing w:line="321" w:lineRule="exact" w:before="110"/>
      </w:pPr>
      <w:r>
        <w:rPr>
          <w:color w:val="24465B"/>
        </w:rPr>
        <w:t>Presentation</w:t>
      </w:r>
      <w:r>
        <w:rPr>
          <w:color w:val="24465B"/>
          <w:spacing w:val="-3"/>
        </w:rPr>
        <w:t> </w:t>
      </w:r>
      <w:r>
        <w:rPr>
          <w:color w:val="24465B"/>
        </w:rPr>
        <w:t>of</w:t>
      </w:r>
      <w:r>
        <w:rPr>
          <w:color w:val="24465B"/>
          <w:spacing w:val="-3"/>
        </w:rPr>
        <w:t> </w:t>
      </w:r>
      <w:r>
        <w:rPr>
          <w:color w:val="24465B"/>
        </w:rPr>
        <w:t>Estimates</w:t>
      </w:r>
      <w:r>
        <w:rPr>
          <w:color w:val="24465B"/>
          <w:spacing w:val="-3"/>
        </w:rPr>
        <w:t> </w:t>
      </w:r>
      <w:r>
        <w:rPr>
          <w:color w:val="24465B"/>
        </w:rPr>
        <w:t>and</w:t>
      </w:r>
      <w:r>
        <w:rPr>
          <w:color w:val="24465B"/>
          <w:spacing w:val="-3"/>
        </w:rPr>
        <w:t> </w:t>
      </w:r>
      <w:r>
        <w:rPr>
          <w:color w:val="24465B"/>
        </w:rPr>
        <w:t>Statistical</w:t>
      </w:r>
      <w:r>
        <w:rPr>
          <w:color w:val="24465B"/>
          <w:spacing w:val="-8"/>
        </w:rPr>
        <w:t> </w:t>
      </w:r>
      <w:r>
        <w:rPr>
          <w:color w:val="24465B"/>
          <w:spacing w:val="-2"/>
        </w:rPr>
        <w:t>Testing</w:t>
      </w:r>
    </w:p>
    <w:p>
      <w:pPr>
        <w:pStyle w:val="BodyText"/>
        <w:ind w:left="280" w:right="566"/>
      </w:pPr>
      <w:r>
        <w:rPr/>
        <w:t>This report focuses on substance use and mental health indicators among adults aged 18 or older in the United States based on pooled NSDUH data from 2021 and 2022. Estimates are presented by adults’</w:t>
      </w:r>
      <w:r>
        <w:rPr>
          <w:spacing w:val="-12"/>
        </w:rPr>
        <w:t> </w:t>
      </w:r>
      <w:r>
        <w:rPr/>
        <w:t>sexual identity (i.e., gay/lesbian,</w:t>
      </w:r>
      <w:r>
        <w:rPr>
          <w:spacing w:val="-10"/>
        </w:rPr>
        <w:t> </w:t>
      </w:r>
      <w:r>
        <w:rPr/>
        <w:t>bisexual,</w:t>
      </w:r>
      <w:r>
        <w:rPr>
          <w:spacing w:val="-6"/>
        </w:rPr>
        <w:t> </w:t>
      </w:r>
      <w:r>
        <w:rPr/>
        <w:t>straight)</w:t>
      </w:r>
      <w:r>
        <w:rPr>
          <w:spacing w:val="-6"/>
        </w:rPr>
        <w:t> </w:t>
      </w:r>
      <w:r>
        <w:rPr/>
        <w:t>and</w:t>
      </w:r>
      <w:r>
        <w:rPr>
          <w:spacing w:val="-6"/>
        </w:rPr>
        <w:t> </w:t>
      </w:r>
      <w:r>
        <w:rPr/>
        <w:t>gender.</w:t>
      </w:r>
      <w:r>
        <w:rPr>
          <w:spacing w:val="-18"/>
        </w:rPr>
        <w:t> </w:t>
      </w:r>
      <w:r>
        <w:rPr/>
        <w:t>All</w:t>
      </w:r>
      <w:r>
        <w:rPr>
          <w:spacing w:val="-6"/>
        </w:rPr>
        <w:t> </w:t>
      </w:r>
      <w:r>
        <w:rPr/>
        <w:t>estimates</w:t>
      </w:r>
      <w:r>
        <w:rPr>
          <w:spacing w:val="-6"/>
        </w:rPr>
        <w:t> </w:t>
      </w:r>
      <w:r>
        <w:rPr/>
        <w:t>(e.g.,</w:t>
      </w:r>
      <w:r>
        <w:rPr>
          <w:spacing w:val="-6"/>
        </w:rPr>
        <w:t> </w:t>
      </w:r>
      <w:r>
        <w:rPr/>
        <w:t>percentages</w:t>
      </w:r>
      <w:r>
        <w:rPr>
          <w:spacing w:val="-6"/>
        </w:rPr>
        <w:t> </w:t>
      </w:r>
      <w:r>
        <w:rPr/>
        <w:t>and numbers) presented in the report are derived from survey data that are subject to sampling errors and have met the criteria for statistical precision.</w:t>
      </w:r>
      <w:r>
        <w:rPr>
          <w:color w:val="2756AA"/>
        </w:rPr>
        <w:t>12</w:t>
      </w:r>
    </w:p>
    <w:p>
      <w:pPr>
        <w:pStyle w:val="BodyText"/>
        <w:spacing w:before="2"/>
        <w:rPr>
          <w:sz w:val="37"/>
        </w:rPr>
      </w:pPr>
    </w:p>
    <w:p>
      <w:pPr>
        <w:pStyle w:val="BodyText"/>
        <w:ind w:left="280" w:right="502"/>
      </w:pPr>
      <w:r>
        <w:rPr>
          <w:color w:val="24465B"/>
        </w:rPr>
        <w:t>In</w:t>
      </w:r>
      <w:r>
        <w:rPr>
          <w:color w:val="24465B"/>
          <w:spacing w:val="-3"/>
        </w:rPr>
        <w:t> </w:t>
      </w:r>
      <w:r>
        <w:rPr>
          <w:color w:val="24465B"/>
        </w:rPr>
        <w:t>the</w:t>
      </w:r>
      <w:r>
        <w:rPr>
          <w:color w:val="24465B"/>
          <w:spacing w:val="-4"/>
        </w:rPr>
        <w:t> </w:t>
      </w:r>
      <w:r>
        <w:rPr>
          <w:color w:val="24465B"/>
        </w:rPr>
        <w:t>2021</w:t>
      </w:r>
      <w:r>
        <w:rPr>
          <w:color w:val="24465B"/>
          <w:spacing w:val="-3"/>
        </w:rPr>
        <w:t> </w:t>
      </w:r>
      <w:r>
        <w:rPr>
          <w:color w:val="24465B"/>
        </w:rPr>
        <w:t>and</w:t>
      </w:r>
      <w:r>
        <w:rPr>
          <w:color w:val="24465B"/>
          <w:spacing w:val="-3"/>
        </w:rPr>
        <w:t> </w:t>
      </w:r>
      <w:r>
        <w:rPr>
          <w:color w:val="24465B"/>
        </w:rPr>
        <w:t>2022</w:t>
      </w:r>
      <w:r>
        <w:rPr>
          <w:color w:val="24465B"/>
          <w:spacing w:val="-3"/>
        </w:rPr>
        <w:t> </w:t>
      </w:r>
      <w:r>
        <w:rPr>
          <w:color w:val="24465B"/>
        </w:rPr>
        <w:t>National</w:t>
      </w:r>
      <w:r>
        <w:rPr>
          <w:color w:val="24465B"/>
          <w:spacing w:val="-3"/>
        </w:rPr>
        <w:t> </w:t>
      </w:r>
      <w:r>
        <w:rPr>
          <w:color w:val="24465B"/>
        </w:rPr>
        <w:t>Surveys</w:t>
      </w:r>
      <w:r>
        <w:rPr>
          <w:color w:val="24465B"/>
          <w:spacing w:val="-3"/>
        </w:rPr>
        <w:t> </w:t>
      </w:r>
      <w:r>
        <w:rPr>
          <w:color w:val="24465B"/>
        </w:rPr>
        <w:t>on</w:t>
      </w:r>
      <w:r>
        <w:rPr>
          <w:color w:val="24465B"/>
          <w:spacing w:val="-3"/>
        </w:rPr>
        <w:t> </w:t>
      </w:r>
      <w:r>
        <w:rPr>
          <w:color w:val="24465B"/>
        </w:rPr>
        <w:t>Drug</w:t>
      </w:r>
      <w:r>
        <w:rPr>
          <w:color w:val="24465B"/>
          <w:spacing w:val="-3"/>
        </w:rPr>
        <w:t> </w:t>
      </w:r>
      <w:r>
        <w:rPr>
          <w:color w:val="24465B"/>
        </w:rPr>
        <w:t>Use</w:t>
      </w:r>
      <w:r>
        <w:rPr>
          <w:color w:val="24465B"/>
          <w:spacing w:val="-4"/>
        </w:rPr>
        <w:t> </w:t>
      </w:r>
      <w:r>
        <w:rPr>
          <w:color w:val="24465B"/>
        </w:rPr>
        <w:t>and</w:t>
      </w:r>
      <w:r>
        <w:rPr>
          <w:color w:val="24465B"/>
          <w:spacing w:val="-3"/>
        </w:rPr>
        <w:t> </w:t>
      </w:r>
      <w:r>
        <w:rPr>
          <w:color w:val="24465B"/>
        </w:rPr>
        <w:t>Health</w:t>
      </w:r>
      <w:r>
        <w:rPr>
          <w:color w:val="24465B"/>
          <w:spacing w:val="-3"/>
        </w:rPr>
        <w:t> </w:t>
      </w:r>
      <w:r>
        <w:rPr>
          <w:color w:val="24465B"/>
        </w:rPr>
        <w:t>(NSDUHs), only a binary measure of male or female was collected. The 2021 and 2022 NSDUHs also collected information on sexual identity only from adults.</w:t>
      </w:r>
    </w:p>
    <w:p>
      <w:pPr>
        <w:pStyle w:val="BodyText"/>
        <w:spacing w:line="237" w:lineRule="auto"/>
        <w:ind w:left="280" w:right="499"/>
      </w:pPr>
      <w:r>
        <w:rPr>
          <w:color w:val="24465B"/>
        </w:rPr>
        <w:t>Therefore, this report does not present findings for transgender people, non- binary people, or those people with any other identity besides binary male or female, and it does not present findings on sexual identity for adolescents younger than 18. Beginning with the 2023 NSDUH, the survey asks respondents</w:t>
      </w:r>
      <w:r>
        <w:rPr>
          <w:color w:val="24465B"/>
          <w:spacing w:val="-6"/>
        </w:rPr>
        <w:t> </w:t>
      </w:r>
      <w:r>
        <w:rPr>
          <w:color w:val="24465B"/>
        </w:rPr>
        <w:t>their</w:t>
      </w:r>
      <w:r>
        <w:rPr>
          <w:color w:val="24465B"/>
          <w:spacing w:val="-6"/>
        </w:rPr>
        <w:t> </w:t>
      </w:r>
      <w:r>
        <w:rPr>
          <w:color w:val="24465B"/>
        </w:rPr>
        <w:t>sex</w:t>
      </w:r>
      <w:r>
        <w:rPr>
          <w:color w:val="24465B"/>
          <w:spacing w:val="-6"/>
        </w:rPr>
        <w:t> </w:t>
      </w:r>
      <w:r>
        <w:rPr>
          <w:color w:val="24465B"/>
        </w:rPr>
        <w:t>at</w:t>
      </w:r>
      <w:r>
        <w:rPr>
          <w:color w:val="24465B"/>
          <w:spacing w:val="-6"/>
        </w:rPr>
        <w:t> </w:t>
      </w:r>
      <w:r>
        <w:rPr>
          <w:color w:val="24465B"/>
        </w:rPr>
        <w:t>birth</w:t>
      </w:r>
      <w:r>
        <w:rPr>
          <w:color w:val="24465B"/>
          <w:spacing w:val="-6"/>
        </w:rPr>
        <w:t> </w:t>
      </w:r>
      <w:r>
        <w:rPr>
          <w:color w:val="24465B"/>
        </w:rPr>
        <w:t>and</w:t>
      </w:r>
      <w:r>
        <w:rPr>
          <w:color w:val="24465B"/>
          <w:spacing w:val="-6"/>
        </w:rPr>
        <w:t> </w:t>
      </w:r>
      <w:r>
        <w:rPr>
          <w:color w:val="24465B"/>
        </w:rPr>
        <w:t>their</w:t>
      </w:r>
      <w:r>
        <w:rPr>
          <w:color w:val="24465B"/>
          <w:spacing w:val="-6"/>
        </w:rPr>
        <w:t> </w:t>
      </w:r>
      <w:r>
        <w:rPr>
          <w:color w:val="24465B"/>
        </w:rPr>
        <w:t>gender</w:t>
      </w:r>
      <w:r>
        <w:rPr>
          <w:color w:val="24465B"/>
          <w:spacing w:val="-6"/>
        </w:rPr>
        <w:t> </w:t>
      </w:r>
      <w:r>
        <w:rPr>
          <w:color w:val="24465B"/>
        </w:rPr>
        <w:t>identity,</w:t>
      </w:r>
      <w:r>
        <w:rPr>
          <w:color w:val="24465B"/>
          <w:spacing w:val="-6"/>
        </w:rPr>
        <w:t> </w:t>
      </w:r>
      <w:r>
        <w:rPr>
          <w:color w:val="24465B"/>
        </w:rPr>
        <w:t>including</w:t>
      </w:r>
      <w:r>
        <w:rPr>
          <w:color w:val="24465B"/>
          <w:spacing w:val="-6"/>
        </w:rPr>
        <w:t> </w:t>
      </w:r>
      <w:r>
        <w:rPr>
          <w:color w:val="24465B"/>
        </w:rPr>
        <w:t>whether</w:t>
      </w:r>
      <w:r>
        <w:rPr>
          <w:color w:val="24465B"/>
          <w:spacing w:val="-6"/>
        </w:rPr>
        <w:t> </w:t>
      </w:r>
      <w:r>
        <w:rPr>
          <w:color w:val="24465B"/>
        </w:rPr>
        <w:t>they</w:t>
      </w:r>
    </w:p>
    <w:p>
      <w:pPr>
        <w:spacing w:after="0" w:line="237" w:lineRule="auto"/>
        <w:sectPr>
          <w:pgSz w:w="12240" w:h="15840"/>
          <w:pgMar w:header="0" w:footer="797" w:top="1260" w:bottom="980" w:left="1400" w:right="1180"/>
        </w:sectPr>
      </w:pPr>
    </w:p>
    <w:p>
      <w:pPr>
        <w:pStyle w:val="BodyText"/>
        <w:spacing w:before="66"/>
        <w:ind w:left="280" w:right="502"/>
      </w:pPr>
      <w:r>
        <w:rPr>
          <w:color w:val="24465B"/>
        </w:rPr>
        <w:t>identify as male, female, transgender, or another identity. The 2023 NSDUH also asks all respondents about their sexual identity, regardless of age. In addition to choices for heterosexual/straight, gay or lesbian, and bisexual, NSDUH respondents in 2023 can report that they use a different term (and specify</w:t>
      </w:r>
      <w:r>
        <w:rPr>
          <w:color w:val="24465B"/>
          <w:spacing w:val="-4"/>
        </w:rPr>
        <w:t> </w:t>
      </w:r>
      <w:r>
        <w:rPr>
          <w:color w:val="24465B"/>
        </w:rPr>
        <w:t>the</w:t>
      </w:r>
      <w:r>
        <w:rPr>
          <w:color w:val="24465B"/>
          <w:spacing w:val="-5"/>
        </w:rPr>
        <w:t> </w:t>
      </w:r>
      <w:r>
        <w:rPr>
          <w:color w:val="24465B"/>
        </w:rPr>
        <w:t>other</w:t>
      </w:r>
      <w:r>
        <w:rPr>
          <w:color w:val="24465B"/>
          <w:spacing w:val="-4"/>
        </w:rPr>
        <w:t> </w:t>
      </w:r>
      <w:r>
        <w:rPr>
          <w:color w:val="24465B"/>
        </w:rPr>
        <w:t>term),</w:t>
      </w:r>
      <w:r>
        <w:rPr>
          <w:color w:val="24465B"/>
          <w:spacing w:val="-4"/>
        </w:rPr>
        <w:t> </w:t>
      </w:r>
      <w:r>
        <w:rPr>
          <w:color w:val="24465B"/>
        </w:rPr>
        <w:t>they</w:t>
      </w:r>
      <w:r>
        <w:rPr>
          <w:color w:val="24465B"/>
          <w:spacing w:val="-4"/>
        </w:rPr>
        <w:t> </w:t>
      </w:r>
      <w:r>
        <w:rPr>
          <w:color w:val="24465B"/>
        </w:rPr>
        <w:t>are</w:t>
      </w:r>
      <w:r>
        <w:rPr>
          <w:color w:val="24465B"/>
          <w:spacing w:val="-5"/>
        </w:rPr>
        <w:t> </w:t>
      </w:r>
      <w:r>
        <w:rPr>
          <w:color w:val="24465B"/>
        </w:rPr>
        <w:t>not</w:t>
      </w:r>
      <w:r>
        <w:rPr>
          <w:color w:val="24465B"/>
          <w:spacing w:val="-4"/>
        </w:rPr>
        <w:t> </w:t>
      </w:r>
      <w:r>
        <w:rPr>
          <w:color w:val="24465B"/>
        </w:rPr>
        <w:t>sure</w:t>
      </w:r>
      <w:r>
        <w:rPr>
          <w:color w:val="24465B"/>
          <w:spacing w:val="-5"/>
        </w:rPr>
        <w:t> </w:t>
      </w:r>
      <w:r>
        <w:rPr>
          <w:color w:val="24465B"/>
        </w:rPr>
        <w:t>about</w:t>
      </w:r>
      <w:r>
        <w:rPr>
          <w:color w:val="24465B"/>
          <w:spacing w:val="-4"/>
        </w:rPr>
        <w:t> </w:t>
      </w:r>
      <w:r>
        <w:rPr>
          <w:color w:val="24465B"/>
        </w:rPr>
        <w:t>their</w:t>
      </w:r>
      <w:r>
        <w:rPr>
          <w:color w:val="24465B"/>
          <w:spacing w:val="-4"/>
        </w:rPr>
        <w:t> </w:t>
      </w:r>
      <w:r>
        <w:rPr>
          <w:color w:val="24465B"/>
        </w:rPr>
        <w:t>sexual</w:t>
      </w:r>
      <w:r>
        <w:rPr>
          <w:color w:val="24465B"/>
          <w:spacing w:val="-4"/>
        </w:rPr>
        <w:t> </w:t>
      </w:r>
      <w:r>
        <w:rPr>
          <w:color w:val="24465B"/>
        </w:rPr>
        <w:t>identity,</w:t>
      </w:r>
      <w:r>
        <w:rPr>
          <w:color w:val="24465B"/>
          <w:spacing w:val="-4"/>
        </w:rPr>
        <w:t> </w:t>
      </w:r>
      <w:r>
        <w:rPr>
          <w:color w:val="24465B"/>
        </w:rPr>
        <w:t>or</w:t>
      </w:r>
      <w:r>
        <w:rPr>
          <w:color w:val="24465B"/>
          <w:spacing w:val="-4"/>
        </w:rPr>
        <w:t> </w:t>
      </w:r>
      <w:r>
        <w:rPr>
          <w:color w:val="24465B"/>
        </w:rPr>
        <w:t>they</w:t>
      </w:r>
      <w:r>
        <w:rPr>
          <w:color w:val="24465B"/>
          <w:spacing w:val="-4"/>
        </w:rPr>
        <w:t> </w:t>
      </w:r>
      <w:r>
        <w:rPr>
          <w:color w:val="24465B"/>
        </w:rPr>
        <w:t>do not know what the sexual identity question is asking.</w:t>
      </w:r>
    </w:p>
    <w:p>
      <w:pPr>
        <w:pStyle w:val="BodyText"/>
        <w:spacing w:before="108"/>
        <w:ind w:left="280" w:right="566"/>
      </w:pPr>
      <w:r>
        <w:rPr/>
        <w:t>Because</w:t>
      </w:r>
      <w:r>
        <w:rPr>
          <w:spacing w:val="-5"/>
        </w:rPr>
        <w:t> </w:t>
      </w:r>
      <w:r>
        <w:rPr/>
        <w:t>of</w:t>
      </w:r>
      <w:r>
        <w:rPr>
          <w:spacing w:val="-4"/>
        </w:rPr>
        <w:t> </w:t>
      </w:r>
      <w:r>
        <w:rPr/>
        <w:t>differences</w:t>
      </w:r>
      <w:r>
        <w:rPr>
          <w:spacing w:val="-4"/>
        </w:rPr>
        <w:t> </w:t>
      </w:r>
      <w:r>
        <w:rPr/>
        <w:t>in</w:t>
      </w:r>
      <w:r>
        <w:rPr>
          <w:spacing w:val="-4"/>
        </w:rPr>
        <w:t> </w:t>
      </w:r>
      <w:r>
        <w:rPr/>
        <w:t>the</w:t>
      </w:r>
      <w:r>
        <w:rPr>
          <w:spacing w:val="-5"/>
        </w:rPr>
        <w:t> </w:t>
      </w:r>
      <w:r>
        <w:rPr/>
        <w:t>age</w:t>
      </w:r>
      <w:r>
        <w:rPr>
          <w:spacing w:val="-5"/>
        </w:rPr>
        <w:t> </w:t>
      </w:r>
      <w:r>
        <w:rPr/>
        <w:t>distributions</w:t>
      </w:r>
      <w:r>
        <w:rPr>
          <w:spacing w:val="-4"/>
        </w:rPr>
        <w:t> </w:t>
      </w:r>
      <w:r>
        <w:rPr/>
        <w:t>for</w:t>
      </w:r>
      <w:r>
        <w:rPr>
          <w:spacing w:val="-4"/>
        </w:rPr>
        <w:t> </w:t>
      </w:r>
      <w:r>
        <w:rPr/>
        <w:t>sexual</w:t>
      </w:r>
      <w:r>
        <w:rPr>
          <w:spacing w:val="-4"/>
        </w:rPr>
        <w:t> </w:t>
      </w:r>
      <w:r>
        <w:rPr/>
        <w:t>identity</w:t>
      </w:r>
      <w:r>
        <w:rPr>
          <w:spacing w:val="-4"/>
        </w:rPr>
        <w:t> </w:t>
      </w:r>
      <w:r>
        <w:rPr/>
        <w:t>groups</w:t>
      </w:r>
      <w:r>
        <w:rPr>
          <w:spacing w:val="-4"/>
        </w:rPr>
        <w:t> </w:t>
      </w:r>
      <w:r>
        <w:rPr/>
        <w:t>in</w:t>
      </w:r>
      <w:r>
        <w:rPr>
          <w:spacing w:val="-4"/>
        </w:rPr>
        <w:t> </w:t>
      </w:r>
      <w:r>
        <w:rPr/>
        <w:t>the 2021 and 2022 NSDUH samples, estimates were age adjusted to the adult age distribution of the 2000 U.S. standard population in accordance with federal agency best practices.</w:t>
      </w:r>
      <w:r>
        <w:rPr>
          <w:color w:val="2756AA"/>
        </w:rPr>
        <w:t>13 </w:t>
      </w:r>
      <w:r>
        <w:rPr/>
        <w:t>Figures in this report present the age-adjusted estimates. Tables in</w:t>
      </w:r>
      <w:r>
        <w:rPr>
          <w:spacing w:val="-5"/>
        </w:rPr>
        <w:t> </w:t>
      </w:r>
      <w:r>
        <w:rPr/>
        <w:t>Appendix</w:t>
      </w:r>
      <w:r>
        <w:rPr>
          <w:spacing w:val="-5"/>
        </w:rPr>
        <w:t> </w:t>
      </w:r>
      <w:r>
        <w:rPr/>
        <w:t>A</w:t>
      </w:r>
      <w:r>
        <w:rPr>
          <w:spacing w:val="-5"/>
        </w:rPr>
        <w:t> </w:t>
      </w:r>
      <w:r>
        <w:rPr/>
        <w:t>present both unadjusted and age-adjusted estimates; the unadjusted estimates indicate the actual prevalence estimates among sexual identity groups before differences in age distributions were taken into account.</w:t>
      </w:r>
    </w:p>
    <w:p>
      <w:pPr>
        <w:pStyle w:val="BodyText"/>
        <w:spacing w:before="104"/>
        <w:ind w:left="280" w:right="544"/>
      </w:pPr>
      <w:r>
        <w:rPr/>
        <w:t>Comparisons of age-adjusted estimates across groups were performed according to statistical testing procedures described in the 2021 Methodological Summary and Definitions report.</w:t>
      </w:r>
      <w:r>
        <w:rPr>
          <w:color w:val="2756AA"/>
        </w:rPr>
        <w:t>14 </w:t>
      </w:r>
      <w:r>
        <w:rPr/>
        <w:t>Differences in age- adjusted estimates were considered statistically significant at the .05 level of significance. Statistically significant differences resulting from these testing procedures</w:t>
      </w:r>
      <w:r>
        <w:rPr>
          <w:spacing w:val="-8"/>
        </w:rPr>
        <w:t> </w:t>
      </w:r>
      <w:r>
        <w:rPr/>
        <w:t>are</w:t>
      </w:r>
      <w:r>
        <w:rPr>
          <w:spacing w:val="-9"/>
        </w:rPr>
        <w:t> </w:t>
      </w:r>
      <w:r>
        <w:rPr/>
        <w:t>described</w:t>
      </w:r>
      <w:r>
        <w:rPr>
          <w:spacing w:val="-8"/>
        </w:rPr>
        <w:t> </w:t>
      </w:r>
      <w:r>
        <w:rPr/>
        <w:t>using</w:t>
      </w:r>
      <w:r>
        <w:rPr>
          <w:spacing w:val="-8"/>
        </w:rPr>
        <w:t> </w:t>
      </w:r>
      <w:r>
        <w:rPr/>
        <w:t>terms</w:t>
      </w:r>
      <w:r>
        <w:rPr>
          <w:spacing w:val="-8"/>
        </w:rPr>
        <w:t> </w:t>
      </w:r>
      <w:r>
        <w:rPr/>
        <w:t>such</w:t>
      </w:r>
      <w:r>
        <w:rPr>
          <w:spacing w:val="-8"/>
        </w:rPr>
        <w:t> </w:t>
      </w:r>
      <w:r>
        <w:rPr/>
        <w:t>as</w:t>
      </w:r>
      <w:r>
        <w:rPr>
          <w:spacing w:val="-8"/>
        </w:rPr>
        <w:t> </w:t>
      </w:r>
      <w:r>
        <w:rPr/>
        <w:t>“higher,”</w:t>
      </w:r>
      <w:r>
        <w:rPr>
          <w:spacing w:val="-9"/>
        </w:rPr>
        <w:t> </w:t>
      </w:r>
      <w:r>
        <w:rPr/>
        <w:t>“lower,”</w:t>
      </w:r>
      <w:r>
        <w:rPr>
          <w:spacing w:val="-9"/>
        </w:rPr>
        <w:t> </w:t>
      </w:r>
      <w:r>
        <w:rPr/>
        <w:t>“more</w:t>
      </w:r>
      <w:r>
        <w:rPr>
          <w:spacing w:val="-9"/>
        </w:rPr>
        <w:t> </w:t>
      </w:r>
      <w:r>
        <w:rPr/>
        <w:t>likely,” or “less likely.” Statements use terms such as “similar” or “the same” when a difference was not statistically significant. When estimates are presented without reference to differences across groups, statistical significance is not </w:t>
      </w:r>
      <w:r>
        <w:rPr>
          <w:spacing w:val="-2"/>
        </w:rPr>
        <w:t>implied.</w:t>
      </w:r>
    </w:p>
    <w:p>
      <w:pPr>
        <w:pStyle w:val="BodyText"/>
        <w:spacing w:before="6"/>
        <w:rPr>
          <w:sz w:val="36"/>
        </w:rPr>
      </w:pPr>
    </w:p>
    <w:p>
      <w:pPr>
        <w:pStyle w:val="Heading2"/>
        <w:spacing w:line="477" w:lineRule="auto" w:before="1"/>
        <w:ind w:right="5907"/>
      </w:pPr>
      <w:r>
        <w:rPr>
          <w:spacing w:val="-2"/>
        </w:rPr>
        <w:t>DEFINITIONS SUBSTANCE</w:t>
      </w:r>
      <w:r>
        <w:rPr>
          <w:spacing w:val="-16"/>
        </w:rPr>
        <w:t> </w:t>
      </w:r>
      <w:r>
        <w:rPr>
          <w:spacing w:val="-2"/>
        </w:rPr>
        <w:t>USE</w:t>
      </w:r>
    </w:p>
    <w:p>
      <w:pPr>
        <w:pStyle w:val="BodyText"/>
        <w:ind w:left="280" w:right="668"/>
      </w:pPr>
      <w:r>
        <w:rPr/>
        <w:t>Binge drinking means consumption of four or more drinks on the same occasion for females and five or more drinks on the same occasion for males on</w:t>
      </w:r>
      <w:r>
        <w:rPr>
          <w:spacing w:val="-3"/>
        </w:rPr>
        <w:t> </w:t>
      </w:r>
      <w:r>
        <w:rPr/>
        <w:t>at</w:t>
      </w:r>
      <w:r>
        <w:rPr>
          <w:spacing w:val="-3"/>
        </w:rPr>
        <w:t> </w:t>
      </w:r>
      <w:r>
        <w:rPr/>
        <w:t>least</w:t>
      </w:r>
      <w:r>
        <w:rPr>
          <w:spacing w:val="-3"/>
        </w:rPr>
        <w:t> </w:t>
      </w:r>
      <w:r>
        <w:rPr/>
        <w:t>1</w:t>
      </w:r>
      <w:r>
        <w:rPr>
          <w:spacing w:val="-3"/>
        </w:rPr>
        <w:t> </w:t>
      </w:r>
      <w:r>
        <w:rPr/>
        <w:t>day</w:t>
      </w:r>
      <w:r>
        <w:rPr>
          <w:spacing w:val="-3"/>
        </w:rPr>
        <w:t> </w:t>
      </w:r>
      <w:r>
        <w:rPr/>
        <w:t>in</w:t>
      </w:r>
      <w:r>
        <w:rPr>
          <w:spacing w:val="-3"/>
        </w:rPr>
        <w:t> </w:t>
      </w:r>
      <w:r>
        <w:rPr/>
        <w:t>the</w:t>
      </w:r>
      <w:r>
        <w:rPr>
          <w:spacing w:val="-4"/>
        </w:rPr>
        <w:t> </w:t>
      </w:r>
      <w:r>
        <w:rPr/>
        <w:t>past</w:t>
      </w:r>
      <w:r>
        <w:rPr>
          <w:spacing w:val="-3"/>
        </w:rPr>
        <w:t> </w:t>
      </w:r>
      <w:r>
        <w:rPr/>
        <w:t>30</w:t>
      </w:r>
      <w:r>
        <w:rPr>
          <w:spacing w:val="-3"/>
        </w:rPr>
        <w:t> </w:t>
      </w:r>
      <w:r>
        <w:rPr/>
        <w:t>days.</w:t>
      </w:r>
      <w:r>
        <w:rPr>
          <w:spacing w:val="-3"/>
        </w:rPr>
        <w:t> </w:t>
      </w:r>
      <w:r>
        <w:rPr/>
        <w:t>Heavy</w:t>
      </w:r>
      <w:r>
        <w:rPr>
          <w:spacing w:val="-3"/>
        </w:rPr>
        <w:t> </w:t>
      </w:r>
      <w:r>
        <w:rPr/>
        <w:t>drinking</w:t>
      </w:r>
      <w:r>
        <w:rPr>
          <w:spacing w:val="-3"/>
        </w:rPr>
        <w:t> </w:t>
      </w:r>
      <w:r>
        <w:rPr/>
        <w:t>means</w:t>
      </w:r>
      <w:r>
        <w:rPr>
          <w:spacing w:val="-3"/>
        </w:rPr>
        <w:t> </w:t>
      </w:r>
      <w:r>
        <w:rPr/>
        <w:t>binge</w:t>
      </w:r>
      <w:r>
        <w:rPr>
          <w:spacing w:val="-4"/>
        </w:rPr>
        <w:t> </w:t>
      </w:r>
      <w:r>
        <w:rPr/>
        <w:t>drinking</w:t>
      </w:r>
      <w:r>
        <w:rPr>
          <w:spacing w:val="-3"/>
        </w:rPr>
        <w:t> </w:t>
      </w:r>
      <w:r>
        <w:rPr/>
        <w:t>on 5 or more days in the past 30 days.</w:t>
      </w:r>
    </w:p>
    <w:p>
      <w:pPr>
        <w:pStyle w:val="BodyText"/>
        <w:spacing w:before="110"/>
        <w:ind w:left="280" w:right="668"/>
      </w:pPr>
      <w:r>
        <w:rPr/>
        <w:t>Illicit drug use includes the use of marijuana, cocaine, heroin, hallucinogens, inhalants, and methamphetamine, as well as the misuse of prescription drugs (pain</w:t>
      </w:r>
      <w:r>
        <w:rPr>
          <w:spacing w:val="-5"/>
        </w:rPr>
        <w:t> </w:t>
      </w:r>
      <w:r>
        <w:rPr/>
        <w:t>relievers,</w:t>
      </w:r>
      <w:r>
        <w:rPr>
          <w:spacing w:val="-5"/>
        </w:rPr>
        <w:t> </w:t>
      </w:r>
      <w:r>
        <w:rPr/>
        <w:t>tranquilizers,</w:t>
      </w:r>
      <w:r>
        <w:rPr>
          <w:spacing w:val="-5"/>
        </w:rPr>
        <w:t> </w:t>
      </w:r>
      <w:r>
        <w:rPr/>
        <w:t>stimulants,</w:t>
      </w:r>
      <w:r>
        <w:rPr>
          <w:spacing w:val="-5"/>
        </w:rPr>
        <w:t> </w:t>
      </w:r>
      <w:r>
        <w:rPr/>
        <w:t>or</w:t>
      </w:r>
      <w:r>
        <w:rPr>
          <w:spacing w:val="-5"/>
        </w:rPr>
        <w:t> </w:t>
      </w:r>
      <w:r>
        <w:rPr/>
        <w:t>sedatives).</w:t>
      </w:r>
      <w:r>
        <w:rPr>
          <w:spacing w:val="-5"/>
        </w:rPr>
        <w:t> </w:t>
      </w:r>
      <w:r>
        <w:rPr/>
        <w:t>Misuse</w:t>
      </w:r>
      <w:r>
        <w:rPr>
          <w:spacing w:val="-6"/>
        </w:rPr>
        <w:t> </w:t>
      </w:r>
      <w:r>
        <w:rPr/>
        <w:t>of</w:t>
      </w:r>
      <w:r>
        <w:rPr>
          <w:spacing w:val="-5"/>
        </w:rPr>
        <w:t> </w:t>
      </w:r>
      <w:r>
        <w:rPr/>
        <w:t>prescription drugs means use in any way not directed by a doctor, such as use without a prescription of one’s own, or use in greater amounts, more often, or longer </w:t>
      </w:r>
      <w:r>
        <w:rPr>
          <w:color w:val="24465B"/>
        </w:rPr>
        <w:t>than told to take a drug.</w:t>
      </w:r>
    </w:p>
    <w:p>
      <w:pPr>
        <w:spacing w:after="0"/>
        <w:sectPr>
          <w:pgSz w:w="12240" w:h="15840"/>
          <w:pgMar w:header="0" w:footer="797" w:top="1260" w:bottom="980" w:left="1400" w:right="1180"/>
        </w:sectPr>
      </w:pPr>
    </w:p>
    <w:p>
      <w:pPr>
        <w:pStyle w:val="Heading2"/>
        <w:spacing w:before="66"/>
      </w:pPr>
      <w:r>
        <w:rPr/>
        <w:t>SUBSTANCE</w:t>
      </w:r>
      <w:r>
        <w:rPr>
          <w:spacing w:val="-11"/>
        </w:rPr>
        <w:t> </w:t>
      </w:r>
      <w:r>
        <w:rPr/>
        <w:t>USE</w:t>
      </w:r>
      <w:r>
        <w:rPr>
          <w:spacing w:val="-11"/>
        </w:rPr>
        <w:t> </w:t>
      </w:r>
      <w:r>
        <w:rPr>
          <w:spacing w:val="-2"/>
        </w:rPr>
        <w:t>DISORDERS</w:t>
      </w:r>
    </w:p>
    <w:p>
      <w:pPr>
        <w:pStyle w:val="BodyText"/>
        <w:spacing w:before="1"/>
        <w:rPr>
          <w:b/>
          <w:sz w:val="38"/>
        </w:rPr>
      </w:pPr>
    </w:p>
    <w:p>
      <w:pPr>
        <w:pStyle w:val="BodyText"/>
        <w:ind w:left="280" w:right="581"/>
      </w:pPr>
      <w:r>
        <w:rPr>
          <w:b/>
        </w:rPr>
        <w:t>Substance use disorders (SUDs) </w:t>
      </w:r>
      <w:r>
        <w:rPr/>
        <w:t>are characterized by impairment caused by the recurrent use of alcohol or other drugs (or both), including health problems,</w:t>
      </w:r>
      <w:r>
        <w:rPr>
          <w:spacing w:val="-6"/>
        </w:rPr>
        <w:t> </w:t>
      </w:r>
      <w:r>
        <w:rPr/>
        <w:t>disability,</w:t>
      </w:r>
      <w:r>
        <w:rPr>
          <w:spacing w:val="-6"/>
        </w:rPr>
        <w:t> </w:t>
      </w:r>
      <w:r>
        <w:rPr/>
        <w:t>and</w:t>
      </w:r>
      <w:r>
        <w:rPr>
          <w:spacing w:val="-6"/>
        </w:rPr>
        <w:t> </w:t>
      </w:r>
      <w:r>
        <w:rPr/>
        <w:t>failure</w:t>
      </w:r>
      <w:r>
        <w:rPr>
          <w:spacing w:val="-7"/>
        </w:rPr>
        <w:t> </w:t>
      </w:r>
      <w:r>
        <w:rPr/>
        <w:t>to</w:t>
      </w:r>
      <w:r>
        <w:rPr>
          <w:spacing w:val="-6"/>
        </w:rPr>
        <w:t> </w:t>
      </w:r>
      <w:r>
        <w:rPr/>
        <w:t>meet</w:t>
      </w:r>
      <w:r>
        <w:rPr>
          <w:spacing w:val="-6"/>
        </w:rPr>
        <w:t> </w:t>
      </w:r>
      <w:r>
        <w:rPr/>
        <w:t>major</w:t>
      </w:r>
      <w:r>
        <w:rPr>
          <w:spacing w:val="-6"/>
        </w:rPr>
        <w:t> </w:t>
      </w:r>
      <w:r>
        <w:rPr/>
        <w:t>responsibilities</w:t>
      </w:r>
      <w:r>
        <w:rPr>
          <w:spacing w:val="-6"/>
        </w:rPr>
        <w:t> </w:t>
      </w:r>
      <w:r>
        <w:rPr/>
        <w:t>at</w:t>
      </w:r>
      <w:r>
        <w:rPr>
          <w:spacing w:val="-6"/>
        </w:rPr>
        <w:t> </w:t>
      </w:r>
      <w:r>
        <w:rPr/>
        <w:t>work,</w:t>
      </w:r>
      <w:r>
        <w:rPr>
          <w:spacing w:val="-6"/>
        </w:rPr>
        <w:t> </w:t>
      </w:r>
      <w:r>
        <w:rPr/>
        <w:t>school, or home. Respondents who used alcohol or drugs in the past 12 months were classified as having SUDs in that period if they met criteria specified in the </w:t>
      </w:r>
      <w:r>
        <w:rPr>
          <w:i/>
        </w:rPr>
        <w:t>Diagnostic and Statistical Manual of Mental Disorders</w:t>
      </w:r>
      <w:r>
        <w:rPr/>
        <w:t>, 5th edition.15</w:t>
      </w:r>
    </w:p>
    <w:p>
      <w:pPr>
        <w:pStyle w:val="BodyText"/>
        <w:spacing w:before="2"/>
        <w:rPr>
          <w:sz w:val="37"/>
        </w:rPr>
      </w:pPr>
    </w:p>
    <w:p>
      <w:pPr>
        <w:pStyle w:val="Heading2"/>
        <w:spacing w:line="321" w:lineRule="exact" w:before="1"/>
      </w:pPr>
      <w:r>
        <w:rPr>
          <w:spacing w:val="-5"/>
        </w:rPr>
        <w:t>MENTAL</w:t>
      </w:r>
      <w:r>
        <w:rPr>
          <w:spacing w:val="-8"/>
        </w:rPr>
        <w:t> </w:t>
      </w:r>
      <w:r>
        <w:rPr>
          <w:spacing w:val="-2"/>
        </w:rPr>
        <w:t>HEALTH</w:t>
      </w:r>
    </w:p>
    <w:p>
      <w:pPr>
        <w:spacing w:before="0"/>
        <w:ind w:left="280" w:right="499" w:firstLine="0"/>
        <w:jc w:val="left"/>
        <w:rPr>
          <w:sz w:val="28"/>
        </w:rPr>
      </w:pPr>
      <w:r>
        <w:rPr>
          <w:color w:val="24465B"/>
          <w:sz w:val="28"/>
        </w:rPr>
        <w:t>Any mental illness (AMI) refers to the presence of a mental, behavioral, or emotional disorder in the</w:t>
      </w:r>
      <w:r>
        <w:rPr>
          <w:color w:val="24465B"/>
          <w:spacing w:val="-1"/>
          <w:sz w:val="28"/>
        </w:rPr>
        <w:t> </w:t>
      </w:r>
      <w:r>
        <w:rPr>
          <w:color w:val="24465B"/>
          <w:sz w:val="28"/>
        </w:rPr>
        <w:t>past year of sufficient duration to meet criteria</w:t>
      </w:r>
      <w:r>
        <w:rPr>
          <w:color w:val="24465B"/>
          <w:spacing w:val="-1"/>
          <w:sz w:val="28"/>
        </w:rPr>
        <w:t> </w:t>
      </w:r>
      <w:r>
        <w:rPr>
          <w:color w:val="24465B"/>
          <w:sz w:val="28"/>
        </w:rPr>
        <w:t>from the </w:t>
      </w:r>
      <w:r>
        <w:rPr>
          <w:i/>
          <w:color w:val="24465B"/>
          <w:sz w:val="28"/>
        </w:rPr>
        <w:t>Diagnostic and Statistical Manual of Mental Disorders</w:t>
      </w:r>
      <w:r>
        <w:rPr>
          <w:color w:val="24465B"/>
          <w:sz w:val="28"/>
        </w:rPr>
        <w:t>, 4th edition, excluding developmental disorders and substance use disorders.16 Serious mental illness (SMI) refers to the presence of a mental, behavioral, or emotional disorder that substantially interfered with or limited one or more major life activities.</w:t>
      </w:r>
      <w:r>
        <w:rPr>
          <w:color w:val="24465B"/>
          <w:spacing w:val="-6"/>
          <w:sz w:val="28"/>
        </w:rPr>
        <w:t> </w:t>
      </w:r>
      <w:r>
        <w:rPr>
          <w:color w:val="24465B"/>
          <w:sz w:val="28"/>
        </w:rPr>
        <w:t>AMI and SMI were estimated based on a statistical prediction</w:t>
      </w:r>
      <w:r>
        <w:rPr>
          <w:color w:val="24465B"/>
          <w:spacing w:val="-4"/>
          <w:sz w:val="28"/>
        </w:rPr>
        <w:t> </w:t>
      </w:r>
      <w:r>
        <w:rPr>
          <w:color w:val="24465B"/>
          <w:sz w:val="28"/>
        </w:rPr>
        <w:t>model.</w:t>
      </w:r>
      <w:r>
        <w:rPr>
          <w:color w:val="24465B"/>
          <w:spacing w:val="-3"/>
          <w:sz w:val="28"/>
        </w:rPr>
        <w:t> </w:t>
      </w:r>
      <w:r>
        <w:rPr>
          <w:color w:val="24465B"/>
          <w:sz w:val="28"/>
        </w:rPr>
        <w:t>For</w:t>
      </w:r>
      <w:r>
        <w:rPr>
          <w:color w:val="24465B"/>
          <w:spacing w:val="-3"/>
          <w:sz w:val="28"/>
        </w:rPr>
        <w:t> </w:t>
      </w:r>
      <w:r>
        <w:rPr>
          <w:color w:val="24465B"/>
          <w:sz w:val="28"/>
        </w:rPr>
        <w:t>more</w:t>
      </w:r>
      <w:r>
        <w:rPr>
          <w:color w:val="24465B"/>
          <w:spacing w:val="-4"/>
          <w:sz w:val="28"/>
        </w:rPr>
        <w:t> </w:t>
      </w:r>
      <w:r>
        <w:rPr>
          <w:color w:val="24465B"/>
          <w:sz w:val="28"/>
        </w:rPr>
        <w:t>details</w:t>
      </w:r>
      <w:r>
        <w:rPr>
          <w:color w:val="24465B"/>
          <w:spacing w:val="-3"/>
          <w:sz w:val="28"/>
        </w:rPr>
        <w:t> </w:t>
      </w:r>
      <w:r>
        <w:rPr>
          <w:color w:val="24465B"/>
          <w:sz w:val="28"/>
        </w:rPr>
        <w:t>on</w:t>
      </w:r>
      <w:r>
        <w:rPr>
          <w:color w:val="24465B"/>
          <w:spacing w:val="-3"/>
          <w:sz w:val="28"/>
        </w:rPr>
        <w:t> </w:t>
      </w:r>
      <w:r>
        <w:rPr>
          <w:color w:val="24465B"/>
          <w:sz w:val="28"/>
        </w:rPr>
        <w:t>the</w:t>
      </w:r>
      <w:r>
        <w:rPr>
          <w:color w:val="24465B"/>
          <w:spacing w:val="-4"/>
          <w:sz w:val="28"/>
        </w:rPr>
        <w:t> </w:t>
      </w:r>
      <w:r>
        <w:rPr>
          <w:color w:val="24465B"/>
          <w:sz w:val="28"/>
        </w:rPr>
        <w:t>estimation</w:t>
      </w:r>
      <w:r>
        <w:rPr>
          <w:color w:val="24465B"/>
          <w:spacing w:val="-3"/>
          <w:sz w:val="28"/>
        </w:rPr>
        <w:t> </w:t>
      </w:r>
      <w:r>
        <w:rPr>
          <w:color w:val="24465B"/>
          <w:sz w:val="28"/>
        </w:rPr>
        <w:t>of</w:t>
      </w:r>
      <w:r>
        <w:rPr>
          <w:color w:val="24465B"/>
          <w:spacing w:val="-18"/>
          <w:sz w:val="28"/>
        </w:rPr>
        <w:t> </w:t>
      </w:r>
      <w:r>
        <w:rPr>
          <w:color w:val="24465B"/>
          <w:sz w:val="28"/>
        </w:rPr>
        <w:t>AMI</w:t>
      </w:r>
      <w:r>
        <w:rPr>
          <w:color w:val="24465B"/>
          <w:spacing w:val="-3"/>
          <w:sz w:val="28"/>
        </w:rPr>
        <w:t> </w:t>
      </w:r>
      <w:r>
        <w:rPr>
          <w:color w:val="24465B"/>
          <w:sz w:val="28"/>
        </w:rPr>
        <w:t>and</w:t>
      </w:r>
      <w:r>
        <w:rPr>
          <w:color w:val="24465B"/>
          <w:spacing w:val="-3"/>
          <w:sz w:val="28"/>
        </w:rPr>
        <w:t> </w:t>
      </w:r>
      <w:r>
        <w:rPr>
          <w:color w:val="24465B"/>
          <w:sz w:val="28"/>
        </w:rPr>
        <w:t>SMI,</w:t>
      </w:r>
      <w:r>
        <w:rPr>
          <w:color w:val="24465B"/>
          <w:spacing w:val="-3"/>
          <w:sz w:val="28"/>
        </w:rPr>
        <w:t> </w:t>
      </w:r>
      <w:r>
        <w:rPr>
          <w:color w:val="24465B"/>
          <w:sz w:val="28"/>
        </w:rPr>
        <w:t>see</w:t>
      </w:r>
      <w:r>
        <w:rPr>
          <w:color w:val="24465B"/>
          <w:spacing w:val="-4"/>
          <w:sz w:val="28"/>
        </w:rPr>
        <w:t> </w:t>
      </w:r>
      <w:r>
        <w:rPr>
          <w:color w:val="24465B"/>
          <w:sz w:val="28"/>
        </w:rPr>
        <w:t>the </w:t>
      </w:r>
      <w:r>
        <w:rPr>
          <w:i/>
          <w:color w:val="24465B"/>
          <w:sz w:val="28"/>
        </w:rPr>
        <w:t>2021 National Survey on Drug Use and Health (NSDUH): Methodological</w:t>
      </w:r>
      <w:r>
        <w:rPr>
          <w:i/>
          <w:color w:val="24465B"/>
          <w:sz w:val="28"/>
        </w:rPr>
        <w:t> Summary and Definitions </w:t>
      </w:r>
      <w:r>
        <w:rPr>
          <w:color w:val="24465B"/>
          <w:sz w:val="28"/>
        </w:rPr>
        <w:t>report.11</w:t>
      </w:r>
    </w:p>
    <w:p>
      <w:pPr>
        <w:pStyle w:val="BodyText"/>
        <w:spacing w:before="99"/>
        <w:ind w:left="280" w:right="526"/>
      </w:pPr>
      <w:r>
        <w:rPr>
          <w:color w:val="24465B"/>
        </w:rPr>
        <w:t>National Survey on Drug Use and Health respondents were classified as</w:t>
      </w:r>
      <w:r>
        <w:rPr>
          <w:color w:val="24465B"/>
          <w:spacing w:val="40"/>
        </w:rPr>
        <w:t> </w:t>
      </w:r>
      <w:r>
        <w:rPr>
          <w:color w:val="24465B"/>
        </w:rPr>
        <w:t>having</w:t>
      </w:r>
      <w:r>
        <w:rPr>
          <w:color w:val="24465B"/>
          <w:spacing w:val="-3"/>
        </w:rPr>
        <w:t> </w:t>
      </w:r>
      <w:r>
        <w:rPr>
          <w:color w:val="24465B"/>
        </w:rPr>
        <w:t>a</w:t>
      </w:r>
      <w:r>
        <w:rPr>
          <w:color w:val="24465B"/>
          <w:spacing w:val="-4"/>
        </w:rPr>
        <w:t> </w:t>
      </w:r>
      <w:r>
        <w:rPr>
          <w:color w:val="24465B"/>
        </w:rPr>
        <w:t>major</w:t>
      </w:r>
      <w:r>
        <w:rPr>
          <w:color w:val="24465B"/>
          <w:spacing w:val="-3"/>
        </w:rPr>
        <w:t> </w:t>
      </w:r>
      <w:r>
        <w:rPr>
          <w:color w:val="24465B"/>
        </w:rPr>
        <w:t>depressive</w:t>
      </w:r>
      <w:r>
        <w:rPr>
          <w:color w:val="24465B"/>
          <w:spacing w:val="-4"/>
        </w:rPr>
        <w:t> </w:t>
      </w:r>
      <w:r>
        <w:rPr>
          <w:color w:val="24465B"/>
        </w:rPr>
        <w:t>episode</w:t>
      </w:r>
      <w:r>
        <w:rPr>
          <w:color w:val="24465B"/>
          <w:spacing w:val="-4"/>
        </w:rPr>
        <w:t> </w:t>
      </w:r>
      <w:r>
        <w:rPr>
          <w:color w:val="24465B"/>
        </w:rPr>
        <w:t>(MDE)</w:t>
      </w:r>
      <w:r>
        <w:rPr>
          <w:color w:val="24465B"/>
          <w:spacing w:val="-3"/>
        </w:rPr>
        <w:t> </w:t>
      </w:r>
      <w:r>
        <w:rPr>
          <w:color w:val="24465B"/>
        </w:rPr>
        <w:t>in</w:t>
      </w:r>
      <w:r>
        <w:rPr>
          <w:color w:val="24465B"/>
          <w:spacing w:val="-3"/>
        </w:rPr>
        <w:t> </w:t>
      </w:r>
      <w:r>
        <w:rPr>
          <w:color w:val="24465B"/>
        </w:rPr>
        <w:t>the</w:t>
      </w:r>
      <w:r>
        <w:rPr>
          <w:color w:val="24465B"/>
          <w:spacing w:val="-4"/>
        </w:rPr>
        <w:t> </w:t>
      </w:r>
      <w:r>
        <w:rPr>
          <w:color w:val="24465B"/>
        </w:rPr>
        <w:t>past</w:t>
      </w:r>
      <w:r>
        <w:rPr>
          <w:color w:val="24465B"/>
          <w:spacing w:val="-3"/>
        </w:rPr>
        <w:t> </w:t>
      </w:r>
      <w:r>
        <w:rPr>
          <w:color w:val="24465B"/>
        </w:rPr>
        <w:t>12</w:t>
      </w:r>
      <w:r>
        <w:rPr>
          <w:color w:val="24465B"/>
          <w:spacing w:val="-3"/>
        </w:rPr>
        <w:t> </w:t>
      </w:r>
      <w:r>
        <w:rPr>
          <w:color w:val="24465B"/>
        </w:rPr>
        <w:t>months</w:t>
      </w:r>
      <w:r>
        <w:rPr>
          <w:color w:val="24465B"/>
          <w:spacing w:val="-3"/>
        </w:rPr>
        <w:t> </w:t>
      </w:r>
      <w:r>
        <w:rPr>
          <w:color w:val="24465B"/>
        </w:rPr>
        <w:t>if</w:t>
      </w:r>
      <w:r>
        <w:rPr>
          <w:color w:val="24465B"/>
          <w:spacing w:val="-3"/>
        </w:rPr>
        <w:t> </w:t>
      </w:r>
      <w:r>
        <w:rPr>
          <w:color w:val="24465B"/>
        </w:rPr>
        <w:t>(1)</w:t>
      </w:r>
      <w:r>
        <w:rPr>
          <w:color w:val="24465B"/>
          <w:spacing w:val="-3"/>
        </w:rPr>
        <w:t> </w:t>
      </w:r>
      <w:r>
        <w:rPr>
          <w:color w:val="24465B"/>
        </w:rPr>
        <w:t>they</w:t>
      </w:r>
      <w:r>
        <w:rPr>
          <w:color w:val="24465B"/>
          <w:spacing w:val="-3"/>
        </w:rPr>
        <w:t> </w:t>
      </w:r>
      <w:r>
        <w:rPr>
          <w:color w:val="24465B"/>
        </w:rPr>
        <w:t>had at least one period of 2 weeks or longer in the past year when for most of the day nearly every day they felt depressed or lost interest or pleasure in daily activities; and (2) they also had problems with sleeping, eating, energy, concentration, self-worth, or having recurrent thoughts of death or recurrent suicidal ideation.</w:t>
      </w:r>
      <w:r>
        <w:rPr>
          <w:color w:val="24465B"/>
          <w:spacing w:val="-5"/>
        </w:rPr>
        <w:t> </w:t>
      </w:r>
      <w:r>
        <w:rPr>
          <w:color w:val="24465B"/>
        </w:rPr>
        <w:t>The MDE questions are based on diagnostic criteria from the </w:t>
      </w:r>
      <w:r>
        <w:rPr>
          <w:i/>
          <w:color w:val="24465B"/>
        </w:rPr>
        <w:t>Diagnostic and Statistical Manual of Mental Disorders</w:t>
      </w:r>
      <w:r>
        <w:rPr>
          <w:color w:val="24465B"/>
        </w:rPr>
        <w:t>, 5th edition.</w:t>
      </w:r>
      <w:r>
        <w:rPr>
          <w:color w:val="2756AA"/>
        </w:rPr>
        <w:t>15</w:t>
      </w:r>
    </w:p>
    <w:p>
      <w:pPr>
        <w:pStyle w:val="BodyText"/>
        <w:spacing w:before="53"/>
        <w:ind w:left="640" w:hanging="360"/>
      </w:pPr>
      <w:r>
        <w:rPr>
          <w:rFonts w:ascii="Segoe UI Symbol" w:hAnsi="Segoe UI Symbol"/>
          <w:position w:val="1"/>
        </w:rPr>
        <w:t>✦</w:t>
      </w:r>
      <w:r>
        <w:rPr>
          <w:rFonts w:ascii="Segoe UI Symbol" w:hAnsi="Segoe UI Symbol"/>
          <w:spacing w:val="40"/>
          <w:position w:val="1"/>
        </w:rPr>
        <w:t> </w:t>
      </w:r>
      <w:r>
        <w:rPr/>
        <w:t>Marijuana</w:t>
      </w:r>
      <w:r>
        <w:rPr>
          <w:spacing w:val="-4"/>
        </w:rPr>
        <w:t> </w:t>
      </w:r>
      <w:r>
        <w:rPr/>
        <w:t>was</w:t>
      </w:r>
      <w:r>
        <w:rPr>
          <w:spacing w:val="-3"/>
        </w:rPr>
        <w:t> </w:t>
      </w:r>
      <w:r>
        <w:rPr/>
        <w:t>by</w:t>
      </w:r>
      <w:r>
        <w:rPr>
          <w:spacing w:val="-3"/>
        </w:rPr>
        <w:t> </w:t>
      </w:r>
      <w:r>
        <w:rPr/>
        <w:t>far</w:t>
      </w:r>
      <w:r>
        <w:rPr>
          <w:spacing w:val="-3"/>
        </w:rPr>
        <w:t> </w:t>
      </w:r>
      <w:r>
        <w:rPr/>
        <w:t>the</w:t>
      </w:r>
      <w:r>
        <w:rPr>
          <w:spacing w:val="-4"/>
        </w:rPr>
        <w:t> </w:t>
      </w:r>
      <w:r>
        <w:rPr/>
        <w:t>most</w:t>
      </w:r>
      <w:r>
        <w:rPr>
          <w:spacing w:val="-3"/>
        </w:rPr>
        <w:t> </w:t>
      </w:r>
      <w:r>
        <w:rPr/>
        <w:t>commonly</w:t>
      </w:r>
      <w:r>
        <w:rPr>
          <w:spacing w:val="-3"/>
        </w:rPr>
        <w:t> </w:t>
      </w:r>
      <w:r>
        <w:rPr/>
        <w:t>used</w:t>
      </w:r>
      <w:r>
        <w:rPr>
          <w:spacing w:val="-3"/>
        </w:rPr>
        <w:t> </w:t>
      </w:r>
      <w:r>
        <w:rPr/>
        <w:t>illicit</w:t>
      </w:r>
      <w:r>
        <w:rPr>
          <w:spacing w:val="-3"/>
        </w:rPr>
        <w:t> </w:t>
      </w:r>
      <w:r>
        <w:rPr/>
        <w:t>drug</w:t>
      </w:r>
      <w:r>
        <w:rPr>
          <w:spacing w:val="-3"/>
        </w:rPr>
        <w:t> </w:t>
      </w:r>
      <w:r>
        <w:rPr/>
        <w:t>in</w:t>
      </w:r>
      <w:r>
        <w:rPr>
          <w:spacing w:val="-3"/>
        </w:rPr>
        <w:t> </w:t>
      </w:r>
      <w:r>
        <w:rPr/>
        <w:t>the</w:t>
      </w:r>
      <w:r>
        <w:rPr>
          <w:spacing w:val="-4"/>
        </w:rPr>
        <w:t> </w:t>
      </w:r>
      <w:r>
        <w:rPr/>
        <w:t>past</w:t>
      </w:r>
      <w:r>
        <w:rPr>
          <w:spacing w:val="-3"/>
        </w:rPr>
        <w:t> </w:t>
      </w:r>
      <w:r>
        <w:rPr/>
        <w:t>year regardless of sexual identity or gender.</w:t>
      </w:r>
    </w:p>
    <w:p>
      <w:pPr>
        <w:pStyle w:val="BodyText"/>
        <w:spacing w:before="266"/>
        <w:ind w:left="640" w:right="528" w:hanging="360"/>
      </w:pPr>
      <w:r>
        <w:rPr>
          <w:rFonts w:ascii="Segoe UI Symbol" w:hAnsi="Segoe UI Symbol"/>
          <w:position w:val="1"/>
        </w:rPr>
        <w:t>✦</w:t>
      </w:r>
      <w:r>
        <w:rPr>
          <w:rFonts w:ascii="Segoe UI Symbol" w:hAnsi="Segoe UI Symbol"/>
          <w:spacing w:val="40"/>
          <w:position w:val="1"/>
        </w:rPr>
        <w:t> </w:t>
      </w:r>
      <w:r>
        <w:rPr/>
        <w:t>Sexual</w:t>
      </w:r>
      <w:r>
        <w:rPr>
          <w:spacing w:val="-3"/>
        </w:rPr>
        <w:t> </w:t>
      </w:r>
      <w:r>
        <w:rPr/>
        <w:t>minority</w:t>
      </w:r>
      <w:r>
        <w:rPr>
          <w:spacing w:val="-3"/>
        </w:rPr>
        <w:t> </w:t>
      </w:r>
      <w:r>
        <w:rPr/>
        <w:t>females</w:t>
      </w:r>
      <w:r>
        <w:rPr>
          <w:spacing w:val="-3"/>
        </w:rPr>
        <w:t> </w:t>
      </w:r>
      <w:r>
        <w:rPr/>
        <w:t>were</w:t>
      </w:r>
      <w:r>
        <w:rPr>
          <w:spacing w:val="-4"/>
        </w:rPr>
        <w:t> </w:t>
      </w:r>
      <w:r>
        <w:rPr/>
        <w:t>2</w:t>
      </w:r>
      <w:r>
        <w:rPr>
          <w:spacing w:val="-3"/>
        </w:rPr>
        <w:t> </w:t>
      </w:r>
      <w:r>
        <w:rPr/>
        <w:t>to</w:t>
      </w:r>
      <w:r>
        <w:rPr>
          <w:spacing w:val="-3"/>
        </w:rPr>
        <w:t> </w:t>
      </w:r>
      <w:r>
        <w:rPr/>
        <w:t>3</w:t>
      </w:r>
      <w:r>
        <w:rPr>
          <w:spacing w:val="-3"/>
        </w:rPr>
        <w:t> </w:t>
      </w:r>
      <w:r>
        <w:rPr/>
        <w:t>times</w:t>
      </w:r>
      <w:r>
        <w:rPr>
          <w:spacing w:val="-3"/>
        </w:rPr>
        <w:t> </w:t>
      </w:r>
      <w:r>
        <w:rPr/>
        <w:t>more</w:t>
      </w:r>
      <w:r>
        <w:rPr>
          <w:spacing w:val="-4"/>
        </w:rPr>
        <w:t> </w:t>
      </w:r>
      <w:r>
        <w:rPr/>
        <w:t>likely</w:t>
      </w:r>
      <w:r>
        <w:rPr>
          <w:spacing w:val="-3"/>
        </w:rPr>
        <w:t> </w:t>
      </w:r>
      <w:r>
        <w:rPr/>
        <w:t>than</w:t>
      </w:r>
      <w:r>
        <w:rPr>
          <w:spacing w:val="-3"/>
        </w:rPr>
        <w:t> </w:t>
      </w:r>
      <w:r>
        <w:rPr/>
        <w:t>straight</w:t>
      </w:r>
      <w:r>
        <w:rPr>
          <w:spacing w:val="-3"/>
        </w:rPr>
        <w:t> </w:t>
      </w:r>
      <w:r>
        <w:rPr/>
        <w:t>females to have used marijuana in the past year. The prevalence was 40% to 45% for sexual minority females.</w:t>
      </w:r>
    </w:p>
    <w:p>
      <w:pPr>
        <w:pStyle w:val="BodyText"/>
        <w:spacing w:before="263"/>
        <w:ind w:left="640" w:right="502" w:hanging="360"/>
      </w:pPr>
      <w:r>
        <w:rPr>
          <w:rFonts w:ascii="Segoe UI Symbol" w:hAnsi="Segoe UI Symbol"/>
          <w:position w:val="1"/>
        </w:rPr>
        <w:t>✦</w:t>
      </w:r>
      <w:r>
        <w:rPr>
          <w:rFonts w:ascii="Segoe UI Symbol" w:hAnsi="Segoe UI Symbol"/>
          <w:spacing w:val="40"/>
          <w:position w:val="1"/>
        </w:rPr>
        <w:t> </w:t>
      </w:r>
      <w:r>
        <w:rPr/>
        <w:t>Marijuana</w:t>
      </w:r>
      <w:r>
        <w:rPr>
          <w:spacing w:val="-5"/>
        </w:rPr>
        <w:t> </w:t>
      </w:r>
      <w:r>
        <w:rPr/>
        <w:t>use</w:t>
      </w:r>
      <w:r>
        <w:rPr>
          <w:spacing w:val="-5"/>
        </w:rPr>
        <w:t> </w:t>
      </w:r>
      <w:r>
        <w:rPr/>
        <w:t>in</w:t>
      </w:r>
      <w:r>
        <w:rPr>
          <w:spacing w:val="-4"/>
        </w:rPr>
        <w:t> </w:t>
      </w:r>
      <w:r>
        <w:rPr/>
        <w:t>the</w:t>
      </w:r>
      <w:r>
        <w:rPr>
          <w:spacing w:val="-5"/>
        </w:rPr>
        <w:t> </w:t>
      </w:r>
      <w:r>
        <w:rPr/>
        <w:t>past</w:t>
      </w:r>
      <w:r>
        <w:rPr>
          <w:spacing w:val="-4"/>
        </w:rPr>
        <w:t> </w:t>
      </w:r>
      <w:r>
        <w:rPr/>
        <w:t>year</w:t>
      </w:r>
      <w:r>
        <w:rPr>
          <w:spacing w:val="-4"/>
        </w:rPr>
        <w:t> </w:t>
      </w:r>
      <w:r>
        <w:rPr/>
        <w:t>among</w:t>
      </w:r>
      <w:r>
        <w:rPr>
          <w:spacing w:val="-4"/>
        </w:rPr>
        <w:t> </w:t>
      </w:r>
      <w:r>
        <w:rPr/>
        <w:t>sexual</w:t>
      </w:r>
      <w:r>
        <w:rPr>
          <w:spacing w:val="-4"/>
        </w:rPr>
        <w:t> </w:t>
      </w:r>
      <w:r>
        <w:rPr/>
        <w:t>minority</w:t>
      </w:r>
      <w:r>
        <w:rPr>
          <w:spacing w:val="-4"/>
        </w:rPr>
        <w:t> </w:t>
      </w:r>
      <w:r>
        <w:rPr/>
        <w:t>males</w:t>
      </w:r>
      <w:r>
        <w:rPr>
          <w:spacing w:val="-4"/>
        </w:rPr>
        <w:t> </w:t>
      </w:r>
      <w:r>
        <w:rPr/>
        <w:t>was</w:t>
      </w:r>
      <w:r>
        <w:rPr>
          <w:spacing w:val="-4"/>
        </w:rPr>
        <w:t> </w:t>
      </w:r>
      <w:r>
        <w:rPr/>
        <w:t>nearly twice as high compared with marijuana use among straight males. The prevalence was roughly 40% for sexual minority males.</w:t>
      </w:r>
    </w:p>
    <w:p>
      <w:pPr>
        <w:spacing w:after="0"/>
        <w:sectPr>
          <w:pgSz w:w="12240" w:h="15840"/>
          <w:pgMar w:header="0" w:footer="797" w:top="1260" w:bottom="980" w:left="1400" w:right="1180"/>
        </w:sectPr>
      </w:pPr>
    </w:p>
    <w:p>
      <w:pPr>
        <w:pStyle w:val="BodyText"/>
        <w:spacing w:before="15"/>
        <w:ind w:left="640" w:right="502" w:hanging="360"/>
      </w:pPr>
      <w:r>
        <w:rPr>
          <w:rFonts w:ascii="Segoe UI Symbol" w:hAnsi="Segoe UI Symbol"/>
          <w:position w:val="1"/>
        </w:rPr>
        <w:t>✦</w:t>
      </w:r>
      <w:r>
        <w:rPr>
          <w:rFonts w:ascii="Segoe UI Symbol" w:hAnsi="Segoe UI Symbol"/>
          <w:spacing w:val="40"/>
          <w:position w:val="1"/>
        </w:rPr>
        <w:t> </w:t>
      </w:r>
      <w:r>
        <w:rPr/>
        <w:t>Sexual</w:t>
      </w:r>
      <w:r>
        <w:rPr>
          <w:spacing w:val="-3"/>
        </w:rPr>
        <w:t> </w:t>
      </w:r>
      <w:r>
        <w:rPr/>
        <w:t>minority</w:t>
      </w:r>
      <w:r>
        <w:rPr>
          <w:spacing w:val="-3"/>
        </w:rPr>
        <w:t> </w:t>
      </w:r>
      <w:r>
        <w:rPr/>
        <w:t>males</w:t>
      </w:r>
      <w:r>
        <w:rPr>
          <w:spacing w:val="-3"/>
        </w:rPr>
        <w:t> </w:t>
      </w:r>
      <w:r>
        <w:rPr/>
        <w:t>were</w:t>
      </w:r>
      <w:r>
        <w:rPr>
          <w:spacing w:val="-4"/>
        </w:rPr>
        <w:t> </w:t>
      </w:r>
      <w:r>
        <w:rPr/>
        <w:t>2</w:t>
      </w:r>
      <w:r>
        <w:rPr>
          <w:spacing w:val="-3"/>
        </w:rPr>
        <w:t> </w:t>
      </w:r>
      <w:r>
        <w:rPr/>
        <w:t>to</w:t>
      </w:r>
      <w:r>
        <w:rPr>
          <w:spacing w:val="-3"/>
        </w:rPr>
        <w:t> </w:t>
      </w:r>
      <w:r>
        <w:rPr/>
        <w:t>3</w:t>
      </w:r>
      <w:r>
        <w:rPr>
          <w:spacing w:val="-3"/>
        </w:rPr>
        <w:t> </w:t>
      </w:r>
      <w:r>
        <w:rPr/>
        <w:t>times</w:t>
      </w:r>
      <w:r>
        <w:rPr>
          <w:spacing w:val="-3"/>
        </w:rPr>
        <w:t> </w:t>
      </w:r>
      <w:r>
        <w:rPr/>
        <w:t>more</w:t>
      </w:r>
      <w:r>
        <w:rPr>
          <w:spacing w:val="-4"/>
        </w:rPr>
        <w:t> </w:t>
      </w:r>
      <w:r>
        <w:rPr/>
        <w:t>likely</w:t>
      </w:r>
      <w:r>
        <w:rPr>
          <w:spacing w:val="-3"/>
        </w:rPr>
        <w:t> </w:t>
      </w:r>
      <w:r>
        <w:rPr/>
        <w:t>than</w:t>
      </w:r>
      <w:r>
        <w:rPr>
          <w:spacing w:val="-3"/>
        </w:rPr>
        <w:t> </w:t>
      </w:r>
      <w:r>
        <w:rPr/>
        <w:t>straight</w:t>
      </w:r>
      <w:r>
        <w:rPr>
          <w:spacing w:val="-3"/>
        </w:rPr>
        <w:t> </w:t>
      </w:r>
      <w:r>
        <w:rPr/>
        <w:t>males</w:t>
      </w:r>
      <w:r>
        <w:rPr>
          <w:spacing w:val="-3"/>
        </w:rPr>
        <w:t> </w:t>
      </w:r>
      <w:r>
        <w:rPr/>
        <w:t>to have used illicit drugs other than marijuana in the past year.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6"/>
        <w:ind w:left="400" w:right="0" w:firstLine="0"/>
        <w:jc w:val="left"/>
        <w:rPr>
          <w:rFonts w:ascii="Arial"/>
          <w:sz w:val="24"/>
        </w:rPr>
      </w:pPr>
      <w:r>
        <w:rPr/>
        <mc:AlternateContent>
          <mc:Choice Requires="wps">
            <w:drawing>
              <wp:anchor distT="0" distB="0" distL="0" distR="0" allowOverlap="1" layoutInCell="1" locked="0" behindDoc="0" simplePos="0" relativeHeight="15815680">
                <wp:simplePos x="0" y="0"/>
                <wp:positionH relativeFrom="page">
                  <wp:posOffset>1104900</wp:posOffset>
                </wp:positionH>
                <wp:positionV relativeFrom="paragraph">
                  <wp:posOffset>-7351401</wp:posOffset>
                </wp:positionV>
                <wp:extent cx="5882640" cy="761873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5882640" cy="7618730"/>
                          <a:chExt cx="5882640" cy="7618730"/>
                        </a:xfrm>
                      </wpg:grpSpPr>
                      <pic:pic>
                        <pic:nvPicPr>
                          <pic:cNvPr id="344" name="Image 344"/>
                          <pic:cNvPicPr/>
                        </pic:nvPicPr>
                        <pic:blipFill>
                          <a:blip r:embed="rId35" cstate="print"/>
                          <a:stretch>
                            <a:fillRect/>
                          </a:stretch>
                        </pic:blipFill>
                        <pic:spPr>
                          <a:xfrm>
                            <a:off x="25400" y="25401"/>
                            <a:ext cx="5831404" cy="7567362"/>
                          </a:xfrm>
                          <a:prstGeom prst="rect">
                            <a:avLst/>
                          </a:prstGeom>
                        </pic:spPr>
                      </pic:pic>
                      <wps:wsp>
                        <wps:cNvPr id="345" name="Graphic 345"/>
                        <wps:cNvSpPr/>
                        <wps:spPr>
                          <a:xfrm>
                            <a:off x="25400" y="25400"/>
                            <a:ext cx="5831840" cy="7567930"/>
                          </a:xfrm>
                          <a:custGeom>
                            <a:avLst/>
                            <a:gdLst/>
                            <a:ahLst/>
                            <a:cxnLst/>
                            <a:rect l="l" t="t" r="r" b="b"/>
                            <a:pathLst>
                              <a:path w="5831840" h="7567930">
                                <a:moveTo>
                                  <a:pt x="0" y="0"/>
                                </a:moveTo>
                                <a:lnTo>
                                  <a:pt x="5831404" y="0"/>
                                </a:lnTo>
                                <a:lnTo>
                                  <a:pt x="5831404" y="7567362"/>
                                </a:lnTo>
                                <a:lnTo>
                                  <a:pt x="0" y="7567362"/>
                                </a:lnTo>
                                <a:lnTo>
                                  <a:pt x="0" y="0"/>
                                </a:lnTo>
                                <a:close/>
                              </a:path>
                            </a:pathLst>
                          </a:custGeom>
                          <a:ln w="508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pt;margin-top:-578.850525pt;width:463.2pt;height:599.9pt;mso-position-horizontal-relative:page;mso-position-vertical-relative:paragraph;z-index:15815680" id="docshapegroup342" coordorigin="1740,-11577" coordsize="9264,11998">
                <v:shape style="position:absolute;left:1780;top:-11537;width:9184;height:11918" type="#_x0000_t75" id="docshape343" stroked="false">
                  <v:imagedata r:id="rId35" o:title=""/>
                </v:shape>
                <v:rect style="position:absolute;left:1780;top:-11538;width:9184;height:11918" id="docshape344" filled="false" stroked="true" strokeweight="4pt" strokecolor="#000000">
                  <v:stroke dashstyle="solid"/>
                </v:rect>
                <w10:wrap type="none"/>
              </v:group>
            </w:pict>
          </mc:Fallback>
        </mc:AlternateContent>
      </w:r>
      <w:r>
        <w:rPr>
          <w:rFonts w:ascii="Arial"/>
          <w:sz w:val="24"/>
        </w:rPr>
        <w:t>127</w:t>
      </w:r>
      <w:r>
        <w:rPr>
          <w:rFonts w:ascii="Arial"/>
          <w:spacing w:val="-3"/>
          <w:sz w:val="24"/>
        </w:rPr>
        <w:t> </w:t>
      </w:r>
      <w:r>
        <w:rPr>
          <w:rFonts w:ascii="Arial"/>
          <w:sz w:val="24"/>
        </w:rPr>
        <w:t>of</w:t>
      </w:r>
      <w:r>
        <w:rPr>
          <w:rFonts w:ascii="Arial"/>
          <w:spacing w:val="5"/>
          <w:sz w:val="24"/>
        </w:rPr>
        <w:t> </w:t>
      </w:r>
      <w:r>
        <w:rPr>
          <w:rFonts w:ascii="Arial"/>
          <w:spacing w:val="-5"/>
          <w:sz w:val="24"/>
        </w:rPr>
        <w:t>215</w:t>
      </w:r>
    </w:p>
    <w:p>
      <w:pPr>
        <w:spacing w:after="0"/>
        <w:jc w:val="left"/>
        <w:rPr>
          <w:rFonts w:ascii="Arial"/>
          <w:sz w:val="24"/>
        </w:rPr>
        <w:sectPr>
          <w:footerReference w:type="default" r:id="rId34"/>
          <w:pgSz w:w="12240" w:h="15840"/>
          <w:pgMar w:footer="0" w:header="0" w:top="1260" w:bottom="280" w:left="1400" w:right="1180"/>
        </w:sectPr>
      </w:pPr>
    </w:p>
    <w:p>
      <w:pPr>
        <w:pStyle w:val="BodyText"/>
        <w:spacing w:before="15"/>
        <w:ind w:left="640" w:right="502" w:hanging="360"/>
      </w:pPr>
      <w:r>
        <w:rPr>
          <w:rFonts w:ascii="Segoe UI Symbol" w:hAnsi="Segoe UI Symbol"/>
          <w:position w:val="1"/>
        </w:rPr>
        <w:t>✦</w:t>
      </w:r>
      <w:r>
        <w:rPr>
          <w:rFonts w:ascii="Segoe UI Symbol" w:hAnsi="Segoe UI Symbol"/>
          <w:spacing w:val="40"/>
          <w:position w:val="1"/>
        </w:rPr>
        <w:t> </w:t>
      </w:r>
      <w:r>
        <w:rPr/>
        <w:t>Sexual</w:t>
      </w:r>
      <w:r>
        <w:rPr>
          <w:spacing w:val="-3"/>
        </w:rPr>
        <w:t> </w:t>
      </w:r>
      <w:r>
        <w:rPr/>
        <w:t>minority</w:t>
      </w:r>
      <w:r>
        <w:rPr>
          <w:spacing w:val="-3"/>
        </w:rPr>
        <w:t> </w:t>
      </w:r>
      <w:r>
        <w:rPr/>
        <w:t>females</w:t>
      </w:r>
      <w:r>
        <w:rPr>
          <w:spacing w:val="-3"/>
        </w:rPr>
        <w:t> </w:t>
      </w:r>
      <w:r>
        <w:rPr/>
        <w:t>were</w:t>
      </w:r>
      <w:r>
        <w:rPr>
          <w:spacing w:val="-4"/>
        </w:rPr>
        <w:t> </w:t>
      </w:r>
      <w:r>
        <w:rPr/>
        <w:t>2</w:t>
      </w:r>
      <w:r>
        <w:rPr>
          <w:spacing w:val="-3"/>
        </w:rPr>
        <w:t> </w:t>
      </w:r>
      <w:r>
        <w:rPr/>
        <w:t>to</w:t>
      </w:r>
      <w:r>
        <w:rPr>
          <w:spacing w:val="-3"/>
        </w:rPr>
        <w:t> </w:t>
      </w:r>
      <w:r>
        <w:rPr/>
        <w:t>3</w:t>
      </w:r>
      <w:r>
        <w:rPr>
          <w:spacing w:val="-3"/>
        </w:rPr>
        <w:t> </w:t>
      </w:r>
      <w:r>
        <w:rPr/>
        <w:t>times</w:t>
      </w:r>
      <w:r>
        <w:rPr>
          <w:spacing w:val="-3"/>
        </w:rPr>
        <w:t> </w:t>
      </w:r>
      <w:r>
        <w:rPr/>
        <w:t>more</w:t>
      </w:r>
      <w:r>
        <w:rPr>
          <w:spacing w:val="-4"/>
        </w:rPr>
        <w:t> </w:t>
      </w:r>
      <w:r>
        <w:rPr/>
        <w:t>likely</w:t>
      </w:r>
      <w:r>
        <w:rPr>
          <w:spacing w:val="-3"/>
        </w:rPr>
        <w:t> </w:t>
      </w:r>
      <w:r>
        <w:rPr/>
        <w:t>than</w:t>
      </w:r>
      <w:r>
        <w:rPr>
          <w:spacing w:val="-3"/>
        </w:rPr>
        <w:t> </w:t>
      </w:r>
      <w:r>
        <w:rPr/>
        <w:t>straight</w:t>
      </w:r>
      <w:r>
        <w:rPr>
          <w:spacing w:val="-3"/>
        </w:rPr>
        <w:t> </w:t>
      </w:r>
      <w:r>
        <w:rPr/>
        <w:t>females to have used illicit drugs other than marijuana in the past year.</w:t>
      </w:r>
    </w:p>
    <w:p>
      <w:pPr>
        <w:pStyle w:val="BodyText"/>
        <w:spacing w:before="5"/>
        <w:rPr>
          <w:sz w:val="27"/>
        </w:rPr>
      </w:pPr>
    </w:p>
    <w:p>
      <w:pPr>
        <w:pStyle w:val="BodyText"/>
        <w:spacing w:before="1"/>
        <w:ind w:left="280" w:right="502"/>
      </w:pPr>
      <w:r>
        <w:rPr/>
        <w:t>ILLICIT DRUG USE includes the use of marijuana, cocaine, heroin, hallucinogens,</w:t>
      </w:r>
      <w:r>
        <w:rPr>
          <w:spacing w:val="-4"/>
        </w:rPr>
        <w:t> </w:t>
      </w:r>
      <w:r>
        <w:rPr/>
        <w:t>inhalants,</w:t>
      </w:r>
      <w:r>
        <w:rPr>
          <w:spacing w:val="-4"/>
        </w:rPr>
        <w:t> </w:t>
      </w:r>
      <w:r>
        <w:rPr/>
        <w:t>and</w:t>
      </w:r>
      <w:r>
        <w:rPr>
          <w:spacing w:val="-4"/>
        </w:rPr>
        <w:t> </w:t>
      </w:r>
      <w:r>
        <w:rPr/>
        <w:t>methamphetamine,</w:t>
      </w:r>
      <w:r>
        <w:rPr>
          <w:spacing w:val="-4"/>
        </w:rPr>
        <w:t> </w:t>
      </w:r>
      <w:r>
        <w:rPr/>
        <w:t>as</w:t>
      </w:r>
      <w:r>
        <w:rPr>
          <w:spacing w:val="-4"/>
        </w:rPr>
        <w:t> </w:t>
      </w:r>
      <w:r>
        <w:rPr/>
        <w:t>well</w:t>
      </w:r>
      <w:r>
        <w:rPr>
          <w:spacing w:val="-4"/>
        </w:rPr>
        <w:t> </w:t>
      </w:r>
      <w:r>
        <w:rPr/>
        <w:t>as</w:t>
      </w:r>
      <w:r>
        <w:rPr>
          <w:spacing w:val="-4"/>
        </w:rPr>
        <w:t> </w:t>
      </w:r>
      <w:r>
        <w:rPr/>
        <w:t>the</w:t>
      </w:r>
      <w:r>
        <w:rPr>
          <w:spacing w:val="-5"/>
        </w:rPr>
        <w:t> </w:t>
      </w:r>
      <w:r>
        <w:rPr/>
        <w:t>misuse</w:t>
      </w:r>
      <w:r>
        <w:rPr>
          <w:spacing w:val="-5"/>
        </w:rPr>
        <w:t> </w:t>
      </w:r>
      <w:r>
        <w:rPr/>
        <w:t>of prescription</w:t>
      </w:r>
      <w:r>
        <w:rPr>
          <w:spacing w:val="-5"/>
        </w:rPr>
        <w:t> </w:t>
      </w:r>
      <w:r>
        <w:rPr/>
        <w:t>drugs</w:t>
      </w:r>
      <w:r>
        <w:rPr>
          <w:spacing w:val="-2"/>
        </w:rPr>
        <w:t> </w:t>
      </w:r>
      <w:r>
        <w:rPr/>
        <w:t>(pain</w:t>
      </w:r>
      <w:r>
        <w:rPr>
          <w:spacing w:val="-2"/>
        </w:rPr>
        <w:t> </w:t>
      </w:r>
      <w:r>
        <w:rPr/>
        <w:t>relievers,</w:t>
      </w:r>
      <w:r>
        <w:rPr>
          <w:spacing w:val="-3"/>
        </w:rPr>
        <w:t> </w:t>
      </w:r>
      <w:r>
        <w:rPr/>
        <w:t>tranquilizers,</w:t>
      </w:r>
      <w:r>
        <w:rPr>
          <w:spacing w:val="-2"/>
        </w:rPr>
        <w:t> </w:t>
      </w:r>
      <w:r>
        <w:rPr/>
        <w:t>stimulants,</w:t>
      </w:r>
      <w:r>
        <w:rPr>
          <w:spacing w:val="-2"/>
        </w:rPr>
        <w:t> </w:t>
      </w:r>
      <w:r>
        <w:rPr/>
        <w:t>or</w:t>
      </w:r>
      <w:r>
        <w:rPr>
          <w:spacing w:val="-2"/>
        </w:rPr>
        <w:t> sedatives).</w:t>
      </w:r>
    </w:p>
    <w:p>
      <w:pPr>
        <w:pStyle w:val="BodyText"/>
        <w:spacing w:before="8"/>
        <w:rPr>
          <w:sz w:val="37"/>
        </w:rPr>
      </w:pPr>
    </w:p>
    <w:p>
      <w:pPr>
        <w:pStyle w:val="BodyText"/>
        <w:ind w:left="280" w:right="544"/>
      </w:pPr>
      <w:r>
        <w:rPr/>
        <w:drawing>
          <wp:anchor distT="0" distB="0" distL="0" distR="0" allowOverlap="1" layoutInCell="1" locked="0" behindDoc="0" simplePos="0" relativeHeight="15816704">
            <wp:simplePos x="0" y="0"/>
            <wp:positionH relativeFrom="page">
              <wp:posOffset>1046107</wp:posOffset>
            </wp:positionH>
            <wp:positionV relativeFrom="paragraph">
              <wp:posOffset>1190900</wp:posOffset>
            </wp:positionV>
            <wp:extent cx="5680185" cy="6488704"/>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37" cstate="print"/>
                    <a:stretch>
                      <a:fillRect/>
                    </a:stretch>
                  </pic:blipFill>
                  <pic:spPr>
                    <a:xfrm>
                      <a:off x="0" y="0"/>
                      <a:ext cx="5680185" cy="6488704"/>
                    </a:xfrm>
                    <a:prstGeom prst="rect">
                      <a:avLst/>
                    </a:prstGeom>
                  </pic:spPr>
                </pic:pic>
              </a:graphicData>
            </a:graphic>
          </wp:anchor>
        </w:drawing>
      </w:r>
      <w:r>
        <w:rPr/>
        <w:t>MISUSE</w:t>
      </w:r>
      <w:r>
        <w:rPr>
          <w:spacing w:val="-5"/>
        </w:rPr>
        <w:t> </w:t>
      </w:r>
      <w:r>
        <w:rPr/>
        <w:t>OF</w:t>
      </w:r>
      <w:r>
        <w:rPr>
          <w:spacing w:val="-4"/>
        </w:rPr>
        <w:t> </w:t>
      </w:r>
      <w:r>
        <w:rPr/>
        <w:t>PRESCRIPTION</w:t>
      </w:r>
      <w:r>
        <w:rPr>
          <w:spacing w:val="-4"/>
        </w:rPr>
        <w:t> </w:t>
      </w:r>
      <w:r>
        <w:rPr/>
        <w:t>DRUGS</w:t>
      </w:r>
      <w:r>
        <w:rPr>
          <w:spacing w:val="-4"/>
        </w:rPr>
        <w:t> </w:t>
      </w:r>
      <w:r>
        <w:rPr/>
        <w:t>means</w:t>
      </w:r>
      <w:r>
        <w:rPr>
          <w:spacing w:val="-4"/>
        </w:rPr>
        <w:t> </w:t>
      </w:r>
      <w:r>
        <w:rPr/>
        <w:t>use</w:t>
      </w:r>
      <w:r>
        <w:rPr>
          <w:spacing w:val="-5"/>
        </w:rPr>
        <w:t> </w:t>
      </w:r>
      <w:r>
        <w:rPr/>
        <w:t>in</w:t>
      </w:r>
      <w:r>
        <w:rPr>
          <w:spacing w:val="-4"/>
        </w:rPr>
        <w:t> </w:t>
      </w:r>
      <w:r>
        <w:rPr/>
        <w:t>any</w:t>
      </w:r>
      <w:r>
        <w:rPr>
          <w:spacing w:val="-4"/>
        </w:rPr>
        <w:t> </w:t>
      </w:r>
      <w:r>
        <w:rPr/>
        <w:t>way</w:t>
      </w:r>
      <w:r>
        <w:rPr>
          <w:spacing w:val="-4"/>
        </w:rPr>
        <w:t> </w:t>
      </w:r>
      <w:r>
        <w:rPr/>
        <w:t>not</w:t>
      </w:r>
      <w:r>
        <w:rPr>
          <w:spacing w:val="-4"/>
        </w:rPr>
        <w:t> </w:t>
      </w:r>
      <w:r>
        <w:rPr/>
        <w:t>directed</w:t>
      </w:r>
      <w:r>
        <w:rPr>
          <w:spacing w:val="-4"/>
        </w:rPr>
        <w:t> </w:t>
      </w:r>
      <w:r>
        <w:rPr/>
        <w:t>by a doctor, such as use without a prescription of one’s own, or use in greater amounts, more often, or longer than told to take a drug.</w:t>
      </w:r>
    </w:p>
    <w:p>
      <w:pPr>
        <w:pStyle w:val="BodyText"/>
        <w:rPr>
          <w:sz w:val="20"/>
        </w:rPr>
      </w:pPr>
    </w:p>
    <w:p>
      <w:pPr>
        <w:pStyle w:val="BodyText"/>
        <w:rPr>
          <w:sz w:val="20"/>
        </w:rPr>
      </w:pPr>
    </w:p>
    <w:p>
      <w:pPr>
        <w:pStyle w:val="BodyText"/>
        <w:rPr>
          <w:sz w:val="20"/>
        </w:rPr>
      </w:pPr>
    </w:p>
    <w:p>
      <w:pPr>
        <w:pStyle w:val="BodyText"/>
        <w:spacing w:before="6"/>
        <w:rPr>
          <w:sz w:val="13"/>
        </w:rPr>
      </w:pPr>
      <w:r>
        <w:rPr/>
        <mc:AlternateContent>
          <mc:Choice Requires="wps">
            <w:drawing>
              <wp:anchor distT="0" distB="0" distL="0" distR="0" allowOverlap="1" layoutInCell="1" locked="0" behindDoc="1" simplePos="0" relativeHeight="487675392">
                <wp:simplePos x="0" y="0"/>
                <wp:positionH relativeFrom="page">
                  <wp:posOffset>1046107</wp:posOffset>
                </wp:positionH>
                <wp:positionV relativeFrom="paragraph">
                  <wp:posOffset>139374</wp:posOffset>
                </wp:positionV>
                <wp:extent cx="5680710" cy="6489065"/>
                <wp:effectExtent l="0" t="0" r="0" b="0"/>
                <wp:wrapTopAndBottom/>
                <wp:docPr id="347" name="Textbox 347"/>
                <wp:cNvGraphicFramePr>
                  <a:graphicFrameLocks/>
                </wp:cNvGraphicFramePr>
                <a:graphic>
                  <a:graphicData uri="http://schemas.microsoft.com/office/word/2010/wordprocessingShape">
                    <wps:wsp>
                      <wps:cNvPr id="347" name="Textbox 347"/>
                      <wps:cNvSpPr txBox="1"/>
                      <wps:spPr>
                        <a:xfrm>
                          <a:off x="0" y="0"/>
                          <a:ext cx="5680710" cy="6489065"/>
                        </a:xfrm>
                        <a:prstGeom prst="rect">
                          <a:avLst/>
                        </a:prstGeom>
                        <a:ln w="50800">
                          <a:solidFill>
                            <a:srgbClr val="000000"/>
                          </a:solidFill>
                          <a:prstDash val="solid"/>
                        </a:ln>
                      </wps:spPr>
                      <wps:txbx>
                        <w:txbxConten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2"/>
                              </w:rPr>
                            </w:pPr>
                          </w:p>
                          <w:p>
                            <w:pPr>
                              <w:spacing w:before="1"/>
                              <w:ind w:left="112" w:right="0" w:firstLine="0"/>
                              <w:jc w:val="left"/>
                              <w:rPr>
                                <w:rFonts w:ascii="Arial"/>
                                <w:sz w:val="24"/>
                              </w:rPr>
                            </w:pPr>
                            <w:r>
                              <w:rPr>
                                <w:rFonts w:ascii="Arial"/>
                                <w:sz w:val="24"/>
                              </w:rPr>
                              <w:t>128</w:t>
                            </w:r>
                            <w:r>
                              <w:rPr>
                                <w:rFonts w:ascii="Arial"/>
                                <w:spacing w:val="-3"/>
                                <w:sz w:val="24"/>
                              </w:rPr>
                              <w:t> </w:t>
                            </w:r>
                            <w:r>
                              <w:rPr>
                                <w:rFonts w:ascii="Arial"/>
                                <w:sz w:val="24"/>
                              </w:rPr>
                              <w:t>of</w:t>
                            </w:r>
                            <w:r>
                              <w:rPr>
                                <w:rFonts w:ascii="Arial"/>
                                <w:spacing w:val="5"/>
                                <w:sz w:val="24"/>
                              </w:rPr>
                              <w:t> </w:t>
                            </w:r>
                            <w:r>
                              <w:rPr>
                                <w:rFonts w:ascii="Arial"/>
                                <w:spacing w:val="-5"/>
                                <w:sz w:val="24"/>
                              </w:rPr>
                              <w:t>215</w:t>
                            </w:r>
                          </w:p>
                        </w:txbxContent>
                      </wps:txbx>
                      <wps:bodyPr wrap="square" lIns="0" tIns="0" rIns="0" bIns="0" rtlCol="0">
                        <a:noAutofit/>
                      </wps:bodyPr>
                    </wps:wsp>
                  </a:graphicData>
                </a:graphic>
              </wp:anchor>
            </w:drawing>
          </mc:Choice>
          <mc:Fallback>
            <w:pict>
              <v:shape style="position:absolute;margin-left:82.370651pt;margin-top:10.974365pt;width:447.3pt;height:510.95pt;mso-position-horizontal-relative:page;mso-position-vertical-relative:paragraph;z-index:-15641088;mso-wrap-distance-left:0;mso-wrap-distance-right:0" type="#_x0000_t202" id="docshape345" filled="false" stroked="true" strokeweight="4pt" strokecolor="#000000">
                <v:textbox inset="0,0,0,0">
                  <w:txbxConten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2"/>
                        </w:rPr>
                      </w:pPr>
                    </w:p>
                    <w:p>
                      <w:pPr>
                        <w:spacing w:before="1"/>
                        <w:ind w:left="112" w:right="0" w:firstLine="0"/>
                        <w:jc w:val="left"/>
                        <w:rPr>
                          <w:rFonts w:ascii="Arial"/>
                          <w:sz w:val="24"/>
                        </w:rPr>
                      </w:pPr>
                      <w:r>
                        <w:rPr>
                          <w:rFonts w:ascii="Arial"/>
                          <w:sz w:val="24"/>
                        </w:rPr>
                        <w:t>128</w:t>
                      </w:r>
                      <w:r>
                        <w:rPr>
                          <w:rFonts w:ascii="Arial"/>
                          <w:spacing w:val="-3"/>
                          <w:sz w:val="24"/>
                        </w:rPr>
                        <w:t> </w:t>
                      </w:r>
                      <w:r>
                        <w:rPr>
                          <w:rFonts w:ascii="Arial"/>
                          <w:sz w:val="24"/>
                        </w:rPr>
                        <w:t>of</w:t>
                      </w:r>
                      <w:r>
                        <w:rPr>
                          <w:rFonts w:ascii="Arial"/>
                          <w:spacing w:val="5"/>
                          <w:sz w:val="24"/>
                        </w:rPr>
                        <w:t> </w:t>
                      </w:r>
                      <w:r>
                        <w:rPr>
                          <w:rFonts w:ascii="Arial"/>
                          <w:spacing w:val="-5"/>
                          <w:sz w:val="24"/>
                        </w:rPr>
                        <w:t>215</w:t>
                      </w:r>
                    </w:p>
                  </w:txbxContent>
                </v:textbox>
                <v:stroke dashstyle="solid"/>
                <w10:wrap type="topAndBottom"/>
              </v:shape>
            </w:pict>
          </mc:Fallback>
        </mc:AlternateContent>
      </w:r>
    </w:p>
    <w:p>
      <w:pPr>
        <w:spacing w:after="0"/>
        <w:rPr>
          <w:sz w:val="13"/>
        </w:rPr>
        <w:sectPr>
          <w:footerReference w:type="default" r:id="rId36"/>
          <w:pgSz w:w="12240" w:h="15840"/>
          <w:pgMar w:footer="0" w:header="0" w:top="1260" w:bottom="0" w:left="1400" w:right="1180"/>
        </w:sectPr>
      </w:pPr>
    </w:p>
    <w:p>
      <w:pPr>
        <w:pStyle w:val="BodyText"/>
        <w:spacing w:line="321" w:lineRule="exact" w:before="66"/>
        <w:ind w:left="280"/>
      </w:pPr>
      <w:r>
        <w:rPr/>
        <w:t>Note:</w:t>
      </w:r>
      <w:r>
        <w:rPr>
          <w:spacing w:val="-3"/>
        </w:rPr>
        <w:t> </w:t>
      </w:r>
      <w:r>
        <w:rPr/>
        <w:t>Estimates</w:t>
      </w:r>
      <w:r>
        <w:rPr>
          <w:spacing w:val="-1"/>
        </w:rPr>
        <w:t> </w:t>
      </w:r>
      <w:r>
        <w:rPr/>
        <w:t>were</w:t>
      </w:r>
      <w:r>
        <w:rPr>
          <w:spacing w:val="-2"/>
        </w:rPr>
        <w:t> </w:t>
      </w:r>
      <w:r>
        <w:rPr/>
        <w:t>age</w:t>
      </w:r>
      <w:r>
        <w:rPr>
          <w:spacing w:val="-2"/>
        </w:rPr>
        <w:t> </w:t>
      </w:r>
      <w:r>
        <w:rPr/>
        <w:t>adjusted</w:t>
      </w:r>
      <w:r>
        <w:rPr>
          <w:spacing w:val="-1"/>
        </w:rPr>
        <w:t> </w:t>
      </w:r>
      <w:r>
        <w:rPr/>
        <w:t>to</w:t>
      </w:r>
      <w:r>
        <w:rPr>
          <w:spacing w:val="-1"/>
        </w:rPr>
        <w:t> </w:t>
      </w:r>
      <w:r>
        <w:rPr/>
        <w:t>the</w:t>
      </w:r>
      <w:r>
        <w:rPr>
          <w:spacing w:val="-2"/>
        </w:rPr>
        <w:t> </w:t>
      </w:r>
      <w:r>
        <w:rPr/>
        <w:t>adult</w:t>
      </w:r>
      <w:r>
        <w:rPr>
          <w:spacing w:val="-1"/>
        </w:rPr>
        <w:t> </w:t>
      </w:r>
      <w:r>
        <w:rPr/>
        <w:t>age</w:t>
      </w:r>
      <w:r>
        <w:rPr>
          <w:spacing w:val="-2"/>
        </w:rPr>
        <w:t> </w:t>
      </w:r>
      <w:r>
        <w:rPr/>
        <w:t>distribution</w:t>
      </w:r>
      <w:r>
        <w:rPr>
          <w:spacing w:val="-1"/>
        </w:rPr>
        <w:t> </w:t>
      </w:r>
      <w:r>
        <w:rPr/>
        <w:t>of</w:t>
      </w:r>
      <w:r>
        <w:rPr>
          <w:spacing w:val="-1"/>
        </w:rPr>
        <w:t> </w:t>
      </w:r>
      <w:r>
        <w:rPr/>
        <w:t>the</w:t>
      </w:r>
      <w:r>
        <w:rPr>
          <w:spacing w:val="-1"/>
        </w:rPr>
        <w:t> </w:t>
      </w:r>
      <w:r>
        <w:rPr>
          <w:spacing w:val="-4"/>
        </w:rPr>
        <w:t>2000</w:t>
      </w:r>
    </w:p>
    <w:p>
      <w:pPr>
        <w:pStyle w:val="BodyText"/>
        <w:spacing w:line="321" w:lineRule="exact"/>
        <w:ind w:left="280"/>
      </w:pPr>
      <w:r>
        <w:rPr/>
        <w:t>U.S.</w:t>
      </w:r>
      <w:r>
        <w:rPr>
          <w:spacing w:val="-2"/>
        </w:rPr>
        <w:t> </w:t>
      </w:r>
      <w:r>
        <w:rPr/>
        <w:t>standard</w:t>
      </w:r>
      <w:r>
        <w:rPr>
          <w:spacing w:val="-1"/>
        </w:rPr>
        <w:t> </w:t>
      </w:r>
      <w:r>
        <w:rPr>
          <w:spacing w:val="-2"/>
        </w:rPr>
        <w:t>population.</w:t>
      </w:r>
    </w:p>
    <w:p>
      <w:pPr>
        <w:pStyle w:val="BodyText"/>
        <w:spacing w:before="6"/>
      </w:pPr>
    </w:p>
    <w:p>
      <w:pPr>
        <w:pStyle w:val="ListParagraph"/>
        <w:numPr>
          <w:ilvl w:val="0"/>
          <w:numId w:val="23"/>
        </w:numPr>
        <w:tabs>
          <w:tab w:pos="736" w:val="left" w:leader="none"/>
          <w:tab w:pos="738" w:val="left" w:leader="none"/>
        </w:tabs>
        <w:spacing w:line="232" w:lineRule="auto" w:before="0" w:after="0"/>
        <w:ind w:left="738" w:right="654" w:hanging="459"/>
        <w:jc w:val="left"/>
        <w:rPr>
          <w:sz w:val="28"/>
        </w:rPr>
      </w:pPr>
      <w:r>
        <w:rPr>
          <w:sz w:val="28"/>
        </w:rPr>
        <w:t>Bisexual</w:t>
      </w:r>
      <w:r>
        <w:rPr>
          <w:spacing w:val="-4"/>
          <w:sz w:val="28"/>
        </w:rPr>
        <w:t> </w:t>
      </w:r>
      <w:r>
        <w:rPr>
          <w:sz w:val="28"/>
        </w:rPr>
        <w:t>females</w:t>
      </w:r>
      <w:r>
        <w:rPr>
          <w:spacing w:val="-4"/>
          <w:sz w:val="28"/>
        </w:rPr>
        <w:t> </w:t>
      </w:r>
      <w:r>
        <w:rPr>
          <w:sz w:val="28"/>
        </w:rPr>
        <w:t>were</w:t>
      </w:r>
      <w:r>
        <w:rPr>
          <w:spacing w:val="-4"/>
          <w:sz w:val="28"/>
        </w:rPr>
        <w:t> </w:t>
      </w:r>
      <w:r>
        <w:rPr>
          <w:sz w:val="28"/>
        </w:rPr>
        <w:t>almost</w:t>
      </w:r>
      <w:r>
        <w:rPr>
          <w:spacing w:val="-4"/>
          <w:sz w:val="28"/>
        </w:rPr>
        <w:t> </w:t>
      </w:r>
      <w:r>
        <w:rPr>
          <w:sz w:val="28"/>
        </w:rPr>
        <w:t>twice</w:t>
      </w:r>
      <w:r>
        <w:rPr>
          <w:spacing w:val="-4"/>
          <w:sz w:val="28"/>
        </w:rPr>
        <w:t> </w:t>
      </w:r>
      <w:r>
        <w:rPr>
          <w:sz w:val="28"/>
        </w:rPr>
        <w:t>as</w:t>
      </w:r>
      <w:r>
        <w:rPr>
          <w:spacing w:val="-4"/>
          <w:sz w:val="28"/>
        </w:rPr>
        <w:t> </w:t>
      </w:r>
      <w:r>
        <w:rPr>
          <w:sz w:val="28"/>
        </w:rPr>
        <w:t>likely</w:t>
      </w:r>
      <w:r>
        <w:rPr>
          <w:spacing w:val="-4"/>
          <w:sz w:val="28"/>
        </w:rPr>
        <w:t> </w:t>
      </w:r>
      <w:r>
        <w:rPr>
          <w:sz w:val="28"/>
        </w:rPr>
        <w:t>as</w:t>
      </w:r>
      <w:r>
        <w:rPr>
          <w:spacing w:val="-4"/>
          <w:sz w:val="28"/>
        </w:rPr>
        <w:t> </w:t>
      </w:r>
      <w:r>
        <w:rPr>
          <w:sz w:val="28"/>
        </w:rPr>
        <w:t>lesbian</w:t>
      </w:r>
      <w:r>
        <w:rPr>
          <w:spacing w:val="-4"/>
          <w:sz w:val="28"/>
        </w:rPr>
        <w:t> </w:t>
      </w:r>
      <w:r>
        <w:rPr>
          <w:sz w:val="28"/>
        </w:rPr>
        <w:t>females</w:t>
      </w:r>
      <w:r>
        <w:rPr>
          <w:spacing w:val="-4"/>
          <w:sz w:val="28"/>
        </w:rPr>
        <w:t> </w:t>
      </w:r>
      <w:r>
        <w:rPr>
          <w:sz w:val="28"/>
        </w:rPr>
        <w:t>and</w:t>
      </w:r>
      <w:r>
        <w:rPr>
          <w:spacing w:val="-4"/>
          <w:sz w:val="28"/>
        </w:rPr>
        <w:t> </w:t>
      </w:r>
      <w:r>
        <w:rPr>
          <w:sz w:val="28"/>
        </w:rPr>
        <w:t>more than 3 times as likely as straight females to have misused opioids in the past year.</w:t>
      </w:r>
    </w:p>
    <w:p>
      <w:pPr>
        <w:pStyle w:val="ListParagraph"/>
        <w:numPr>
          <w:ilvl w:val="0"/>
          <w:numId w:val="23"/>
        </w:numPr>
        <w:tabs>
          <w:tab w:pos="656" w:val="left" w:leader="none"/>
        </w:tabs>
        <w:spacing w:line="232" w:lineRule="auto" w:before="228" w:after="0"/>
        <w:ind w:left="656" w:right="559" w:hanging="377"/>
        <w:jc w:val="left"/>
        <w:rPr>
          <w:rFonts w:ascii="Arial" w:hAnsi="Arial"/>
          <w:sz w:val="23"/>
        </w:rPr>
      </w:pPr>
      <w:r>
        <w:rPr/>
        <mc:AlternateContent>
          <mc:Choice Requires="wps">
            <w:drawing>
              <wp:anchor distT="0" distB="0" distL="0" distR="0" allowOverlap="1" layoutInCell="1" locked="0" behindDoc="0" simplePos="0" relativeHeight="15817728">
                <wp:simplePos x="0" y="0"/>
                <wp:positionH relativeFrom="page">
                  <wp:posOffset>1212228</wp:posOffset>
                </wp:positionH>
                <wp:positionV relativeFrom="paragraph">
                  <wp:posOffset>982149</wp:posOffset>
                </wp:positionV>
                <wp:extent cx="5347970" cy="6528434"/>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5347970" cy="6528434"/>
                          <a:chExt cx="5347970" cy="6528434"/>
                        </a:xfrm>
                      </wpg:grpSpPr>
                      <pic:pic>
                        <pic:nvPicPr>
                          <pic:cNvPr id="349" name="Image 349"/>
                          <pic:cNvPicPr/>
                        </pic:nvPicPr>
                        <pic:blipFill>
                          <a:blip r:embed="rId39" cstate="print"/>
                          <a:stretch>
                            <a:fillRect/>
                          </a:stretch>
                        </pic:blipFill>
                        <pic:spPr>
                          <a:xfrm>
                            <a:off x="25400" y="25400"/>
                            <a:ext cx="5297143" cy="6477167"/>
                          </a:xfrm>
                          <a:prstGeom prst="rect">
                            <a:avLst/>
                          </a:prstGeom>
                        </pic:spPr>
                      </pic:pic>
                      <wps:wsp>
                        <wps:cNvPr id="350" name="Graphic 350"/>
                        <wps:cNvSpPr/>
                        <wps:spPr>
                          <a:xfrm>
                            <a:off x="25400" y="25400"/>
                            <a:ext cx="5297170" cy="6477635"/>
                          </a:xfrm>
                          <a:custGeom>
                            <a:avLst/>
                            <a:gdLst/>
                            <a:ahLst/>
                            <a:cxnLst/>
                            <a:rect l="l" t="t" r="r" b="b"/>
                            <a:pathLst>
                              <a:path w="5297170" h="6477635">
                                <a:moveTo>
                                  <a:pt x="0" y="0"/>
                                </a:moveTo>
                                <a:lnTo>
                                  <a:pt x="5297143" y="0"/>
                                </a:lnTo>
                                <a:lnTo>
                                  <a:pt x="5297143" y="6477167"/>
                                </a:lnTo>
                                <a:lnTo>
                                  <a:pt x="0" y="6477167"/>
                                </a:lnTo>
                                <a:lnTo>
                                  <a:pt x="0" y="0"/>
                                </a:lnTo>
                                <a:close/>
                              </a:path>
                            </a:pathLst>
                          </a:custGeom>
                          <a:ln w="508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5.45105pt;margin-top:77.334618pt;width:421.1pt;height:514.0500pt;mso-position-horizontal-relative:page;mso-position-vertical-relative:paragraph;z-index:15817728" id="docshapegroup346" coordorigin="1909,1547" coordsize="8422,10281">
                <v:shape style="position:absolute;left:1949;top:1586;width:8342;height:10201" type="#_x0000_t75" id="docshape347" stroked="false">
                  <v:imagedata r:id="rId39" o:title=""/>
                </v:shape>
                <v:rect style="position:absolute;left:1949;top:1586;width:8342;height:10201" id="docshape348" filled="false" stroked="true" strokeweight="4pt" strokecolor="#000000">
                  <v:stroke dashstyle="solid"/>
                </v:rect>
                <w10:wrap type="none"/>
              </v:group>
            </w:pict>
          </mc:Fallback>
        </mc:AlternateContent>
      </w:r>
      <w:r>
        <w:rPr>
          <w:sz w:val="28"/>
        </w:rPr>
        <w:t>Bisexual males were about twice as likely as straight males to have misused</w:t>
      </w:r>
      <w:r>
        <w:rPr>
          <w:spacing w:val="-5"/>
          <w:sz w:val="28"/>
        </w:rPr>
        <w:t> </w:t>
      </w:r>
      <w:r>
        <w:rPr>
          <w:sz w:val="28"/>
        </w:rPr>
        <w:t>opioids</w:t>
      </w:r>
      <w:r>
        <w:rPr>
          <w:spacing w:val="-5"/>
          <w:sz w:val="28"/>
        </w:rPr>
        <w:t> </w:t>
      </w:r>
      <w:r>
        <w:rPr>
          <w:sz w:val="28"/>
        </w:rPr>
        <w:t>in</w:t>
      </w:r>
      <w:r>
        <w:rPr>
          <w:spacing w:val="-5"/>
          <w:sz w:val="28"/>
        </w:rPr>
        <w:t> </w:t>
      </w:r>
      <w:r>
        <w:rPr>
          <w:sz w:val="28"/>
        </w:rPr>
        <w:t>the</w:t>
      </w:r>
      <w:r>
        <w:rPr>
          <w:spacing w:val="-6"/>
          <w:sz w:val="28"/>
        </w:rPr>
        <w:t> </w:t>
      </w:r>
      <w:r>
        <w:rPr>
          <w:sz w:val="28"/>
        </w:rPr>
        <w:t>past</w:t>
      </w:r>
      <w:r>
        <w:rPr>
          <w:spacing w:val="-5"/>
          <w:sz w:val="28"/>
        </w:rPr>
        <w:t> </w:t>
      </w:r>
      <w:r>
        <w:rPr>
          <w:sz w:val="28"/>
        </w:rPr>
        <w:t>year.</w:t>
      </w:r>
      <w:r>
        <w:rPr>
          <w:spacing w:val="-11"/>
          <w:sz w:val="28"/>
        </w:rPr>
        <w:t> </w:t>
      </w:r>
      <w:r>
        <w:rPr>
          <w:sz w:val="28"/>
        </w:rPr>
        <w:t>The</w:t>
      </w:r>
      <w:r>
        <w:rPr>
          <w:spacing w:val="-6"/>
          <w:sz w:val="28"/>
        </w:rPr>
        <w:t> </w:t>
      </w:r>
      <w:r>
        <w:rPr>
          <w:sz w:val="28"/>
        </w:rPr>
        <w:t>prevalence</w:t>
      </w:r>
      <w:r>
        <w:rPr>
          <w:spacing w:val="-6"/>
          <w:sz w:val="28"/>
        </w:rPr>
        <w:t> </w:t>
      </w:r>
      <w:r>
        <w:rPr>
          <w:sz w:val="28"/>
        </w:rPr>
        <w:t>did</w:t>
      </w:r>
      <w:r>
        <w:rPr>
          <w:spacing w:val="-5"/>
          <w:sz w:val="28"/>
        </w:rPr>
        <w:t> </w:t>
      </w:r>
      <w:r>
        <w:rPr>
          <w:sz w:val="28"/>
        </w:rPr>
        <w:t>not</w:t>
      </w:r>
      <w:r>
        <w:rPr>
          <w:spacing w:val="-5"/>
          <w:sz w:val="28"/>
        </w:rPr>
        <w:t> </w:t>
      </w:r>
      <w:r>
        <w:rPr>
          <w:sz w:val="28"/>
        </w:rPr>
        <w:t>differ</w:t>
      </w:r>
      <w:r>
        <w:rPr>
          <w:spacing w:val="-5"/>
          <w:sz w:val="28"/>
        </w:rPr>
        <w:t> </w:t>
      </w:r>
      <w:r>
        <w:rPr>
          <w:sz w:val="28"/>
        </w:rPr>
        <w:t>between</w:t>
      </w:r>
      <w:r>
        <w:rPr>
          <w:spacing w:val="-5"/>
          <w:sz w:val="28"/>
        </w:rPr>
        <w:t> </w:t>
      </w:r>
      <w:r>
        <w:rPr>
          <w:sz w:val="28"/>
        </w:rPr>
        <w:t>gay males and straight males</w:t>
      </w:r>
      <w:r>
        <w:rPr>
          <w:rFonts w:ascii="Arial" w:hAnsi="Arial"/>
          <w:sz w:val="23"/>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3"/>
        </w:rPr>
      </w:pPr>
      <w:r>
        <w:rPr/>
        <mc:AlternateContent>
          <mc:Choice Requires="wps">
            <w:drawing>
              <wp:anchor distT="0" distB="0" distL="0" distR="0" allowOverlap="1" layoutInCell="1" locked="0" behindDoc="1" simplePos="0" relativeHeight="487676416">
                <wp:simplePos x="0" y="0"/>
                <wp:positionH relativeFrom="page">
                  <wp:posOffset>1143000</wp:posOffset>
                </wp:positionH>
                <wp:positionV relativeFrom="paragraph">
                  <wp:posOffset>111816</wp:posOffset>
                </wp:positionV>
                <wp:extent cx="726440" cy="170815"/>
                <wp:effectExtent l="0" t="0" r="0" b="0"/>
                <wp:wrapTopAndBottom/>
                <wp:docPr id="351" name="Textbox 351"/>
                <wp:cNvGraphicFramePr>
                  <a:graphicFrameLocks/>
                </wp:cNvGraphicFramePr>
                <a:graphic>
                  <a:graphicData uri="http://schemas.microsoft.com/office/word/2010/wordprocessingShape">
                    <wps:wsp>
                      <wps:cNvPr id="351" name="Textbox 351"/>
                      <wps:cNvSpPr txBox="1"/>
                      <wps:spPr>
                        <a:xfrm>
                          <a:off x="0" y="0"/>
                          <a:ext cx="726440" cy="170815"/>
                        </a:xfrm>
                        <a:prstGeom prst="rect">
                          <a:avLst/>
                        </a:prstGeom>
                      </wps:spPr>
                      <wps:txbx>
                        <w:txbxContent>
                          <w:p>
                            <w:pPr>
                              <w:spacing w:line="268" w:lineRule="exact" w:before="0"/>
                              <w:ind w:left="0" w:right="0" w:firstLine="0"/>
                              <w:jc w:val="left"/>
                              <w:rPr>
                                <w:rFonts w:ascii="Arial"/>
                                <w:sz w:val="24"/>
                              </w:rPr>
                            </w:pPr>
                            <w:r>
                              <w:rPr>
                                <w:rFonts w:ascii="Arial"/>
                                <w:sz w:val="24"/>
                              </w:rPr>
                              <w:t>129</w:t>
                            </w:r>
                            <w:r>
                              <w:rPr>
                                <w:rFonts w:ascii="Arial"/>
                                <w:spacing w:val="-3"/>
                                <w:sz w:val="24"/>
                              </w:rPr>
                              <w:t> </w:t>
                            </w:r>
                            <w:r>
                              <w:rPr>
                                <w:rFonts w:ascii="Arial"/>
                                <w:sz w:val="24"/>
                              </w:rPr>
                              <w:t>of</w:t>
                            </w:r>
                            <w:r>
                              <w:rPr>
                                <w:rFonts w:ascii="Arial"/>
                                <w:spacing w:val="5"/>
                                <w:sz w:val="24"/>
                              </w:rPr>
                              <w:t> </w:t>
                            </w:r>
                            <w:r>
                              <w:rPr>
                                <w:rFonts w:ascii="Arial"/>
                                <w:spacing w:val="-5"/>
                                <w:sz w:val="24"/>
                              </w:rPr>
                              <w:t>215</w:t>
                            </w:r>
                          </w:p>
                        </w:txbxContent>
                      </wps:txbx>
                      <wps:bodyPr wrap="square" lIns="0" tIns="0" rIns="0" bIns="0" rtlCol="0">
                        <a:noAutofit/>
                      </wps:bodyPr>
                    </wps:wsp>
                  </a:graphicData>
                </a:graphic>
              </wp:anchor>
            </w:drawing>
          </mc:Choice>
          <mc:Fallback>
            <w:pict>
              <v:shape style="position:absolute;margin-left:90pt;margin-top:8.804453pt;width:57.2pt;height:13.45pt;mso-position-horizontal-relative:page;mso-position-vertical-relative:paragraph;z-index:-15640064;mso-wrap-distance-left:0;mso-wrap-distance-right:0" type="#_x0000_t202" id="docshape349" filled="false" stroked="false">
                <v:textbox inset="0,0,0,0">
                  <w:txbxContent>
                    <w:p>
                      <w:pPr>
                        <w:spacing w:line="268" w:lineRule="exact" w:before="0"/>
                        <w:ind w:left="0" w:right="0" w:firstLine="0"/>
                        <w:jc w:val="left"/>
                        <w:rPr>
                          <w:rFonts w:ascii="Arial"/>
                          <w:sz w:val="24"/>
                        </w:rPr>
                      </w:pPr>
                      <w:r>
                        <w:rPr>
                          <w:rFonts w:ascii="Arial"/>
                          <w:sz w:val="24"/>
                        </w:rPr>
                        <w:t>129</w:t>
                      </w:r>
                      <w:r>
                        <w:rPr>
                          <w:rFonts w:ascii="Arial"/>
                          <w:spacing w:val="-3"/>
                          <w:sz w:val="24"/>
                        </w:rPr>
                        <w:t> </w:t>
                      </w:r>
                      <w:r>
                        <w:rPr>
                          <w:rFonts w:ascii="Arial"/>
                          <w:sz w:val="24"/>
                        </w:rPr>
                        <w:t>of</w:t>
                      </w:r>
                      <w:r>
                        <w:rPr>
                          <w:rFonts w:ascii="Arial"/>
                          <w:spacing w:val="5"/>
                          <w:sz w:val="24"/>
                        </w:rPr>
                        <w:t> </w:t>
                      </w:r>
                      <w:r>
                        <w:rPr>
                          <w:rFonts w:ascii="Arial"/>
                          <w:spacing w:val="-5"/>
                          <w:sz w:val="24"/>
                        </w:rPr>
                        <w:t>215</w:t>
                      </w:r>
                    </w:p>
                  </w:txbxContent>
                </v:textbox>
                <w10:wrap type="topAndBottom"/>
              </v:shape>
            </w:pict>
          </mc:Fallback>
        </mc:AlternateContent>
      </w:r>
    </w:p>
    <w:p>
      <w:pPr>
        <w:spacing w:after="0"/>
        <w:rPr>
          <w:rFonts w:ascii="Arial"/>
          <w:sz w:val="13"/>
        </w:rPr>
        <w:sectPr>
          <w:footerReference w:type="default" r:id="rId38"/>
          <w:pgSz w:w="12240" w:h="15840"/>
          <w:pgMar w:footer="0" w:header="0" w:top="1260" w:bottom="280" w:left="1400" w:right="1180"/>
        </w:sectPr>
      </w:pPr>
    </w:p>
    <w:p>
      <w:pPr>
        <w:pStyle w:val="BodyText"/>
        <w:rPr>
          <w:rFonts w:ascii="Arial"/>
          <w:sz w:val="20"/>
        </w:rPr>
      </w:pPr>
    </w:p>
    <w:p>
      <w:pPr>
        <w:pStyle w:val="BodyText"/>
        <w:spacing w:before="7"/>
        <w:rPr>
          <w:rFonts w:ascii="Arial"/>
          <w:sz w:val="26"/>
        </w:rPr>
      </w:pPr>
    </w:p>
    <w:p>
      <w:pPr>
        <w:pStyle w:val="BodyText"/>
        <w:ind w:left="489"/>
        <w:rPr>
          <w:rFonts w:ascii="Arial"/>
          <w:sz w:val="20"/>
        </w:rPr>
      </w:pPr>
      <w:r>
        <w:rPr>
          <w:rFonts w:ascii="Arial"/>
          <w:sz w:val="20"/>
        </w:rPr>
        <mc:AlternateContent>
          <mc:Choice Requires="wps">
            <w:drawing>
              <wp:inline distT="0" distB="0" distL="0" distR="0">
                <wp:extent cx="5506085" cy="7247255"/>
                <wp:effectExtent l="0" t="0" r="0" b="1270"/>
                <wp:docPr id="353" name="Group 353"/>
                <wp:cNvGraphicFramePr>
                  <a:graphicFrameLocks/>
                </wp:cNvGraphicFramePr>
                <a:graphic>
                  <a:graphicData uri="http://schemas.microsoft.com/office/word/2010/wordprocessingGroup">
                    <wpg:wgp>
                      <wpg:cNvPr id="353" name="Group 353"/>
                      <wpg:cNvGrpSpPr/>
                      <wpg:grpSpPr>
                        <a:xfrm>
                          <a:off x="0" y="0"/>
                          <a:ext cx="5506085" cy="7247255"/>
                          <a:chExt cx="5506085" cy="7247255"/>
                        </a:xfrm>
                      </wpg:grpSpPr>
                      <pic:pic>
                        <pic:nvPicPr>
                          <pic:cNvPr id="354" name="Image 354"/>
                          <pic:cNvPicPr/>
                        </pic:nvPicPr>
                        <pic:blipFill>
                          <a:blip r:embed="rId41" cstate="print"/>
                          <a:stretch>
                            <a:fillRect/>
                          </a:stretch>
                        </pic:blipFill>
                        <pic:spPr>
                          <a:xfrm>
                            <a:off x="25400" y="25400"/>
                            <a:ext cx="5455050" cy="7195880"/>
                          </a:xfrm>
                          <a:prstGeom prst="rect">
                            <a:avLst/>
                          </a:prstGeom>
                        </pic:spPr>
                      </pic:pic>
                      <wps:wsp>
                        <wps:cNvPr id="355" name="Graphic 355"/>
                        <wps:cNvSpPr/>
                        <wps:spPr>
                          <a:xfrm>
                            <a:off x="25400" y="25400"/>
                            <a:ext cx="5455285" cy="7196455"/>
                          </a:xfrm>
                          <a:custGeom>
                            <a:avLst/>
                            <a:gdLst/>
                            <a:ahLst/>
                            <a:cxnLst/>
                            <a:rect l="l" t="t" r="r" b="b"/>
                            <a:pathLst>
                              <a:path w="5455285" h="7196455">
                                <a:moveTo>
                                  <a:pt x="0" y="0"/>
                                </a:moveTo>
                                <a:lnTo>
                                  <a:pt x="5455050" y="0"/>
                                </a:lnTo>
                                <a:lnTo>
                                  <a:pt x="5455050" y="7195880"/>
                                </a:lnTo>
                                <a:lnTo>
                                  <a:pt x="0" y="7195880"/>
                                </a:lnTo>
                                <a:lnTo>
                                  <a:pt x="0" y="0"/>
                                </a:lnTo>
                                <a:close/>
                              </a:path>
                            </a:pathLst>
                          </a:custGeom>
                          <a:ln w="508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3.55pt;height:570.65pt;mso-position-horizontal-relative:char;mso-position-vertical-relative:line" id="docshapegroup351" coordorigin="0,0" coordsize="8671,11413">
                <v:shape style="position:absolute;left:40;top:40;width:8591;height:11333" type="#_x0000_t75" id="docshape352" stroked="false">
                  <v:imagedata r:id="rId41" o:title=""/>
                </v:shape>
                <v:rect style="position:absolute;left:40;top:40;width:8591;height:11333" id="docshape353" filled="false" stroked="true" strokeweight="4pt" strokecolor="#000000">
                  <v:stroke dashstyle="solid"/>
                </v:rect>
              </v:group>
            </w:pict>
          </mc:Fallback>
        </mc:AlternateContent>
      </w:r>
      <w:r>
        <w:rPr>
          <w:rFonts w:ascii="Arial"/>
          <w:sz w:val="20"/>
        </w:rPr>
      </w:r>
    </w:p>
    <w:p>
      <w:pPr>
        <w:spacing w:after="0"/>
        <w:rPr>
          <w:rFonts w:ascii="Arial"/>
          <w:sz w:val="20"/>
        </w:rPr>
        <w:sectPr>
          <w:footerReference w:type="default" r:id="rId40"/>
          <w:pgSz w:w="12240" w:h="15840"/>
          <w:pgMar w:footer="783" w:header="0" w:top="1820" w:bottom="980" w:left="1400" w:right="1180"/>
          <w:pgNumType w:start="130"/>
        </w:sectPr>
      </w:pPr>
    </w:p>
    <w:p>
      <w:pPr>
        <w:pStyle w:val="BodyText"/>
        <w:ind w:left="480"/>
        <w:rPr>
          <w:rFonts w:ascii="Arial"/>
          <w:sz w:val="20"/>
        </w:rPr>
      </w:pPr>
      <w:r>
        <w:rPr>
          <w:rFonts w:ascii="Arial"/>
          <w:sz w:val="20"/>
        </w:rPr>
        <w:drawing>
          <wp:inline distT="0" distB="0" distL="0" distR="0">
            <wp:extent cx="5706720" cy="7379208"/>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42" cstate="print"/>
                    <a:stretch>
                      <a:fillRect/>
                    </a:stretch>
                  </pic:blipFill>
                  <pic:spPr>
                    <a:xfrm>
                      <a:off x="0" y="0"/>
                      <a:ext cx="5706720" cy="7379208"/>
                    </a:xfrm>
                    <a:prstGeom prst="rect">
                      <a:avLst/>
                    </a:prstGeom>
                  </pic:spPr>
                </pic:pic>
              </a:graphicData>
            </a:graphic>
          </wp:inline>
        </w:drawing>
      </w:r>
      <w:r>
        <w:rPr>
          <w:rFonts w:ascii="Arial"/>
          <w:sz w:val="20"/>
        </w:rPr>
      </w:r>
    </w:p>
    <w:p>
      <w:pPr>
        <w:spacing w:after="0"/>
        <w:rPr>
          <w:rFonts w:ascii="Arial"/>
          <w:sz w:val="20"/>
        </w:rPr>
        <w:sectPr>
          <w:pgSz w:w="12240" w:h="15840"/>
          <w:pgMar w:header="0" w:footer="783" w:top="1560" w:bottom="980" w:left="1400" w:right="1180"/>
        </w:sectPr>
      </w:pPr>
    </w:p>
    <w:p>
      <w:pPr>
        <w:pStyle w:val="BodyText"/>
        <w:spacing w:before="5"/>
        <w:rPr>
          <w:rFonts w:ascii="Arial"/>
        </w:rPr>
      </w:pPr>
    </w:p>
    <w:p>
      <w:pPr>
        <w:pStyle w:val="BodyText"/>
        <w:ind w:left="340"/>
        <w:rPr>
          <w:rFonts w:ascii="Arial"/>
          <w:sz w:val="20"/>
        </w:rPr>
      </w:pPr>
      <w:r>
        <w:rPr>
          <w:rFonts w:ascii="Arial"/>
          <w:sz w:val="20"/>
        </w:rPr>
        <mc:AlternateContent>
          <mc:Choice Requires="wps">
            <w:drawing>
              <wp:inline distT="0" distB="0" distL="0" distR="0">
                <wp:extent cx="5600700" cy="6623684"/>
                <wp:effectExtent l="0" t="0" r="0" b="5715"/>
                <wp:docPr id="357" name="Group 357"/>
                <wp:cNvGraphicFramePr>
                  <a:graphicFrameLocks/>
                </wp:cNvGraphicFramePr>
                <a:graphic>
                  <a:graphicData uri="http://schemas.microsoft.com/office/word/2010/wordprocessingGroup">
                    <wpg:wgp>
                      <wpg:cNvPr id="357" name="Group 357"/>
                      <wpg:cNvGrpSpPr/>
                      <wpg:grpSpPr>
                        <a:xfrm>
                          <a:off x="0" y="0"/>
                          <a:ext cx="5600700" cy="6623684"/>
                          <a:chExt cx="5600700" cy="6623684"/>
                        </a:xfrm>
                      </wpg:grpSpPr>
                      <pic:pic>
                        <pic:nvPicPr>
                          <pic:cNvPr id="358" name="Image 358"/>
                          <pic:cNvPicPr/>
                        </pic:nvPicPr>
                        <pic:blipFill>
                          <a:blip r:embed="rId43" cstate="print"/>
                          <a:stretch>
                            <a:fillRect/>
                          </a:stretch>
                        </pic:blipFill>
                        <pic:spPr>
                          <a:xfrm>
                            <a:off x="25400" y="25401"/>
                            <a:ext cx="5549900" cy="6572606"/>
                          </a:xfrm>
                          <a:prstGeom prst="rect">
                            <a:avLst/>
                          </a:prstGeom>
                        </pic:spPr>
                      </pic:pic>
                      <wps:wsp>
                        <wps:cNvPr id="359" name="Graphic 359"/>
                        <wps:cNvSpPr/>
                        <wps:spPr>
                          <a:xfrm>
                            <a:off x="25400" y="25400"/>
                            <a:ext cx="5549900" cy="6572884"/>
                          </a:xfrm>
                          <a:custGeom>
                            <a:avLst/>
                            <a:gdLst/>
                            <a:ahLst/>
                            <a:cxnLst/>
                            <a:rect l="l" t="t" r="r" b="b"/>
                            <a:pathLst>
                              <a:path w="5549900" h="6572884">
                                <a:moveTo>
                                  <a:pt x="0" y="0"/>
                                </a:moveTo>
                                <a:lnTo>
                                  <a:pt x="5549900" y="0"/>
                                </a:lnTo>
                                <a:lnTo>
                                  <a:pt x="5549900" y="6572606"/>
                                </a:lnTo>
                                <a:lnTo>
                                  <a:pt x="0" y="6572606"/>
                                </a:lnTo>
                                <a:lnTo>
                                  <a:pt x="0" y="0"/>
                                </a:lnTo>
                                <a:close/>
                              </a:path>
                            </a:pathLst>
                          </a:custGeom>
                          <a:ln w="508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pt;height:521.5500pt;mso-position-horizontal-relative:char;mso-position-vertical-relative:line" id="docshapegroup354" coordorigin="0,0" coordsize="8820,10431">
                <v:shape style="position:absolute;left:40;top:40;width:8740;height:10351" type="#_x0000_t75" id="docshape355" stroked="false">
                  <v:imagedata r:id="rId43" o:title=""/>
                </v:shape>
                <v:rect style="position:absolute;left:40;top:40;width:8740;height:10351" id="docshape356" filled="false" stroked="true" strokeweight="4pt" strokecolor="#000000">
                  <v:stroke dashstyle="solid"/>
                </v:rect>
              </v:group>
            </w:pict>
          </mc:Fallback>
        </mc:AlternateContent>
      </w:r>
      <w:r>
        <w:rPr>
          <w:rFonts w:ascii="Arial"/>
          <w:sz w:val="20"/>
        </w:rPr>
      </w:r>
    </w:p>
    <w:p>
      <w:pPr>
        <w:spacing w:after="0"/>
        <w:rPr>
          <w:rFonts w:ascii="Arial"/>
          <w:sz w:val="20"/>
        </w:rPr>
        <w:sectPr>
          <w:pgSz w:w="12240" w:h="15840"/>
          <w:pgMar w:header="0" w:footer="783" w:top="1820" w:bottom="980" w:left="1400" w:right="1180"/>
        </w:sectPr>
      </w:pPr>
    </w:p>
    <w:p>
      <w:pPr>
        <w:pStyle w:val="BodyText"/>
        <w:ind w:left="340"/>
        <w:rPr>
          <w:rFonts w:ascii="Arial"/>
          <w:sz w:val="20"/>
        </w:rPr>
      </w:pPr>
      <w:r>
        <w:rPr>
          <w:rFonts w:ascii="Arial"/>
          <w:sz w:val="20"/>
        </w:rPr>
        <mc:AlternateContent>
          <mc:Choice Requires="wps">
            <w:drawing>
              <wp:inline distT="0" distB="0" distL="0" distR="0">
                <wp:extent cx="5791200" cy="7414895"/>
                <wp:effectExtent l="0" t="0" r="0" b="5079"/>
                <wp:docPr id="360" name="Group 360"/>
                <wp:cNvGraphicFramePr>
                  <a:graphicFrameLocks/>
                </wp:cNvGraphicFramePr>
                <a:graphic>
                  <a:graphicData uri="http://schemas.microsoft.com/office/word/2010/wordprocessingGroup">
                    <wpg:wgp>
                      <wpg:cNvPr id="360" name="Group 360"/>
                      <wpg:cNvGrpSpPr/>
                      <wpg:grpSpPr>
                        <a:xfrm>
                          <a:off x="0" y="0"/>
                          <a:ext cx="5791200" cy="7414895"/>
                          <a:chExt cx="5791200" cy="7414895"/>
                        </a:xfrm>
                      </wpg:grpSpPr>
                      <pic:pic>
                        <pic:nvPicPr>
                          <pic:cNvPr id="361" name="Image 361"/>
                          <pic:cNvPicPr/>
                        </pic:nvPicPr>
                        <pic:blipFill>
                          <a:blip r:embed="rId44" cstate="print"/>
                          <a:stretch>
                            <a:fillRect/>
                          </a:stretch>
                        </pic:blipFill>
                        <pic:spPr>
                          <a:xfrm>
                            <a:off x="25400" y="25400"/>
                            <a:ext cx="5740010" cy="7363553"/>
                          </a:xfrm>
                          <a:prstGeom prst="rect">
                            <a:avLst/>
                          </a:prstGeom>
                        </pic:spPr>
                      </pic:pic>
                      <wps:wsp>
                        <wps:cNvPr id="362" name="Graphic 362"/>
                        <wps:cNvSpPr/>
                        <wps:spPr>
                          <a:xfrm>
                            <a:off x="25400" y="25400"/>
                            <a:ext cx="5740400" cy="7364095"/>
                          </a:xfrm>
                          <a:custGeom>
                            <a:avLst/>
                            <a:gdLst/>
                            <a:ahLst/>
                            <a:cxnLst/>
                            <a:rect l="l" t="t" r="r" b="b"/>
                            <a:pathLst>
                              <a:path w="5740400" h="7364095">
                                <a:moveTo>
                                  <a:pt x="0" y="0"/>
                                </a:moveTo>
                                <a:lnTo>
                                  <a:pt x="5740010" y="0"/>
                                </a:lnTo>
                                <a:lnTo>
                                  <a:pt x="5740010" y="7363553"/>
                                </a:lnTo>
                                <a:lnTo>
                                  <a:pt x="0" y="7363553"/>
                                </a:lnTo>
                                <a:lnTo>
                                  <a:pt x="0" y="0"/>
                                </a:lnTo>
                                <a:close/>
                              </a:path>
                            </a:pathLst>
                          </a:custGeom>
                          <a:ln w="508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6pt;height:583.85pt;mso-position-horizontal-relative:char;mso-position-vertical-relative:line" id="docshapegroup357" coordorigin="0,0" coordsize="9120,11677">
                <v:shape style="position:absolute;left:40;top:40;width:9040;height:11597" type="#_x0000_t75" id="docshape358" stroked="false">
                  <v:imagedata r:id="rId44" o:title=""/>
                </v:shape>
                <v:rect style="position:absolute;left:40;top:40;width:9040;height:11597" id="docshape359" filled="false" stroked="true" strokeweight="4pt" strokecolor="#000000">
                  <v:stroke dashstyle="solid"/>
                </v:rect>
              </v:group>
            </w:pict>
          </mc:Fallback>
        </mc:AlternateContent>
      </w:r>
      <w:r>
        <w:rPr>
          <w:rFonts w:ascii="Arial"/>
          <w:sz w:val="20"/>
        </w:rPr>
      </w:r>
    </w:p>
    <w:p>
      <w:pPr>
        <w:spacing w:after="0"/>
        <w:rPr>
          <w:rFonts w:ascii="Arial"/>
          <w:sz w:val="20"/>
        </w:rPr>
        <w:sectPr>
          <w:pgSz w:w="12240" w:h="15840"/>
          <w:pgMar w:header="0" w:footer="783" w:top="1520" w:bottom="980" w:left="1400" w:right="1180"/>
        </w:sectPr>
      </w:pPr>
    </w:p>
    <w:p>
      <w:pPr>
        <w:pStyle w:val="BodyText"/>
        <w:spacing w:before="66"/>
        <w:ind w:left="280" w:right="560"/>
      </w:pPr>
      <w:r>
        <w:rPr/>
        <w:t>Results from the 2021 and 2022 NSDUHs indicate that lesbian, gay, and bisexual adults are more likely than straight adults to use substances, experience mental health issues including major depressive episodes, and experience serious thoughts of suicide. The findings in this report particularly underscore</w:t>
      </w:r>
      <w:r>
        <w:rPr>
          <w:spacing w:val="-6"/>
        </w:rPr>
        <w:t> </w:t>
      </w:r>
      <w:r>
        <w:rPr/>
        <w:t>how</w:t>
      </w:r>
      <w:r>
        <w:rPr>
          <w:spacing w:val="-6"/>
        </w:rPr>
        <w:t> </w:t>
      </w:r>
      <w:r>
        <w:rPr/>
        <w:t>these</w:t>
      </w:r>
      <w:r>
        <w:rPr>
          <w:spacing w:val="-6"/>
        </w:rPr>
        <w:t> </w:t>
      </w:r>
      <w:r>
        <w:rPr/>
        <w:t>issues</w:t>
      </w:r>
      <w:r>
        <w:rPr>
          <w:spacing w:val="-6"/>
        </w:rPr>
        <w:t> </w:t>
      </w:r>
      <w:r>
        <w:rPr/>
        <w:t>affect</w:t>
      </w:r>
      <w:r>
        <w:rPr>
          <w:spacing w:val="-6"/>
        </w:rPr>
        <w:t> </w:t>
      </w:r>
      <w:r>
        <w:rPr/>
        <w:t>bisexual</w:t>
      </w:r>
      <w:r>
        <w:rPr>
          <w:spacing w:val="-6"/>
        </w:rPr>
        <w:t> </w:t>
      </w:r>
      <w:r>
        <w:rPr/>
        <w:t>adults.</w:t>
      </w:r>
      <w:r>
        <w:rPr>
          <w:spacing w:val="-6"/>
        </w:rPr>
        <w:t> </w:t>
      </w:r>
      <w:r>
        <w:rPr/>
        <w:t>However,</w:t>
      </w:r>
      <w:r>
        <w:rPr>
          <w:spacing w:val="-6"/>
        </w:rPr>
        <w:t> </w:t>
      </w:r>
      <w:r>
        <w:rPr/>
        <w:t>these</w:t>
      </w:r>
      <w:r>
        <w:rPr>
          <w:spacing w:val="-6"/>
        </w:rPr>
        <w:t> </w:t>
      </w:r>
      <w:r>
        <w:rPr/>
        <w:t>findings</w:t>
      </w:r>
      <w:r>
        <w:rPr>
          <w:spacing w:val="-6"/>
        </w:rPr>
        <w:t> </w:t>
      </w:r>
      <w:r>
        <w:rPr/>
        <w:t>do not explain the reasons for these differences, such as the influence of stressors that are unique to people who identify as lesbian, gay, bisexual, transgender, queer, or intersex (LGBTQI+). SAMHSA</w:t>
      </w:r>
      <w:r>
        <w:rPr>
          <w:spacing w:val="-5"/>
        </w:rPr>
        <w:t> </w:t>
      </w:r>
      <w:r>
        <w:rPr/>
        <w:t>is committed to eliminating health inequities experienced by the LGBTQI+ community.</w:t>
      </w:r>
      <w:r>
        <w:rPr>
          <w:spacing w:val="-5"/>
        </w:rPr>
        <w:t> </w:t>
      </w:r>
      <w:r>
        <w:rPr/>
        <w:t>As such, SAMHSA</w:t>
      </w:r>
      <w:r>
        <w:rPr>
          <w:spacing w:val="-5"/>
        </w:rPr>
        <w:t> </w:t>
      </w:r>
      <w:r>
        <w:rPr/>
        <w:t>has several efforts focused on LGBTQI+ people, including encouraging states to consider LGBTQI+ needs in administering SAMHSA</w:t>
      </w:r>
      <w:r>
        <w:rPr>
          <w:spacing w:val="-2"/>
        </w:rPr>
        <w:t> </w:t>
      </w:r>
      <w:r>
        <w:rPr/>
        <w:t>block grant resources, issuing funding announcements focused on sexual and gender minorities, and expanding data collection efforts to capture the experiences of LGBTQI+ people more accurately. For more information, see https://</w:t>
      </w:r>
      <w:hyperlink r:id="rId45">
        <w:r>
          <w:rPr/>
          <w:t>www.samhsa.gov/</w:t>
        </w:r>
      </w:hyperlink>
      <w:r>
        <w:rPr/>
        <w:t> </w:t>
      </w:r>
      <w:r>
        <w:rPr>
          <w:spacing w:val="-2"/>
        </w:rPr>
        <w:t>behavioral-health-equity/lgbtqi.</w:t>
      </w:r>
    </w:p>
    <w:p>
      <w:pPr>
        <w:pStyle w:val="BodyText"/>
        <w:spacing w:before="10"/>
        <w:rPr>
          <w:sz w:val="25"/>
        </w:rPr>
      </w:pPr>
    </w:p>
    <w:p>
      <w:pPr>
        <w:spacing w:before="0"/>
        <w:ind w:left="280" w:right="0" w:firstLine="0"/>
        <w:jc w:val="left"/>
        <w:rPr>
          <w:i/>
          <w:sz w:val="24"/>
        </w:rPr>
      </w:pPr>
      <w:r>
        <w:rPr>
          <w:i/>
          <w:sz w:val="24"/>
        </w:rPr>
        <w:t>End </w:t>
      </w:r>
      <w:r>
        <w:rPr>
          <w:i/>
          <w:spacing w:val="-2"/>
          <w:sz w:val="24"/>
        </w:rPr>
        <w:t>Notes</w:t>
      </w:r>
    </w:p>
    <w:p>
      <w:pPr>
        <w:pStyle w:val="BodyText"/>
        <w:spacing w:before="2"/>
        <w:rPr>
          <w:i/>
        </w:rPr>
      </w:pPr>
    </w:p>
    <w:p>
      <w:pPr>
        <w:spacing w:line="261" w:lineRule="auto" w:before="1"/>
        <w:ind w:left="280" w:right="1185" w:firstLine="0"/>
        <w:jc w:val="both"/>
        <w:rPr>
          <w:i/>
          <w:sz w:val="24"/>
        </w:rPr>
      </w:pPr>
      <w:r>
        <w:rPr>
          <w:i/>
          <w:sz w:val="24"/>
        </w:rPr>
        <w:t>Medley,</w:t>
      </w:r>
      <w:r>
        <w:rPr>
          <w:i/>
          <w:spacing w:val="-5"/>
          <w:sz w:val="24"/>
        </w:rPr>
        <w:t> </w:t>
      </w:r>
      <w:r>
        <w:rPr>
          <w:i/>
          <w:sz w:val="24"/>
        </w:rPr>
        <w:t>G.,</w:t>
      </w:r>
      <w:r>
        <w:rPr>
          <w:i/>
          <w:spacing w:val="-5"/>
          <w:sz w:val="24"/>
        </w:rPr>
        <w:t> </w:t>
      </w:r>
      <w:r>
        <w:rPr>
          <w:i/>
          <w:sz w:val="24"/>
        </w:rPr>
        <w:t>Lipari,</w:t>
      </w:r>
      <w:r>
        <w:rPr>
          <w:i/>
          <w:spacing w:val="-5"/>
          <w:sz w:val="24"/>
        </w:rPr>
        <w:t> </w:t>
      </w:r>
      <w:r>
        <w:rPr>
          <w:i/>
          <w:sz w:val="24"/>
        </w:rPr>
        <w:t>R.</w:t>
      </w:r>
      <w:r>
        <w:rPr>
          <w:i/>
          <w:spacing w:val="-5"/>
          <w:sz w:val="24"/>
        </w:rPr>
        <w:t> </w:t>
      </w:r>
      <w:r>
        <w:rPr>
          <w:i/>
          <w:sz w:val="24"/>
        </w:rPr>
        <w:t>N.,</w:t>
      </w:r>
      <w:r>
        <w:rPr>
          <w:i/>
          <w:spacing w:val="-5"/>
          <w:sz w:val="24"/>
        </w:rPr>
        <w:t> </w:t>
      </w:r>
      <w:r>
        <w:rPr>
          <w:i/>
          <w:sz w:val="24"/>
        </w:rPr>
        <w:t>Bose,</w:t>
      </w:r>
      <w:r>
        <w:rPr>
          <w:i/>
          <w:spacing w:val="-5"/>
          <w:sz w:val="24"/>
        </w:rPr>
        <w:t> </w:t>
      </w:r>
      <w:r>
        <w:rPr>
          <w:i/>
          <w:sz w:val="24"/>
        </w:rPr>
        <w:t>J.,</w:t>
      </w:r>
      <w:r>
        <w:rPr>
          <w:i/>
          <w:spacing w:val="-5"/>
          <w:sz w:val="24"/>
        </w:rPr>
        <w:t> </w:t>
      </w:r>
      <w:r>
        <w:rPr>
          <w:i/>
          <w:sz w:val="24"/>
        </w:rPr>
        <w:t>Cribb,</w:t>
      </w:r>
      <w:r>
        <w:rPr>
          <w:i/>
          <w:spacing w:val="-5"/>
          <w:sz w:val="24"/>
        </w:rPr>
        <w:t> </w:t>
      </w:r>
      <w:r>
        <w:rPr>
          <w:i/>
          <w:sz w:val="24"/>
        </w:rPr>
        <w:t>D.</w:t>
      </w:r>
      <w:r>
        <w:rPr>
          <w:i/>
          <w:spacing w:val="-5"/>
          <w:sz w:val="24"/>
        </w:rPr>
        <w:t> </w:t>
      </w:r>
      <w:r>
        <w:rPr>
          <w:i/>
          <w:sz w:val="24"/>
        </w:rPr>
        <w:t>S.,</w:t>
      </w:r>
      <w:r>
        <w:rPr>
          <w:i/>
          <w:spacing w:val="-5"/>
          <w:sz w:val="24"/>
        </w:rPr>
        <w:t> </w:t>
      </w:r>
      <w:r>
        <w:rPr>
          <w:i/>
          <w:sz w:val="24"/>
        </w:rPr>
        <w:t>Kroutil,</w:t>
      </w:r>
      <w:r>
        <w:rPr>
          <w:i/>
          <w:spacing w:val="-5"/>
          <w:sz w:val="24"/>
        </w:rPr>
        <w:t> </w:t>
      </w:r>
      <w:r>
        <w:rPr>
          <w:i/>
          <w:sz w:val="24"/>
        </w:rPr>
        <w:t>L.</w:t>
      </w:r>
      <w:r>
        <w:rPr>
          <w:i/>
          <w:spacing w:val="-10"/>
          <w:sz w:val="24"/>
        </w:rPr>
        <w:t> </w:t>
      </w:r>
      <w:r>
        <w:rPr>
          <w:i/>
          <w:sz w:val="24"/>
        </w:rPr>
        <w:t>A.,</w:t>
      </w:r>
      <w:r>
        <w:rPr>
          <w:i/>
          <w:spacing w:val="-5"/>
          <w:sz w:val="24"/>
        </w:rPr>
        <w:t> </w:t>
      </w:r>
      <w:r>
        <w:rPr>
          <w:i/>
          <w:sz w:val="24"/>
        </w:rPr>
        <w:t>&amp;</w:t>
      </w:r>
      <w:r>
        <w:rPr>
          <w:i/>
          <w:spacing w:val="-5"/>
          <w:sz w:val="24"/>
        </w:rPr>
        <w:t> </w:t>
      </w:r>
      <w:r>
        <w:rPr>
          <w:i/>
          <w:sz w:val="24"/>
        </w:rPr>
        <w:t>McHenry,</w:t>
      </w:r>
      <w:r>
        <w:rPr>
          <w:i/>
          <w:spacing w:val="-5"/>
          <w:sz w:val="24"/>
        </w:rPr>
        <w:t> </w:t>
      </w:r>
      <w:r>
        <w:rPr>
          <w:i/>
          <w:sz w:val="24"/>
        </w:rPr>
        <w:t>G.</w:t>
      </w:r>
      <w:r>
        <w:rPr>
          <w:i/>
          <w:spacing w:val="-5"/>
          <w:sz w:val="24"/>
        </w:rPr>
        <w:t> </w:t>
      </w:r>
      <w:r>
        <w:rPr>
          <w:i/>
          <w:sz w:val="24"/>
        </w:rPr>
        <w:t>(2016,</w:t>
      </w:r>
      <w:r>
        <w:rPr>
          <w:i/>
          <w:sz w:val="24"/>
        </w:rPr>
        <w:t> October).</w:t>
      </w:r>
      <w:r>
        <w:rPr>
          <w:i/>
          <w:spacing w:val="-3"/>
          <w:sz w:val="24"/>
        </w:rPr>
        <w:t> </w:t>
      </w:r>
      <w:r>
        <w:rPr>
          <w:i/>
          <w:sz w:val="24"/>
        </w:rPr>
        <w:t>Sexual</w:t>
      </w:r>
      <w:r>
        <w:rPr>
          <w:i/>
          <w:spacing w:val="-3"/>
          <w:sz w:val="24"/>
        </w:rPr>
        <w:t> </w:t>
      </w:r>
      <w:r>
        <w:rPr>
          <w:i/>
          <w:sz w:val="24"/>
        </w:rPr>
        <w:t>orientation</w:t>
      </w:r>
      <w:r>
        <w:rPr>
          <w:i/>
          <w:spacing w:val="-3"/>
          <w:sz w:val="24"/>
        </w:rPr>
        <w:t> </w:t>
      </w:r>
      <w:r>
        <w:rPr>
          <w:i/>
          <w:sz w:val="24"/>
        </w:rPr>
        <w:t>and</w:t>
      </w:r>
      <w:r>
        <w:rPr>
          <w:i/>
          <w:spacing w:val="-3"/>
          <w:sz w:val="24"/>
        </w:rPr>
        <w:t> </w:t>
      </w:r>
      <w:r>
        <w:rPr>
          <w:i/>
          <w:sz w:val="24"/>
        </w:rPr>
        <w:t>estimates</w:t>
      </w:r>
      <w:r>
        <w:rPr>
          <w:i/>
          <w:spacing w:val="-3"/>
          <w:sz w:val="24"/>
        </w:rPr>
        <w:t> </w:t>
      </w:r>
      <w:r>
        <w:rPr>
          <w:i/>
          <w:sz w:val="24"/>
        </w:rPr>
        <w:t>of</w:t>
      </w:r>
      <w:r>
        <w:rPr>
          <w:i/>
          <w:spacing w:val="-3"/>
          <w:sz w:val="24"/>
        </w:rPr>
        <w:t> </w:t>
      </w:r>
      <w:r>
        <w:rPr>
          <w:i/>
          <w:sz w:val="24"/>
        </w:rPr>
        <w:t>adult</w:t>
      </w:r>
      <w:r>
        <w:rPr>
          <w:i/>
          <w:spacing w:val="-3"/>
          <w:sz w:val="24"/>
        </w:rPr>
        <w:t> </w:t>
      </w:r>
      <w:r>
        <w:rPr>
          <w:i/>
          <w:sz w:val="24"/>
        </w:rPr>
        <w:t>substance</w:t>
      </w:r>
      <w:r>
        <w:rPr>
          <w:i/>
          <w:spacing w:val="-4"/>
          <w:sz w:val="24"/>
        </w:rPr>
        <w:t> </w:t>
      </w:r>
      <w:r>
        <w:rPr>
          <w:i/>
          <w:sz w:val="24"/>
        </w:rPr>
        <w:t>use</w:t>
      </w:r>
      <w:r>
        <w:rPr>
          <w:i/>
          <w:spacing w:val="-4"/>
          <w:sz w:val="24"/>
        </w:rPr>
        <w:t> </w:t>
      </w:r>
      <w:r>
        <w:rPr>
          <w:i/>
          <w:sz w:val="24"/>
        </w:rPr>
        <w:t>and</w:t>
      </w:r>
      <w:r>
        <w:rPr>
          <w:i/>
          <w:spacing w:val="-3"/>
          <w:sz w:val="24"/>
        </w:rPr>
        <w:t> </w:t>
      </w:r>
      <w:r>
        <w:rPr>
          <w:i/>
          <w:sz w:val="24"/>
        </w:rPr>
        <w:t>mental</w:t>
      </w:r>
      <w:r>
        <w:rPr>
          <w:i/>
          <w:spacing w:val="-3"/>
          <w:sz w:val="24"/>
        </w:rPr>
        <w:t> </w:t>
      </w:r>
      <w:r>
        <w:rPr>
          <w:i/>
          <w:sz w:val="24"/>
        </w:rPr>
        <w:t>health: Results from the 2015 National Survey on Drug Use and Health.</w:t>
      </w:r>
    </w:p>
    <w:p>
      <w:pPr>
        <w:pStyle w:val="BodyText"/>
        <w:spacing w:before="9"/>
        <w:rPr>
          <w:i/>
          <w:sz w:val="25"/>
        </w:rPr>
      </w:pPr>
    </w:p>
    <w:p>
      <w:pPr>
        <w:spacing w:line="261" w:lineRule="auto" w:before="1"/>
        <w:ind w:left="280" w:right="1296" w:firstLine="0"/>
        <w:jc w:val="both"/>
        <w:rPr>
          <w:i/>
          <w:sz w:val="24"/>
        </w:rPr>
      </w:pPr>
      <w:r>
        <w:rPr>
          <w:i/>
          <w:sz w:val="24"/>
        </w:rPr>
        <w:t>NSDUH</w:t>
      </w:r>
      <w:r>
        <w:rPr>
          <w:i/>
          <w:spacing w:val="-15"/>
          <w:sz w:val="24"/>
        </w:rPr>
        <w:t> </w:t>
      </w:r>
      <w:r>
        <w:rPr>
          <w:i/>
          <w:sz w:val="24"/>
        </w:rPr>
        <w:t>Data</w:t>
      </w:r>
      <w:r>
        <w:rPr>
          <w:i/>
          <w:spacing w:val="-15"/>
          <w:sz w:val="24"/>
        </w:rPr>
        <w:t> </w:t>
      </w:r>
      <w:r>
        <w:rPr>
          <w:i/>
          <w:sz w:val="24"/>
        </w:rPr>
        <w:t>Review.</w:t>
      </w:r>
      <w:r>
        <w:rPr>
          <w:i/>
          <w:spacing w:val="-15"/>
          <w:sz w:val="24"/>
        </w:rPr>
        <w:t> </w:t>
      </w:r>
      <w:r>
        <w:rPr>
          <w:i/>
          <w:sz w:val="24"/>
        </w:rPr>
        <w:t>https://</w:t>
      </w:r>
      <w:hyperlink r:id="rId46">
        <w:r>
          <w:rPr>
            <w:i/>
            <w:sz w:val="24"/>
          </w:rPr>
          <w:t>www.</w:t>
        </w:r>
      </w:hyperlink>
      <w:r>
        <w:rPr>
          <w:i/>
          <w:spacing w:val="-15"/>
          <w:sz w:val="24"/>
        </w:rPr>
        <w:t> </w:t>
      </w:r>
      <w:r>
        <w:rPr>
          <w:i/>
          <w:sz w:val="24"/>
        </w:rPr>
        <w:t>samhsa.gov/data/report/sexual-orientation-and-</w:t>
      </w:r>
      <w:r>
        <w:rPr>
          <w:i/>
          <w:sz w:val="24"/>
        </w:rPr>
        <w:t> estimates-adultsubstance-use-and-mental-health-results-2015ational 2.</w:t>
      </w:r>
    </w:p>
    <w:p>
      <w:pPr>
        <w:pStyle w:val="BodyText"/>
        <w:spacing w:before="10"/>
        <w:rPr>
          <w:i/>
          <w:sz w:val="25"/>
        </w:rPr>
      </w:pPr>
    </w:p>
    <w:p>
      <w:pPr>
        <w:spacing w:line="261" w:lineRule="auto" w:before="0"/>
        <w:ind w:left="280" w:right="0" w:firstLine="0"/>
        <w:jc w:val="left"/>
        <w:rPr>
          <w:i/>
          <w:sz w:val="24"/>
        </w:rPr>
      </w:pPr>
      <w:r>
        <w:rPr>
          <w:i/>
          <w:sz w:val="24"/>
        </w:rPr>
        <w:t>Plöderl,</w:t>
      </w:r>
      <w:r>
        <w:rPr>
          <w:i/>
          <w:spacing w:val="-9"/>
          <w:sz w:val="24"/>
        </w:rPr>
        <w:t> </w:t>
      </w:r>
      <w:r>
        <w:rPr>
          <w:i/>
          <w:sz w:val="24"/>
        </w:rPr>
        <w:t>M.,</w:t>
      </w:r>
      <w:r>
        <w:rPr>
          <w:i/>
          <w:spacing w:val="-9"/>
          <w:sz w:val="24"/>
        </w:rPr>
        <w:t> </w:t>
      </w:r>
      <w:r>
        <w:rPr>
          <w:i/>
          <w:sz w:val="24"/>
        </w:rPr>
        <w:t>&amp;</w:t>
      </w:r>
      <w:r>
        <w:rPr>
          <w:i/>
          <w:spacing w:val="-9"/>
          <w:sz w:val="24"/>
        </w:rPr>
        <w:t> </w:t>
      </w:r>
      <w:r>
        <w:rPr>
          <w:i/>
          <w:sz w:val="24"/>
        </w:rPr>
        <w:t>Tremblay,</w:t>
      </w:r>
      <w:r>
        <w:rPr>
          <w:i/>
          <w:spacing w:val="-9"/>
          <w:sz w:val="24"/>
        </w:rPr>
        <w:t> </w:t>
      </w:r>
      <w:r>
        <w:rPr>
          <w:i/>
          <w:sz w:val="24"/>
        </w:rPr>
        <w:t>P.</w:t>
      </w:r>
      <w:r>
        <w:rPr>
          <w:i/>
          <w:spacing w:val="-9"/>
          <w:sz w:val="24"/>
        </w:rPr>
        <w:t> </w:t>
      </w:r>
      <w:r>
        <w:rPr>
          <w:i/>
          <w:sz w:val="24"/>
        </w:rPr>
        <w:t>(2015).</w:t>
      </w:r>
      <w:r>
        <w:rPr>
          <w:i/>
          <w:spacing w:val="-9"/>
          <w:sz w:val="24"/>
        </w:rPr>
        <w:t> </w:t>
      </w:r>
      <w:r>
        <w:rPr>
          <w:i/>
          <w:sz w:val="24"/>
        </w:rPr>
        <w:t>Mental</w:t>
      </w:r>
      <w:r>
        <w:rPr>
          <w:i/>
          <w:spacing w:val="-9"/>
          <w:sz w:val="24"/>
        </w:rPr>
        <w:t> </w:t>
      </w:r>
      <w:r>
        <w:rPr>
          <w:i/>
          <w:sz w:val="24"/>
        </w:rPr>
        <w:t>health</w:t>
      </w:r>
      <w:r>
        <w:rPr>
          <w:i/>
          <w:spacing w:val="-9"/>
          <w:sz w:val="24"/>
        </w:rPr>
        <w:t> </w:t>
      </w:r>
      <w:r>
        <w:rPr>
          <w:i/>
          <w:sz w:val="24"/>
        </w:rPr>
        <w:t>of</w:t>
      </w:r>
      <w:r>
        <w:rPr>
          <w:i/>
          <w:spacing w:val="-9"/>
          <w:sz w:val="24"/>
        </w:rPr>
        <w:t> </w:t>
      </w:r>
      <w:r>
        <w:rPr>
          <w:i/>
          <w:sz w:val="24"/>
        </w:rPr>
        <w:t>sexual</w:t>
      </w:r>
      <w:r>
        <w:rPr>
          <w:i/>
          <w:spacing w:val="-9"/>
          <w:sz w:val="24"/>
        </w:rPr>
        <w:t> </w:t>
      </w:r>
      <w:r>
        <w:rPr>
          <w:i/>
          <w:sz w:val="24"/>
        </w:rPr>
        <w:t>minorities.</w:t>
      </w:r>
      <w:r>
        <w:rPr>
          <w:i/>
          <w:spacing w:val="-13"/>
          <w:sz w:val="24"/>
        </w:rPr>
        <w:t> </w:t>
      </w:r>
      <w:r>
        <w:rPr>
          <w:i/>
          <w:sz w:val="24"/>
        </w:rPr>
        <w:t>A</w:t>
      </w:r>
      <w:r>
        <w:rPr>
          <w:i/>
          <w:spacing w:val="-13"/>
          <w:sz w:val="24"/>
        </w:rPr>
        <w:t> </w:t>
      </w:r>
      <w:r>
        <w:rPr>
          <w:i/>
          <w:sz w:val="24"/>
        </w:rPr>
        <w:t>systematic</w:t>
      </w:r>
      <w:r>
        <w:rPr>
          <w:i/>
          <w:spacing w:val="-9"/>
          <w:sz w:val="24"/>
        </w:rPr>
        <w:t> </w:t>
      </w:r>
      <w:r>
        <w:rPr>
          <w:i/>
          <w:sz w:val="24"/>
        </w:rPr>
        <w:t>review.</w:t>
      </w:r>
      <w:r>
        <w:rPr>
          <w:i/>
          <w:sz w:val="24"/>
        </w:rPr>
        <w:t> International Review of Psychiatry, 27(5), 367-385. https://doi.org/ 10.3109/09540261.2015.1083949</w:t>
      </w:r>
      <w:r>
        <w:rPr>
          <w:i/>
          <w:spacing w:val="-9"/>
          <w:sz w:val="24"/>
        </w:rPr>
        <w:t> </w:t>
      </w:r>
      <w:r>
        <w:rPr>
          <w:i/>
          <w:sz w:val="24"/>
        </w:rPr>
        <w:t>3.</w:t>
      </w:r>
      <w:r>
        <w:rPr>
          <w:i/>
          <w:spacing w:val="-9"/>
          <w:sz w:val="24"/>
        </w:rPr>
        <w:t> </w:t>
      </w:r>
      <w:r>
        <w:rPr>
          <w:i/>
          <w:sz w:val="24"/>
        </w:rPr>
        <w:t>Jones,</w:t>
      </w:r>
      <w:r>
        <w:rPr>
          <w:i/>
          <w:spacing w:val="-9"/>
          <w:sz w:val="24"/>
        </w:rPr>
        <w:t> </w:t>
      </w:r>
      <w:r>
        <w:rPr>
          <w:i/>
          <w:sz w:val="24"/>
        </w:rPr>
        <w:t>C.</w:t>
      </w:r>
      <w:r>
        <w:rPr>
          <w:i/>
          <w:spacing w:val="-9"/>
          <w:sz w:val="24"/>
        </w:rPr>
        <w:t> </w:t>
      </w:r>
      <w:r>
        <w:rPr>
          <w:i/>
          <w:sz w:val="24"/>
        </w:rPr>
        <w:t>M.,</w:t>
      </w:r>
      <w:r>
        <w:rPr>
          <w:i/>
          <w:spacing w:val="-9"/>
          <w:sz w:val="24"/>
        </w:rPr>
        <w:t> </w:t>
      </w:r>
      <w:r>
        <w:rPr>
          <w:i/>
          <w:sz w:val="24"/>
        </w:rPr>
        <w:t>Clayton,</w:t>
      </w:r>
      <w:r>
        <w:rPr>
          <w:i/>
          <w:spacing w:val="-9"/>
          <w:sz w:val="24"/>
        </w:rPr>
        <w:t> </w:t>
      </w:r>
      <w:r>
        <w:rPr>
          <w:i/>
          <w:sz w:val="24"/>
        </w:rPr>
        <w:t>H.</w:t>
      </w:r>
      <w:r>
        <w:rPr>
          <w:i/>
          <w:spacing w:val="-9"/>
          <w:sz w:val="24"/>
        </w:rPr>
        <w:t> </w:t>
      </w:r>
      <w:r>
        <w:rPr>
          <w:i/>
          <w:sz w:val="24"/>
        </w:rPr>
        <w:t>B.,</w:t>
      </w:r>
      <w:r>
        <w:rPr>
          <w:i/>
          <w:spacing w:val="-9"/>
          <w:sz w:val="24"/>
        </w:rPr>
        <w:t> </w:t>
      </w:r>
      <w:r>
        <w:rPr>
          <w:i/>
          <w:sz w:val="24"/>
        </w:rPr>
        <w:t>Deputy,</w:t>
      </w:r>
      <w:r>
        <w:rPr>
          <w:i/>
          <w:spacing w:val="-9"/>
          <w:sz w:val="24"/>
        </w:rPr>
        <w:t> </w:t>
      </w:r>
      <w:r>
        <w:rPr>
          <w:i/>
          <w:sz w:val="24"/>
        </w:rPr>
        <w:t>N.</w:t>
      </w:r>
      <w:r>
        <w:rPr>
          <w:i/>
          <w:spacing w:val="-9"/>
          <w:sz w:val="24"/>
        </w:rPr>
        <w:t> </w:t>
      </w:r>
      <w:r>
        <w:rPr>
          <w:i/>
          <w:sz w:val="24"/>
        </w:rPr>
        <w:t>P.,</w:t>
      </w:r>
      <w:r>
        <w:rPr>
          <w:i/>
          <w:spacing w:val="-9"/>
          <w:sz w:val="24"/>
        </w:rPr>
        <w:t> </w:t>
      </w:r>
      <w:r>
        <w:rPr>
          <w:i/>
          <w:sz w:val="24"/>
        </w:rPr>
        <w:t>Roehler,</w:t>
      </w:r>
      <w:r>
        <w:rPr>
          <w:i/>
          <w:spacing w:val="-9"/>
          <w:sz w:val="24"/>
        </w:rPr>
        <w:t> </w:t>
      </w:r>
      <w:r>
        <w:rPr>
          <w:i/>
          <w:sz w:val="24"/>
        </w:rPr>
        <w:t>D.</w:t>
      </w:r>
    </w:p>
    <w:p>
      <w:pPr>
        <w:spacing w:line="274" w:lineRule="exact" w:before="0"/>
        <w:ind w:left="280" w:right="0" w:firstLine="0"/>
        <w:jc w:val="left"/>
        <w:rPr>
          <w:i/>
          <w:sz w:val="24"/>
        </w:rPr>
      </w:pPr>
      <w:r>
        <w:rPr>
          <w:i/>
          <w:sz w:val="24"/>
        </w:rPr>
        <w:t>R.,</w:t>
      </w:r>
      <w:r>
        <w:rPr>
          <w:i/>
          <w:spacing w:val="-11"/>
          <w:sz w:val="24"/>
        </w:rPr>
        <w:t> </w:t>
      </w:r>
      <w:r>
        <w:rPr>
          <w:i/>
          <w:sz w:val="24"/>
        </w:rPr>
        <w:t>Ko,</w:t>
      </w:r>
      <w:r>
        <w:rPr>
          <w:i/>
          <w:spacing w:val="-9"/>
          <w:sz w:val="24"/>
        </w:rPr>
        <w:t> </w:t>
      </w:r>
      <w:r>
        <w:rPr>
          <w:i/>
          <w:sz w:val="24"/>
        </w:rPr>
        <w:t>J.</w:t>
      </w:r>
      <w:r>
        <w:rPr>
          <w:i/>
          <w:spacing w:val="-9"/>
          <w:sz w:val="24"/>
        </w:rPr>
        <w:t> </w:t>
      </w:r>
      <w:r>
        <w:rPr>
          <w:i/>
          <w:sz w:val="24"/>
        </w:rPr>
        <w:t>Y.,</w:t>
      </w:r>
      <w:r>
        <w:rPr>
          <w:i/>
          <w:spacing w:val="-9"/>
          <w:sz w:val="24"/>
        </w:rPr>
        <w:t> </w:t>
      </w:r>
      <w:r>
        <w:rPr>
          <w:i/>
          <w:sz w:val="24"/>
        </w:rPr>
        <w:t>Esser,</w:t>
      </w:r>
      <w:r>
        <w:rPr>
          <w:i/>
          <w:spacing w:val="-9"/>
          <w:sz w:val="24"/>
        </w:rPr>
        <w:t> </w:t>
      </w:r>
      <w:r>
        <w:rPr>
          <w:i/>
          <w:sz w:val="24"/>
        </w:rPr>
        <w:t>M.</w:t>
      </w:r>
      <w:r>
        <w:rPr>
          <w:i/>
          <w:spacing w:val="-9"/>
          <w:sz w:val="24"/>
        </w:rPr>
        <w:t> </w:t>
      </w:r>
      <w:r>
        <w:rPr>
          <w:i/>
          <w:sz w:val="24"/>
        </w:rPr>
        <w:t>B.,</w:t>
      </w:r>
      <w:r>
        <w:rPr>
          <w:i/>
          <w:spacing w:val="-9"/>
          <w:sz w:val="24"/>
        </w:rPr>
        <w:t> </w:t>
      </w:r>
      <w:r>
        <w:rPr>
          <w:i/>
          <w:sz w:val="24"/>
        </w:rPr>
        <w:t>Brookmeyer,</w:t>
      </w:r>
      <w:r>
        <w:rPr>
          <w:i/>
          <w:spacing w:val="-9"/>
          <w:sz w:val="24"/>
        </w:rPr>
        <w:t> </w:t>
      </w:r>
      <w:r>
        <w:rPr>
          <w:i/>
          <w:sz w:val="24"/>
        </w:rPr>
        <w:t>K.</w:t>
      </w:r>
      <w:r>
        <w:rPr>
          <w:i/>
          <w:spacing w:val="-13"/>
          <w:sz w:val="24"/>
        </w:rPr>
        <w:t> </w:t>
      </w:r>
      <w:r>
        <w:rPr>
          <w:i/>
          <w:sz w:val="24"/>
        </w:rPr>
        <w:t>A.,</w:t>
      </w:r>
      <w:r>
        <w:rPr>
          <w:i/>
          <w:spacing w:val="-9"/>
          <w:sz w:val="24"/>
        </w:rPr>
        <w:t> </w:t>
      </w:r>
      <w:r>
        <w:rPr>
          <w:i/>
          <w:sz w:val="24"/>
        </w:rPr>
        <w:t>&amp;</w:t>
      </w:r>
      <w:r>
        <w:rPr>
          <w:i/>
          <w:spacing w:val="-9"/>
          <w:sz w:val="24"/>
        </w:rPr>
        <w:t> </w:t>
      </w:r>
      <w:r>
        <w:rPr>
          <w:i/>
          <w:sz w:val="24"/>
        </w:rPr>
        <w:t>Hertz,</w:t>
      </w:r>
      <w:r>
        <w:rPr>
          <w:i/>
          <w:spacing w:val="-9"/>
          <w:sz w:val="24"/>
        </w:rPr>
        <w:t> </w:t>
      </w:r>
      <w:r>
        <w:rPr>
          <w:i/>
          <w:sz w:val="24"/>
        </w:rPr>
        <w:t>M.</w:t>
      </w:r>
      <w:r>
        <w:rPr>
          <w:i/>
          <w:spacing w:val="-9"/>
          <w:sz w:val="24"/>
        </w:rPr>
        <w:t> </w:t>
      </w:r>
      <w:r>
        <w:rPr>
          <w:i/>
          <w:sz w:val="24"/>
        </w:rPr>
        <w:t>F.</w:t>
      </w:r>
      <w:r>
        <w:rPr>
          <w:i/>
          <w:spacing w:val="-8"/>
          <w:sz w:val="24"/>
        </w:rPr>
        <w:t> </w:t>
      </w:r>
      <w:r>
        <w:rPr>
          <w:i/>
          <w:spacing w:val="-2"/>
          <w:sz w:val="24"/>
        </w:rPr>
        <w:t>(2020).</w:t>
      </w:r>
    </w:p>
    <w:p>
      <w:pPr>
        <w:pStyle w:val="BodyText"/>
        <w:spacing w:before="2"/>
        <w:rPr>
          <w:i/>
        </w:rPr>
      </w:pPr>
    </w:p>
    <w:p>
      <w:pPr>
        <w:spacing w:line="261" w:lineRule="auto" w:before="1"/>
        <w:ind w:left="280" w:right="769" w:firstLine="0"/>
        <w:jc w:val="left"/>
        <w:rPr>
          <w:i/>
          <w:sz w:val="24"/>
        </w:rPr>
      </w:pPr>
      <w:r>
        <w:rPr>
          <w:i/>
          <w:sz w:val="24"/>
        </w:rPr>
        <w:t>Prescription opioid misuse and use of alcohol and other substances among high school</w:t>
      </w:r>
      <w:r>
        <w:rPr>
          <w:i/>
          <w:sz w:val="24"/>
        </w:rPr>
        <w:t> students — Youth Risk Behavior Survey, United States, 2019. MMWR Supplement, 69(1), 38-46. https://doi.org/10.15585/mmwr. su6901a5 4. Substance</w:t>
      </w:r>
      <w:r>
        <w:rPr>
          <w:i/>
          <w:spacing w:val="-1"/>
          <w:sz w:val="24"/>
        </w:rPr>
        <w:t> </w:t>
      </w:r>
      <w:r>
        <w:rPr>
          <w:i/>
          <w:sz w:val="24"/>
        </w:rPr>
        <w:t>Abuse and Mental Health Services Administration. (2023). Moving beyond change efforts: Evidence and action to support and affirm LGBTQI+ youth (SAMHSA Publication No. PEP22-03-12-001). U.S. Department of Health and Human Services. https://store.samhsa. gov/sites/default/files/ pep22-03-12-001.pdf</w:t>
      </w:r>
      <w:r>
        <w:rPr>
          <w:i/>
          <w:spacing w:val="-7"/>
          <w:sz w:val="24"/>
        </w:rPr>
        <w:t> </w:t>
      </w:r>
      <w:r>
        <w:rPr>
          <w:i/>
          <w:sz w:val="24"/>
        </w:rPr>
        <w:t>5.</w:t>
      </w:r>
      <w:r>
        <w:rPr>
          <w:i/>
          <w:spacing w:val="-7"/>
          <w:sz w:val="24"/>
        </w:rPr>
        <w:t> </w:t>
      </w:r>
      <w:r>
        <w:rPr>
          <w:i/>
          <w:sz w:val="24"/>
        </w:rPr>
        <w:t>Meyer,</w:t>
      </w:r>
      <w:r>
        <w:rPr>
          <w:i/>
          <w:spacing w:val="-7"/>
          <w:sz w:val="24"/>
        </w:rPr>
        <w:t> </w:t>
      </w:r>
      <w:r>
        <w:rPr>
          <w:i/>
          <w:sz w:val="24"/>
        </w:rPr>
        <w:t>I.</w:t>
      </w:r>
      <w:r>
        <w:rPr>
          <w:i/>
          <w:spacing w:val="-7"/>
          <w:sz w:val="24"/>
        </w:rPr>
        <w:t> </w:t>
      </w:r>
      <w:r>
        <w:rPr>
          <w:i/>
          <w:sz w:val="24"/>
        </w:rPr>
        <w:t>H.</w:t>
      </w:r>
      <w:r>
        <w:rPr>
          <w:i/>
          <w:spacing w:val="-7"/>
          <w:sz w:val="24"/>
        </w:rPr>
        <w:t> </w:t>
      </w:r>
      <w:r>
        <w:rPr>
          <w:i/>
          <w:sz w:val="24"/>
        </w:rPr>
        <w:t>(2003).</w:t>
      </w:r>
      <w:r>
        <w:rPr>
          <w:i/>
          <w:spacing w:val="-7"/>
          <w:sz w:val="24"/>
        </w:rPr>
        <w:t> </w:t>
      </w:r>
      <w:r>
        <w:rPr>
          <w:i/>
          <w:sz w:val="24"/>
        </w:rPr>
        <w:t>Prejudice,</w:t>
      </w:r>
      <w:r>
        <w:rPr>
          <w:i/>
          <w:spacing w:val="-7"/>
          <w:sz w:val="24"/>
        </w:rPr>
        <w:t> </w:t>
      </w:r>
      <w:r>
        <w:rPr>
          <w:i/>
          <w:sz w:val="24"/>
        </w:rPr>
        <w:t>social</w:t>
      </w:r>
      <w:r>
        <w:rPr>
          <w:i/>
          <w:spacing w:val="-7"/>
          <w:sz w:val="24"/>
        </w:rPr>
        <w:t> </w:t>
      </w:r>
      <w:r>
        <w:rPr>
          <w:i/>
          <w:sz w:val="24"/>
        </w:rPr>
        <w:t>stress,</w:t>
      </w:r>
      <w:r>
        <w:rPr>
          <w:i/>
          <w:spacing w:val="-7"/>
          <w:sz w:val="24"/>
        </w:rPr>
        <w:t> </w:t>
      </w:r>
      <w:r>
        <w:rPr>
          <w:i/>
          <w:sz w:val="24"/>
        </w:rPr>
        <w:t>and</w:t>
      </w:r>
      <w:r>
        <w:rPr>
          <w:i/>
          <w:spacing w:val="-7"/>
          <w:sz w:val="24"/>
        </w:rPr>
        <w:t> </w:t>
      </w:r>
      <w:r>
        <w:rPr>
          <w:i/>
          <w:sz w:val="24"/>
        </w:rPr>
        <w:t>mental</w:t>
      </w:r>
      <w:r>
        <w:rPr>
          <w:i/>
          <w:spacing w:val="-7"/>
          <w:sz w:val="24"/>
        </w:rPr>
        <w:t> </w:t>
      </w:r>
      <w:r>
        <w:rPr>
          <w:i/>
          <w:sz w:val="24"/>
        </w:rPr>
        <w:t>health</w:t>
      </w:r>
      <w:r>
        <w:rPr>
          <w:i/>
          <w:spacing w:val="-7"/>
          <w:sz w:val="24"/>
        </w:rPr>
        <w:t> </w:t>
      </w:r>
      <w:r>
        <w:rPr>
          <w:i/>
          <w:sz w:val="24"/>
        </w:rPr>
        <w:t>in lesbian, gay, and bisexual populations: Conceptual issues and research evidence.</w:t>
      </w:r>
    </w:p>
    <w:p>
      <w:pPr>
        <w:spacing w:line="269" w:lineRule="exact" w:before="0"/>
        <w:ind w:left="280" w:right="0" w:firstLine="0"/>
        <w:jc w:val="left"/>
        <w:rPr>
          <w:i/>
          <w:sz w:val="24"/>
        </w:rPr>
      </w:pPr>
      <w:r>
        <w:rPr>
          <w:i/>
          <w:sz w:val="24"/>
        </w:rPr>
        <w:t>Psychological</w:t>
      </w:r>
      <w:r>
        <w:rPr>
          <w:i/>
          <w:spacing w:val="-3"/>
          <w:sz w:val="24"/>
        </w:rPr>
        <w:t> </w:t>
      </w:r>
      <w:r>
        <w:rPr>
          <w:i/>
          <w:sz w:val="24"/>
        </w:rPr>
        <w:t>Bulletin,</w:t>
      </w:r>
      <w:r>
        <w:rPr>
          <w:i/>
          <w:spacing w:val="-2"/>
          <w:sz w:val="24"/>
        </w:rPr>
        <w:t> </w:t>
      </w:r>
      <w:r>
        <w:rPr>
          <w:i/>
          <w:sz w:val="24"/>
        </w:rPr>
        <w:t>129(5),</w:t>
      </w:r>
      <w:r>
        <w:rPr>
          <w:i/>
          <w:spacing w:val="-3"/>
          <w:sz w:val="24"/>
        </w:rPr>
        <w:t> </w:t>
      </w:r>
      <w:r>
        <w:rPr>
          <w:i/>
          <w:sz w:val="24"/>
        </w:rPr>
        <w:t>674-697.</w:t>
      </w:r>
      <w:r>
        <w:rPr>
          <w:i/>
          <w:spacing w:val="-2"/>
          <w:sz w:val="24"/>
        </w:rPr>
        <w:t> </w:t>
      </w:r>
      <w:r>
        <w:rPr>
          <w:i/>
          <w:sz w:val="24"/>
        </w:rPr>
        <w:t>https://doi.</w:t>
      </w:r>
      <w:r>
        <w:rPr>
          <w:i/>
          <w:spacing w:val="-3"/>
          <w:sz w:val="24"/>
        </w:rPr>
        <w:t> </w:t>
      </w:r>
      <w:r>
        <w:rPr>
          <w:i/>
          <w:sz w:val="24"/>
        </w:rPr>
        <w:t>org/10.1037/0033-2909.129.5.674</w:t>
      </w:r>
      <w:r>
        <w:rPr>
          <w:i/>
          <w:spacing w:val="-2"/>
          <w:sz w:val="24"/>
        </w:rPr>
        <w:t> </w:t>
      </w:r>
      <w:r>
        <w:rPr>
          <w:i/>
          <w:spacing w:val="-5"/>
          <w:sz w:val="24"/>
        </w:rPr>
        <w:t>6.</w:t>
      </w:r>
    </w:p>
    <w:p>
      <w:pPr>
        <w:pStyle w:val="BodyText"/>
        <w:spacing w:before="1"/>
        <w:rPr>
          <w:i/>
        </w:rPr>
      </w:pPr>
    </w:p>
    <w:p>
      <w:pPr>
        <w:spacing w:line="261" w:lineRule="auto" w:before="1"/>
        <w:ind w:left="280" w:right="502" w:firstLine="0"/>
        <w:jc w:val="left"/>
        <w:rPr>
          <w:i/>
          <w:sz w:val="24"/>
        </w:rPr>
      </w:pPr>
      <w:r>
        <w:rPr>
          <w:i/>
          <w:sz w:val="24"/>
        </w:rPr>
        <w:t>Parent, M. C., Arriaga, A. S., Gobble, T., &amp; Wille, L. (2019). Stress and substance use</w:t>
      </w:r>
      <w:r>
        <w:rPr>
          <w:i/>
          <w:sz w:val="24"/>
        </w:rPr>
        <w:t> among</w:t>
      </w:r>
      <w:r>
        <w:rPr>
          <w:i/>
          <w:spacing w:val="-6"/>
          <w:sz w:val="24"/>
        </w:rPr>
        <w:t> </w:t>
      </w:r>
      <w:r>
        <w:rPr>
          <w:i/>
          <w:sz w:val="24"/>
        </w:rPr>
        <w:t>sexual</w:t>
      </w:r>
      <w:r>
        <w:rPr>
          <w:i/>
          <w:spacing w:val="-6"/>
          <w:sz w:val="24"/>
        </w:rPr>
        <w:t> </w:t>
      </w:r>
      <w:r>
        <w:rPr>
          <w:i/>
          <w:sz w:val="24"/>
        </w:rPr>
        <w:t>and</w:t>
      </w:r>
      <w:r>
        <w:rPr>
          <w:i/>
          <w:spacing w:val="-6"/>
          <w:sz w:val="24"/>
        </w:rPr>
        <w:t> </w:t>
      </w:r>
      <w:r>
        <w:rPr>
          <w:i/>
          <w:sz w:val="24"/>
        </w:rPr>
        <w:t>gender</w:t>
      </w:r>
      <w:r>
        <w:rPr>
          <w:i/>
          <w:spacing w:val="-6"/>
          <w:sz w:val="24"/>
        </w:rPr>
        <w:t> </w:t>
      </w:r>
      <w:r>
        <w:rPr>
          <w:i/>
          <w:sz w:val="24"/>
        </w:rPr>
        <w:t>minority</w:t>
      </w:r>
      <w:r>
        <w:rPr>
          <w:i/>
          <w:spacing w:val="-7"/>
          <w:sz w:val="24"/>
        </w:rPr>
        <w:t> </w:t>
      </w:r>
      <w:r>
        <w:rPr>
          <w:i/>
          <w:sz w:val="24"/>
        </w:rPr>
        <w:t>individuals</w:t>
      </w:r>
      <w:r>
        <w:rPr>
          <w:i/>
          <w:spacing w:val="-6"/>
          <w:sz w:val="24"/>
        </w:rPr>
        <w:t> </w:t>
      </w:r>
      <w:r>
        <w:rPr>
          <w:i/>
          <w:sz w:val="24"/>
        </w:rPr>
        <w:t>across</w:t>
      </w:r>
      <w:r>
        <w:rPr>
          <w:i/>
          <w:spacing w:val="-6"/>
          <w:sz w:val="24"/>
        </w:rPr>
        <w:t> </w:t>
      </w:r>
      <w:r>
        <w:rPr>
          <w:i/>
          <w:sz w:val="24"/>
        </w:rPr>
        <w:t>the</w:t>
      </w:r>
      <w:r>
        <w:rPr>
          <w:i/>
          <w:spacing w:val="-7"/>
          <w:sz w:val="24"/>
        </w:rPr>
        <w:t> </w:t>
      </w:r>
      <w:r>
        <w:rPr>
          <w:i/>
          <w:sz w:val="24"/>
        </w:rPr>
        <w:t>lifespan.</w:t>
      </w:r>
      <w:r>
        <w:rPr>
          <w:i/>
          <w:spacing w:val="-6"/>
          <w:sz w:val="24"/>
        </w:rPr>
        <w:t> </w:t>
      </w:r>
      <w:r>
        <w:rPr>
          <w:i/>
          <w:sz w:val="24"/>
        </w:rPr>
        <w:t>Neurobiology</w:t>
      </w:r>
      <w:r>
        <w:rPr>
          <w:i/>
          <w:spacing w:val="-7"/>
          <w:sz w:val="24"/>
        </w:rPr>
        <w:t> </w:t>
      </w:r>
      <w:r>
        <w:rPr>
          <w:i/>
          <w:sz w:val="24"/>
        </w:rPr>
        <w:t>of</w:t>
      </w:r>
      <w:r>
        <w:rPr>
          <w:i/>
          <w:spacing w:val="-6"/>
          <w:sz w:val="24"/>
        </w:rPr>
        <w:t> </w:t>
      </w:r>
      <w:r>
        <w:rPr>
          <w:i/>
          <w:sz w:val="24"/>
        </w:rPr>
        <w:t>Stress,</w:t>
      </w:r>
    </w:p>
    <w:p>
      <w:pPr>
        <w:spacing w:after="0" w:line="261" w:lineRule="auto"/>
        <w:jc w:val="left"/>
        <w:rPr>
          <w:sz w:val="24"/>
        </w:rPr>
        <w:sectPr>
          <w:pgSz w:w="12240" w:h="15840"/>
          <w:pgMar w:header="0" w:footer="783" w:top="1260" w:bottom="980" w:left="1400" w:right="1180"/>
        </w:sectPr>
      </w:pPr>
    </w:p>
    <w:p>
      <w:pPr>
        <w:spacing w:before="74"/>
        <w:ind w:left="280" w:right="0" w:firstLine="0"/>
        <w:jc w:val="left"/>
        <w:rPr>
          <w:i/>
          <w:sz w:val="24"/>
        </w:rPr>
      </w:pPr>
      <w:r>
        <w:rPr>
          <w:i/>
          <w:sz w:val="24"/>
        </w:rPr>
        <w:t>10,</w:t>
      </w:r>
      <w:r>
        <w:rPr>
          <w:i/>
          <w:spacing w:val="-8"/>
          <w:sz w:val="24"/>
        </w:rPr>
        <w:t> </w:t>
      </w:r>
      <w:r>
        <w:rPr>
          <w:i/>
          <w:sz w:val="24"/>
        </w:rPr>
        <w:t>100146.</w:t>
      </w:r>
      <w:r>
        <w:rPr>
          <w:i/>
          <w:spacing w:val="-7"/>
          <w:sz w:val="24"/>
        </w:rPr>
        <w:t> </w:t>
      </w:r>
      <w:r>
        <w:rPr>
          <w:i/>
          <w:sz w:val="24"/>
        </w:rPr>
        <w:t>https://doi.</w:t>
      </w:r>
      <w:r>
        <w:rPr>
          <w:i/>
          <w:spacing w:val="-7"/>
          <w:sz w:val="24"/>
        </w:rPr>
        <w:t> </w:t>
      </w:r>
      <w:r>
        <w:rPr>
          <w:i/>
          <w:sz w:val="24"/>
        </w:rPr>
        <w:t>org/10.1016/j.ynstr.2018.100146</w:t>
      </w:r>
      <w:r>
        <w:rPr>
          <w:i/>
          <w:spacing w:val="-8"/>
          <w:sz w:val="24"/>
        </w:rPr>
        <w:t> </w:t>
      </w:r>
      <w:r>
        <w:rPr>
          <w:i/>
          <w:sz w:val="24"/>
        </w:rPr>
        <w:t>7.</w:t>
      </w:r>
      <w:r>
        <w:rPr>
          <w:i/>
          <w:spacing w:val="-7"/>
          <w:sz w:val="24"/>
        </w:rPr>
        <w:t> </w:t>
      </w:r>
      <w:r>
        <w:rPr>
          <w:i/>
          <w:sz w:val="24"/>
        </w:rPr>
        <w:t>Ross,</w:t>
      </w:r>
      <w:r>
        <w:rPr>
          <w:i/>
          <w:spacing w:val="-7"/>
          <w:sz w:val="24"/>
        </w:rPr>
        <w:t> </w:t>
      </w:r>
      <w:r>
        <w:rPr>
          <w:i/>
          <w:sz w:val="24"/>
        </w:rPr>
        <w:t>L.</w:t>
      </w:r>
      <w:r>
        <w:rPr>
          <w:i/>
          <w:spacing w:val="-8"/>
          <w:sz w:val="24"/>
        </w:rPr>
        <w:t> </w:t>
      </w:r>
      <w:r>
        <w:rPr>
          <w:i/>
          <w:sz w:val="24"/>
        </w:rPr>
        <w:t>E.,</w:t>
      </w:r>
      <w:r>
        <w:rPr>
          <w:i/>
          <w:spacing w:val="-7"/>
          <w:sz w:val="24"/>
        </w:rPr>
        <w:t> </w:t>
      </w:r>
      <w:r>
        <w:rPr>
          <w:i/>
          <w:sz w:val="24"/>
        </w:rPr>
        <w:t>Salway,</w:t>
      </w:r>
      <w:r>
        <w:rPr>
          <w:i/>
          <w:spacing w:val="-7"/>
          <w:sz w:val="24"/>
        </w:rPr>
        <w:t> </w:t>
      </w:r>
      <w:r>
        <w:rPr>
          <w:i/>
          <w:sz w:val="24"/>
        </w:rPr>
        <w:t>T.,</w:t>
      </w:r>
      <w:r>
        <w:rPr>
          <w:i/>
          <w:spacing w:val="-7"/>
          <w:sz w:val="24"/>
        </w:rPr>
        <w:t> </w:t>
      </w:r>
      <w:r>
        <w:rPr>
          <w:i/>
          <w:spacing w:val="-2"/>
          <w:sz w:val="24"/>
        </w:rPr>
        <w:t>Tarasoff,</w:t>
      </w:r>
    </w:p>
    <w:p>
      <w:pPr>
        <w:spacing w:before="24"/>
        <w:ind w:left="280" w:right="0" w:firstLine="0"/>
        <w:jc w:val="left"/>
        <w:rPr>
          <w:i/>
          <w:sz w:val="24"/>
        </w:rPr>
      </w:pPr>
      <w:r>
        <w:rPr>
          <w:i/>
          <w:sz w:val="24"/>
        </w:rPr>
        <w:t>L.</w:t>
      </w:r>
      <w:r>
        <w:rPr>
          <w:i/>
          <w:spacing w:val="-13"/>
          <w:sz w:val="24"/>
        </w:rPr>
        <w:t> </w:t>
      </w:r>
      <w:r>
        <w:rPr>
          <w:i/>
          <w:sz w:val="24"/>
        </w:rPr>
        <w:t>A.,</w:t>
      </w:r>
      <w:r>
        <w:rPr>
          <w:i/>
          <w:spacing w:val="-9"/>
          <w:sz w:val="24"/>
        </w:rPr>
        <w:t> </w:t>
      </w:r>
      <w:r>
        <w:rPr>
          <w:i/>
          <w:sz w:val="24"/>
        </w:rPr>
        <w:t>MacKay,</w:t>
      </w:r>
      <w:r>
        <w:rPr>
          <w:i/>
          <w:spacing w:val="-8"/>
          <w:sz w:val="24"/>
        </w:rPr>
        <w:t> </w:t>
      </w:r>
      <w:r>
        <w:rPr>
          <w:i/>
          <w:sz w:val="24"/>
        </w:rPr>
        <w:t>J.</w:t>
      </w:r>
      <w:r>
        <w:rPr>
          <w:i/>
          <w:spacing w:val="-9"/>
          <w:sz w:val="24"/>
        </w:rPr>
        <w:t> </w:t>
      </w:r>
      <w:r>
        <w:rPr>
          <w:i/>
          <w:sz w:val="24"/>
        </w:rPr>
        <w:t>M.,</w:t>
      </w:r>
      <w:r>
        <w:rPr>
          <w:i/>
          <w:spacing w:val="-8"/>
          <w:sz w:val="24"/>
        </w:rPr>
        <w:t> </w:t>
      </w:r>
      <w:r>
        <w:rPr>
          <w:i/>
          <w:sz w:val="24"/>
        </w:rPr>
        <w:t>Hawkins,</w:t>
      </w:r>
      <w:r>
        <w:rPr>
          <w:i/>
          <w:spacing w:val="-9"/>
          <w:sz w:val="24"/>
        </w:rPr>
        <w:t> </w:t>
      </w:r>
      <w:r>
        <w:rPr>
          <w:i/>
          <w:sz w:val="24"/>
        </w:rPr>
        <w:t>B.</w:t>
      </w:r>
      <w:r>
        <w:rPr>
          <w:i/>
          <w:spacing w:val="-8"/>
          <w:sz w:val="24"/>
        </w:rPr>
        <w:t> </w:t>
      </w:r>
      <w:r>
        <w:rPr>
          <w:i/>
          <w:sz w:val="24"/>
        </w:rPr>
        <w:t>W.,</w:t>
      </w:r>
      <w:r>
        <w:rPr>
          <w:i/>
          <w:spacing w:val="-9"/>
          <w:sz w:val="24"/>
        </w:rPr>
        <w:t> </w:t>
      </w:r>
      <w:r>
        <w:rPr>
          <w:i/>
          <w:sz w:val="24"/>
        </w:rPr>
        <w:t>&amp;</w:t>
      </w:r>
      <w:r>
        <w:rPr>
          <w:i/>
          <w:spacing w:val="-8"/>
          <w:sz w:val="24"/>
        </w:rPr>
        <w:t> </w:t>
      </w:r>
      <w:r>
        <w:rPr>
          <w:i/>
          <w:sz w:val="24"/>
        </w:rPr>
        <w:t>Fehr,</w:t>
      </w:r>
      <w:r>
        <w:rPr>
          <w:i/>
          <w:spacing w:val="-9"/>
          <w:sz w:val="24"/>
        </w:rPr>
        <w:t> </w:t>
      </w:r>
      <w:r>
        <w:rPr>
          <w:i/>
          <w:sz w:val="24"/>
        </w:rPr>
        <w:t>C.</w:t>
      </w:r>
      <w:r>
        <w:rPr>
          <w:i/>
          <w:spacing w:val="-8"/>
          <w:sz w:val="24"/>
        </w:rPr>
        <w:t> </w:t>
      </w:r>
      <w:r>
        <w:rPr>
          <w:i/>
          <w:sz w:val="24"/>
        </w:rPr>
        <w:t>P.</w:t>
      </w:r>
      <w:r>
        <w:rPr>
          <w:i/>
          <w:spacing w:val="-8"/>
          <w:sz w:val="24"/>
        </w:rPr>
        <w:t> </w:t>
      </w:r>
      <w:r>
        <w:rPr>
          <w:i/>
          <w:spacing w:val="-2"/>
          <w:sz w:val="24"/>
        </w:rPr>
        <w:t>(2018).</w:t>
      </w:r>
    </w:p>
    <w:p>
      <w:pPr>
        <w:pStyle w:val="BodyText"/>
        <w:spacing w:before="1"/>
        <w:rPr>
          <w:i/>
        </w:rPr>
      </w:pPr>
    </w:p>
    <w:p>
      <w:pPr>
        <w:spacing w:line="261" w:lineRule="auto" w:before="1"/>
        <w:ind w:left="280" w:right="579" w:firstLine="0"/>
        <w:jc w:val="left"/>
        <w:rPr>
          <w:i/>
          <w:sz w:val="24"/>
        </w:rPr>
      </w:pPr>
      <w:r>
        <w:rPr>
          <w:i/>
          <w:sz w:val="24"/>
        </w:rPr>
        <w:t>Prevalence</w:t>
      </w:r>
      <w:r>
        <w:rPr>
          <w:i/>
          <w:spacing w:val="-8"/>
          <w:sz w:val="24"/>
        </w:rPr>
        <w:t> </w:t>
      </w:r>
      <w:r>
        <w:rPr>
          <w:i/>
          <w:sz w:val="24"/>
        </w:rPr>
        <w:t>of</w:t>
      </w:r>
      <w:r>
        <w:rPr>
          <w:i/>
          <w:spacing w:val="-7"/>
          <w:sz w:val="24"/>
        </w:rPr>
        <w:t> </w:t>
      </w:r>
      <w:r>
        <w:rPr>
          <w:i/>
          <w:sz w:val="24"/>
        </w:rPr>
        <w:t>depression</w:t>
      </w:r>
      <w:r>
        <w:rPr>
          <w:i/>
          <w:spacing w:val="-7"/>
          <w:sz w:val="24"/>
        </w:rPr>
        <w:t> </w:t>
      </w:r>
      <w:r>
        <w:rPr>
          <w:i/>
          <w:sz w:val="24"/>
        </w:rPr>
        <w:t>and</w:t>
      </w:r>
      <w:r>
        <w:rPr>
          <w:i/>
          <w:spacing w:val="-7"/>
          <w:sz w:val="24"/>
        </w:rPr>
        <w:t> </w:t>
      </w:r>
      <w:r>
        <w:rPr>
          <w:i/>
          <w:sz w:val="24"/>
        </w:rPr>
        <w:t>anxiety</w:t>
      </w:r>
      <w:r>
        <w:rPr>
          <w:i/>
          <w:spacing w:val="-8"/>
          <w:sz w:val="24"/>
        </w:rPr>
        <w:t> </w:t>
      </w:r>
      <w:r>
        <w:rPr>
          <w:i/>
          <w:sz w:val="24"/>
        </w:rPr>
        <w:t>among</w:t>
      </w:r>
      <w:r>
        <w:rPr>
          <w:i/>
          <w:spacing w:val="-7"/>
          <w:sz w:val="24"/>
        </w:rPr>
        <w:t> </w:t>
      </w:r>
      <w:r>
        <w:rPr>
          <w:i/>
          <w:sz w:val="24"/>
        </w:rPr>
        <w:t>bisexual</w:t>
      </w:r>
      <w:r>
        <w:rPr>
          <w:i/>
          <w:spacing w:val="-7"/>
          <w:sz w:val="24"/>
        </w:rPr>
        <w:t> </w:t>
      </w:r>
      <w:r>
        <w:rPr>
          <w:i/>
          <w:sz w:val="24"/>
        </w:rPr>
        <w:t>people</w:t>
      </w:r>
      <w:r>
        <w:rPr>
          <w:i/>
          <w:spacing w:val="-8"/>
          <w:sz w:val="24"/>
        </w:rPr>
        <w:t> </w:t>
      </w:r>
      <w:r>
        <w:rPr>
          <w:i/>
          <w:sz w:val="24"/>
        </w:rPr>
        <w:t>compared</w:t>
      </w:r>
      <w:r>
        <w:rPr>
          <w:i/>
          <w:spacing w:val="-7"/>
          <w:sz w:val="24"/>
        </w:rPr>
        <w:t> </w:t>
      </w:r>
      <w:r>
        <w:rPr>
          <w:i/>
          <w:sz w:val="24"/>
        </w:rPr>
        <w:t>to</w:t>
      </w:r>
      <w:r>
        <w:rPr>
          <w:i/>
          <w:spacing w:val="-7"/>
          <w:sz w:val="24"/>
        </w:rPr>
        <w:t> </w:t>
      </w:r>
      <w:r>
        <w:rPr>
          <w:i/>
          <w:sz w:val="24"/>
        </w:rPr>
        <w:t>gay,</w:t>
      </w:r>
      <w:r>
        <w:rPr>
          <w:i/>
          <w:spacing w:val="-7"/>
          <w:sz w:val="24"/>
        </w:rPr>
        <w:t> </w:t>
      </w:r>
      <w:r>
        <w:rPr>
          <w:i/>
          <w:sz w:val="24"/>
        </w:rPr>
        <w:t>lesbian,</w:t>
      </w:r>
      <w:r>
        <w:rPr>
          <w:i/>
          <w:spacing w:val="-7"/>
          <w:sz w:val="24"/>
        </w:rPr>
        <w:t> </w:t>
      </w:r>
      <w:r>
        <w:rPr>
          <w:i/>
          <w:sz w:val="24"/>
        </w:rPr>
        <w:t>and</w:t>
      </w:r>
      <w:r>
        <w:rPr>
          <w:i/>
          <w:sz w:val="24"/>
        </w:rPr>
        <w:t> heterosexual individuals:</w:t>
      </w:r>
      <w:r>
        <w:rPr>
          <w:i/>
          <w:spacing w:val="-2"/>
          <w:sz w:val="24"/>
        </w:rPr>
        <w:t> </w:t>
      </w:r>
      <w:r>
        <w:rPr>
          <w:i/>
          <w:sz w:val="24"/>
        </w:rPr>
        <w:t>A</w:t>
      </w:r>
      <w:r>
        <w:rPr>
          <w:i/>
          <w:spacing w:val="-2"/>
          <w:sz w:val="24"/>
        </w:rPr>
        <w:t> </w:t>
      </w:r>
      <w:r>
        <w:rPr>
          <w:i/>
          <w:sz w:val="24"/>
        </w:rPr>
        <w:t>systematic review and meta-analysis. Journal of Sex Research, 55(4-5), 435-456. https://doi.org/10.1080/00224499.2017.1387755 8. Hughes, T. L.</w:t>
      </w:r>
    </w:p>
    <w:p>
      <w:pPr>
        <w:pStyle w:val="BodyText"/>
        <w:rPr>
          <w:i/>
          <w:sz w:val="26"/>
        </w:rPr>
      </w:pPr>
    </w:p>
    <w:p>
      <w:pPr>
        <w:pStyle w:val="Heading1"/>
        <w:numPr>
          <w:ilvl w:val="0"/>
          <w:numId w:val="3"/>
        </w:numPr>
        <w:tabs>
          <w:tab w:pos="940" w:val="left" w:leader="none"/>
        </w:tabs>
        <w:spacing w:line="240" w:lineRule="auto" w:before="190" w:after="0"/>
        <w:ind w:left="940" w:right="0" w:hanging="540"/>
        <w:jc w:val="left"/>
      </w:pPr>
      <w:bookmarkStart w:name="_TOC_250002" w:id="8"/>
      <w:r>
        <w:rPr/>
        <w:t>LGBTQ+</w:t>
      </w:r>
      <w:r>
        <w:rPr>
          <w:spacing w:val="-16"/>
        </w:rPr>
        <w:t> </w:t>
      </w:r>
      <w:bookmarkEnd w:id="8"/>
      <w:r>
        <w:rPr>
          <w:spacing w:val="-4"/>
        </w:rPr>
        <w:t>Youth</w:t>
      </w:r>
    </w:p>
    <w:p>
      <w:pPr>
        <w:pStyle w:val="BodyText"/>
        <w:spacing w:before="8"/>
        <w:rPr>
          <w:b/>
          <w:sz w:val="46"/>
        </w:rPr>
      </w:pPr>
    </w:p>
    <w:p>
      <w:pPr>
        <w:pStyle w:val="BodyText"/>
        <w:ind w:left="280" w:right="517"/>
      </w:pPr>
      <w:r>
        <w:rPr/>
        <w:t>Like all youth, lesbian, gay, bisexual, transgender, queer, questioning, and intersex</w:t>
      </w:r>
      <w:r>
        <w:rPr>
          <w:spacing w:val="-3"/>
        </w:rPr>
        <w:t> </w:t>
      </w:r>
      <w:r>
        <w:rPr/>
        <w:t>youth</w:t>
      </w:r>
      <w:r>
        <w:rPr>
          <w:spacing w:val="-3"/>
        </w:rPr>
        <w:t> </w:t>
      </w:r>
      <w:r>
        <w:rPr/>
        <w:t>and</w:t>
      </w:r>
      <w:r>
        <w:rPr>
          <w:spacing w:val="-3"/>
        </w:rPr>
        <w:t> </w:t>
      </w:r>
      <w:r>
        <w:rPr/>
        <w:t>other</w:t>
      </w:r>
      <w:r>
        <w:rPr>
          <w:spacing w:val="-3"/>
        </w:rPr>
        <w:t> </w:t>
      </w:r>
      <w:r>
        <w:rPr/>
        <w:t>sexual-and</w:t>
      </w:r>
      <w:r>
        <w:rPr>
          <w:spacing w:val="-3"/>
        </w:rPr>
        <w:t> </w:t>
      </w:r>
      <w:r>
        <w:rPr/>
        <w:t>gender-diverse</w:t>
      </w:r>
      <w:r>
        <w:rPr>
          <w:spacing w:val="-4"/>
        </w:rPr>
        <w:t> </w:t>
      </w:r>
      <w:r>
        <w:rPr/>
        <w:t>children</w:t>
      </w:r>
      <w:r>
        <w:rPr>
          <w:spacing w:val="-3"/>
        </w:rPr>
        <w:t> </w:t>
      </w:r>
      <w:r>
        <w:rPr/>
        <w:t>and</w:t>
      </w:r>
      <w:r>
        <w:rPr>
          <w:spacing w:val="-3"/>
        </w:rPr>
        <w:t> </w:t>
      </w:r>
      <w:r>
        <w:rPr/>
        <w:t>adolescents (LGBTQI+youth) deserve to grow up in supportive environments absent stigma</w:t>
      </w:r>
      <w:r>
        <w:rPr>
          <w:spacing w:val="-3"/>
        </w:rPr>
        <w:t> </w:t>
      </w:r>
      <w:r>
        <w:rPr/>
        <w:t>and</w:t>
      </w:r>
      <w:r>
        <w:rPr>
          <w:spacing w:val="-2"/>
        </w:rPr>
        <w:t> </w:t>
      </w:r>
      <w:r>
        <w:rPr/>
        <w:t>discrimination</w:t>
      </w:r>
      <w:r>
        <w:rPr>
          <w:spacing w:val="-2"/>
        </w:rPr>
        <w:t> </w:t>
      </w:r>
      <w:r>
        <w:rPr/>
        <w:t>that</w:t>
      </w:r>
      <w:r>
        <w:rPr>
          <w:spacing w:val="-2"/>
        </w:rPr>
        <w:t> </w:t>
      </w:r>
      <w:r>
        <w:rPr/>
        <w:t>allow</w:t>
      </w:r>
      <w:r>
        <w:rPr>
          <w:spacing w:val="-2"/>
        </w:rPr>
        <w:t> </w:t>
      </w:r>
      <w:r>
        <w:rPr/>
        <w:t>them</w:t>
      </w:r>
      <w:r>
        <w:rPr>
          <w:spacing w:val="-2"/>
        </w:rPr>
        <w:t> </w:t>
      </w:r>
      <w:r>
        <w:rPr/>
        <w:t>to</w:t>
      </w:r>
      <w:r>
        <w:rPr>
          <w:spacing w:val="-2"/>
        </w:rPr>
        <w:t> </w:t>
      </w:r>
      <w:r>
        <w:rPr/>
        <w:t>thrive</w:t>
      </w:r>
      <w:r>
        <w:rPr>
          <w:spacing w:val="-3"/>
        </w:rPr>
        <w:t> </w:t>
      </w:r>
      <w:r>
        <w:rPr/>
        <w:t>and</w:t>
      </w:r>
      <w:r>
        <w:rPr>
          <w:spacing w:val="-2"/>
        </w:rPr>
        <w:t> </w:t>
      </w:r>
      <w:r>
        <w:rPr/>
        <w:t>achieve</w:t>
      </w:r>
      <w:r>
        <w:rPr>
          <w:spacing w:val="-3"/>
        </w:rPr>
        <w:t> </w:t>
      </w:r>
      <w:r>
        <w:rPr/>
        <w:t>their</w:t>
      </w:r>
      <w:r>
        <w:rPr>
          <w:spacing w:val="-2"/>
        </w:rPr>
        <w:t> </w:t>
      </w:r>
      <w:r>
        <w:rPr/>
        <w:t>human potential.</w:t>
      </w:r>
      <w:r>
        <w:rPr>
          <w:spacing w:val="-10"/>
        </w:rPr>
        <w:t> </w:t>
      </w:r>
      <w:r>
        <w:rPr/>
        <w:t>When</w:t>
      </w:r>
      <w:r>
        <w:rPr>
          <w:spacing w:val="-4"/>
        </w:rPr>
        <w:t> </w:t>
      </w:r>
      <w:r>
        <w:rPr/>
        <w:t>seeking</w:t>
      </w:r>
      <w:r>
        <w:rPr>
          <w:spacing w:val="-4"/>
        </w:rPr>
        <w:t> </w:t>
      </w:r>
      <w:r>
        <w:rPr/>
        <w:t>behavioral</w:t>
      </w:r>
      <w:r>
        <w:rPr>
          <w:spacing w:val="-4"/>
        </w:rPr>
        <w:t> </w:t>
      </w:r>
      <w:r>
        <w:rPr/>
        <w:t>health</w:t>
      </w:r>
      <w:r>
        <w:rPr>
          <w:spacing w:val="-4"/>
        </w:rPr>
        <w:t> </w:t>
      </w:r>
      <w:r>
        <w:rPr/>
        <w:t>treatment</w:t>
      </w:r>
      <w:r>
        <w:rPr>
          <w:spacing w:val="-4"/>
        </w:rPr>
        <w:t> </w:t>
      </w:r>
      <w:r>
        <w:rPr/>
        <w:t>(both</w:t>
      </w:r>
      <w:r>
        <w:rPr>
          <w:spacing w:val="-4"/>
        </w:rPr>
        <w:t> </w:t>
      </w:r>
      <w:r>
        <w:rPr/>
        <w:t>mental</w:t>
      </w:r>
      <w:r>
        <w:rPr>
          <w:spacing w:val="-4"/>
        </w:rPr>
        <w:t> </w:t>
      </w:r>
      <w:r>
        <w:rPr/>
        <w:t>health</w:t>
      </w:r>
      <w:r>
        <w:rPr>
          <w:spacing w:val="-4"/>
        </w:rPr>
        <w:t> </w:t>
      </w:r>
      <w:r>
        <w:rPr/>
        <w:t>and substance</w:t>
      </w:r>
      <w:r>
        <w:rPr>
          <w:spacing w:val="-5"/>
        </w:rPr>
        <w:t> </w:t>
      </w:r>
      <w:r>
        <w:rPr/>
        <w:t>use</w:t>
      </w:r>
      <w:r>
        <w:rPr>
          <w:spacing w:val="-5"/>
        </w:rPr>
        <w:t> </w:t>
      </w:r>
      <w:r>
        <w:rPr/>
        <w:t>interventions),</w:t>
      </w:r>
      <w:r>
        <w:rPr>
          <w:spacing w:val="-4"/>
        </w:rPr>
        <w:t> </w:t>
      </w:r>
      <w:r>
        <w:rPr/>
        <w:t>these</w:t>
      </w:r>
      <w:r>
        <w:rPr>
          <w:spacing w:val="-5"/>
        </w:rPr>
        <w:t> </w:t>
      </w:r>
      <w:r>
        <w:rPr/>
        <w:t>children</w:t>
      </w:r>
      <w:r>
        <w:rPr>
          <w:spacing w:val="-4"/>
        </w:rPr>
        <w:t> </w:t>
      </w:r>
      <w:r>
        <w:rPr/>
        <w:t>and</w:t>
      </w:r>
      <w:r>
        <w:rPr>
          <w:spacing w:val="-4"/>
        </w:rPr>
        <w:t> </w:t>
      </w:r>
      <w:r>
        <w:rPr/>
        <w:t>adolescents,</w:t>
      </w:r>
      <w:r>
        <w:rPr>
          <w:spacing w:val="-4"/>
        </w:rPr>
        <w:t> </w:t>
      </w:r>
      <w:r>
        <w:rPr/>
        <w:t>like</w:t>
      </w:r>
      <w:r>
        <w:rPr>
          <w:spacing w:val="-5"/>
        </w:rPr>
        <w:t> </w:t>
      </w:r>
      <w:r>
        <w:rPr/>
        <w:t>their</w:t>
      </w:r>
      <w:r>
        <w:rPr>
          <w:spacing w:val="-4"/>
        </w:rPr>
        <w:t> </w:t>
      </w:r>
      <w:r>
        <w:rPr/>
        <w:t>peers, and their families deserve</w:t>
      </w:r>
      <w:r>
        <w:rPr>
          <w:spacing w:val="-1"/>
        </w:rPr>
        <w:t> </w:t>
      </w:r>
      <w:r>
        <w:rPr/>
        <w:t>the</w:t>
      </w:r>
      <w:r>
        <w:rPr>
          <w:spacing w:val="-1"/>
        </w:rPr>
        <w:t> </w:t>
      </w:r>
      <w:r>
        <w:rPr/>
        <w:t>best evidence-based care</w:t>
      </w:r>
      <w:r>
        <w:rPr>
          <w:spacing w:val="-1"/>
        </w:rPr>
        <w:t> </w:t>
      </w:r>
      <w:r>
        <w:rPr/>
        <w:t>from knowledgeable health providers without the risk of harm.</w:t>
      </w:r>
    </w:p>
    <w:p>
      <w:pPr>
        <w:pStyle w:val="BodyText"/>
        <w:spacing w:before="165"/>
        <w:ind w:left="280" w:right="535"/>
      </w:pPr>
      <w:r>
        <w:rPr/>
        <w:t>This section, </w:t>
      </w:r>
      <w:r>
        <w:rPr>
          <w:i/>
        </w:rPr>
        <w:t>Moving Beyond Change Efforts: Evidence and</w:t>
      </w:r>
      <w:r>
        <w:rPr>
          <w:i/>
          <w:spacing w:val="-2"/>
        </w:rPr>
        <w:t> </w:t>
      </w:r>
      <w:r>
        <w:rPr>
          <w:i/>
        </w:rPr>
        <w:t>Action to Support</w:t>
      </w:r>
      <w:r>
        <w:rPr>
          <w:i/>
        </w:rPr>
        <w:t> and</w:t>
      </w:r>
      <w:r>
        <w:rPr>
          <w:i/>
          <w:spacing w:val="-14"/>
        </w:rPr>
        <w:t> </w:t>
      </w:r>
      <w:r>
        <w:rPr>
          <w:i/>
        </w:rPr>
        <w:t>Affirm</w:t>
      </w:r>
      <w:r>
        <w:rPr>
          <w:i/>
          <w:spacing w:val="-8"/>
        </w:rPr>
        <w:t> </w:t>
      </w:r>
      <w:r>
        <w:rPr>
          <w:i/>
        </w:rPr>
        <w:t>LGBTQI+</w:t>
      </w:r>
      <w:r>
        <w:rPr>
          <w:i/>
          <w:spacing w:val="-8"/>
        </w:rPr>
        <w:t> </w:t>
      </w:r>
      <w:r>
        <w:rPr>
          <w:i/>
        </w:rPr>
        <w:t>Youth</w:t>
      </w:r>
      <w:r>
        <w:rPr/>
        <w:t>,</w:t>
      </w:r>
      <w:r>
        <w:rPr>
          <w:spacing w:val="-8"/>
        </w:rPr>
        <w:t> </w:t>
      </w:r>
      <w:r>
        <w:rPr/>
        <w:t>provides</w:t>
      </w:r>
      <w:r>
        <w:rPr>
          <w:spacing w:val="-8"/>
        </w:rPr>
        <w:t> </w:t>
      </w:r>
      <w:r>
        <w:rPr/>
        <w:t>behavioral</w:t>
      </w:r>
      <w:r>
        <w:rPr>
          <w:spacing w:val="-8"/>
        </w:rPr>
        <w:t> </w:t>
      </w:r>
      <w:r>
        <w:rPr/>
        <w:t>health</w:t>
      </w:r>
      <w:r>
        <w:rPr>
          <w:spacing w:val="-8"/>
        </w:rPr>
        <w:t> </w:t>
      </w:r>
      <w:r>
        <w:rPr/>
        <w:t>providers,</w:t>
      </w:r>
      <w:r>
        <w:rPr>
          <w:spacing w:val="-8"/>
        </w:rPr>
        <w:t> </w:t>
      </w:r>
      <w:r>
        <w:rPr/>
        <w:t>researchers, policymakers, and other audiences with current knowledge about LGBTQI+ youth, a comprehensive research overview, and important information on behavioral health concerns within this community. More specifically, the report provides details on helpful and harmful interventions for these populations in clinical, community, family, and school settings. In particular, the</w:t>
      </w:r>
      <w:r>
        <w:rPr>
          <w:spacing w:val="-4"/>
        </w:rPr>
        <w:t> </w:t>
      </w:r>
      <w:r>
        <w:rPr/>
        <w:t>report</w:t>
      </w:r>
      <w:r>
        <w:rPr>
          <w:spacing w:val="-3"/>
        </w:rPr>
        <w:t> </w:t>
      </w:r>
      <w:r>
        <w:rPr/>
        <w:t>documents</w:t>
      </w:r>
      <w:r>
        <w:rPr>
          <w:spacing w:val="-3"/>
        </w:rPr>
        <w:t> </w:t>
      </w:r>
      <w:r>
        <w:rPr/>
        <w:t>that</w:t>
      </w:r>
      <w:r>
        <w:rPr>
          <w:spacing w:val="-3"/>
        </w:rPr>
        <w:t> </w:t>
      </w:r>
      <w:r>
        <w:rPr/>
        <w:t>attempts</w:t>
      </w:r>
      <w:r>
        <w:rPr>
          <w:spacing w:val="-3"/>
        </w:rPr>
        <w:t> </w:t>
      </w:r>
      <w:r>
        <w:rPr/>
        <w:t>to</w:t>
      </w:r>
      <w:r>
        <w:rPr>
          <w:spacing w:val="-3"/>
        </w:rPr>
        <w:t> </w:t>
      </w:r>
      <w:r>
        <w:rPr/>
        <w:t>change</w:t>
      </w:r>
      <w:r>
        <w:rPr>
          <w:spacing w:val="-4"/>
        </w:rPr>
        <w:t> </w:t>
      </w:r>
      <w:r>
        <w:rPr/>
        <w:t>an</w:t>
      </w:r>
      <w:r>
        <w:rPr>
          <w:spacing w:val="-3"/>
        </w:rPr>
        <w:t> </w:t>
      </w:r>
      <w:r>
        <w:rPr/>
        <w:t>individual’s</w:t>
      </w:r>
      <w:r>
        <w:rPr>
          <w:spacing w:val="-3"/>
        </w:rPr>
        <w:t> </w:t>
      </w:r>
      <w:r>
        <w:rPr/>
        <w:t>sexual</w:t>
      </w:r>
      <w:r>
        <w:rPr>
          <w:spacing w:val="-3"/>
        </w:rPr>
        <w:t> </w:t>
      </w:r>
      <w:r>
        <w:rPr/>
        <w:t>orientation and gender identity (SOGI; pronounced “SO-gee” change efforts) are harmful and should not be provided.</w:t>
      </w:r>
      <w:r>
        <w:rPr>
          <w:spacing w:val="-5"/>
        </w:rPr>
        <w:t> </w:t>
      </w:r>
      <w:r>
        <w:rPr/>
        <w:t>Additionally, this report discusses evidence- informed policy options that could improve the overall health and well-being of LGBTQI+ youth.</w:t>
      </w:r>
    </w:p>
    <w:p>
      <w:pPr>
        <w:pStyle w:val="BodyText"/>
        <w:spacing w:before="156"/>
        <w:ind w:left="280" w:right="502"/>
      </w:pPr>
      <w:r>
        <w:rPr/>
        <w:t>As</w:t>
      </w:r>
      <w:r>
        <w:rPr>
          <w:spacing w:val="-4"/>
        </w:rPr>
        <w:t> </w:t>
      </w:r>
      <w:r>
        <w:rPr/>
        <w:t>the</w:t>
      </w:r>
      <w:r>
        <w:rPr>
          <w:spacing w:val="-5"/>
        </w:rPr>
        <w:t> </w:t>
      </w:r>
      <w:r>
        <w:rPr/>
        <w:t>abbreviation</w:t>
      </w:r>
      <w:r>
        <w:rPr>
          <w:spacing w:val="-4"/>
        </w:rPr>
        <w:t> </w:t>
      </w:r>
      <w:r>
        <w:rPr/>
        <w:t>LGBTQI+</w:t>
      </w:r>
      <w:r>
        <w:rPr>
          <w:spacing w:val="-4"/>
        </w:rPr>
        <w:t> </w:t>
      </w:r>
      <w:r>
        <w:rPr/>
        <w:t>suggests,</w:t>
      </w:r>
      <w:r>
        <w:rPr>
          <w:spacing w:val="-4"/>
        </w:rPr>
        <w:t> </w:t>
      </w:r>
      <w:r>
        <w:rPr/>
        <w:t>this</w:t>
      </w:r>
      <w:r>
        <w:rPr>
          <w:spacing w:val="-4"/>
        </w:rPr>
        <w:t> </w:t>
      </w:r>
      <w:r>
        <w:rPr/>
        <w:t>population</w:t>
      </w:r>
      <w:r>
        <w:rPr>
          <w:spacing w:val="-4"/>
        </w:rPr>
        <w:t> </w:t>
      </w:r>
      <w:r>
        <w:rPr/>
        <w:t>is</w:t>
      </w:r>
      <w:r>
        <w:rPr>
          <w:spacing w:val="-4"/>
        </w:rPr>
        <w:t> </w:t>
      </w:r>
      <w:r>
        <w:rPr/>
        <w:t>not</w:t>
      </w:r>
      <w:r>
        <w:rPr>
          <w:spacing w:val="-4"/>
        </w:rPr>
        <w:t> </w:t>
      </w:r>
      <w:r>
        <w:rPr/>
        <w:t>homogenous.</w:t>
      </w:r>
      <w:r>
        <w:rPr>
          <w:spacing w:val="-4"/>
        </w:rPr>
        <w:t> </w:t>
      </w:r>
      <w:r>
        <w:rPr/>
        <w:t>It includes individuals with many distinct sexual orientations, gender identities, gender expressions, and variations in sex characteristics. Sexual and gender minorities are</w:t>
      </w:r>
      <w:r>
        <w:rPr>
          <w:spacing w:val="-1"/>
        </w:rPr>
        <w:t> </w:t>
      </w:r>
      <w:r>
        <w:rPr/>
        <w:t>also diverse</w:t>
      </w:r>
      <w:r>
        <w:rPr>
          <w:spacing w:val="-1"/>
        </w:rPr>
        <w:t> </w:t>
      </w:r>
      <w:r>
        <w:rPr/>
        <w:t>with respect to other identities, including age, race, ethnicity, language, national origin, religion, spirituality, ability, and socioeconomic status.</w:t>
      </w:r>
    </w:p>
    <w:p>
      <w:pPr>
        <w:pStyle w:val="BodyText"/>
        <w:spacing w:before="1"/>
        <w:rPr>
          <w:sz w:val="29"/>
        </w:rPr>
      </w:pPr>
    </w:p>
    <w:p>
      <w:pPr>
        <w:pStyle w:val="BodyText"/>
        <w:spacing w:before="1"/>
        <w:ind w:left="280" w:right="972"/>
        <w:jc w:val="both"/>
      </w:pPr>
      <w:r>
        <w:rPr/>
        <w:t>Critically, LGBTQI+ youth experience significant physical and behavioral health</w:t>
      </w:r>
      <w:r>
        <w:rPr>
          <w:spacing w:val="-4"/>
        </w:rPr>
        <w:t> </w:t>
      </w:r>
      <w:r>
        <w:rPr/>
        <w:t>inequities.</w:t>
      </w:r>
      <w:r>
        <w:rPr>
          <w:spacing w:val="-4"/>
        </w:rPr>
        <w:t> </w:t>
      </w:r>
      <w:r>
        <w:rPr/>
        <w:t>Several</w:t>
      </w:r>
      <w:r>
        <w:rPr>
          <w:spacing w:val="-4"/>
        </w:rPr>
        <w:t> </w:t>
      </w:r>
      <w:r>
        <w:rPr/>
        <w:t>factors</w:t>
      </w:r>
      <w:r>
        <w:rPr>
          <w:spacing w:val="-4"/>
        </w:rPr>
        <w:t> </w:t>
      </w:r>
      <w:r>
        <w:rPr/>
        <w:t>contribute</w:t>
      </w:r>
      <w:r>
        <w:rPr>
          <w:spacing w:val="-5"/>
        </w:rPr>
        <w:t> </w:t>
      </w:r>
      <w:r>
        <w:rPr/>
        <w:t>to</w:t>
      </w:r>
      <w:r>
        <w:rPr>
          <w:spacing w:val="-4"/>
        </w:rPr>
        <w:t> </w:t>
      </w:r>
      <w:r>
        <w:rPr/>
        <w:t>these</w:t>
      </w:r>
      <w:r>
        <w:rPr>
          <w:spacing w:val="-5"/>
        </w:rPr>
        <w:t> </w:t>
      </w:r>
      <w:r>
        <w:rPr/>
        <w:t>inequities</w:t>
      </w:r>
      <w:r>
        <w:rPr>
          <w:spacing w:val="-4"/>
        </w:rPr>
        <w:t> </w:t>
      </w:r>
      <w:r>
        <w:rPr/>
        <w:t>and</w:t>
      </w:r>
      <w:r>
        <w:rPr>
          <w:spacing w:val="-4"/>
        </w:rPr>
        <w:t> </w:t>
      </w:r>
      <w:r>
        <w:rPr/>
        <w:t>result</w:t>
      </w:r>
      <w:r>
        <w:rPr>
          <w:spacing w:val="-4"/>
        </w:rPr>
        <w:t> </w:t>
      </w:r>
      <w:r>
        <w:rPr/>
        <w:t>in minority stress, which is harmful to behavioral health, including:</w:t>
      </w:r>
    </w:p>
    <w:p>
      <w:pPr>
        <w:spacing w:after="0"/>
        <w:jc w:val="both"/>
        <w:sectPr>
          <w:pgSz w:w="12240" w:h="15840"/>
          <w:pgMar w:header="0" w:footer="783" w:top="1280" w:bottom="980" w:left="1400" w:right="1180"/>
        </w:sectPr>
      </w:pPr>
    </w:p>
    <w:p>
      <w:pPr>
        <w:pStyle w:val="ListParagraph"/>
        <w:numPr>
          <w:ilvl w:val="0"/>
          <w:numId w:val="24"/>
        </w:numPr>
        <w:tabs>
          <w:tab w:pos="1217" w:val="left" w:leader="none"/>
        </w:tabs>
        <w:spacing w:line="240" w:lineRule="auto" w:before="6" w:after="0"/>
        <w:ind w:left="1217" w:right="0" w:hanging="457"/>
        <w:jc w:val="left"/>
        <w:rPr>
          <w:sz w:val="28"/>
        </w:rPr>
      </w:pPr>
      <w:r>
        <w:rPr>
          <w:spacing w:val="-2"/>
          <w:sz w:val="28"/>
        </w:rPr>
        <w:t>Stigma</w:t>
      </w:r>
    </w:p>
    <w:p>
      <w:pPr>
        <w:pStyle w:val="ListParagraph"/>
        <w:numPr>
          <w:ilvl w:val="0"/>
          <w:numId w:val="24"/>
        </w:numPr>
        <w:tabs>
          <w:tab w:pos="1217" w:val="left" w:leader="none"/>
        </w:tabs>
        <w:spacing w:line="240" w:lineRule="auto" w:before="3" w:after="0"/>
        <w:ind w:left="1217" w:right="0" w:hanging="457"/>
        <w:jc w:val="left"/>
        <w:rPr>
          <w:sz w:val="28"/>
        </w:rPr>
      </w:pPr>
      <w:r>
        <w:rPr>
          <w:sz w:val="28"/>
        </w:rPr>
        <w:t>Negative</w:t>
      </w:r>
      <w:r>
        <w:rPr>
          <w:spacing w:val="-3"/>
          <w:sz w:val="28"/>
        </w:rPr>
        <w:t> </w:t>
      </w:r>
      <w:r>
        <w:rPr>
          <w:sz w:val="28"/>
        </w:rPr>
        <w:t>social</w:t>
      </w:r>
      <w:r>
        <w:rPr>
          <w:spacing w:val="-2"/>
          <w:sz w:val="28"/>
        </w:rPr>
        <w:t> attitudes</w:t>
      </w:r>
    </w:p>
    <w:p>
      <w:pPr>
        <w:pStyle w:val="ListParagraph"/>
        <w:numPr>
          <w:ilvl w:val="0"/>
          <w:numId w:val="24"/>
        </w:numPr>
        <w:tabs>
          <w:tab w:pos="1217" w:val="left" w:leader="none"/>
        </w:tabs>
        <w:spacing w:line="240" w:lineRule="auto" w:before="3" w:after="0"/>
        <w:ind w:left="1217" w:right="0" w:hanging="457"/>
        <w:jc w:val="left"/>
        <w:rPr>
          <w:sz w:val="28"/>
        </w:rPr>
      </w:pPr>
      <w:r>
        <w:rPr>
          <w:sz w:val="28"/>
        </w:rPr>
        <w:t>Systemic</w:t>
      </w:r>
      <w:r>
        <w:rPr>
          <w:spacing w:val="-5"/>
          <w:sz w:val="28"/>
        </w:rPr>
        <w:t> </w:t>
      </w:r>
      <w:r>
        <w:rPr>
          <w:sz w:val="28"/>
        </w:rPr>
        <w:t>barriers</w:t>
      </w:r>
      <w:r>
        <w:rPr>
          <w:spacing w:val="-2"/>
          <w:sz w:val="28"/>
        </w:rPr>
        <w:t> </w:t>
      </w:r>
      <w:r>
        <w:rPr>
          <w:sz w:val="28"/>
        </w:rPr>
        <w:t>in</w:t>
      </w:r>
      <w:r>
        <w:rPr>
          <w:spacing w:val="-1"/>
          <w:sz w:val="28"/>
        </w:rPr>
        <w:t> </w:t>
      </w:r>
      <w:r>
        <w:rPr>
          <w:sz w:val="28"/>
        </w:rPr>
        <w:t>health</w:t>
      </w:r>
      <w:r>
        <w:rPr>
          <w:spacing w:val="-2"/>
          <w:sz w:val="28"/>
        </w:rPr>
        <w:t> </w:t>
      </w:r>
      <w:r>
        <w:rPr>
          <w:sz w:val="28"/>
        </w:rPr>
        <w:t>care</w:t>
      </w:r>
      <w:r>
        <w:rPr>
          <w:spacing w:val="-2"/>
          <w:sz w:val="28"/>
        </w:rPr>
        <w:t> </w:t>
      </w:r>
      <w:r>
        <w:rPr>
          <w:sz w:val="28"/>
        </w:rPr>
        <w:t>for</w:t>
      </w:r>
      <w:r>
        <w:rPr>
          <w:spacing w:val="-2"/>
          <w:sz w:val="28"/>
        </w:rPr>
        <w:t> </w:t>
      </w:r>
      <w:r>
        <w:rPr>
          <w:sz w:val="28"/>
        </w:rPr>
        <w:t>LGBTQI+</w:t>
      </w:r>
      <w:r>
        <w:rPr>
          <w:spacing w:val="-1"/>
          <w:sz w:val="28"/>
        </w:rPr>
        <w:t> </w:t>
      </w:r>
      <w:r>
        <w:rPr>
          <w:spacing w:val="-2"/>
          <w:sz w:val="28"/>
        </w:rPr>
        <w:t>people</w:t>
      </w:r>
    </w:p>
    <w:p>
      <w:pPr>
        <w:pStyle w:val="ListParagraph"/>
        <w:numPr>
          <w:ilvl w:val="0"/>
          <w:numId w:val="24"/>
        </w:numPr>
        <w:tabs>
          <w:tab w:pos="1216" w:val="left" w:leader="none"/>
          <w:tab w:pos="1218" w:val="left" w:leader="none"/>
        </w:tabs>
        <w:spacing w:line="225" w:lineRule="auto" w:before="22" w:after="0"/>
        <w:ind w:left="1218" w:right="1721" w:hanging="459"/>
        <w:jc w:val="left"/>
        <w:rPr>
          <w:sz w:val="28"/>
        </w:rPr>
      </w:pPr>
      <w:r>
        <w:rPr>
          <w:sz w:val="28"/>
        </w:rPr>
        <w:t>Rejection</w:t>
      </w:r>
      <w:r>
        <w:rPr>
          <w:spacing w:val="-5"/>
          <w:sz w:val="28"/>
        </w:rPr>
        <w:t> </w:t>
      </w:r>
      <w:r>
        <w:rPr>
          <w:sz w:val="28"/>
        </w:rPr>
        <w:t>and</w:t>
      </w:r>
      <w:r>
        <w:rPr>
          <w:spacing w:val="-5"/>
          <w:sz w:val="28"/>
        </w:rPr>
        <w:t> </w:t>
      </w:r>
      <w:r>
        <w:rPr>
          <w:sz w:val="28"/>
        </w:rPr>
        <w:t>lack</w:t>
      </w:r>
      <w:r>
        <w:rPr>
          <w:spacing w:val="-5"/>
          <w:sz w:val="28"/>
        </w:rPr>
        <w:t> </w:t>
      </w:r>
      <w:r>
        <w:rPr>
          <w:sz w:val="28"/>
        </w:rPr>
        <w:t>of</w:t>
      </w:r>
      <w:r>
        <w:rPr>
          <w:spacing w:val="-5"/>
          <w:sz w:val="28"/>
        </w:rPr>
        <w:t> </w:t>
      </w:r>
      <w:r>
        <w:rPr>
          <w:sz w:val="28"/>
        </w:rPr>
        <w:t>support</w:t>
      </w:r>
      <w:r>
        <w:rPr>
          <w:spacing w:val="-5"/>
          <w:sz w:val="28"/>
        </w:rPr>
        <w:t> </w:t>
      </w:r>
      <w:r>
        <w:rPr>
          <w:sz w:val="28"/>
        </w:rPr>
        <w:t>from</w:t>
      </w:r>
      <w:r>
        <w:rPr>
          <w:spacing w:val="-5"/>
          <w:sz w:val="28"/>
        </w:rPr>
        <w:t> </w:t>
      </w:r>
      <w:r>
        <w:rPr>
          <w:sz w:val="28"/>
        </w:rPr>
        <w:t>families,</w:t>
      </w:r>
      <w:r>
        <w:rPr>
          <w:spacing w:val="-5"/>
          <w:sz w:val="28"/>
        </w:rPr>
        <w:t> </w:t>
      </w:r>
      <w:r>
        <w:rPr>
          <w:sz w:val="28"/>
        </w:rPr>
        <w:t>caregivers,</w:t>
      </w:r>
      <w:r>
        <w:rPr>
          <w:spacing w:val="-5"/>
          <w:sz w:val="28"/>
        </w:rPr>
        <w:t> </w:t>
      </w:r>
      <w:r>
        <w:rPr>
          <w:sz w:val="28"/>
        </w:rPr>
        <w:t>and </w:t>
      </w:r>
      <w:r>
        <w:rPr>
          <w:spacing w:val="-2"/>
          <w:sz w:val="28"/>
        </w:rPr>
        <w:t>communities</w:t>
      </w:r>
    </w:p>
    <w:p>
      <w:pPr>
        <w:pStyle w:val="ListParagraph"/>
        <w:numPr>
          <w:ilvl w:val="0"/>
          <w:numId w:val="24"/>
        </w:numPr>
        <w:tabs>
          <w:tab w:pos="1216" w:val="left" w:leader="none"/>
          <w:tab w:pos="1218" w:val="left" w:leader="none"/>
        </w:tabs>
        <w:spacing w:line="225" w:lineRule="auto" w:before="45" w:after="0"/>
        <w:ind w:left="1218" w:right="1254" w:hanging="459"/>
        <w:jc w:val="left"/>
        <w:rPr>
          <w:sz w:val="28"/>
        </w:rPr>
      </w:pPr>
      <w:r>
        <w:rPr>
          <w:sz w:val="28"/>
        </w:rPr>
        <w:t>Bullying</w:t>
      </w:r>
      <w:r>
        <w:rPr>
          <w:spacing w:val="-4"/>
          <w:sz w:val="28"/>
        </w:rPr>
        <w:t> </w:t>
      </w:r>
      <w:r>
        <w:rPr>
          <w:sz w:val="28"/>
        </w:rPr>
        <w:t>and</w:t>
      </w:r>
      <w:r>
        <w:rPr>
          <w:spacing w:val="-4"/>
          <w:sz w:val="28"/>
        </w:rPr>
        <w:t> </w:t>
      </w:r>
      <w:r>
        <w:rPr>
          <w:sz w:val="28"/>
        </w:rPr>
        <w:t>harassment,</w:t>
      </w:r>
      <w:r>
        <w:rPr>
          <w:spacing w:val="-4"/>
          <w:sz w:val="28"/>
        </w:rPr>
        <w:t> </w:t>
      </w:r>
      <w:r>
        <w:rPr>
          <w:sz w:val="28"/>
        </w:rPr>
        <w:t>and</w:t>
      </w:r>
      <w:r>
        <w:rPr>
          <w:spacing w:val="-4"/>
          <w:sz w:val="28"/>
        </w:rPr>
        <w:t> </w:t>
      </w:r>
      <w:r>
        <w:rPr>
          <w:sz w:val="28"/>
        </w:rPr>
        <w:t>lack</w:t>
      </w:r>
      <w:r>
        <w:rPr>
          <w:spacing w:val="-4"/>
          <w:sz w:val="28"/>
        </w:rPr>
        <w:t> </w:t>
      </w:r>
      <w:r>
        <w:rPr>
          <w:sz w:val="28"/>
        </w:rPr>
        <w:t>of</w:t>
      </w:r>
      <w:r>
        <w:rPr>
          <w:spacing w:val="-4"/>
          <w:sz w:val="28"/>
        </w:rPr>
        <w:t> </w:t>
      </w:r>
      <w:r>
        <w:rPr>
          <w:sz w:val="28"/>
        </w:rPr>
        <w:t>recognition</w:t>
      </w:r>
      <w:r>
        <w:rPr>
          <w:spacing w:val="-4"/>
          <w:sz w:val="28"/>
        </w:rPr>
        <w:t> </w:t>
      </w:r>
      <w:r>
        <w:rPr>
          <w:sz w:val="28"/>
        </w:rPr>
        <w:t>and</w:t>
      </w:r>
      <w:r>
        <w:rPr>
          <w:spacing w:val="-4"/>
          <w:sz w:val="28"/>
        </w:rPr>
        <w:t> </w:t>
      </w:r>
      <w:r>
        <w:rPr>
          <w:sz w:val="28"/>
        </w:rPr>
        <w:t>support</w:t>
      </w:r>
      <w:r>
        <w:rPr>
          <w:spacing w:val="-4"/>
          <w:sz w:val="28"/>
        </w:rPr>
        <w:t> </w:t>
      </w:r>
      <w:r>
        <w:rPr>
          <w:sz w:val="28"/>
        </w:rPr>
        <w:t>in </w:t>
      </w:r>
      <w:r>
        <w:rPr>
          <w:spacing w:val="-2"/>
          <w:sz w:val="28"/>
        </w:rPr>
        <w:t>schools</w:t>
      </w:r>
    </w:p>
    <w:p>
      <w:pPr>
        <w:pStyle w:val="BodyText"/>
        <w:spacing w:before="2"/>
        <w:rPr>
          <w:sz w:val="35"/>
        </w:rPr>
      </w:pPr>
    </w:p>
    <w:p>
      <w:pPr>
        <w:pStyle w:val="BodyText"/>
        <w:ind w:left="280" w:right="499"/>
      </w:pPr>
      <w:r>
        <w:rPr/>
        <w:t>Lack of appropriately trained behavioral health providers and exposure to harmful</w:t>
      </w:r>
      <w:r>
        <w:rPr>
          <w:spacing w:val="-5"/>
        </w:rPr>
        <w:t> </w:t>
      </w:r>
      <w:r>
        <w:rPr/>
        <w:t>efforts</w:t>
      </w:r>
      <w:r>
        <w:rPr>
          <w:spacing w:val="-5"/>
        </w:rPr>
        <w:t> </w:t>
      </w:r>
      <w:r>
        <w:rPr/>
        <w:t>that</w:t>
      </w:r>
      <w:r>
        <w:rPr>
          <w:spacing w:val="-5"/>
        </w:rPr>
        <w:t> </w:t>
      </w:r>
      <w:r>
        <w:rPr/>
        <w:t>attempt</w:t>
      </w:r>
      <w:r>
        <w:rPr>
          <w:spacing w:val="-5"/>
        </w:rPr>
        <w:t> </w:t>
      </w:r>
      <w:r>
        <w:rPr/>
        <w:t>to</w:t>
      </w:r>
      <w:r>
        <w:rPr>
          <w:spacing w:val="-5"/>
        </w:rPr>
        <w:t> </w:t>
      </w:r>
      <w:r>
        <w:rPr/>
        <w:t>change</w:t>
      </w:r>
      <w:r>
        <w:rPr>
          <w:spacing w:val="-6"/>
        </w:rPr>
        <w:t> </w:t>
      </w:r>
      <w:r>
        <w:rPr/>
        <w:t>sexual</w:t>
      </w:r>
      <w:r>
        <w:rPr>
          <w:spacing w:val="-5"/>
        </w:rPr>
        <w:t> </w:t>
      </w:r>
      <w:r>
        <w:rPr/>
        <w:t>orientation</w:t>
      </w:r>
      <w:r>
        <w:rPr>
          <w:spacing w:val="-5"/>
        </w:rPr>
        <w:t> </w:t>
      </w:r>
      <w:r>
        <w:rPr/>
        <w:t>and/or</w:t>
      </w:r>
      <w:r>
        <w:rPr>
          <w:spacing w:val="-5"/>
        </w:rPr>
        <w:t> </w:t>
      </w:r>
      <w:r>
        <w:rPr/>
        <w:t>gender</w:t>
      </w:r>
      <w:r>
        <w:rPr>
          <w:spacing w:val="-5"/>
        </w:rPr>
        <w:t> </w:t>
      </w:r>
      <w:r>
        <w:rPr/>
        <w:t>identity compound these challenges.</w:t>
      </w:r>
      <w:r>
        <w:rPr>
          <w:spacing w:val="-3"/>
        </w:rPr>
        <w:t> </w:t>
      </w:r>
      <w:r>
        <w:rPr/>
        <w:t>Additionally, some transgender and gender- diverse youth require behavioral health support for their experience of gender dysphoria—that is, psychological distress arising from the incongruence between one’s body and gender identity.</w:t>
      </w:r>
    </w:p>
    <w:p>
      <w:pPr>
        <w:pStyle w:val="BodyText"/>
        <w:spacing w:before="2"/>
        <w:rPr>
          <w:sz w:val="44"/>
        </w:rPr>
      </w:pPr>
    </w:p>
    <w:p>
      <w:pPr>
        <w:pStyle w:val="BodyText"/>
        <w:ind w:left="280" w:right="502"/>
      </w:pPr>
      <w:r>
        <w:rPr/>
        <w:t>The conclusions in this section are based on research and professional consensus</w:t>
      </w:r>
      <w:r>
        <w:rPr>
          <w:spacing w:val="-3"/>
        </w:rPr>
        <w:t> </w:t>
      </w:r>
      <w:r>
        <w:rPr/>
        <w:t>statements</w:t>
      </w:r>
      <w:r>
        <w:rPr>
          <w:spacing w:val="-3"/>
        </w:rPr>
        <w:t> </w:t>
      </w:r>
      <w:r>
        <w:rPr/>
        <w:t>from</w:t>
      </w:r>
      <w:r>
        <w:rPr>
          <w:spacing w:val="-3"/>
        </w:rPr>
        <w:t> </w:t>
      </w:r>
      <w:r>
        <w:rPr/>
        <w:t>experts</w:t>
      </w:r>
      <w:r>
        <w:rPr>
          <w:spacing w:val="-3"/>
        </w:rPr>
        <w:t> </w:t>
      </w:r>
      <w:r>
        <w:rPr/>
        <w:t>in</w:t>
      </w:r>
      <w:r>
        <w:rPr>
          <w:spacing w:val="-3"/>
        </w:rPr>
        <w:t> </w:t>
      </w:r>
      <w:r>
        <w:rPr/>
        <w:t>behavioral</w:t>
      </w:r>
      <w:r>
        <w:rPr>
          <w:spacing w:val="-3"/>
        </w:rPr>
        <w:t> </w:t>
      </w:r>
      <w:r>
        <w:rPr/>
        <w:t>health,</w:t>
      </w:r>
      <w:r>
        <w:rPr>
          <w:spacing w:val="-3"/>
        </w:rPr>
        <w:t> </w:t>
      </w:r>
      <w:r>
        <w:rPr/>
        <w:t>research,</w:t>
      </w:r>
      <w:r>
        <w:rPr>
          <w:spacing w:val="-3"/>
        </w:rPr>
        <w:t> </w:t>
      </w:r>
      <w:r>
        <w:rPr/>
        <w:t>education, and</w:t>
      </w:r>
      <w:r>
        <w:rPr>
          <w:spacing w:val="-5"/>
        </w:rPr>
        <w:t> </w:t>
      </w:r>
      <w:r>
        <w:rPr/>
        <w:t>policy.</w:t>
      </w:r>
      <w:r>
        <w:rPr>
          <w:spacing w:val="-11"/>
        </w:rPr>
        <w:t> </w:t>
      </w:r>
      <w:r>
        <w:rPr/>
        <w:t>They</w:t>
      </w:r>
      <w:r>
        <w:rPr>
          <w:spacing w:val="-5"/>
        </w:rPr>
        <w:t> </w:t>
      </w:r>
      <w:r>
        <w:rPr/>
        <w:t>strengthen</w:t>
      </w:r>
      <w:r>
        <w:rPr>
          <w:spacing w:val="-5"/>
        </w:rPr>
        <w:t> </w:t>
      </w:r>
      <w:r>
        <w:rPr/>
        <w:t>and</w:t>
      </w:r>
      <w:r>
        <w:rPr>
          <w:spacing w:val="-5"/>
        </w:rPr>
        <w:t> </w:t>
      </w:r>
      <w:r>
        <w:rPr/>
        <w:t>build</w:t>
      </w:r>
      <w:r>
        <w:rPr>
          <w:spacing w:val="-5"/>
        </w:rPr>
        <w:t> </w:t>
      </w:r>
      <w:r>
        <w:rPr/>
        <w:t>on</w:t>
      </w:r>
      <w:r>
        <w:rPr>
          <w:spacing w:val="-5"/>
        </w:rPr>
        <w:t> </w:t>
      </w:r>
      <w:r>
        <w:rPr/>
        <w:t>the</w:t>
      </w:r>
      <w:r>
        <w:rPr>
          <w:spacing w:val="-6"/>
        </w:rPr>
        <w:t> </w:t>
      </w:r>
      <w:r>
        <w:rPr/>
        <w:t>conclusions</w:t>
      </w:r>
      <w:r>
        <w:rPr>
          <w:spacing w:val="-5"/>
        </w:rPr>
        <w:t> </w:t>
      </w:r>
      <w:r>
        <w:rPr/>
        <w:t>of</w:t>
      </w:r>
      <w:r>
        <w:rPr>
          <w:spacing w:val="-5"/>
        </w:rPr>
        <w:t> </w:t>
      </w:r>
      <w:r>
        <w:rPr/>
        <w:t>previous</w:t>
      </w:r>
      <w:r>
        <w:rPr>
          <w:spacing w:val="-5"/>
        </w:rPr>
        <w:t> </w:t>
      </w:r>
      <w:r>
        <w:rPr/>
        <w:t>reports published by the U.S. Substance</w:t>
      </w:r>
      <w:r>
        <w:rPr>
          <w:spacing w:val="-4"/>
        </w:rPr>
        <w:t> </w:t>
      </w:r>
      <w:r>
        <w:rPr/>
        <w:t>Abuse and Mental Health Services Administration (SAMHSA), </w:t>
      </w:r>
      <w:r>
        <w:rPr>
          <w:i/>
        </w:rPr>
        <w:t>Ending Conversion Therapy: Supporting and</w:t>
      </w:r>
      <w:r>
        <w:rPr>
          <w:i/>
        </w:rPr>
        <w:t> Affirming LGBTQ Youth</w:t>
      </w:r>
      <w:r>
        <w:rPr/>
        <w:t>, the precursor to this report.</w:t>
      </w:r>
    </w:p>
    <w:p>
      <w:pPr>
        <w:pStyle w:val="BodyText"/>
        <w:spacing w:before="2"/>
        <w:rPr>
          <w:sz w:val="44"/>
        </w:rPr>
      </w:pPr>
    </w:p>
    <w:p>
      <w:pPr>
        <w:pStyle w:val="BodyText"/>
        <w:ind w:left="280" w:right="556"/>
      </w:pPr>
      <w:r>
        <w:rPr/>
        <w:t>An</w:t>
      </w:r>
      <w:r>
        <w:rPr>
          <w:spacing w:val="-4"/>
        </w:rPr>
        <w:t> </w:t>
      </w:r>
      <w:r>
        <w:rPr/>
        <w:t>overarching</w:t>
      </w:r>
      <w:r>
        <w:rPr>
          <w:spacing w:val="-4"/>
        </w:rPr>
        <w:t> </w:t>
      </w:r>
      <w:r>
        <w:rPr/>
        <w:t>and</w:t>
      </w:r>
      <w:r>
        <w:rPr>
          <w:spacing w:val="-4"/>
        </w:rPr>
        <w:t> </w:t>
      </w:r>
      <w:r>
        <w:rPr/>
        <w:t>guiding</w:t>
      </w:r>
      <w:r>
        <w:rPr>
          <w:spacing w:val="-4"/>
        </w:rPr>
        <w:t> </w:t>
      </w:r>
      <w:r>
        <w:rPr/>
        <w:t>conclusion</w:t>
      </w:r>
      <w:r>
        <w:rPr>
          <w:spacing w:val="-4"/>
        </w:rPr>
        <w:t> </w:t>
      </w:r>
      <w:r>
        <w:rPr/>
        <w:t>of</w:t>
      </w:r>
      <w:r>
        <w:rPr>
          <w:spacing w:val="-4"/>
        </w:rPr>
        <w:t> </w:t>
      </w:r>
      <w:r>
        <w:rPr/>
        <w:t>this</w:t>
      </w:r>
      <w:r>
        <w:rPr>
          <w:spacing w:val="-4"/>
        </w:rPr>
        <w:t> </w:t>
      </w:r>
      <w:r>
        <w:rPr/>
        <w:t>new</w:t>
      </w:r>
      <w:r>
        <w:rPr>
          <w:spacing w:val="-4"/>
        </w:rPr>
        <w:t> </w:t>
      </w:r>
      <w:r>
        <w:rPr/>
        <w:t>report</w:t>
      </w:r>
      <w:r>
        <w:rPr>
          <w:spacing w:val="-4"/>
        </w:rPr>
        <w:t> </w:t>
      </w:r>
      <w:r>
        <w:rPr/>
        <w:t>is</w:t>
      </w:r>
      <w:r>
        <w:rPr>
          <w:spacing w:val="-4"/>
        </w:rPr>
        <w:t> </w:t>
      </w:r>
      <w:r>
        <w:rPr/>
        <w:t>that</w:t>
      </w:r>
      <w:r>
        <w:rPr>
          <w:spacing w:val="-4"/>
        </w:rPr>
        <w:t> </w:t>
      </w:r>
      <w:r>
        <w:rPr/>
        <w:t>SOGI</w:t>
      </w:r>
      <w:r>
        <w:rPr>
          <w:spacing w:val="-4"/>
        </w:rPr>
        <w:t> </w:t>
      </w:r>
      <w:r>
        <w:rPr/>
        <w:t>change efforts in children and adolescents are harmful and should never be provided. Although the terms “conversion therapy” and “reparative therapy” are commonly used to describe efforts to repress or change someone’s sexual orientation</w:t>
      </w:r>
      <w:r>
        <w:rPr>
          <w:spacing w:val="-3"/>
        </w:rPr>
        <w:t> </w:t>
      </w:r>
      <w:r>
        <w:rPr/>
        <w:t>or</w:t>
      </w:r>
      <w:r>
        <w:rPr>
          <w:spacing w:val="-3"/>
        </w:rPr>
        <w:t> </w:t>
      </w:r>
      <w:r>
        <w:rPr/>
        <w:t>gender</w:t>
      </w:r>
      <w:r>
        <w:rPr>
          <w:spacing w:val="-3"/>
        </w:rPr>
        <w:t> </w:t>
      </w:r>
      <w:r>
        <w:rPr/>
        <w:t>identity,</w:t>
      </w:r>
      <w:r>
        <w:rPr>
          <w:spacing w:val="-3"/>
        </w:rPr>
        <w:t> </w:t>
      </w:r>
      <w:r>
        <w:rPr/>
        <w:t>these</w:t>
      </w:r>
      <w:r>
        <w:rPr>
          <w:spacing w:val="-4"/>
        </w:rPr>
        <w:t> </w:t>
      </w:r>
      <w:r>
        <w:rPr/>
        <w:t>efforts</w:t>
      </w:r>
      <w:r>
        <w:rPr>
          <w:spacing w:val="-3"/>
        </w:rPr>
        <w:t> </w:t>
      </w:r>
      <w:r>
        <w:rPr/>
        <w:t>are</w:t>
      </w:r>
      <w:r>
        <w:rPr>
          <w:spacing w:val="-4"/>
        </w:rPr>
        <w:t> </w:t>
      </w:r>
      <w:r>
        <w:rPr/>
        <w:t>not</w:t>
      </w:r>
      <w:r>
        <w:rPr>
          <w:spacing w:val="-3"/>
        </w:rPr>
        <w:t> </w:t>
      </w:r>
      <w:r>
        <w:rPr/>
        <w:t>therapeutic,</w:t>
      </w:r>
      <w:r>
        <w:rPr>
          <w:spacing w:val="-3"/>
        </w:rPr>
        <w:t> </w:t>
      </w:r>
      <w:r>
        <w:rPr/>
        <w:t>and</w:t>
      </w:r>
      <w:r>
        <w:rPr>
          <w:spacing w:val="-3"/>
        </w:rPr>
        <w:t> </w:t>
      </w:r>
      <w:r>
        <w:rPr/>
        <w:t>using</w:t>
      </w:r>
      <w:r>
        <w:rPr>
          <w:spacing w:val="-3"/>
        </w:rPr>
        <w:t> </w:t>
      </w:r>
      <w:r>
        <w:rPr/>
        <w:t>these terms reinforce disinformation that sexual-and gender-diverse people need repair or conversion. Efforts to change or suppress a person’s sexual orientation or gender identity are grounded in the belief that being LGBTQI+ is abnormal. They are dangerous, discredited, and ineffective practices.</w:t>
      </w:r>
    </w:p>
    <w:p>
      <w:pPr>
        <w:pStyle w:val="BodyText"/>
        <w:spacing w:line="303" w:lineRule="exact"/>
        <w:ind w:left="280"/>
      </w:pPr>
      <w:r>
        <w:rPr/>
        <w:t>Therefore,</w:t>
      </w:r>
      <w:r>
        <w:rPr>
          <w:spacing w:val="-4"/>
        </w:rPr>
        <w:t> </w:t>
      </w:r>
      <w:r>
        <w:rPr/>
        <w:t>this</w:t>
      </w:r>
      <w:r>
        <w:rPr>
          <w:spacing w:val="-2"/>
        </w:rPr>
        <w:t> </w:t>
      </w:r>
      <w:r>
        <w:rPr/>
        <w:t>report</w:t>
      </w:r>
      <w:r>
        <w:rPr>
          <w:spacing w:val="-2"/>
        </w:rPr>
        <w:t> </w:t>
      </w:r>
      <w:r>
        <w:rPr/>
        <w:t>utilizes</w:t>
      </w:r>
      <w:r>
        <w:rPr>
          <w:spacing w:val="-1"/>
        </w:rPr>
        <w:t> </w:t>
      </w:r>
      <w:r>
        <w:rPr/>
        <w:t>the</w:t>
      </w:r>
      <w:r>
        <w:rPr>
          <w:spacing w:val="-3"/>
        </w:rPr>
        <w:t> </w:t>
      </w:r>
      <w:r>
        <w:rPr/>
        <w:t>term</w:t>
      </w:r>
      <w:r>
        <w:rPr>
          <w:spacing w:val="-2"/>
        </w:rPr>
        <w:t> </w:t>
      </w:r>
      <w:r>
        <w:rPr/>
        <w:t>“SOGI</w:t>
      </w:r>
      <w:r>
        <w:rPr>
          <w:spacing w:val="-2"/>
        </w:rPr>
        <w:t> </w:t>
      </w:r>
      <w:r>
        <w:rPr/>
        <w:t>Change</w:t>
      </w:r>
      <w:r>
        <w:rPr>
          <w:spacing w:val="-2"/>
        </w:rPr>
        <w:t> </w:t>
      </w:r>
      <w:r>
        <w:rPr/>
        <w:t>Efforts”</w:t>
      </w:r>
      <w:r>
        <w:rPr>
          <w:spacing w:val="-3"/>
        </w:rPr>
        <w:t> </w:t>
      </w:r>
      <w:r>
        <w:rPr/>
        <w:t>to</w:t>
      </w:r>
      <w:r>
        <w:rPr>
          <w:spacing w:val="-2"/>
        </w:rPr>
        <w:t> </w:t>
      </w:r>
      <w:r>
        <w:rPr/>
        <w:t>describe</w:t>
      </w:r>
      <w:r>
        <w:rPr>
          <w:spacing w:val="-2"/>
        </w:rPr>
        <w:t> </w:t>
      </w:r>
      <w:r>
        <w:rPr>
          <w:spacing w:val="-5"/>
        </w:rPr>
        <w:t>so-</w:t>
      </w:r>
    </w:p>
    <w:p>
      <w:pPr>
        <w:pStyle w:val="BodyText"/>
        <w:ind w:left="280" w:right="549"/>
      </w:pPr>
      <w:r>
        <w:rPr/>
        <w:t>called “conversion therapy.” Recent studies have linked SOGI change efforts to significant harms, such as increased risk of suicidality and suicide attempts, as</w:t>
      </w:r>
      <w:r>
        <w:rPr>
          <w:spacing w:val="-4"/>
        </w:rPr>
        <w:t> </w:t>
      </w:r>
      <w:r>
        <w:rPr/>
        <w:t>well</w:t>
      </w:r>
      <w:r>
        <w:rPr>
          <w:spacing w:val="-4"/>
        </w:rPr>
        <w:t> </w:t>
      </w:r>
      <w:r>
        <w:rPr/>
        <w:t>as</w:t>
      </w:r>
      <w:r>
        <w:rPr>
          <w:spacing w:val="-4"/>
        </w:rPr>
        <w:t> </w:t>
      </w:r>
      <w:r>
        <w:rPr/>
        <w:t>other</w:t>
      </w:r>
      <w:r>
        <w:rPr>
          <w:spacing w:val="-4"/>
        </w:rPr>
        <w:t> </w:t>
      </w:r>
      <w:r>
        <w:rPr/>
        <w:t>negative</w:t>
      </w:r>
      <w:r>
        <w:rPr>
          <w:spacing w:val="-5"/>
        </w:rPr>
        <w:t> </w:t>
      </w:r>
      <w:r>
        <w:rPr/>
        <w:t>outcomes</w:t>
      </w:r>
      <w:r>
        <w:rPr>
          <w:spacing w:val="-4"/>
        </w:rPr>
        <w:t> </w:t>
      </w:r>
      <w:r>
        <w:rPr/>
        <w:t>including</w:t>
      </w:r>
      <w:r>
        <w:rPr>
          <w:spacing w:val="-4"/>
        </w:rPr>
        <w:t> </w:t>
      </w:r>
      <w:r>
        <w:rPr/>
        <w:t>severe</w:t>
      </w:r>
      <w:r>
        <w:rPr>
          <w:spacing w:val="-5"/>
        </w:rPr>
        <w:t> </w:t>
      </w:r>
      <w:r>
        <w:rPr/>
        <w:t>psychological</w:t>
      </w:r>
      <w:r>
        <w:rPr>
          <w:spacing w:val="-4"/>
        </w:rPr>
        <w:t> </w:t>
      </w:r>
      <w:r>
        <w:rPr/>
        <w:t>distress</w:t>
      </w:r>
      <w:r>
        <w:rPr>
          <w:spacing w:val="-4"/>
        </w:rPr>
        <w:t> </w:t>
      </w:r>
      <w:r>
        <w:rPr/>
        <w:t>and </w:t>
      </w:r>
      <w:r>
        <w:rPr>
          <w:spacing w:val="-2"/>
        </w:rPr>
        <w:t>depression.</w:t>
      </w:r>
    </w:p>
    <w:p>
      <w:pPr>
        <w:spacing w:after="0"/>
        <w:sectPr>
          <w:pgSz w:w="12240" w:h="15840"/>
          <w:pgMar w:header="0" w:footer="783" w:top="1260" w:bottom="980" w:left="1400" w:right="1180"/>
        </w:sectPr>
      </w:pPr>
    </w:p>
    <w:p>
      <w:pPr>
        <w:pStyle w:val="BodyText"/>
        <w:spacing w:before="66"/>
        <w:ind w:left="280" w:right="502"/>
      </w:pPr>
      <w:r>
        <w:rPr/>
        <mc:AlternateContent>
          <mc:Choice Requires="wps">
            <w:drawing>
              <wp:anchor distT="0" distB="0" distL="0" distR="0" allowOverlap="1" layoutInCell="1" locked="0" behindDoc="0" simplePos="0" relativeHeight="15819776">
                <wp:simplePos x="0" y="0"/>
                <wp:positionH relativeFrom="page">
                  <wp:posOffset>4217398</wp:posOffset>
                </wp:positionH>
                <wp:positionV relativeFrom="paragraph">
                  <wp:posOffset>1040359</wp:posOffset>
                </wp:positionV>
                <wp:extent cx="2559685" cy="313309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2559685" cy="3133090"/>
                          <a:chExt cx="2559685" cy="3133090"/>
                        </a:xfrm>
                      </wpg:grpSpPr>
                      <pic:pic>
                        <pic:nvPicPr>
                          <pic:cNvPr id="364" name="Image 364"/>
                          <pic:cNvPicPr/>
                        </pic:nvPicPr>
                        <pic:blipFill>
                          <a:blip r:embed="rId47" cstate="print"/>
                          <a:stretch>
                            <a:fillRect/>
                          </a:stretch>
                        </pic:blipFill>
                        <pic:spPr>
                          <a:xfrm>
                            <a:off x="0" y="0"/>
                            <a:ext cx="2559639" cy="3133068"/>
                          </a:xfrm>
                          <a:prstGeom prst="rect">
                            <a:avLst/>
                          </a:prstGeom>
                        </pic:spPr>
                      </pic:pic>
                      <pic:pic>
                        <pic:nvPicPr>
                          <pic:cNvPr id="365" name="Image 365"/>
                          <pic:cNvPicPr/>
                        </pic:nvPicPr>
                        <pic:blipFill>
                          <a:blip r:embed="rId48" cstate="print"/>
                          <a:stretch>
                            <a:fillRect/>
                          </a:stretch>
                        </pic:blipFill>
                        <pic:spPr>
                          <a:xfrm>
                            <a:off x="76200" y="56200"/>
                            <a:ext cx="2407239" cy="2980668"/>
                          </a:xfrm>
                          <a:prstGeom prst="rect">
                            <a:avLst/>
                          </a:prstGeom>
                        </pic:spPr>
                      </pic:pic>
                      <pic:pic>
                        <pic:nvPicPr>
                          <pic:cNvPr id="366" name="Image 366"/>
                          <pic:cNvPicPr/>
                        </pic:nvPicPr>
                        <pic:blipFill>
                          <a:blip r:embed="rId49" cstate="print"/>
                          <a:stretch>
                            <a:fillRect/>
                          </a:stretch>
                        </pic:blipFill>
                        <pic:spPr>
                          <a:xfrm>
                            <a:off x="40082" y="38045"/>
                            <a:ext cx="2480276" cy="3035300"/>
                          </a:xfrm>
                          <a:prstGeom prst="rect">
                            <a:avLst/>
                          </a:prstGeom>
                        </pic:spPr>
                      </pic:pic>
                      <wps:wsp>
                        <wps:cNvPr id="367" name="Textbox 367"/>
                        <wps:cNvSpPr txBox="1"/>
                        <wps:spPr>
                          <a:xfrm>
                            <a:off x="0" y="0"/>
                            <a:ext cx="2559685" cy="3133090"/>
                          </a:xfrm>
                          <a:prstGeom prst="rect">
                            <a:avLst/>
                          </a:prstGeom>
                        </wps:spPr>
                        <wps:txbx>
                          <w:txbxContent>
                            <w:p>
                              <w:pPr>
                                <w:spacing w:line="252" w:lineRule="auto" w:before="168"/>
                                <w:ind w:left="252" w:right="174" w:firstLine="0"/>
                                <w:jc w:val="left"/>
                                <w:rPr>
                                  <w:rFonts w:ascii="Calibri" w:hAnsi="Calibri"/>
                                  <w:sz w:val="36"/>
                                </w:rPr>
                              </w:pPr>
                              <w:r>
                                <w:rPr>
                                  <w:rFonts w:ascii="Calibri" w:hAnsi="Calibri"/>
                                  <w:sz w:val="36"/>
                                </w:rPr>
                                <w:t>The term “evidence- based care” refers to care, practices, or policies</w:t>
                              </w:r>
                              <w:r>
                                <w:rPr>
                                  <w:rFonts w:ascii="Calibri" w:hAnsi="Calibri"/>
                                  <w:spacing w:val="-16"/>
                                  <w:sz w:val="36"/>
                                </w:rPr>
                                <w:t> </w:t>
                              </w:r>
                              <w:r>
                                <w:rPr>
                                  <w:rFonts w:ascii="Calibri" w:hAnsi="Calibri"/>
                                  <w:sz w:val="36"/>
                                </w:rPr>
                                <w:t>that</w:t>
                              </w:r>
                              <w:r>
                                <w:rPr>
                                  <w:rFonts w:ascii="Calibri" w:hAnsi="Calibri"/>
                                  <w:spacing w:val="-16"/>
                                  <w:sz w:val="36"/>
                                </w:rPr>
                                <w:t> </w:t>
                              </w:r>
                              <w:r>
                                <w:rPr>
                                  <w:rFonts w:ascii="Calibri" w:hAnsi="Calibri"/>
                                  <w:sz w:val="36"/>
                                </w:rPr>
                                <w:t>are</w:t>
                              </w:r>
                              <w:r>
                                <w:rPr>
                                  <w:rFonts w:ascii="Calibri" w:hAnsi="Calibri"/>
                                  <w:spacing w:val="-16"/>
                                  <w:sz w:val="36"/>
                                </w:rPr>
                                <w:t> </w:t>
                              </w:r>
                              <w:r>
                                <w:rPr>
                                  <w:rFonts w:ascii="Calibri" w:hAnsi="Calibri"/>
                                  <w:sz w:val="36"/>
                                </w:rPr>
                                <w:t>based on current research evidence, clinical expertise, and expert </w:t>
                              </w:r>
                              <w:r>
                                <w:rPr>
                                  <w:rFonts w:ascii="Calibri" w:hAnsi="Calibri"/>
                                  <w:spacing w:val="-2"/>
                                  <w:sz w:val="36"/>
                                </w:rPr>
                                <w:t>consensus.</w:t>
                              </w:r>
                            </w:p>
                          </w:txbxContent>
                        </wps:txbx>
                        <wps:bodyPr wrap="square" lIns="0" tIns="0" rIns="0" bIns="0" rtlCol="0">
                          <a:noAutofit/>
                        </wps:bodyPr>
                      </wps:wsp>
                    </wpg:wgp>
                  </a:graphicData>
                </a:graphic>
              </wp:anchor>
            </w:drawing>
          </mc:Choice>
          <mc:Fallback>
            <w:pict>
              <v:group style="position:absolute;margin-left:332.078613pt;margin-top:81.918098pt;width:201.55pt;height:246.7pt;mso-position-horizontal-relative:page;mso-position-vertical-relative:paragraph;z-index:15819776" id="docshapegroup360" coordorigin="6642,1638" coordsize="4031,4934">
                <v:shape style="position:absolute;left:6641;top:1638;width:4031;height:4934" type="#_x0000_t75" id="docshape361" stroked="false">
                  <v:imagedata r:id="rId47" o:title=""/>
                </v:shape>
                <v:shape style="position:absolute;left:6761;top:1726;width:3791;height:4694" type="#_x0000_t75" id="docshape362" stroked="false">
                  <v:imagedata r:id="rId48" o:title=""/>
                </v:shape>
                <v:shape style="position:absolute;left:6704;top:1698;width:3906;height:4780" type="#_x0000_t75" id="docshape363" stroked="false">
                  <v:imagedata r:id="rId49" o:title=""/>
                </v:shape>
                <v:shape style="position:absolute;left:6641;top:1638;width:4031;height:4934" type="#_x0000_t202" id="docshape364" filled="false" stroked="false">
                  <v:textbox inset="0,0,0,0">
                    <w:txbxContent>
                      <w:p>
                        <w:pPr>
                          <w:spacing w:line="252" w:lineRule="auto" w:before="168"/>
                          <w:ind w:left="252" w:right="174" w:firstLine="0"/>
                          <w:jc w:val="left"/>
                          <w:rPr>
                            <w:rFonts w:ascii="Calibri" w:hAnsi="Calibri"/>
                            <w:sz w:val="36"/>
                          </w:rPr>
                        </w:pPr>
                        <w:r>
                          <w:rPr>
                            <w:rFonts w:ascii="Calibri" w:hAnsi="Calibri"/>
                            <w:sz w:val="36"/>
                          </w:rPr>
                          <w:t>The term “evidence- based care” refers to care, practices, or policies</w:t>
                        </w:r>
                        <w:r>
                          <w:rPr>
                            <w:rFonts w:ascii="Calibri" w:hAnsi="Calibri"/>
                            <w:spacing w:val="-16"/>
                            <w:sz w:val="36"/>
                          </w:rPr>
                          <w:t> </w:t>
                        </w:r>
                        <w:r>
                          <w:rPr>
                            <w:rFonts w:ascii="Calibri" w:hAnsi="Calibri"/>
                            <w:sz w:val="36"/>
                          </w:rPr>
                          <w:t>that</w:t>
                        </w:r>
                        <w:r>
                          <w:rPr>
                            <w:rFonts w:ascii="Calibri" w:hAnsi="Calibri"/>
                            <w:spacing w:val="-16"/>
                            <w:sz w:val="36"/>
                          </w:rPr>
                          <w:t> </w:t>
                        </w:r>
                        <w:r>
                          <w:rPr>
                            <w:rFonts w:ascii="Calibri" w:hAnsi="Calibri"/>
                            <w:sz w:val="36"/>
                          </w:rPr>
                          <w:t>are</w:t>
                        </w:r>
                        <w:r>
                          <w:rPr>
                            <w:rFonts w:ascii="Calibri" w:hAnsi="Calibri"/>
                            <w:spacing w:val="-16"/>
                            <w:sz w:val="36"/>
                          </w:rPr>
                          <w:t> </w:t>
                        </w:r>
                        <w:r>
                          <w:rPr>
                            <w:rFonts w:ascii="Calibri" w:hAnsi="Calibri"/>
                            <w:sz w:val="36"/>
                          </w:rPr>
                          <w:t>based on current research evidence, clinical expertise, and expert </w:t>
                        </w:r>
                        <w:r>
                          <w:rPr>
                            <w:rFonts w:ascii="Calibri" w:hAnsi="Calibri"/>
                            <w:spacing w:val="-2"/>
                            <w:sz w:val="36"/>
                          </w:rPr>
                          <w:t>consensus.</w:t>
                        </w:r>
                      </w:p>
                    </w:txbxContent>
                  </v:textbox>
                  <w10:wrap type="none"/>
                </v:shape>
                <w10:wrap type="none"/>
              </v:group>
            </w:pict>
          </mc:Fallback>
        </mc:AlternateContent>
      </w:r>
      <w:r>
        <w:rPr/>
        <w:t>The U.S. Department of Health and Human Services is committed to eliminating health inequities within communities, including the LGBTQI+ population. This report reflects that commitment by moving the focus away from</w:t>
      </w:r>
      <w:r>
        <w:rPr>
          <w:spacing w:val="-4"/>
        </w:rPr>
        <w:t> </w:t>
      </w:r>
      <w:r>
        <w:rPr/>
        <w:t>SOGI</w:t>
      </w:r>
      <w:r>
        <w:rPr>
          <w:spacing w:val="-4"/>
        </w:rPr>
        <w:t> </w:t>
      </w:r>
      <w:r>
        <w:rPr/>
        <w:t>change</w:t>
      </w:r>
      <w:r>
        <w:rPr>
          <w:spacing w:val="-5"/>
        </w:rPr>
        <w:t> </w:t>
      </w:r>
      <w:r>
        <w:rPr/>
        <w:t>efforts</w:t>
      </w:r>
      <w:r>
        <w:rPr>
          <w:spacing w:val="-4"/>
        </w:rPr>
        <w:t> </w:t>
      </w:r>
      <w:r>
        <w:rPr/>
        <w:t>and</w:t>
      </w:r>
      <w:r>
        <w:rPr>
          <w:spacing w:val="-4"/>
        </w:rPr>
        <w:t> </w:t>
      </w:r>
      <w:r>
        <w:rPr/>
        <w:t>toward</w:t>
      </w:r>
      <w:r>
        <w:rPr>
          <w:spacing w:val="-4"/>
        </w:rPr>
        <w:t> </w:t>
      </w:r>
      <w:r>
        <w:rPr/>
        <w:t>ensuring</w:t>
      </w:r>
      <w:r>
        <w:rPr>
          <w:spacing w:val="-4"/>
        </w:rPr>
        <w:t> </w:t>
      </w:r>
      <w:r>
        <w:rPr/>
        <w:t>that</w:t>
      </w:r>
      <w:r>
        <w:rPr>
          <w:spacing w:val="-4"/>
        </w:rPr>
        <w:t> </w:t>
      </w:r>
      <w:r>
        <w:rPr/>
        <w:t>behavioral</w:t>
      </w:r>
      <w:r>
        <w:rPr>
          <w:spacing w:val="-4"/>
        </w:rPr>
        <w:t> </w:t>
      </w:r>
      <w:r>
        <w:rPr/>
        <w:t>health</w:t>
      </w:r>
      <w:r>
        <w:rPr>
          <w:spacing w:val="-4"/>
        </w:rPr>
        <w:t> </w:t>
      </w:r>
      <w:r>
        <w:rPr/>
        <w:t>care</w:t>
      </w:r>
      <w:r>
        <w:rPr>
          <w:spacing w:val="-5"/>
        </w:rPr>
        <w:t> </w:t>
      </w:r>
      <w:r>
        <w:rPr/>
        <w:t>for LGBTQI+ children and adolescents is</w:t>
      </w:r>
    </w:p>
    <w:p>
      <w:pPr>
        <w:pStyle w:val="BodyText"/>
        <w:spacing w:line="237" w:lineRule="auto"/>
        <w:ind w:left="280" w:right="4622"/>
      </w:pPr>
      <w:r>
        <w:rPr/>
        <w:t>safe and reflects the most current scientific evidence. This report also provides</w:t>
      </w:r>
      <w:r>
        <w:rPr>
          <w:spacing w:val="-2"/>
        </w:rPr>
        <w:t> </w:t>
      </w:r>
      <w:r>
        <w:rPr/>
        <w:t>a</w:t>
      </w:r>
      <w:r>
        <w:rPr>
          <w:spacing w:val="-3"/>
        </w:rPr>
        <w:t> </w:t>
      </w:r>
      <w:r>
        <w:rPr/>
        <w:t>roadmap</w:t>
      </w:r>
      <w:r>
        <w:rPr>
          <w:spacing w:val="-2"/>
        </w:rPr>
        <w:t> </w:t>
      </w:r>
      <w:r>
        <w:rPr/>
        <w:t>for</w:t>
      </w:r>
      <w:r>
        <w:rPr>
          <w:spacing w:val="-2"/>
        </w:rPr>
        <w:t> </w:t>
      </w:r>
      <w:r>
        <w:rPr/>
        <w:t>action</w:t>
      </w:r>
      <w:r>
        <w:rPr>
          <w:spacing w:val="-2"/>
        </w:rPr>
        <w:t> </w:t>
      </w:r>
      <w:r>
        <w:rPr/>
        <w:t>centered</w:t>
      </w:r>
      <w:r>
        <w:rPr>
          <w:spacing w:val="-2"/>
        </w:rPr>
        <w:t> </w:t>
      </w:r>
      <w:r>
        <w:rPr/>
        <w:t>on evidence-based care and helpful interventions for clinicians, all providers, educators, families, caregivers, and policymakers to improve the behavioral health of LGBTQI+ youth. Further, this report reflects priorities included in President Biden’s June 15, 2022, Executive Order on Advancing Equality for Lesbian, Gay, Bisexual, Transgender, Queer,</w:t>
      </w:r>
      <w:r>
        <w:rPr>
          <w:spacing w:val="-10"/>
        </w:rPr>
        <w:t> </w:t>
      </w:r>
      <w:r>
        <w:rPr/>
        <w:t>and</w:t>
      </w:r>
      <w:r>
        <w:rPr>
          <w:spacing w:val="-10"/>
        </w:rPr>
        <w:t> </w:t>
      </w:r>
      <w:r>
        <w:rPr/>
        <w:t>Intersex</w:t>
      </w:r>
      <w:r>
        <w:rPr>
          <w:spacing w:val="-10"/>
        </w:rPr>
        <w:t> </w:t>
      </w:r>
      <w:r>
        <w:rPr/>
        <w:t>Individuals,14</w:t>
      </w:r>
      <w:r>
        <w:rPr>
          <w:spacing w:val="-10"/>
        </w:rPr>
        <w:t> </w:t>
      </w:r>
      <w:r>
        <w:rPr/>
        <w:t>and</w:t>
      </w:r>
      <w:r>
        <w:rPr>
          <w:spacing w:val="-10"/>
        </w:rPr>
        <w:t> </w:t>
      </w:r>
      <w:r>
        <w:rPr/>
        <w:t>the January 20, 2021, Executive Order on Preventing</w:t>
      </w:r>
      <w:r>
        <w:rPr>
          <w:spacing w:val="-12"/>
        </w:rPr>
        <w:t> </w:t>
      </w:r>
      <w:r>
        <w:rPr/>
        <w:t>and</w:t>
      </w:r>
      <w:r>
        <w:rPr>
          <w:spacing w:val="-12"/>
        </w:rPr>
        <w:t> </w:t>
      </w:r>
      <w:r>
        <w:rPr/>
        <w:t>Combating</w:t>
      </w:r>
      <w:r>
        <w:rPr>
          <w:spacing w:val="-12"/>
        </w:rPr>
        <w:t> </w:t>
      </w:r>
      <w:r>
        <w:rPr/>
        <w:t>Discrimination on the Basis of Gender Identity or Sexual </w:t>
      </w:r>
      <w:r>
        <w:rPr>
          <w:spacing w:val="-2"/>
        </w:rPr>
        <w:t>Orientation.</w:t>
      </w:r>
    </w:p>
    <w:p>
      <w:pPr>
        <w:pStyle w:val="BodyText"/>
        <w:spacing w:before="191"/>
        <w:ind w:left="280"/>
      </w:pPr>
      <w:r>
        <w:rPr/>
        <w:t>Key</w:t>
      </w:r>
      <w:r>
        <w:rPr>
          <w:spacing w:val="-1"/>
        </w:rPr>
        <w:t> </w:t>
      </w:r>
      <w:r>
        <w:rPr>
          <w:spacing w:val="-2"/>
        </w:rPr>
        <w:t>Findings</w:t>
      </w:r>
    </w:p>
    <w:p>
      <w:pPr>
        <w:pStyle w:val="BodyText"/>
        <w:spacing w:before="178"/>
        <w:ind w:left="280" w:right="502"/>
      </w:pPr>
      <w:r>
        <w:rPr/>
        <w:t>This report and its recommendations are based on scientific research distilled into</w:t>
      </w:r>
      <w:r>
        <w:rPr>
          <w:spacing w:val="-5"/>
        </w:rPr>
        <w:t> </w:t>
      </w:r>
      <w:r>
        <w:rPr/>
        <w:t>consensus</w:t>
      </w:r>
      <w:r>
        <w:rPr>
          <w:spacing w:val="-4"/>
        </w:rPr>
        <w:t> </w:t>
      </w:r>
      <w:r>
        <w:rPr/>
        <w:t>statements</w:t>
      </w:r>
      <w:r>
        <w:rPr>
          <w:spacing w:val="-4"/>
        </w:rPr>
        <w:t> </w:t>
      </w:r>
      <w:r>
        <w:rPr/>
        <w:t>by</w:t>
      </w:r>
      <w:r>
        <w:rPr>
          <w:spacing w:val="-4"/>
        </w:rPr>
        <w:t> </w:t>
      </w:r>
      <w:r>
        <w:rPr/>
        <w:t>a</w:t>
      </w:r>
      <w:r>
        <w:rPr>
          <w:spacing w:val="-5"/>
        </w:rPr>
        <w:t> </w:t>
      </w:r>
      <w:r>
        <w:rPr/>
        <w:t>Subject</w:t>
      </w:r>
      <w:r>
        <w:rPr>
          <w:spacing w:val="-4"/>
        </w:rPr>
        <w:t> </w:t>
      </w:r>
      <w:r>
        <w:rPr/>
        <w:t>Matter</w:t>
      </w:r>
      <w:r>
        <w:rPr>
          <w:spacing w:val="-4"/>
        </w:rPr>
        <w:t> </w:t>
      </w:r>
      <w:r>
        <w:rPr/>
        <w:t>Expert</w:t>
      </w:r>
      <w:r>
        <w:rPr>
          <w:spacing w:val="-4"/>
        </w:rPr>
        <w:t> </w:t>
      </w:r>
      <w:r>
        <w:rPr/>
        <w:t>Consensus</w:t>
      </w:r>
      <w:r>
        <w:rPr>
          <w:spacing w:val="-4"/>
        </w:rPr>
        <w:t> </w:t>
      </w:r>
      <w:r>
        <w:rPr/>
        <w:t>Panel.</w:t>
      </w:r>
      <w:r>
        <w:rPr>
          <w:spacing w:val="-18"/>
        </w:rPr>
        <w:t> </w:t>
      </w:r>
      <w:r>
        <w:rPr/>
        <w:t>After</w:t>
      </w:r>
      <w:r>
        <w:rPr>
          <w:spacing w:val="-3"/>
        </w:rPr>
        <w:t> </w:t>
      </w:r>
      <w:r>
        <w:rPr/>
        <w:t>a thorough review of the scientific research; professional health and scientific association statements, guidelines, and reports; and state and national public policies, and in consultation with professionals across a wide range of expertise, the Panel revised and built on key statements from previous reports.</w:t>
      </w:r>
    </w:p>
    <w:p>
      <w:pPr>
        <w:pStyle w:val="BodyText"/>
        <w:spacing w:before="228"/>
        <w:ind w:left="280" w:right="668"/>
      </w:pPr>
      <w:r>
        <w:rPr/>
        <w:t>Based</w:t>
      </w:r>
      <w:r>
        <w:rPr>
          <w:spacing w:val="-5"/>
        </w:rPr>
        <w:t> </w:t>
      </w:r>
      <w:r>
        <w:rPr/>
        <w:t>on</w:t>
      </w:r>
      <w:r>
        <w:rPr>
          <w:spacing w:val="-5"/>
        </w:rPr>
        <w:t> </w:t>
      </w:r>
      <w:r>
        <w:rPr/>
        <w:t>recent</w:t>
      </w:r>
      <w:r>
        <w:rPr>
          <w:spacing w:val="-5"/>
        </w:rPr>
        <w:t> </w:t>
      </w:r>
      <w:r>
        <w:rPr/>
        <w:t>studies</w:t>
      </w:r>
      <w:r>
        <w:rPr>
          <w:spacing w:val="-5"/>
        </w:rPr>
        <w:t> </w:t>
      </w:r>
      <w:r>
        <w:rPr/>
        <w:t>on</w:t>
      </w:r>
      <w:r>
        <w:rPr>
          <w:spacing w:val="-5"/>
        </w:rPr>
        <w:t> </w:t>
      </w:r>
      <w:r>
        <w:rPr/>
        <w:t>thousands</w:t>
      </w:r>
      <w:r>
        <w:rPr>
          <w:spacing w:val="-5"/>
        </w:rPr>
        <w:t> </w:t>
      </w:r>
      <w:r>
        <w:rPr/>
        <w:t>of</w:t>
      </w:r>
      <w:r>
        <w:rPr>
          <w:spacing w:val="-5"/>
        </w:rPr>
        <w:t> </w:t>
      </w:r>
      <w:r>
        <w:rPr/>
        <w:t>individuals</w:t>
      </w:r>
      <w:r>
        <w:rPr>
          <w:spacing w:val="-5"/>
        </w:rPr>
        <w:t> </w:t>
      </w:r>
      <w:r>
        <w:rPr/>
        <w:t>who</w:t>
      </w:r>
      <w:r>
        <w:rPr>
          <w:spacing w:val="-5"/>
        </w:rPr>
        <w:t> </w:t>
      </w:r>
      <w:r>
        <w:rPr/>
        <w:t>have</w:t>
      </w:r>
      <w:r>
        <w:rPr>
          <w:spacing w:val="-6"/>
        </w:rPr>
        <w:t> </w:t>
      </w:r>
      <w:r>
        <w:rPr/>
        <w:t>undergone SOGI change efforts, the Panel concluded that:</w:t>
      </w:r>
    </w:p>
    <w:p>
      <w:pPr>
        <w:pStyle w:val="ListParagraph"/>
        <w:numPr>
          <w:ilvl w:val="0"/>
          <w:numId w:val="25"/>
        </w:numPr>
        <w:tabs>
          <w:tab w:pos="501" w:val="left" w:leader="none"/>
        </w:tabs>
        <w:spacing w:line="240" w:lineRule="auto" w:before="176" w:after="0"/>
        <w:ind w:left="501" w:right="1324" w:hanging="222"/>
        <w:jc w:val="left"/>
        <w:rPr>
          <w:sz w:val="28"/>
        </w:rPr>
      </w:pPr>
      <w:r>
        <w:rPr>
          <w:sz w:val="28"/>
        </w:rPr>
        <w:t>No</w:t>
      </w:r>
      <w:r>
        <w:rPr>
          <w:spacing w:val="-4"/>
          <w:sz w:val="28"/>
        </w:rPr>
        <w:t> </w:t>
      </w:r>
      <w:r>
        <w:rPr>
          <w:sz w:val="28"/>
        </w:rPr>
        <w:t>available</w:t>
      </w:r>
      <w:r>
        <w:rPr>
          <w:spacing w:val="-5"/>
          <w:sz w:val="28"/>
        </w:rPr>
        <w:t> </w:t>
      </w:r>
      <w:r>
        <w:rPr>
          <w:sz w:val="28"/>
        </w:rPr>
        <w:t>research</w:t>
      </w:r>
      <w:r>
        <w:rPr>
          <w:spacing w:val="-4"/>
          <w:sz w:val="28"/>
        </w:rPr>
        <w:t> </w:t>
      </w:r>
      <w:r>
        <w:rPr>
          <w:sz w:val="28"/>
        </w:rPr>
        <w:t>supports</w:t>
      </w:r>
      <w:r>
        <w:rPr>
          <w:spacing w:val="-4"/>
          <w:sz w:val="28"/>
        </w:rPr>
        <w:t> </w:t>
      </w:r>
      <w:r>
        <w:rPr>
          <w:sz w:val="28"/>
        </w:rPr>
        <w:t>the</w:t>
      </w:r>
      <w:r>
        <w:rPr>
          <w:spacing w:val="-5"/>
          <w:sz w:val="28"/>
        </w:rPr>
        <w:t> </w:t>
      </w:r>
      <w:r>
        <w:rPr>
          <w:sz w:val="28"/>
        </w:rPr>
        <w:t>claim</w:t>
      </w:r>
      <w:r>
        <w:rPr>
          <w:spacing w:val="-4"/>
          <w:sz w:val="28"/>
        </w:rPr>
        <w:t> </w:t>
      </w:r>
      <w:r>
        <w:rPr>
          <w:sz w:val="28"/>
        </w:rPr>
        <w:t>that</w:t>
      </w:r>
      <w:r>
        <w:rPr>
          <w:spacing w:val="-4"/>
          <w:sz w:val="28"/>
        </w:rPr>
        <w:t> </w:t>
      </w:r>
      <w:r>
        <w:rPr>
          <w:sz w:val="28"/>
        </w:rPr>
        <w:t>SOGI</w:t>
      </w:r>
      <w:r>
        <w:rPr>
          <w:spacing w:val="-4"/>
          <w:sz w:val="28"/>
        </w:rPr>
        <w:t> </w:t>
      </w:r>
      <w:r>
        <w:rPr>
          <w:sz w:val="28"/>
        </w:rPr>
        <w:t>change</w:t>
      </w:r>
      <w:r>
        <w:rPr>
          <w:spacing w:val="-5"/>
          <w:sz w:val="28"/>
        </w:rPr>
        <w:t> </w:t>
      </w:r>
      <w:r>
        <w:rPr>
          <w:sz w:val="28"/>
        </w:rPr>
        <w:t>efforts</w:t>
      </w:r>
      <w:r>
        <w:rPr>
          <w:spacing w:val="-4"/>
          <w:sz w:val="28"/>
        </w:rPr>
        <w:t> </w:t>
      </w:r>
      <w:r>
        <w:rPr>
          <w:sz w:val="28"/>
        </w:rPr>
        <w:t>are beneficial to children, adolescents, or families.</w:t>
      </w:r>
    </w:p>
    <w:p>
      <w:pPr>
        <w:pStyle w:val="ListParagraph"/>
        <w:numPr>
          <w:ilvl w:val="0"/>
          <w:numId w:val="25"/>
        </w:numPr>
        <w:tabs>
          <w:tab w:pos="501" w:val="left" w:leader="none"/>
        </w:tabs>
        <w:spacing w:line="240" w:lineRule="auto" w:before="79" w:after="0"/>
        <w:ind w:left="501" w:right="977" w:hanging="222"/>
        <w:jc w:val="left"/>
        <w:rPr>
          <w:sz w:val="28"/>
        </w:rPr>
      </w:pPr>
      <w:r>
        <w:rPr>
          <w:sz w:val="28"/>
        </w:rPr>
        <w:t>Available</w:t>
      </w:r>
      <w:r>
        <w:rPr>
          <w:spacing w:val="-8"/>
          <w:sz w:val="28"/>
        </w:rPr>
        <w:t> </w:t>
      </w:r>
      <w:r>
        <w:rPr>
          <w:sz w:val="28"/>
        </w:rPr>
        <w:t>research</w:t>
      </w:r>
      <w:r>
        <w:rPr>
          <w:spacing w:val="-7"/>
          <w:sz w:val="28"/>
        </w:rPr>
        <w:t> </w:t>
      </w:r>
      <w:r>
        <w:rPr>
          <w:sz w:val="28"/>
        </w:rPr>
        <w:t>indicates</w:t>
      </w:r>
      <w:r>
        <w:rPr>
          <w:spacing w:val="-7"/>
          <w:sz w:val="28"/>
        </w:rPr>
        <w:t> </w:t>
      </w:r>
      <w:r>
        <w:rPr>
          <w:sz w:val="28"/>
        </w:rPr>
        <w:t>that</w:t>
      </w:r>
      <w:r>
        <w:rPr>
          <w:spacing w:val="-7"/>
          <w:sz w:val="28"/>
        </w:rPr>
        <w:t> </w:t>
      </w:r>
      <w:r>
        <w:rPr>
          <w:sz w:val="28"/>
        </w:rPr>
        <w:t>SOGI</w:t>
      </w:r>
      <w:r>
        <w:rPr>
          <w:spacing w:val="-7"/>
          <w:sz w:val="28"/>
        </w:rPr>
        <w:t> </w:t>
      </w:r>
      <w:r>
        <w:rPr>
          <w:sz w:val="28"/>
        </w:rPr>
        <w:t>change</w:t>
      </w:r>
      <w:r>
        <w:rPr>
          <w:spacing w:val="-8"/>
          <w:sz w:val="28"/>
        </w:rPr>
        <w:t> </w:t>
      </w:r>
      <w:r>
        <w:rPr>
          <w:sz w:val="28"/>
        </w:rPr>
        <w:t>efforts</w:t>
      </w:r>
      <w:r>
        <w:rPr>
          <w:spacing w:val="-7"/>
          <w:sz w:val="28"/>
        </w:rPr>
        <w:t> </w:t>
      </w:r>
      <w:r>
        <w:rPr>
          <w:sz w:val="28"/>
        </w:rPr>
        <w:t>are</w:t>
      </w:r>
      <w:r>
        <w:rPr>
          <w:spacing w:val="-8"/>
          <w:sz w:val="28"/>
        </w:rPr>
        <w:t> </w:t>
      </w:r>
      <w:r>
        <w:rPr>
          <w:sz w:val="28"/>
        </w:rPr>
        <w:t>not</w:t>
      </w:r>
      <w:r>
        <w:rPr>
          <w:spacing w:val="-7"/>
          <w:sz w:val="28"/>
        </w:rPr>
        <w:t> </w:t>
      </w:r>
      <w:r>
        <w:rPr>
          <w:sz w:val="28"/>
        </w:rPr>
        <w:t>effective</w:t>
      </w:r>
      <w:r>
        <w:rPr>
          <w:spacing w:val="-8"/>
          <w:sz w:val="28"/>
        </w:rPr>
        <w:t> </w:t>
      </w:r>
      <w:r>
        <w:rPr>
          <w:sz w:val="28"/>
        </w:rPr>
        <w:t>in altering sexual orientation. Further, no available research indicates that change efforts are effective in altering gender identity.</w:t>
      </w:r>
    </w:p>
    <w:p>
      <w:pPr>
        <w:pStyle w:val="ListParagraph"/>
        <w:numPr>
          <w:ilvl w:val="0"/>
          <w:numId w:val="25"/>
        </w:numPr>
        <w:tabs>
          <w:tab w:pos="501" w:val="left" w:leader="none"/>
        </w:tabs>
        <w:spacing w:line="240" w:lineRule="auto" w:before="78" w:after="0"/>
        <w:ind w:left="501" w:right="747" w:hanging="222"/>
        <w:jc w:val="left"/>
        <w:rPr>
          <w:sz w:val="28"/>
        </w:rPr>
      </w:pPr>
      <w:r>
        <w:rPr>
          <w:sz w:val="28"/>
        </w:rPr>
        <w:t>Available</w:t>
      </w:r>
      <w:r>
        <w:rPr>
          <w:spacing w:val="-8"/>
          <w:sz w:val="28"/>
        </w:rPr>
        <w:t> </w:t>
      </w:r>
      <w:r>
        <w:rPr>
          <w:sz w:val="28"/>
        </w:rPr>
        <w:t>research</w:t>
      </w:r>
      <w:r>
        <w:rPr>
          <w:spacing w:val="-7"/>
          <w:sz w:val="28"/>
        </w:rPr>
        <w:t> </w:t>
      </w:r>
      <w:r>
        <w:rPr>
          <w:sz w:val="28"/>
        </w:rPr>
        <w:t>indicates</w:t>
      </w:r>
      <w:r>
        <w:rPr>
          <w:spacing w:val="-7"/>
          <w:sz w:val="28"/>
        </w:rPr>
        <w:t> </w:t>
      </w:r>
      <w:r>
        <w:rPr>
          <w:sz w:val="28"/>
        </w:rPr>
        <w:t>that</w:t>
      </w:r>
      <w:r>
        <w:rPr>
          <w:spacing w:val="-7"/>
          <w:sz w:val="28"/>
        </w:rPr>
        <w:t> </w:t>
      </w:r>
      <w:r>
        <w:rPr>
          <w:sz w:val="28"/>
        </w:rPr>
        <w:t>SOGI</w:t>
      </w:r>
      <w:r>
        <w:rPr>
          <w:spacing w:val="-7"/>
          <w:sz w:val="28"/>
        </w:rPr>
        <w:t> </w:t>
      </w:r>
      <w:r>
        <w:rPr>
          <w:sz w:val="28"/>
        </w:rPr>
        <w:t>change</w:t>
      </w:r>
      <w:r>
        <w:rPr>
          <w:spacing w:val="-8"/>
          <w:sz w:val="28"/>
        </w:rPr>
        <w:t> </w:t>
      </w:r>
      <w:r>
        <w:rPr>
          <w:sz w:val="28"/>
        </w:rPr>
        <w:t>efforts</w:t>
      </w:r>
      <w:r>
        <w:rPr>
          <w:spacing w:val="-7"/>
          <w:sz w:val="28"/>
        </w:rPr>
        <w:t> </w:t>
      </w:r>
      <w:r>
        <w:rPr>
          <w:sz w:val="28"/>
        </w:rPr>
        <w:t>can</w:t>
      </w:r>
      <w:r>
        <w:rPr>
          <w:spacing w:val="-7"/>
          <w:sz w:val="28"/>
        </w:rPr>
        <w:t> </w:t>
      </w:r>
      <w:r>
        <w:rPr>
          <w:sz w:val="28"/>
        </w:rPr>
        <w:t>cause</w:t>
      </w:r>
      <w:r>
        <w:rPr>
          <w:spacing w:val="-8"/>
          <w:sz w:val="28"/>
        </w:rPr>
        <w:t> </w:t>
      </w:r>
      <w:r>
        <w:rPr>
          <w:sz w:val="28"/>
        </w:rPr>
        <w:t>significant </w:t>
      </w:r>
      <w:r>
        <w:rPr>
          <w:spacing w:val="-2"/>
          <w:sz w:val="28"/>
        </w:rPr>
        <w:t>harm.</w:t>
      </w:r>
    </w:p>
    <w:p>
      <w:pPr>
        <w:spacing w:after="0" w:line="240" w:lineRule="auto"/>
        <w:jc w:val="left"/>
        <w:rPr>
          <w:sz w:val="28"/>
        </w:rPr>
        <w:sectPr>
          <w:pgSz w:w="12240" w:h="15840"/>
          <w:pgMar w:header="0" w:footer="783" w:top="1260" w:bottom="980" w:left="1400" w:right="1180"/>
        </w:sectPr>
      </w:pPr>
    </w:p>
    <w:p>
      <w:pPr>
        <w:pStyle w:val="ListParagraph"/>
        <w:numPr>
          <w:ilvl w:val="0"/>
          <w:numId w:val="25"/>
        </w:numPr>
        <w:tabs>
          <w:tab w:pos="501" w:val="left" w:leader="none"/>
        </w:tabs>
        <w:spacing w:line="240" w:lineRule="auto" w:before="66" w:after="0"/>
        <w:ind w:left="501" w:right="972" w:hanging="222"/>
        <w:jc w:val="left"/>
        <w:rPr>
          <w:sz w:val="28"/>
        </w:rPr>
      </w:pPr>
      <w:r>
        <w:rPr>
          <w:sz w:val="28"/>
        </w:rPr>
        <w:t>SOGI</w:t>
      </w:r>
      <w:r>
        <w:rPr>
          <w:spacing w:val="-6"/>
          <w:sz w:val="28"/>
        </w:rPr>
        <w:t> </w:t>
      </w:r>
      <w:r>
        <w:rPr>
          <w:sz w:val="28"/>
        </w:rPr>
        <w:t>change</w:t>
      </w:r>
      <w:r>
        <w:rPr>
          <w:spacing w:val="-7"/>
          <w:sz w:val="28"/>
        </w:rPr>
        <w:t> </w:t>
      </w:r>
      <w:r>
        <w:rPr>
          <w:sz w:val="28"/>
        </w:rPr>
        <w:t>efforts</w:t>
      </w:r>
      <w:r>
        <w:rPr>
          <w:spacing w:val="-6"/>
          <w:sz w:val="28"/>
        </w:rPr>
        <w:t> </w:t>
      </w:r>
      <w:r>
        <w:rPr>
          <w:sz w:val="28"/>
        </w:rPr>
        <w:t>are</w:t>
      </w:r>
      <w:r>
        <w:rPr>
          <w:spacing w:val="-7"/>
          <w:sz w:val="28"/>
        </w:rPr>
        <w:t> </w:t>
      </w:r>
      <w:r>
        <w:rPr>
          <w:sz w:val="28"/>
        </w:rPr>
        <w:t>inappropriate,</w:t>
      </w:r>
      <w:r>
        <w:rPr>
          <w:spacing w:val="-6"/>
          <w:sz w:val="28"/>
        </w:rPr>
        <w:t> </w:t>
      </w:r>
      <w:r>
        <w:rPr>
          <w:sz w:val="28"/>
        </w:rPr>
        <w:t>ineffective,</w:t>
      </w:r>
      <w:r>
        <w:rPr>
          <w:spacing w:val="-6"/>
          <w:sz w:val="28"/>
        </w:rPr>
        <w:t> </w:t>
      </w:r>
      <w:r>
        <w:rPr>
          <w:sz w:val="28"/>
        </w:rPr>
        <w:t>and</w:t>
      </w:r>
      <w:r>
        <w:rPr>
          <w:spacing w:val="-6"/>
          <w:sz w:val="28"/>
        </w:rPr>
        <w:t> </w:t>
      </w:r>
      <w:r>
        <w:rPr>
          <w:sz w:val="28"/>
        </w:rPr>
        <w:t>harmful</w:t>
      </w:r>
      <w:r>
        <w:rPr>
          <w:spacing w:val="-6"/>
          <w:sz w:val="28"/>
        </w:rPr>
        <w:t> </w:t>
      </w:r>
      <w:r>
        <w:rPr>
          <w:sz w:val="28"/>
        </w:rPr>
        <w:t>practices that should not be provided to children and adolescents.</w:t>
      </w:r>
    </w:p>
    <w:p>
      <w:pPr>
        <w:pStyle w:val="BodyText"/>
        <w:spacing w:before="11"/>
        <w:rPr>
          <w:sz w:val="30"/>
        </w:rPr>
      </w:pPr>
    </w:p>
    <w:p>
      <w:pPr>
        <w:pStyle w:val="BodyText"/>
        <w:ind w:left="280" w:right="581"/>
      </w:pPr>
      <w:r>
        <w:rPr/>
        <w:t>Research</w:t>
      </w:r>
      <w:r>
        <w:rPr>
          <w:spacing w:val="-3"/>
        </w:rPr>
        <w:t> </w:t>
      </w:r>
      <w:r>
        <w:rPr/>
        <w:t>over</w:t>
      </w:r>
      <w:r>
        <w:rPr>
          <w:spacing w:val="-3"/>
        </w:rPr>
        <w:t> </w:t>
      </w:r>
      <w:r>
        <w:rPr/>
        <w:t>the</w:t>
      </w:r>
      <w:r>
        <w:rPr>
          <w:spacing w:val="-4"/>
        </w:rPr>
        <w:t> </w:t>
      </w:r>
      <w:r>
        <w:rPr/>
        <w:t>past</w:t>
      </w:r>
      <w:r>
        <w:rPr>
          <w:spacing w:val="-3"/>
        </w:rPr>
        <w:t> </w:t>
      </w:r>
      <w:r>
        <w:rPr/>
        <w:t>20</w:t>
      </w:r>
      <w:r>
        <w:rPr>
          <w:spacing w:val="-3"/>
        </w:rPr>
        <w:t> </w:t>
      </w:r>
      <w:r>
        <w:rPr/>
        <w:t>years</w:t>
      </w:r>
      <w:r>
        <w:rPr>
          <w:spacing w:val="-3"/>
        </w:rPr>
        <w:t> </w:t>
      </w:r>
      <w:r>
        <w:rPr/>
        <w:t>has</w:t>
      </w:r>
      <w:r>
        <w:rPr>
          <w:spacing w:val="-3"/>
        </w:rPr>
        <w:t> </w:t>
      </w:r>
      <w:r>
        <w:rPr/>
        <w:t>underscored</w:t>
      </w:r>
      <w:r>
        <w:rPr>
          <w:spacing w:val="-3"/>
        </w:rPr>
        <w:t> </w:t>
      </w:r>
      <w:r>
        <w:rPr/>
        <w:t>the</w:t>
      </w:r>
      <w:r>
        <w:rPr>
          <w:spacing w:val="-4"/>
        </w:rPr>
        <w:t> </w:t>
      </w:r>
      <w:r>
        <w:rPr/>
        <w:t>importance</w:t>
      </w:r>
      <w:r>
        <w:rPr>
          <w:spacing w:val="-4"/>
        </w:rPr>
        <w:t> </w:t>
      </w:r>
      <w:r>
        <w:rPr/>
        <w:t>of</w:t>
      </w:r>
      <w:r>
        <w:rPr>
          <w:spacing w:val="-3"/>
        </w:rPr>
        <w:t> </w:t>
      </w:r>
      <w:r>
        <w:rPr/>
        <w:t>family</w:t>
      </w:r>
      <w:r>
        <w:rPr>
          <w:spacing w:val="-3"/>
        </w:rPr>
        <w:t> </w:t>
      </w:r>
      <w:r>
        <w:rPr/>
        <w:t>and community support to the health of LGBTQI+ youth. Family and community negativity toward sexual diverse sexual orientation and/or gender identity, especially family rejection and school bullying and harassment, can cause harm to the behavioral health of this population. The Panel confirmed that:</w:t>
      </w:r>
    </w:p>
    <w:p>
      <w:pPr>
        <w:pStyle w:val="ListParagraph"/>
        <w:numPr>
          <w:ilvl w:val="0"/>
          <w:numId w:val="25"/>
        </w:numPr>
        <w:tabs>
          <w:tab w:pos="501" w:val="left" w:leader="none"/>
        </w:tabs>
        <w:spacing w:line="240" w:lineRule="auto" w:before="170" w:after="0"/>
        <w:ind w:left="501" w:right="663" w:hanging="222"/>
        <w:jc w:val="left"/>
        <w:rPr>
          <w:sz w:val="28"/>
        </w:rPr>
      </w:pPr>
      <w:r>
        <w:rPr>
          <w:sz w:val="28"/>
        </w:rPr>
        <w:t>Rejection and lack of social and emotional support from families and caregivers,</w:t>
      </w:r>
      <w:r>
        <w:rPr>
          <w:spacing w:val="-5"/>
          <w:sz w:val="28"/>
        </w:rPr>
        <w:t> </w:t>
      </w:r>
      <w:r>
        <w:rPr>
          <w:sz w:val="28"/>
        </w:rPr>
        <w:t>schools,</w:t>
      </w:r>
      <w:r>
        <w:rPr>
          <w:spacing w:val="-5"/>
          <w:sz w:val="28"/>
        </w:rPr>
        <w:t> </w:t>
      </w:r>
      <w:r>
        <w:rPr>
          <w:sz w:val="28"/>
        </w:rPr>
        <w:t>and</w:t>
      </w:r>
      <w:r>
        <w:rPr>
          <w:spacing w:val="-5"/>
          <w:sz w:val="28"/>
        </w:rPr>
        <w:t> </w:t>
      </w:r>
      <w:r>
        <w:rPr>
          <w:sz w:val="28"/>
        </w:rPr>
        <w:t>communities</w:t>
      </w:r>
      <w:r>
        <w:rPr>
          <w:spacing w:val="-5"/>
          <w:sz w:val="28"/>
        </w:rPr>
        <w:t> </w:t>
      </w:r>
      <w:r>
        <w:rPr>
          <w:sz w:val="28"/>
        </w:rPr>
        <w:t>negatively</w:t>
      </w:r>
      <w:r>
        <w:rPr>
          <w:spacing w:val="-5"/>
          <w:sz w:val="28"/>
        </w:rPr>
        <w:t> </w:t>
      </w:r>
      <w:r>
        <w:rPr>
          <w:sz w:val="28"/>
        </w:rPr>
        <w:t>affects</w:t>
      </w:r>
      <w:r>
        <w:rPr>
          <w:spacing w:val="-5"/>
          <w:sz w:val="28"/>
        </w:rPr>
        <w:t> </w:t>
      </w:r>
      <w:r>
        <w:rPr>
          <w:sz w:val="28"/>
        </w:rPr>
        <w:t>the</w:t>
      </w:r>
      <w:r>
        <w:rPr>
          <w:spacing w:val="-6"/>
          <w:sz w:val="28"/>
        </w:rPr>
        <w:t> </w:t>
      </w:r>
      <w:r>
        <w:rPr>
          <w:sz w:val="28"/>
        </w:rPr>
        <w:t>health</w:t>
      </w:r>
      <w:r>
        <w:rPr>
          <w:spacing w:val="-5"/>
          <w:sz w:val="28"/>
        </w:rPr>
        <w:t> </w:t>
      </w:r>
      <w:r>
        <w:rPr>
          <w:sz w:val="28"/>
        </w:rPr>
        <w:t>of</w:t>
      </w:r>
      <w:r>
        <w:rPr>
          <w:spacing w:val="-5"/>
          <w:sz w:val="28"/>
        </w:rPr>
        <w:t> </w:t>
      </w:r>
      <w:r>
        <w:rPr>
          <w:sz w:val="28"/>
        </w:rPr>
        <w:t>sexual and gender minority youth. Such behaviors can cause harm, particularly family rejection of the youth’s sexual and/or gender diversity.</w:t>
      </w:r>
    </w:p>
    <w:p>
      <w:pPr>
        <w:pStyle w:val="BodyText"/>
        <w:spacing w:before="2"/>
        <w:rPr>
          <w:sz w:val="27"/>
        </w:rPr>
      </w:pPr>
    </w:p>
    <w:p>
      <w:pPr>
        <w:pStyle w:val="BodyText"/>
        <w:ind w:left="280" w:right="502"/>
      </w:pPr>
      <w:r>
        <w:rPr/>
        <w:t>After</w:t>
      </w:r>
      <w:r>
        <w:rPr>
          <w:spacing w:val="-4"/>
        </w:rPr>
        <w:t> </w:t>
      </w:r>
      <w:r>
        <w:rPr/>
        <w:t>a</w:t>
      </w:r>
      <w:r>
        <w:rPr>
          <w:spacing w:val="-5"/>
        </w:rPr>
        <w:t> </w:t>
      </w:r>
      <w:r>
        <w:rPr/>
        <w:t>comprehensive</w:t>
      </w:r>
      <w:r>
        <w:rPr>
          <w:spacing w:val="-5"/>
        </w:rPr>
        <w:t> </w:t>
      </w:r>
      <w:r>
        <w:rPr/>
        <w:t>review</w:t>
      </w:r>
      <w:r>
        <w:rPr>
          <w:spacing w:val="-4"/>
        </w:rPr>
        <w:t> </w:t>
      </w:r>
      <w:r>
        <w:rPr/>
        <w:t>of</w:t>
      </w:r>
      <w:r>
        <w:rPr>
          <w:spacing w:val="-4"/>
        </w:rPr>
        <w:t> </w:t>
      </w:r>
      <w:r>
        <w:rPr/>
        <w:t>the</w:t>
      </w:r>
      <w:r>
        <w:rPr>
          <w:spacing w:val="-5"/>
        </w:rPr>
        <w:t> </w:t>
      </w:r>
      <w:r>
        <w:rPr/>
        <w:t>substantial</w:t>
      </w:r>
      <w:r>
        <w:rPr>
          <w:spacing w:val="-4"/>
        </w:rPr>
        <w:t> </w:t>
      </w:r>
      <w:r>
        <w:rPr/>
        <w:t>research</w:t>
      </w:r>
      <w:r>
        <w:rPr>
          <w:spacing w:val="-4"/>
        </w:rPr>
        <w:t> </w:t>
      </w:r>
      <w:r>
        <w:rPr/>
        <w:t>assessing</w:t>
      </w:r>
      <w:r>
        <w:rPr>
          <w:spacing w:val="-4"/>
        </w:rPr>
        <w:t> </w:t>
      </w:r>
      <w:r>
        <w:rPr/>
        <w:t>the</w:t>
      </w:r>
      <w:r>
        <w:rPr>
          <w:spacing w:val="-5"/>
        </w:rPr>
        <w:t> </w:t>
      </w:r>
      <w:r>
        <w:rPr/>
        <w:t>impacts of public policies, the Panel determined that:</w:t>
      </w:r>
    </w:p>
    <w:p>
      <w:pPr>
        <w:pStyle w:val="ListParagraph"/>
        <w:numPr>
          <w:ilvl w:val="0"/>
          <w:numId w:val="25"/>
        </w:numPr>
        <w:tabs>
          <w:tab w:pos="501" w:val="left" w:leader="none"/>
        </w:tabs>
        <w:spacing w:line="240" w:lineRule="auto" w:before="176" w:after="0"/>
        <w:ind w:left="501" w:right="665" w:hanging="222"/>
        <w:jc w:val="left"/>
        <w:rPr>
          <w:sz w:val="28"/>
        </w:rPr>
      </w:pPr>
      <w:r>
        <w:rPr>
          <w:sz w:val="28"/>
        </w:rPr>
        <w:t>Policies</w:t>
      </w:r>
      <w:r>
        <w:rPr>
          <w:spacing w:val="-4"/>
          <w:sz w:val="28"/>
        </w:rPr>
        <w:t> </w:t>
      </w:r>
      <w:r>
        <w:rPr>
          <w:sz w:val="28"/>
        </w:rPr>
        <w:t>that</w:t>
      </w:r>
      <w:r>
        <w:rPr>
          <w:spacing w:val="-4"/>
          <w:sz w:val="28"/>
        </w:rPr>
        <w:t> </w:t>
      </w:r>
      <w:r>
        <w:rPr>
          <w:sz w:val="28"/>
        </w:rPr>
        <w:t>stigmatize,</w:t>
      </w:r>
      <w:r>
        <w:rPr>
          <w:spacing w:val="-4"/>
          <w:sz w:val="28"/>
        </w:rPr>
        <w:t> </w:t>
      </w:r>
      <w:r>
        <w:rPr>
          <w:sz w:val="28"/>
        </w:rPr>
        <w:t>restrict,</w:t>
      </w:r>
      <w:r>
        <w:rPr>
          <w:spacing w:val="-4"/>
          <w:sz w:val="28"/>
        </w:rPr>
        <w:t> </w:t>
      </w:r>
      <w:r>
        <w:rPr>
          <w:sz w:val="28"/>
        </w:rPr>
        <w:t>or</w:t>
      </w:r>
      <w:r>
        <w:rPr>
          <w:spacing w:val="-4"/>
          <w:sz w:val="28"/>
        </w:rPr>
        <w:t> </w:t>
      </w:r>
      <w:r>
        <w:rPr>
          <w:sz w:val="28"/>
        </w:rPr>
        <w:t>exclude</w:t>
      </w:r>
      <w:r>
        <w:rPr>
          <w:spacing w:val="-5"/>
          <w:sz w:val="28"/>
        </w:rPr>
        <w:t> </w:t>
      </w:r>
      <w:r>
        <w:rPr>
          <w:sz w:val="28"/>
        </w:rPr>
        <w:t>sexual</w:t>
      </w:r>
      <w:r>
        <w:rPr>
          <w:spacing w:val="-4"/>
          <w:sz w:val="28"/>
        </w:rPr>
        <w:t> </w:t>
      </w:r>
      <w:r>
        <w:rPr>
          <w:sz w:val="28"/>
        </w:rPr>
        <w:t>or</w:t>
      </w:r>
      <w:r>
        <w:rPr>
          <w:spacing w:val="-4"/>
          <w:sz w:val="28"/>
        </w:rPr>
        <w:t> </w:t>
      </w:r>
      <w:r>
        <w:rPr>
          <w:sz w:val="28"/>
        </w:rPr>
        <w:t>gender</w:t>
      </w:r>
      <w:r>
        <w:rPr>
          <w:spacing w:val="-4"/>
          <w:sz w:val="28"/>
        </w:rPr>
        <w:t> </w:t>
      </w:r>
      <w:r>
        <w:rPr>
          <w:sz w:val="28"/>
        </w:rPr>
        <w:t>minority</w:t>
      </w:r>
      <w:r>
        <w:rPr>
          <w:spacing w:val="-4"/>
          <w:sz w:val="28"/>
        </w:rPr>
        <w:t> </w:t>
      </w:r>
      <w:r>
        <w:rPr>
          <w:sz w:val="28"/>
        </w:rPr>
        <w:t>youth are harmful to children and adolescents.</w:t>
      </w:r>
    </w:p>
    <w:p>
      <w:pPr>
        <w:pStyle w:val="BodyText"/>
        <w:spacing w:before="8"/>
        <w:rPr>
          <w:sz w:val="34"/>
        </w:rPr>
      </w:pPr>
    </w:p>
    <w:p>
      <w:pPr>
        <w:pStyle w:val="Heading2"/>
        <w:ind w:right="502"/>
      </w:pPr>
      <w:r>
        <w:rPr/>
        <w:t>Understanding</w:t>
      </w:r>
      <w:r>
        <w:rPr>
          <w:spacing w:val="-7"/>
        </w:rPr>
        <w:t> </w:t>
      </w:r>
      <w:r>
        <w:rPr/>
        <w:t>Sexual</w:t>
      </w:r>
      <w:r>
        <w:rPr>
          <w:spacing w:val="-7"/>
        </w:rPr>
        <w:t> </w:t>
      </w:r>
      <w:r>
        <w:rPr/>
        <w:t>Orientation</w:t>
      </w:r>
      <w:r>
        <w:rPr>
          <w:spacing w:val="-7"/>
        </w:rPr>
        <w:t> </w:t>
      </w:r>
      <w:r>
        <w:rPr/>
        <w:t>and</w:t>
      </w:r>
      <w:r>
        <w:rPr>
          <w:spacing w:val="-7"/>
        </w:rPr>
        <w:t> </w:t>
      </w:r>
      <w:r>
        <w:rPr/>
        <w:t>Gender</w:t>
      </w:r>
      <w:r>
        <w:rPr>
          <w:spacing w:val="-12"/>
        </w:rPr>
        <w:t> </w:t>
      </w:r>
      <w:r>
        <w:rPr/>
        <w:t>in</w:t>
      </w:r>
      <w:r>
        <w:rPr>
          <w:spacing w:val="-7"/>
        </w:rPr>
        <w:t> </w:t>
      </w:r>
      <w:r>
        <w:rPr/>
        <w:t>Children</w:t>
      </w:r>
      <w:r>
        <w:rPr>
          <w:spacing w:val="-7"/>
        </w:rPr>
        <w:t> </w:t>
      </w:r>
      <w:r>
        <w:rPr/>
        <w:t>and </w:t>
      </w:r>
      <w:r>
        <w:rPr>
          <w:spacing w:val="-2"/>
        </w:rPr>
        <w:t>Adolescents</w:t>
      </w:r>
    </w:p>
    <w:p>
      <w:pPr>
        <w:pStyle w:val="BodyText"/>
        <w:spacing w:before="69"/>
        <w:ind w:left="280" w:right="502"/>
      </w:pPr>
      <w:r>
        <w:rPr/>
        <w:t>Behavioral health providers, parents, schools, policymakers, and communities can best provide support to children, adolescents, and their families and caregivers and improve their behavioral health when they have access to the most current information about sexual orientation, gender identity, and gender expression in youth. The following overview presents the most current understanding,</w:t>
      </w:r>
      <w:r>
        <w:rPr>
          <w:spacing w:val="-4"/>
        </w:rPr>
        <w:t> </w:t>
      </w:r>
      <w:r>
        <w:rPr/>
        <w:t>based</w:t>
      </w:r>
      <w:r>
        <w:rPr>
          <w:spacing w:val="-4"/>
        </w:rPr>
        <w:t> </w:t>
      </w:r>
      <w:r>
        <w:rPr/>
        <w:t>on</w:t>
      </w:r>
      <w:r>
        <w:rPr>
          <w:spacing w:val="-4"/>
        </w:rPr>
        <w:t> </w:t>
      </w:r>
      <w:r>
        <w:rPr/>
        <w:t>scientific</w:t>
      </w:r>
      <w:r>
        <w:rPr>
          <w:spacing w:val="-5"/>
        </w:rPr>
        <w:t> </w:t>
      </w:r>
      <w:r>
        <w:rPr/>
        <w:t>evidence</w:t>
      </w:r>
      <w:r>
        <w:rPr>
          <w:spacing w:val="-5"/>
        </w:rPr>
        <w:t> </w:t>
      </w:r>
      <w:r>
        <w:rPr/>
        <w:t>of</w:t>
      </w:r>
      <w:r>
        <w:rPr>
          <w:spacing w:val="-4"/>
        </w:rPr>
        <w:t> </w:t>
      </w:r>
      <w:r>
        <w:rPr/>
        <w:t>youth</w:t>
      </w:r>
      <w:r>
        <w:rPr>
          <w:spacing w:val="-4"/>
        </w:rPr>
        <w:t> </w:t>
      </w:r>
      <w:r>
        <w:rPr/>
        <w:t>sexual</w:t>
      </w:r>
      <w:r>
        <w:rPr>
          <w:spacing w:val="-4"/>
        </w:rPr>
        <w:t> </w:t>
      </w:r>
      <w:r>
        <w:rPr/>
        <w:t>orientation,</w:t>
      </w:r>
      <w:r>
        <w:rPr>
          <w:spacing w:val="-4"/>
        </w:rPr>
        <w:t> </w:t>
      </w:r>
      <w:r>
        <w:rPr/>
        <w:t>gender identity, and gender expression.</w:t>
      </w:r>
    </w:p>
    <w:p>
      <w:pPr>
        <w:pStyle w:val="BodyText"/>
        <w:spacing w:before="166"/>
        <w:ind w:left="280" w:right="502"/>
      </w:pPr>
      <w:r>
        <w:rPr/>
        <w:t>While many youth have identified with having a diverse sexual orientation in the past, they have not always felt safe enough to share that diversity openly with others.</w:t>
      </w:r>
      <w:r>
        <w:rPr>
          <w:spacing w:val="-4"/>
        </w:rPr>
        <w:t> </w:t>
      </w:r>
      <w:r>
        <w:rPr/>
        <w:t>There is no single developmental trajectory for sexual orientation. Certainty about sexual orientation— e.g., gay/lesbian, bisexual, or straight— increases with age, suggesting “an unfolding of sexual identity during adolescence.” Some researchers have found that it has become more common in</w:t>
      </w:r>
      <w:r>
        <w:rPr>
          <w:spacing w:val="-3"/>
        </w:rPr>
        <w:t> </w:t>
      </w:r>
      <w:r>
        <w:rPr/>
        <w:t>the</w:t>
      </w:r>
      <w:r>
        <w:rPr>
          <w:spacing w:val="-4"/>
        </w:rPr>
        <w:t> </w:t>
      </w:r>
      <w:r>
        <w:rPr/>
        <w:t>21st</w:t>
      </w:r>
      <w:r>
        <w:rPr>
          <w:spacing w:val="-3"/>
        </w:rPr>
        <w:t> </w:t>
      </w:r>
      <w:r>
        <w:rPr/>
        <w:t>century</w:t>
      </w:r>
      <w:r>
        <w:rPr>
          <w:spacing w:val="-3"/>
        </w:rPr>
        <w:t> </w:t>
      </w:r>
      <w:r>
        <w:rPr/>
        <w:t>compared</w:t>
      </w:r>
      <w:r>
        <w:rPr>
          <w:spacing w:val="-3"/>
        </w:rPr>
        <w:t> </w:t>
      </w:r>
      <w:r>
        <w:rPr/>
        <w:t>to</w:t>
      </w:r>
      <w:r>
        <w:rPr>
          <w:spacing w:val="-3"/>
        </w:rPr>
        <w:t> </w:t>
      </w:r>
      <w:r>
        <w:rPr/>
        <w:t>the</w:t>
      </w:r>
      <w:r>
        <w:rPr>
          <w:spacing w:val="-4"/>
        </w:rPr>
        <w:t> </w:t>
      </w:r>
      <w:r>
        <w:rPr/>
        <w:t>20th</w:t>
      </w:r>
      <w:r>
        <w:rPr>
          <w:spacing w:val="-3"/>
        </w:rPr>
        <w:t> </w:t>
      </w:r>
      <w:r>
        <w:rPr/>
        <w:t>century</w:t>
      </w:r>
      <w:r>
        <w:rPr>
          <w:spacing w:val="-3"/>
        </w:rPr>
        <w:t> </w:t>
      </w:r>
      <w:r>
        <w:rPr/>
        <w:t>for</w:t>
      </w:r>
      <w:r>
        <w:rPr>
          <w:spacing w:val="-3"/>
        </w:rPr>
        <w:t> </w:t>
      </w:r>
      <w:r>
        <w:rPr/>
        <w:t>children</w:t>
      </w:r>
      <w:r>
        <w:rPr>
          <w:spacing w:val="-3"/>
        </w:rPr>
        <w:t> </w:t>
      </w:r>
      <w:r>
        <w:rPr/>
        <w:t>to</w:t>
      </w:r>
      <w:r>
        <w:rPr>
          <w:spacing w:val="-3"/>
        </w:rPr>
        <w:t> </w:t>
      </w:r>
      <w:r>
        <w:rPr/>
        <w:t>self-identify</w:t>
      </w:r>
      <w:r>
        <w:rPr>
          <w:spacing w:val="-3"/>
        </w:rPr>
        <w:t> </w:t>
      </w:r>
      <w:r>
        <w:rPr/>
        <w:t>as having a diverse sexual orientation and/or gender identity. What has changed from earlier periods is that youth appear to be publicly acknowledging their sexual orientation earlier as societal attitudes have increasingly become more accepting and open to diverse sexual orientations. Regardless of age, the increase in identifying as an individual of diverse sexual orientation may be</w:t>
      </w:r>
    </w:p>
    <w:p>
      <w:pPr>
        <w:spacing w:after="0"/>
        <w:sectPr>
          <w:pgSz w:w="12240" w:h="15840"/>
          <w:pgMar w:header="0" w:footer="783" w:top="1260" w:bottom="980" w:left="1400" w:right="1180"/>
        </w:sectPr>
      </w:pPr>
    </w:p>
    <w:p>
      <w:pPr>
        <w:pStyle w:val="BodyText"/>
        <w:spacing w:before="66"/>
        <w:ind w:left="280" w:right="498"/>
      </w:pPr>
      <w:r>
        <w:rPr/>
        <w:t>tied to the increasing awareness and acceptance of diverse sexual orientations; the expansion of laws, policies, and practices that protect and support individuals regardless of sexual orientation; and an increased willingness and ability</w:t>
      </w:r>
      <w:r>
        <w:rPr>
          <w:spacing w:val="-6"/>
        </w:rPr>
        <w:t> </w:t>
      </w:r>
      <w:r>
        <w:rPr/>
        <w:t>among</w:t>
      </w:r>
      <w:r>
        <w:rPr>
          <w:spacing w:val="-6"/>
        </w:rPr>
        <w:t> </w:t>
      </w:r>
      <w:r>
        <w:rPr/>
        <w:t>people</w:t>
      </w:r>
      <w:r>
        <w:rPr>
          <w:spacing w:val="-7"/>
        </w:rPr>
        <w:t> </w:t>
      </w:r>
      <w:r>
        <w:rPr/>
        <w:t>with</w:t>
      </w:r>
      <w:r>
        <w:rPr>
          <w:spacing w:val="-6"/>
        </w:rPr>
        <w:t> </w:t>
      </w:r>
      <w:r>
        <w:rPr/>
        <w:t>diverse</w:t>
      </w:r>
      <w:r>
        <w:rPr>
          <w:spacing w:val="-7"/>
        </w:rPr>
        <w:t> </w:t>
      </w:r>
      <w:r>
        <w:rPr/>
        <w:t>sexual</w:t>
      </w:r>
      <w:r>
        <w:rPr>
          <w:spacing w:val="-6"/>
        </w:rPr>
        <w:t> </w:t>
      </w:r>
      <w:r>
        <w:rPr/>
        <w:t>orientations</w:t>
      </w:r>
      <w:r>
        <w:rPr>
          <w:spacing w:val="-6"/>
        </w:rPr>
        <w:t> </w:t>
      </w:r>
      <w:r>
        <w:rPr/>
        <w:t>to</w:t>
      </w:r>
      <w:r>
        <w:rPr>
          <w:spacing w:val="-6"/>
        </w:rPr>
        <w:t> </w:t>
      </w:r>
      <w:r>
        <w:rPr/>
        <w:t>self-identify.</w:t>
      </w:r>
      <w:r>
        <w:rPr>
          <w:spacing w:val="-6"/>
        </w:rPr>
        <w:t> </w:t>
      </w:r>
      <w:r>
        <w:rPr/>
        <w:t>Evidence suggests that acceptance of diverse sexual orientations does not make people more likely to identify with a diverse sexual orientation, but rather it increases the likelihood that people feel safer to identify this way publicly.</w:t>
      </w:r>
    </w:p>
    <w:p>
      <w:pPr>
        <w:pStyle w:val="BodyText"/>
        <w:spacing w:before="7"/>
        <w:rPr>
          <w:sz w:val="26"/>
        </w:rPr>
      </w:pPr>
    </w:p>
    <w:p>
      <w:pPr>
        <w:pStyle w:val="BodyText"/>
        <w:ind w:left="280" w:right="515"/>
      </w:pPr>
      <w:r>
        <w:rPr/>
        <w:t>Gender development begins in early childhood and continues throughout childhood and adolescence. Gender diversity in youth can follow many possible paths. It may emerge as early as a child’s preschool years, in late adolescence,</w:t>
      </w:r>
      <w:r>
        <w:rPr>
          <w:spacing w:val="-5"/>
        </w:rPr>
        <w:t> </w:t>
      </w:r>
      <w:r>
        <w:rPr/>
        <w:t>or</w:t>
      </w:r>
      <w:r>
        <w:rPr>
          <w:spacing w:val="-5"/>
        </w:rPr>
        <w:t> </w:t>
      </w:r>
      <w:r>
        <w:rPr/>
        <w:t>anytime</w:t>
      </w:r>
      <w:r>
        <w:rPr>
          <w:spacing w:val="-6"/>
        </w:rPr>
        <w:t> </w:t>
      </w:r>
      <w:r>
        <w:rPr/>
        <w:t>in</w:t>
      </w:r>
      <w:r>
        <w:rPr>
          <w:spacing w:val="-5"/>
        </w:rPr>
        <w:t> </w:t>
      </w:r>
      <w:r>
        <w:rPr/>
        <w:t>between.</w:t>
      </w:r>
      <w:r>
        <w:rPr>
          <w:spacing w:val="-5"/>
        </w:rPr>
        <w:t> </w:t>
      </w:r>
      <w:r>
        <w:rPr/>
        <w:t>Some</w:t>
      </w:r>
      <w:r>
        <w:rPr>
          <w:spacing w:val="-6"/>
        </w:rPr>
        <w:t> </w:t>
      </w:r>
      <w:r>
        <w:rPr/>
        <w:t>gender-diverse</w:t>
      </w:r>
      <w:r>
        <w:rPr>
          <w:spacing w:val="-6"/>
        </w:rPr>
        <w:t> </w:t>
      </w:r>
      <w:r>
        <w:rPr/>
        <w:t>children</w:t>
      </w:r>
      <w:r>
        <w:rPr>
          <w:spacing w:val="-5"/>
        </w:rPr>
        <w:t> </w:t>
      </w:r>
      <w:r>
        <w:rPr/>
        <w:t>are</w:t>
      </w:r>
      <w:r>
        <w:rPr>
          <w:spacing w:val="-6"/>
        </w:rPr>
        <w:t> </w:t>
      </w:r>
      <w:r>
        <w:rPr/>
        <w:t>actively exploring their gender, and there is variation regarding their identity development trajectories and ultimate identity outcomes. Recent research has found that most gender-diverse children continue to identify as transgender or another gender identity that differs from their sex assigned at birth into adolescence and adulthood. For those who exhibited diverse gender-typed behavior in childhood, but did not identify as transgender or nonbinary, the majority reported a diverse sexual orientation in adolescence. For transgender children who have been supported in their gender identity and gender expression, the vast majority show consistency in their trans identity across </w:t>
      </w:r>
      <w:r>
        <w:rPr>
          <w:spacing w:val="-2"/>
        </w:rPr>
        <w:t>time.</w:t>
      </w:r>
    </w:p>
    <w:p>
      <w:pPr>
        <w:pStyle w:val="BodyText"/>
        <w:spacing w:before="5"/>
        <w:rPr>
          <w:sz w:val="25"/>
        </w:rPr>
      </w:pPr>
    </w:p>
    <w:p>
      <w:pPr>
        <w:pStyle w:val="BodyText"/>
        <w:ind w:left="280" w:right="510"/>
      </w:pPr>
      <w:r>
        <w:rPr/>
        <w:t>Some people are born with differences in sex characteristics, such as reproductive anatomy, chromosomes, or hormones that do not fit typical definitions of male and female. Intersex is an umbrella term used to describe people</w:t>
      </w:r>
      <w:r>
        <w:rPr>
          <w:spacing w:val="-5"/>
        </w:rPr>
        <w:t> </w:t>
      </w:r>
      <w:r>
        <w:rPr/>
        <w:t>who</w:t>
      </w:r>
      <w:r>
        <w:rPr>
          <w:spacing w:val="-4"/>
        </w:rPr>
        <w:t> </w:t>
      </w:r>
      <w:r>
        <w:rPr/>
        <w:t>can</w:t>
      </w:r>
      <w:r>
        <w:rPr>
          <w:spacing w:val="-4"/>
        </w:rPr>
        <w:t> </w:t>
      </w:r>
      <w:r>
        <w:rPr/>
        <w:t>have</w:t>
      </w:r>
      <w:r>
        <w:rPr>
          <w:spacing w:val="-5"/>
        </w:rPr>
        <w:t> </w:t>
      </w:r>
      <w:r>
        <w:rPr/>
        <w:t>different</w:t>
      </w:r>
      <w:r>
        <w:rPr>
          <w:spacing w:val="-4"/>
        </w:rPr>
        <w:t> </w:t>
      </w:r>
      <w:r>
        <w:rPr/>
        <w:t>gender</w:t>
      </w:r>
      <w:r>
        <w:rPr>
          <w:spacing w:val="-4"/>
        </w:rPr>
        <w:t> </w:t>
      </w:r>
      <w:r>
        <w:rPr/>
        <w:t>identities.</w:t>
      </w:r>
      <w:r>
        <w:rPr>
          <w:spacing w:val="-4"/>
        </w:rPr>
        <w:t> </w:t>
      </w:r>
      <w:r>
        <w:rPr/>
        <w:t>Individuals</w:t>
      </w:r>
      <w:r>
        <w:rPr>
          <w:spacing w:val="-4"/>
        </w:rPr>
        <w:t> </w:t>
      </w:r>
      <w:r>
        <w:rPr/>
        <w:t>with</w:t>
      </w:r>
      <w:r>
        <w:rPr>
          <w:spacing w:val="-4"/>
        </w:rPr>
        <w:t> </w:t>
      </w:r>
      <w:r>
        <w:rPr/>
        <w:t>intersex</w:t>
      </w:r>
      <w:r>
        <w:rPr>
          <w:spacing w:val="-4"/>
        </w:rPr>
        <w:t> </w:t>
      </w:r>
      <w:r>
        <w:rPr/>
        <w:t>traits may identify as male, female, nonbinary, or a different gender. Intersex individuals may consider themselves transgender if they do not identify with their sex assigned at birth. Like other LGBTQI+ youth, intersex youth experience pervasive stigma and discrimination. While research involving intersex individuals has been limited, the Federal Government has taken steps to reduce this disparity, such as issuing a Request for Information on Promising Practices for</w:t>
      </w:r>
      <w:r>
        <w:rPr>
          <w:spacing w:val="-4"/>
        </w:rPr>
        <w:t> </w:t>
      </w:r>
      <w:r>
        <w:rPr/>
        <w:t>Advancing Health Equity for Intersex Individuals in February 2023.</w:t>
      </w:r>
    </w:p>
    <w:p>
      <w:pPr>
        <w:pStyle w:val="BodyText"/>
        <w:spacing w:before="9"/>
        <w:rPr>
          <w:sz w:val="25"/>
        </w:rPr>
      </w:pPr>
    </w:p>
    <w:p>
      <w:pPr>
        <w:pStyle w:val="BodyText"/>
        <w:ind w:left="280" w:right="668"/>
      </w:pPr>
      <w:r>
        <w:rPr/>
        <w:t>Supportive families and caregivers, peers, and school and community environments are associated with improved psychosocial outcomes for all children and adolescents, and this is especially true for those children and adolescents</w:t>
      </w:r>
      <w:r>
        <w:rPr>
          <w:spacing w:val="-3"/>
        </w:rPr>
        <w:t> </w:t>
      </w:r>
      <w:r>
        <w:rPr/>
        <w:t>with</w:t>
      </w:r>
      <w:r>
        <w:rPr>
          <w:spacing w:val="-3"/>
        </w:rPr>
        <w:t> </w:t>
      </w:r>
      <w:r>
        <w:rPr/>
        <w:t>minority</w:t>
      </w:r>
      <w:r>
        <w:rPr>
          <w:spacing w:val="-3"/>
        </w:rPr>
        <w:t> </w:t>
      </w:r>
      <w:r>
        <w:rPr/>
        <w:t>sexual</w:t>
      </w:r>
      <w:r>
        <w:rPr>
          <w:spacing w:val="-3"/>
        </w:rPr>
        <w:t> </w:t>
      </w:r>
      <w:r>
        <w:rPr/>
        <w:t>orientations</w:t>
      </w:r>
      <w:r>
        <w:rPr>
          <w:spacing w:val="-3"/>
        </w:rPr>
        <w:t> </w:t>
      </w:r>
      <w:r>
        <w:rPr/>
        <w:t>or</w:t>
      </w:r>
      <w:r>
        <w:rPr>
          <w:spacing w:val="-3"/>
        </w:rPr>
        <w:t> </w:t>
      </w:r>
      <w:r>
        <w:rPr/>
        <w:t>gender</w:t>
      </w:r>
      <w:r>
        <w:rPr>
          <w:spacing w:val="-3"/>
        </w:rPr>
        <w:t> </w:t>
      </w:r>
      <w:r>
        <w:rPr/>
        <w:t>identities</w:t>
      </w:r>
      <w:r>
        <w:rPr>
          <w:spacing w:val="-3"/>
        </w:rPr>
        <w:t> </w:t>
      </w:r>
      <w:r>
        <w:rPr/>
        <w:t>that</w:t>
      </w:r>
      <w:r>
        <w:rPr>
          <w:spacing w:val="-3"/>
        </w:rPr>
        <w:t> </w:t>
      </w:r>
      <w:r>
        <w:rPr/>
        <w:t>do</w:t>
      </w:r>
      <w:r>
        <w:rPr>
          <w:spacing w:val="-3"/>
        </w:rPr>
        <w:t> </w:t>
      </w:r>
      <w:r>
        <w:rPr/>
        <w:t>not align with their sex assigned at birth. Extensive research indicates that even just</w:t>
      </w:r>
      <w:r>
        <w:rPr>
          <w:spacing w:val="-5"/>
        </w:rPr>
        <w:t> </w:t>
      </w:r>
      <w:r>
        <w:rPr/>
        <w:t>one</w:t>
      </w:r>
      <w:r>
        <w:rPr>
          <w:spacing w:val="-6"/>
        </w:rPr>
        <w:t> </w:t>
      </w:r>
      <w:r>
        <w:rPr/>
        <w:t>supportive</w:t>
      </w:r>
      <w:r>
        <w:rPr>
          <w:spacing w:val="-6"/>
        </w:rPr>
        <w:t> </w:t>
      </w:r>
      <w:r>
        <w:rPr/>
        <w:t>adult,</w:t>
      </w:r>
      <w:r>
        <w:rPr>
          <w:spacing w:val="-5"/>
        </w:rPr>
        <w:t> </w:t>
      </w:r>
      <w:r>
        <w:rPr/>
        <w:t>such</w:t>
      </w:r>
      <w:r>
        <w:rPr>
          <w:spacing w:val="-5"/>
        </w:rPr>
        <w:t> </w:t>
      </w:r>
      <w:r>
        <w:rPr/>
        <w:t>as</w:t>
      </w:r>
      <w:r>
        <w:rPr>
          <w:spacing w:val="-5"/>
        </w:rPr>
        <w:t> </w:t>
      </w:r>
      <w:r>
        <w:rPr/>
        <w:t>a</w:t>
      </w:r>
      <w:r>
        <w:rPr>
          <w:spacing w:val="-6"/>
        </w:rPr>
        <w:t> </w:t>
      </w:r>
      <w:r>
        <w:rPr/>
        <w:t>family</w:t>
      </w:r>
      <w:r>
        <w:rPr>
          <w:spacing w:val="-5"/>
        </w:rPr>
        <w:t> </w:t>
      </w:r>
      <w:r>
        <w:rPr/>
        <w:t>member,</w:t>
      </w:r>
      <w:r>
        <w:rPr>
          <w:spacing w:val="-5"/>
        </w:rPr>
        <w:t> </w:t>
      </w:r>
      <w:r>
        <w:rPr/>
        <w:t>teacher,</w:t>
      </w:r>
      <w:r>
        <w:rPr>
          <w:spacing w:val="-5"/>
        </w:rPr>
        <w:t> </w:t>
      </w:r>
      <w:r>
        <w:rPr/>
        <w:t>or</w:t>
      </w:r>
      <w:r>
        <w:rPr>
          <w:spacing w:val="-5"/>
        </w:rPr>
        <w:t> </w:t>
      </w:r>
      <w:r>
        <w:rPr/>
        <w:t>mental</w:t>
      </w:r>
      <w:r>
        <w:rPr>
          <w:spacing w:val="-5"/>
        </w:rPr>
        <w:t> </w:t>
      </w:r>
      <w:r>
        <w:rPr/>
        <w:t>health</w:t>
      </w:r>
    </w:p>
    <w:p>
      <w:pPr>
        <w:spacing w:after="0"/>
        <w:sectPr>
          <w:pgSz w:w="12240" w:h="15840"/>
          <w:pgMar w:header="0" w:footer="783" w:top="1260" w:bottom="980" w:left="1400" w:right="1180"/>
        </w:sectPr>
      </w:pPr>
    </w:p>
    <w:p>
      <w:pPr>
        <w:pStyle w:val="BodyText"/>
        <w:spacing w:before="66"/>
        <w:ind w:left="280" w:right="499"/>
      </w:pPr>
      <w:r>
        <w:rPr/>
        <w:t>provider,</w:t>
      </w:r>
      <w:r>
        <w:rPr>
          <w:spacing w:val="-4"/>
        </w:rPr>
        <w:t> </w:t>
      </w:r>
      <w:r>
        <w:rPr/>
        <w:t>can</w:t>
      </w:r>
      <w:r>
        <w:rPr>
          <w:spacing w:val="-4"/>
        </w:rPr>
        <w:t> </w:t>
      </w:r>
      <w:r>
        <w:rPr/>
        <w:t>have</w:t>
      </w:r>
      <w:r>
        <w:rPr>
          <w:spacing w:val="-5"/>
        </w:rPr>
        <w:t> </w:t>
      </w:r>
      <w:r>
        <w:rPr/>
        <w:t>a</w:t>
      </w:r>
      <w:r>
        <w:rPr>
          <w:spacing w:val="-5"/>
        </w:rPr>
        <w:t> </w:t>
      </w:r>
      <w:r>
        <w:rPr/>
        <w:t>positive</w:t>
      </w:r>
      <w:r>
        <w:rPr>
          <w:spacing w:val="-5"/>
        </w:rPr>
        <w:t> </w:t>
      </w:r>
      <w:r>
        <w:rPr/>
        <w:t>impact</w:t>
      </w:r>
      <w:r>
        <w:rPr>
          <w:spacing w:val="-4"/>
        </w:rPr>
        <w:t> </w:t>
      </w:r>
      <w:r>
        <w:rPr/>
        <w:t>on</w:t>
      </w:r>
      <w:r>
        <w:rPr>
          <w:spacing w:val="-4"/>
        </w:rPr>
        <w:t> </w:t>
      </w:r>
      <w:r>
        <w:rPr/>
        <w:t>the</w:t>
      </w:r>
      <w:r>
        <w:rPr>
          <w:spacing w:val="-5"/>
        </w:rPr>
        <w:t> </w:t>
      </w:r>
      <w:r>
        <w:rPr/>
        <w:t>mental</w:t>
      </w:r>
      <w:r>
        <w:rPr>
          <w:spacing w:val="-4"/>
        </w:rPr>
        <w:t> </w:t>
      </w:r>
      <w:r>
        <w:rPr/>
        <w:t>health</w:t>
      </w:r>
      <w:r>
        <w:rPr>
          <w:spacing w:val="-4"/>
        </w:rPr>
        <w:t> </w:t>
      </w:r>
      <w:r>
        <w:rPr/>
        <w:t>of</w:t>
      </w:r>
      <w:r>
        <w:rPr>
          <w:spacing w:val="-4"/>
        </w:rPr>
        <w:t> </w:t>
      </w:r>
      <w:r>
        <w:rPr/>
        <w:t>youth</w:t>
      </w:r>
      <w:r>
        <w:rPr>
          <w:spacing w:val="-4"/>
        </w:rPr>
        <w:t> </w:t>
      </w:r>
      <w:r>
        <w:rPr/>
        <w:t>of</w:t>
      </w:r>
      <w:r>
        <w:rPr>
          <w:spacing w:val="-4"/>
        </w:rPr>
        <w:t> </w:t>
      </w:r>
      <w:r>
        <w:rPr/>
        <w:t>diverse sexual orientation and/or gender identity; such support can reduce adverse mental health impacts including suicide.</w:t>
      </w:r>
      <w:r>
        <w:rPr>
          <w:spacing w:val="-5"/>
        </w:rPr>
        <w:t> </w:t>
      </w:r>
      <w:r>
        <w:rPr/>
        <w:t>Additionally, family or caregiver, peer, school, and community support for youth of diverse sexual orientation and/or gender identity promotes better mental health and fewer negative outcomes, and can lead to positive development and emotional resilience.</w:t>
      </w:r>
    </w:p>
    <w:p>
      <w:pPr>
        <w:pStyle w:val="BodyText"/>
        <w:spacing w:before="7"/>
        <w:rPr>
          <w:sz w:val="32"/>
        </w:rPr>
      </w:pPr>
    </w:p>
    <w:p>
      <w:pPr>
        <w:pStyle w:val="BodyText"/>
        <w:ind w:left="280"/>
      </w:pPr>
      <w:r>
        <w:rPr/>
        <w:t>Behavioral</w:t>
      </w:r>
      <w:r>
        <w:rPr>
          <w:spacing w:val="-5"/>
        </w:rPr>
        <w:t> </w:t>
      </w:r>
      <w:r>
        <w:rPr/>
        <w:t>Health</w:t>
      </w:r>
      <w:r>
        <w:rPr>
          <w:spacing w:val="-3"/>
        </w:rPr>
        <w:t> </w:t>
      </w:r>
      <w:r>
        <w:rPr/>
        <w:t>Concerns</w:t>
      </w:r>
      <w:r>
        <w:rPr>
          <w:spacing w:val="-17"/>
        </w:rPr>
        <w:t> </w:t>
      </w:r>
      <w:r>
        <w:rPr/>
        <w:t>Among</w:t>
      </w:r>
      <w:r>
        <w:rPr>
          <w:spacing w:val="-2"/>
        </w:rPr>
        <w:t> </w:t>
      </w:r>
      <w:r>
        <w:rPr/>
        <w:t>LGBTQI+</w:t>
      </w:r>
      <w:r>
        <w:rPr>
          <w:spacing w:val="-13"/>
        </w:rPr>
        <w:t> </w:t>
      </w:r>
      <w:r>
        <w:rPr>
          <w:spacing w:val="-2"/>
        </w:rPr>
        <w:t>Youth</w:t>
      </w:r>
    </w:p>
    <w:p>
      <w:pPr>
        <w:pStyle w:val="BodyText"/>
        <w:spacing w:before="65"/>
        <w:ind w:left="280" w:right="544"/>
      </w:pPr>
      <w:r>
        <w:rPr/>
        <w:t>LGBTQI+ adolescents face the same developmental milestones that accompany adolescence for all youth. However, unlike adolescents with a cisgender and straight/heterosexual orientation, LGBTQI+ adolescents often must navigate an environment lacking awareness and acceptance of their sexual orientation and/or gender identity. Moreover, they might have to do so without</w:t>
      </w:r>
      <w:r>
        <w:rPr>
          <w:spacing w:val="-8"/>
        </w:rPr>
        <w:t> </w:t>
      </w:r>
      <w:r>
        <w:rPr/>
        <w:t>family,</w:t>
      </w:r>
      <w:r>
        <w:rPr>
          <w:spacing w:val="-8"/>
        </w:rPr>
        <w:t> </w:t>
      </w:r>
      <w:r>
        <w:rPr/>
        <w:t>community,</w:t>
      </w:r>
      <w:r>
        <w:rPr>
          <w:spacing w:val="-8"/>
        </w:rPr>
        <w:t> </w:t>
      </w:r>
      <w:r>
        <w:rPr/>
        <w:t>or</w:t>
      </w:r>
      <w:r>
        <w:rPr>
          <w:spacing w:val="-8"/>
        </w:rPr>
        <w:t> </w:t>
      </w:r>
      <w:r>
        <w:rPr/>
        <w:t>societal</w:t>
      </w:r>
      <w:r>
        <w:rPr>
          <w:spacing w:val="-8"/>
        </w:rPr>
        <w:t> </w:t>
      </w:r>
      <w:r>
        <w:rPr/>
        <w:t>support,</w:t>
      </w:r>
      <w:r>
        <w:rPr>
          <w:spacing w:val="-8"/>
        </w:rPr>
        <w:t> </w:t>
      </w:r>
      <w:r>
        <w:rPr/>
        <w:t>for</w:t>
      </w:r>
      <w:r>
        <w:rPr>
          <w:spacing w:val="-8"/>
        </w:rPr>
        <w:t> </w:t>
      </w:r>
      <w:r>
        <w:rPr/>
        <w:t>example,</w:t>
      </w:r>
      <w:r>
        <w:rPr>
          <w:spacing w:val="-8"/>
        </w:rPr>
        <w:t> </w:t>
      </w:r>
      <w:r>
        <w:rPr/>
        <w:t>through</w:t>
      </w:r>
      <w:r>
        <w:rPr>
          <w:spacing w:val="-8"/>
        </w:rPr>
        <w:t> </w:t>
      </w:r>
      <w:r>
        <w:rPr/>
        <w:t>the</w:t>
      </w:r>
      <w:r>
        <w:rPr>
          <w:spacing w:val="-9"/>
        </w:rPr>
        <w:t> </w:t>
      </w:r>
      <w:r>
        <w:rPr/>
        <w:t>child welfare system.</w:t>
      </w:r>
    </w:p>
    <w:p>
      <w:pPr>
        <w:pStyle w:val="BodyText"/>
        <w:spacing w:before="166"/>
        <w:ind w:left="280" w:right="604"/>
      </w:pPr>
      <w:r>
        <w:rPr/>
        <w:t>Limited research with sexual minority children indicates that mental health inequities may begin in childhood, which may be connected to greater prevalence of discrimination and victimization among sexual minority children.</w:t>
      </w:r>
      <w:r>
        <w:rPr>
          <w:spacing w:val="-5"/>
        </w:rPr>
        <w:t> </w:t>
      </w:r>
      <w:r>
        <w:rPr/>
        <w:t>As a result of experiencing stigma and discrimination, some youth with</w:t>
      </w:r>
      <w:r>
        <w:rPr>
          <w:spacing w:val="-4"/>
        </w:rPr>
        <w:t> </w:t>
      </w:r>
      <w:r>
        <w:rPr/>
        <w:t>diverse</w:t>
      </w:r>
      <w:r>
        <w:rPr>
          <w:spacing w:val="-5"/>
        </w:rPr>
        <w:t> </w:t>
      </w:r>
      <w:r>
        <w:rPr/>
        <w:t>sexual</w:t>
      </w:r>
      <w:r>
        <w:rPr>
          <w:spacing w:val="-4"/>
        </w:rPr>
        <w:t> </w:t>
      </w:r>
      <w:r>
        <w:rPr/>
        <w:t>orientation</w:t>
      </w:r>
      <w:r>
        <w:rPr>
          <w:spacing w:val="-4"/>
        </w:rPr>
        <w:t> </w:t>
      </w:r>
      <w:r>
        <w:rPr/>
        <w:t>and/or</w:t>
      </w:r>
      <w:r>
        <w:rPr>
          <w:spacing w:val="-4"/>
        </w:rPr>
        <w:t> </w:t>
      </w:r>
      <w:r>
        <w:rPr/>
        <w:t>gender</w:t>
      </w:r>
      <w:r>
        <w:rPr>
          <w:spacing w:val="-4"/>
        </w:rPr>
        <w:t> </w:t>
      </w:r>
      <w:r>
        <w:rPr/>
        <w:t>identity</w:t>
      </w:r>
      <w:r>
        <w:rPr>
          <w:spacing w:val="-4"/>
        </w:rPr>
        <w:t> </w:t>
      </w:r>
      <w:r>
        <w:rPr/>
        <w:t>are</w:t>
      </w:r>
      <w:r>
        <w:rPr>
          <w:spacing w:val="-5"/>
        </w:rPr>
        <w:t> </w:t>
      </w:r>
      <w:r>
        <w:rPr/>
        <w:t>at</w:t>
      </w:r>
      <w:r>
        <w:rPr>
          <w:spacing w:val="-4"/>
        </w:rPr>
        <w:t> </w:t>
      </w:r>
      <w:r>
        <w:rPr/>
        <w:t>increased</w:t>
      </w:r>
      <w:r>
        <w:rPr>
          <w:spacing w:val="-4"/>
        </w:rPr>
        <w:t> </w:t>
      </w:r>
      <w:r>
        <w:rPr/>
        <w:t>risk</w:t>
      </w:r>
      <w:r>
        <w:rPr>
          <w:spacing w:val="-4"/>
        </w:rPr>
        <w:t> </w:t>
      </w:r>
      <w:r>
        <w:rPr/>
        <w:t>for:</w:t>
      </w:r>
    </w:p>
    <w:p>
      <w:pPr>
        <w:pStyle w:val="ListParagraph"/>
        <w:numPr>
          <w:ilvl w:val="1"/>
          <w:numId w:val="25"/>
        </w:numPr>
        <w:tabs>
          <w:tab w:pos="1216" w:val="left" w:leader="none"/>
          <w:tab w:pos="1218" w:val="left" w:leader="none"/>
        </w:tabs>
        <w:spacing w:line="225" w:lineRule="auto" w:before="130" w:after="0"/>
        <w:ind w:left="1218" w:right="1357" w:hanging="459"/>
        <w:jc w:val="left"/>
        <w:rPr>
          <w:rFonts w:ascii="Segoe UI Symbol" w:hAnsi="Segoe UI Symbol"/>
          <w:sz w:val="30"/>
        </w:rPr>
      </w:pPr>
      <w:r>
        <w:rPr>
          <w:sz w:val="28"/>
        </w:rPr>
        <w:t>Psychological</w:t>
      </w:r>
      <w:r>
        <w:rPr>
          <w:spacing w:val="-9"/>
          <w:sz w:val="28"/>
        </w:rPr>
        <w:t> </w:t>
      </w:r>
      <w:r>
        <w:rPr>
          <w:sz w:val="28"/>
        </w:rPr>
        <w:t>distress</w:t>
      </w:r>
      <w:r>
        <w:rPr>
          <w:spacing w:val="-9"/>
          <w:sz w:val="28"/>
        </w:rPr>
        <w:t> </w:t>
      </w:r>
      <w:r>
        <w:rPr>
          <w:sz w:val="28"/>
        </w:rPr>
        <w:t>(e.g.,</w:t>
      </w:r>
      <w:r>
        <w:rPr>
          <w:spacing w:val="-9"/>
          <w:sz w:val="28"/>
        </w:rPr>
        <w:t> </w:t>
      </w:r>
      <w:r>
        <w:rPr>
          <w:sz w:val="28"/>
        </w:rPr>
        <w:t>depressive</w:t>
      </w:r>
      <w:r>
        <w:rPr>
          <w:spacing w:val="-10"/>
          <w:sz w:val="28"/>
        </w:rPr>
        <w:t> </w:t>
      </w:r>
      <w:r>
        <w:rPr>
          <w:sz w:val="28"/>
        </w:rPr>
        <w:t>symptoms,</w:t>
      </w:r>
      <w:r>
        <w:rPr>
          <w:spacing w:val="-9"/>
          <w:sz w:val="28"/>
        </w:rPr>
        <w:t> </w:t>
      </w:r>
      <w:r>
        <w:rPr>
          <w:sz w:val="28"/>
        </w:rPr>
        <w:t>anxiety,</w:t>
      </w:r>
      <w:r>
        <w:rPr>
          <w:spacing w:val="-9"/>
          <w:sz w:val="28"/>
        </w:rPr>
        <w:t> </w:t>
      </w:r>
      <w:r>
        <w:rPr>
          <w:sz w:val="28"/>
        </w:rPr>
        <w:t>and behavioral disorders)</w:t>
      </w:r>
    </w:p>
    <w:p>
      <w:pPr>
        <w:pStyle w:val="ListParagraph"/>
        <w:numPr>
          <w:ilvl w:val="1"/>
          <w:numId w:val="25"/>
        </w:numPr>
        <w:tabs>
          <w:tab w:pos="1217" w:val="left" w:leader="none"/>
        </w:tabs>
        <w:spacing w:line="240" w:lineRule="auto" w:before="26" w:after="0"/>
        <w:ind w:left="1217" w:right="0" w:hanging="457"/>
        <w:jc w:val="left"/>
        <w:rPr>
          <w:rFonts w:ascii="Segoe UI Symbol" w:hAnsi="Segoe UI Symbol"/>
          <w:sz w:val="30"/>
        </w:rPr>
      </w:pPr>
      <w:r>
        <w:rPr>
          <w:sz w:val="28"/>
        </w:rPr>
        <w:t>Substance</w:t>
      </w:r>
      <w:r>
        <w:rPr>
          <w:spacing w:val="-5"/>
          <w:sz w:val="28"/>
        </w:rPr>
        <w:t> use</w:t>
      </w:r>
    </w:p>
    <w:p>
      <w:pPr>
        <w:pStyle w:val="ListParagraph"/>
        <w:numPr>
          <w:ilvl w:val="1"/>
          <w:numId w:val="25"/>
        </w:numPr>
        <w:tabs>
          <w:tab w:pos="1217" w:val="left" w:leader="none"/>
        </w:tabs>
        <w:spacing w:line="240" w:lineRule="auto" w:before="4" w:after="0"/>
        <w:ind w:left="1217" w:right="0" w:hanging="457"/>
        <w:jc w:val="left"/>
        <w:rPr>
          <w:rFonts w:ascii="Segoe UI Symbol" w:hAnsi="Segoe UI Symbol"/>
          <w:sz w:val="30"/>
        </w:rPr>
      </w:pPr>
      <w:r>
        <w:rPr>
          <w:sz w:val="28"/>
        </w:rPr>
        <w:t>Suicidal</w:t>
      </w:r>
      <w:r>
        <w:rPr>
          <w:spacing w:val="-2"/>
          <w:sz w:val="28"/>
        </w:rPr>
        <w:t> </w:t>
      </w:r>
      <w:r>
        <w:rPr>
          <w:sz w:val="28"/>
        </w:rPr>
        <w:t>ideation</w:t>
      </w:r>
      <w:r>
        <w:rPr>
          <w:spacing w:val="-2"/>
          <w:sz w:val="28"/>
        </w:rPr>
        <w:t> </w:t>
      </w:r>
      <w:r>
        <w:rPr>
          <w:sz w:val="28"/>
        </w:rPr>
        <w:t>and</w:t>
      </w:r>
      <w:r>
        <w:rPr>
          <w:spacing w:val="-1"/>
          <w:sz w:val="28"/>
        </w:rPr>
        <w:t> </w:t>
      </w:r>
      <w:r>
        <w:rPr>
          <w:spacing w:val="-2"/>
          <w:sz w:val="28"/>
        </w:rPr>
        <w:t>attempts</w:t>
      </w:r>
    </w:p>
    <w:p>
      <w:pPr>
        <w:pStyle w:val="ListParagraph"/>
        <w:numPr>
          <w:ilvl w:val="1"/>
          <w:numId w:val="25"/>
        </w:numPr>
        <w:tabs>
          <w:tab w:pos="1217" w:val="left" w:leader="none"/>
        </w:tabs>
        <w:spacing w:line="240" w:lineRule="auto" w:before="4" w:after="0"/>
        <w:ind w:left="1217" w:right="0" w:hanging="457"/>
        <w:jc w:val="left"/>
        <w:rPr>
          <w:rFonts w:ascii="Segoe UI Symbol" w:hAnsi="Segoe UI Symbol"/>
          <w:sz w:val="30"/>
        </w:rPr>
      </w:pPr>
      <w:r>
        <w:rPr>
          <w:sz w:val="28"/>
        </w:rPr>
        <w:t>Victimization,</w:t>
      </w:r>
      <w:r>
        <w:rPr>
          <w:spacing w:val="-8"/>
          <w:sz w:val="28"/>
        </w:rPr>
        <w:t> </w:t>
      </w:r>
      <w:r>
        <w:rPr>
          <w:sz w:val="28"/>
        </w:rPr>
        <w:t>violence,</w:t>
      </w:r>
      <w:r>
        <w:rPr>
          <w:spacing w:val="-8"/>
          <w:sz w:val="28"/>
        </w:rPr>
        <w:t> </w:t>
      </w:r>
      <w:r>
        <w:rPr>
          <w:sz w:val="28"/>
        </w:rPr>
        <w:t>and</w:t>
      </w:r>
      <w:r>
        <w:rPr>
          <w:spacing w:val="-8"/>
          <w:sz w:val="28"/>
        </w:rPr>
        <w:t> </w:t>
      </w:r>
      <w:r>
        <w:rPr>
          <w:spacing w:val="-2"/>
          <w:sz w:val="28"/>
        </w:rPr>
        <w:t>homelessness</w:t>
      </w:r>
    </w:p>
    <w:p>
      <w:pPr>
        <w:pStyle w:val="ListParagraph"/>
        <w:numPr>
          <w:ilvl w:val="1"/>
          <w:numId w:val="25"/>
        </w:numPr>
        <w:tabs>
          <w:tab w:pos="1216" w:val="left" w:leader="none"/>
          <w:tab w:pos="1218" w:val="left" w:leader="none"/>
        </w:tabs>
        <w:spacing w:line="225" w:lineRule="auto" w:before="23" w:after="0"/>
        <w:ind w:left="1218" w:right="640" w:hanging="459"/>
        <w:jc w:val="left"/>
        <w:rPr>
          <w:rFonts w:ascii="Segoe UI Symbol" w:hAnsi="Segoe UI Symbol"/>
          <w:sz w:val="30"/>
        </w:rPr>
      </w:pPr>
      <w:r>
        <w:rPr>
          <w:sz w:val="28"/>
        </w:rPr>
        <w:t>Involvement</w:t>
      </w:r>
      <w:r>
        <w:rPr>
          <w:spacing w:val="-5"/>
          <w:sz w:val="28"/>
        </w:rPr>
        <w:t> </w:t>
      </w:r>
      <w:r>
        <w:rPr>
          <w:sz w:val="28"/>
        </w:rPr>
        <w:t>with</w:t>
      </w:r>
      <w:r>
        <w:rPr>
          <w:spacing w:val="-5"/>
          <w:sz w:val="28"/>
        </w:rPr>
        <w:t> </w:t>
      </w:r>
      <w:r>
        <w:rPr>
          <w:sz w:val="28"/>
        </w:rPr>
        <w:t>child</w:t>
      </w:r>
      <w:r>
        <w:rPr>
          <w:spacing w:val="-5"/>
          <w:sz w:val="28"/>
        </w:rPr>
        <w:t> </w:t>
      </w:r>
      <w:r>
        <w:rPr>
          <w:sz w:val="28"/>
        </w:rPr>
        <w:t>welfare</w:t>
      </w:r>
      <w:r>
        <w:rPr>
          <w:spacing w:val="-6"/>
          <w:sz w:val="28"/>
        </w:rPr>
        <w:t> </w:t>
      </w:r>
      <w:r>
        <w:rPr>
          <w:sz w:val="28"/>
        </w:rPr>
        <w:t>services,</w:t>
      </w:r>
      <w:r>
        <w:rPr>
          <w:spacing w:val="-5"/>
          <w:sz w:val="28"/>
        </w:rPr>
        <w:t> </w:t>
      </w:r>
      <w:r>
        <w:rPr>
          <w:sz w:val="28"/>
        </w:rPr>
        <w:t>often</w:t>
      </w:r>
      <w:r>
        <w:rPr>
          <w:spacing w:val="-5"/>
          <w:sz w:val="28"/>
        </w:rPr>
        <w:t> </w:t>
      </w:r>
      <w:r>
        <w:rPr>
          <w:sz w:val="28"/>
        </w:rPr>
        <w:t>stemming</w:t>
      </w:r>
      <w:r>
        <w:rPr>
          <w:spacing w:val="-5"/>
          <w:sz w:val="28"/>
        </w:rPr>
        <w:t> </w:t>
      </w:r>
      <w:r>
        <w:rPr>
          <w:sz w:val="28"/>
        </w:rPr>
        <w:t>from</w:t>
      </w:r>
      <w:r>
        <w:rPr>
          <w:spacing w:val="-5"/>
          <w:sz w:val="28"/>
        </w:rPr>
        <w:t> </w:t>
      </w:r>
      <w:r>
        <w:rPr>
          <w:sz w:val="28"/>
        </w:rPr>
        <w:t>family </w:t>
      </w:r>
      <w:r>
        <w:rPr>
          <w:spacing w:val="-2"/>
          <w:sz w:val="28"/>
        </w:rPr>
        <w:t>rejection</w:t>
      </w:r>
    </w:p>
    <w:p>
      <w:pPr>
        <w:pStyle w:val="ListParagraph"/>
        <w:numPr>
          <w:ilvl w:val="1"/>
          <w:numId w:val="25"/>
        </w:numPr>
        <w:tabs>
          <w:tab w:pos="1217" w:val="left" w:leader="none"/>
        </w:tabs>
        <w:spacing w:line="240" w:lineRule="auto" w:before="26" w:after="0"/>
        <w:ind w:left="1217" w:right="0" w:hanging="457"/>
        <w:jc w:val="left"/>
        <w:rPr>
          <w:rFonts w:ascii="Segoe UI Symbol" w:hAnsi="Segoe UI Symbol"/>
          <w:sz w:val="30"/>
        </w:rPr>
      </w:pPr>
      <w:r>
        <w:rPr>
          <w:sz w:val="28"/>
        </w:rPr>
        <w:t>Involvement</w:t>
      </w:r>
      <w:r>
        <w:rPr>
          <w:spacing w:val="-4"/>
          <w:sz w:val="28"/>
        </w:rPr>
        <w:t> </w:t>
      </w:r>
      <w:r>
        <w:rPr>
          <w:sz w:val="28"/>
        </w:rPr>
        <w:t>in</w:t>
      </w:r>
      <w:r>
        <w:rPr>
          <w:spacing w:val="-1"/>
          <w:sz w:val="28"/>
        </w:rPr>
        <w:t> </w:t>
      </w:r>
      <w:r>
        <w:rPr>
          <w:sz w:val="28"/>
        </w:rPr>
        <w:t>juvenile</w:t>
      </w:r>
      <w:r>
        <w:rPr>
          <w:spacing w:val="-2"/>
          <w:sz w:val="28"/>
        </w:rPr>
        <w:t> </w:t>
      </w:r>
      <w:r>
        <w:rPr>
          <w:sz w:val="28"/>
        </w:rPr>
        <w:t>justice</w:t>
      </w:r>
      <w:r>
        <w:rPr>
          <w:spacing w:val="-2"/>
          <w:sz w:val="28"/>
        </w:rPr>
        <w:t> programs</w:t>
      </w:r>
    </w:p>
    <w:p>
      <w:pPr>
        <w:pStyle w:val="BodyText"/>
        <w:spacing w:before="64"/>
        <w:ind w:left="280" w:right="529"/>
      </w:pPr>
      <w:r>
        <w:rPr/>
        <w:t>Psychosocial distress is often related to, if not caused by, negative social attitudes or rejection. High levels of parental and caregiver support of youths’ sexual</w:t>
      </w:r>
      <w:r>
        <w:rPr>
          <w:spacing w:val="-4"/>
        </w:rPr>
        <w:t> </w:t>
      </w:r>
      <w:r>
        <w:rPr/>
        <w:t>orientation</w:t>
      </w:r>
      <w:r>
        <w:rPr>
          <w:spacing w:val="-4"/>
        </w:rPr>
        <w:t> </w:t>
      </w:r>
      <w:r>
        <w:rPr/>
        <w:t>and</w:t>
      </w:r>
      <w:r>
        <w:rPr>
          <w:spacing w:val="-4"/>
        </w:rPr>
        <w:t> </w:t>
      </w:r>
      <w:r>
        <w:rPr/>
        <w:t>gender</w:t>
      </w:r>
      <w:r>
        <w:rPr>
          <w:spacing w:val="-4"/>
        </w:rPr>
        <w:t> </w:t>
      </w:r>
      <w:r>
        <w:rPr/>
        <w:t>identity</w:t>
      </w:r>
      <w:r>
        <w:rPr>
          <w:spacing w:val="-4"/>
        </w:rPr>
        <w:t> </w:t>
      </w:r>
      <w:r>
        <w:rPr/>
        <w:t>can</w:t>
      </w:r>
      <w:r>
        <w:rPr>
          <w:spacing w:val="-4"/>
        </w:rPr>
        <w:t> </w:t>
      </w:r>
      <w:r>
        <w:rPr/>
        <w:t>mitigate</w:t>
      </w:r>
      <w:r>
        <w:rPr>
          <w:spacing w:val="-5"/>
        </w:rPr>
        <w:t> </w:t>
      </w:r>
      <w:r>
        <w:rPr/>
        <w:t>increased</w:t>
      </w:r>
      <w:r>
        <w:rPr>
          <w:spacing w:val="-4"/>
        </w:rPr>
        <w:t> </w:t>
      </w:r>
      <w:r>
        <w:rPr/>
        <w:t>risk</w:t>
      </w:r>
      <w:r>
        <w:rPr>
          <w:spacing w:val="-4"/>
        </w:rPr>
        <w:t> </w:t>
      </w:r>
      <w:r>
        <w:rPr/>
        <w:t>of</w:t>
      </w:r>
      <w:r>
        <w:rPr>
          <w:spacing w:val="-4"/>
        </w:rPr>
        <w:t> </w:t>
      </w:r>
      <w:r>
        <w:rPr/>
        <w:t>behavioral health concerns. For example, transgender and gender-diverse youth with affirming parents and caregivers have similar levels of mental health challenges as their cisgender peers. It is essential to note that youth with diverse sexual orientation and/or gender identity are resilient, and that with sufficient support and access to resources, they can thrive.</w:t>
      </w:r>
    </w:p>
    <w:p>
      <w:pPr>
        <w:pStyle w:val="BodyText"/>
        <w:spacing w:before="164"/>
        <w:ind w:left="280" w:right="502"/>
      </w:pPr>
      <w:r>
        <w:rPr/>
        <w:t>Some</w:t>
      </w:r>
      <w:r>
        <w:rPr>
          <w:spacing w:val="-5"/>
        </w:rPr>
        <w:t> </w:t>
      </w:r>
      <w:r>
        <w:rPr/>
        <w:t>children</w:t>
      </w:r>
      <w:r>
        <w:rPr>
          <w:spacing w:val="-4"/>
        </w:rPr>
        <w:t> </w:t>
      </w:r>
      <w:r>
        <w:rPr/>
        <w:t>may</w:t>
      </w:r>
      <w:r>
        <w:rPr>
          <w:spacing w:val="-4"/>
        </w:rPr>
        <w:t> </w:t>
      </w:r>
      <w:r>
        <w:rPr/>
        <w:t>experience</w:t>
      </w:r>
      <w:r>
        <w:rPr>
          <w:spacing w:val="-5"/>
        </w:rPr>
        <w:t> </w:t>
      </w:r>
      <w:r>
        <w:rPr/>
        <w:t>gender</w:t>
      </w:r>
      <w:r>
        <w:rPr>
          <w:spacing w:val="-4"/>
        </w:rPr>
        <w:t> </w:t>
      </w:r>
      <w:r>
        <w:rPr/>
        <w:t>dysphoria,</w:t>
      </w:r>
      <w:r>
        <w:rPr>
          <w:spacing w:val="-4"/>
        </w:rPr>
        <w:t> </w:t>
      </w:r>
      <w:r>
        <w:rPr/>
        <w:t>meaning</w:t>
      </w:r>
      <w:r>
        <w:rPr>
          <w:spacing w:val="-4"/>
        </w:rPr>
        <w:t> </w:t>
      </w:r>
      <w:r>
        <w:rPr/>
        <w:t>feelings</w:t>
      </w:r>
      <w:r>
        <w:rPr>
          <w:spacing w:val="-4"/>
        </w:rPr>
        <w:t> </w:t>
      </w:r>
      <w:r>
        <w:rPr/>
        <w:t>of</w:t>
      </w:r>
      <w:r>
        <w:rPr>
          <w:spacing w:val="-4"/>
        </w:rPr>
        <w:t> </w:t>
      </w:r>
      <w:r>
        <w:rPr/>
        <w:t>distress or incongruence</w:t>
      </w:r>
      <w:r>
        <w:rPr>
          <w:spacing w:val="-1"/>
        </w:rPr>
        <w:t> </w:t>
      </w:r>
      <w:r>
        <w:rPr/>
        <w:t>between one’s gender identity and sex assigned at birth.</w:t>
      </w:r>
      <w:r>
        <w:rPr>
          <w:spacing w:val="-6"/>
        </w:rPr>
        <w:t> </w:t>
      </w:r>
      <w:r>
        <w:rPr/>
        <w:t>This</w:t>
      </w:r>
    </w:p>
    <w:p>
      <w:pPr>
        <w:spacing w:after="0"/>
        <w:sectPr>
          <w:pgSz w:w="12240" w:h="15840"/>
          <w:pgMar w:header="0" w:footer="783" w:top="1260" w:bottom="980" w:left="1400" w:right="1180"/>
        </w:sectPr>
      </w:pPr>
    </w:p>
    <w:p>
      <w:pPr>
        <w:pStyle w:val="BodyText"/>
        <w:spacing w:before="66"/>
        <w:ind w:left="280" w:right="544"/>
      </w:pPr>
      <w:r>
        <w:rPr/>
        <w:t>distress, rather than the youth’s gender diversity, is recognized as a behavioral health concern. For some, the physical changes of adolescence may worsen feelings of gender dysphoria. For others, gender dysphoria or feelings of gender</w:t>
      </w:r>
      <w:r>
        <w:rPr>
          <w:spacing w:val="-5"/>
        </w:rPr>
        <w:t> </w:t>
      </w:r>
      <w:r>
        <w:rPr/>
        <w:t>incongruence</w:t>
      </w:r>
      <w:r>
        <w:rPr>
          <w:spacing w:val="-5"/>
        </w:rPr>
        <w:t> </w:t>
      </w:r>
      <w:r>
        <w:rPr/>
        <w:t>may</w:t>
      </w:r>
      <w:r>
        <w:rPr>
          <w:spacing w:val="-5"/>
        </w:rPr>
        <w:t> </w:t>
      </w:r>
      <w:r>
        <w:rPr/>
        <w:t>begin</w:t>
      </w:r>
      <w:r>
        <w:rPr>
          <w:spacing w:val="-5"/>
        </w:rPr>
        <w:t> </w:t>
      </w:r>
      <w:r>
        <w:rPr/>
        <w:t>post-puberty</w:t>
      </w:r>
      <w:r>
        <w:rPr>
          <w:spacing w:val="-5"/>
        </w:rPr>
        <w:t> </w:t>
      </w:r>
      <w:r>
        <w:rPr/>
        <w:t>without</w:t>
      </w:r>
      <w:r>
        <w:rPr>
          <w:spacing w:val="-5"/>
        </w:rPr>
        <w:t> </w:t>
      </w:r>
      <w:r>
        <w:rPr/>
        <w:t>any</w:t>
      </w:r>
      <w:r>
        <w:rPr>
          <w:spacing w:val="-5"/>
        </w:rPr>
        <w:t> </w:t>
      </w:r>
      <w:r>
        <w:rPr/>
        <w:t>childhood</w:t>
      </w:r>
      <w:r>
        <w:rPr>
          <w:spacing w:val="-5"/>
        </w:rPr>
        <w:t> </w:t>
      </w:r>
      <w:r>
        <w:rPr/>
        <w:t>history</w:t>
      </w:r>
      <w:r>
        <w:rPr>
          <w:spacing w:val="-5"/>
        </w:rPr>
        <w:t> </w:t>
      </w:r>
      <w:r>
        <w:rPr/>
        <w:t>of gender dysphoria or gender diversity.</w:t>
      </w:r>
    </w:p>
    <w:p>
      <w:pPr>
        <w:pStyle w:val="BodyText"/>
        <w:spacing w:before="11"/>
        <w:rPr>
          <w:sz w:val="26"/>
        </w:rPr>
      </w:pPr>
    </w:p>
    <w:p>
      <w:pPr>
        <w:pStyle w:val="Heading2"/>
        <w:ind w:right="502"/>
      </w:pPr>
      <w:r>
        <w:rPr/>
        <w:t>Beneficial</w:t>
      </w:r>
      <w:r>
        <w:rPr>
          <w:spacing w:val="-18"/>
        </w:rPr>
        <w:t> </w:t>
      </w:r>
      <w:r>
        <w:rPr/>
        <w:t>Therapeutic</w:t>
      </w:r>
      <w:r>
        <w:rPr>
          <w:spacing w:val="-17"/>
        </w:rPr>
        <w:t> </w:t>
      </w:r>
      <w:r>
        <w:rPr/>
        <w:t>Approaches</w:t>
      </w:r>
      <w:r>
        <w:rPr>
          <w:spacing w:val="-9"/>
        </w:rPr>
        <w:t> </w:t>
      </w:r>
      <w:r>
        <w:rPr/>
        <w:t>and</w:t>
      </w:r>
      <w:r>
        <w:rPr>
          <w:spacing w:val="-9"/>
        </w:rPr>
        <w:t> </w:t>
      </w:r>
      <w:r>
        <w:rPr/>
        <w:t>Interventions</w:t>
      </w:r>
      <w:r>
        <w:rPr>
          <w:spacing w:val="-14"/>
        </w:rPr>
        <w:t> </w:t>
      </w:r>
      <w:r>
        <w:rPr/>
        <w:t>With</w:t>
      </w:r>
      <w:r>
        <w:rPr>
          <w:spacing w:val="-9"/>
        </w:rPr>
        <w:t> </w:t>
      </w:r>
      <w:r>
        <w:rPr/>
        <w:t>LGBTQI+ </w:t>
      </w:r>
      <w:r>
        <w:rPr>
          <w:spacing w:val="-2"/>
        </w:rPr>
        <w:t>Youth</w:t>
      </w:r>
    </w:p>
    <w:p>
      <w:pPr>
        <w:pStyle w:val="BodyText"/>
        <w:spacing w:before="63"/>
        <w:ind w:left="280" w:right="499"/>
      </w:pPr>
      <w:r>
        <w:rPr/>
        <w:t>Given scientific findings that SOGI change efforts are harmful and medically inappropriate, the behavioral health approaches below are recommended instead.</w:t>
      </w:r>
      <w:r>
        <w:rPr>
          <w:spacing w:val="-12"/>
        </w:rPr>
        <w:t> </w:t>
      </w:r>
      <w:r>
        <w:rPr/>
        <w:t>These</w:t>
      </w:r>
      <w:r>
        <w:rPr>
          <w:spacing w:val="-7"/>
        </w:rPr>
        <w:t> </w:t>
      </w:r>
      <w:r>
        <w:rPr/>
        <w:t>approaches</w:t>
      </w:r>
      <w:r>
        <w:rPr>
          <w:spacing w:val="-6"/>
        </w:rPr>
        <w:t> </w:t>
      </w:r>
      <w:r>
        <w:rPr/>
        <w:t>are</w:t>
      </w:r>
      <w:r>
        <w:rPr>
          <w:spacing w:val="-7"/>
        </w:rPr>
        <w:t> </w:t>
      </w:r>
      <w:r>
        <w:rPr/>
        <w:t>consistent</w:t>
      </w:r>
      <w:r>
        <w:rPr>
          <w:spacing w:val="-6"/>
        </w:rPr>
        <w:t> </w:t>
      </w:r>
      <w:r>
        <w:rPr/>
        <w:t>with</w:t>
      </w:r>
      <w:r>
        <w:rPr>
          <w:spacing w:val="-6"/>
        </w:rPr>
        <w:t> </w:t>
      </w:r>
      <w:r>
        <w:rPr/>
        <w:t>the</w:t>
      </w:r>
      <w:r>
        <w:rPr>
          <w:spacing w:val="-7"/>
        </w:rPr>
        <w:t> </w:t>
      </w:r>
      <w:r>
        <w:rPr/>
        <w:t>Panel’s</w:t>
      </w:r>
      <w:r>
        <w:rPr>
          <w:spacing w:val="-6"/>
        </w:rPr>
        <w:t> </w:t>
      </w:r>
      <w:r>
        <w:rPr/>
        <w:t>consensus</w:t>
      </w:r>
      <w:r>
        <w:rPr>
          <w:spacing w:val="-6"/>
        </w:rPr>
        <w:t> </w:t>
      </w:r>
      <w:r>
        <w:rPr/>
        <w:t>statements and current research. Several professional and scientific association guidelines recommend these approaches as well. When providing services to children, adolescents, families, and caregivers, appropriate therapeutic approaches </w:t>
      </w:r>
      <w:r>
        <w:rPr>
          <w:spacing w:val="-2"/>
        </w:rPr>
        <w:t>include:</w:t>
      </w:r>
    </w:p>
    <w:p>
      <w:pPr>
        <w:pStyle w:val="BodyText"/>
        <w:spacing w:before="4"/>
        <w:rPr>
          <w:sz w:val="30"/>
        </w:rPr>
      </w:pPr>
    </w:p>
    <w:p>
      <w:pPr>
        <w:pStyle w:val="ListParagraph"/>
        <w:numPr>
          <w:ilvl w:val="1"/>
          <w:numId w:val="25"/>
        </w:numPr>
        <w:tabs>
          <w:tab w:pos="1216" w:val="left" w:leader="none"/>
          <w:tab w:pos="1218" w:val="left" w:leader="none"/>
        </w:tabs>
        <w:spacing w:line="225" w:lineRule="auto" w:before="0" w:after="0"/>
        <w:ind w:left="1218" w:right="694" w:hanging="459"/>
        <w:jc w:val="left"/>
        <w:rPr>
          <w:rFonts w:ascii="Segoe UI Symbol" w:hAnsi="Segoe UI Symbol"/>
          <w:sz w:val="30"/>
        </w:rPr>
      </w:pPr>
      <w:r>
        <w:rPr>
          <w:sz w:val="28"/>
        </w:rPr>
        <w:t>Providing</w:t>
      </w:r>
      <w:r>
        <w:rPr>
          <w:spacing w:val="-5"/>
          <w:sz w:val="28"/>
        </w:rPr>
        <w:t> </w:t>
      </w:r>
      <w:r>
        <w:rPr>
          <w:sz w:val="28"/>
        </w:rPr>
        <w:t>accurate</w:t>
      </w:r>
      <w:r>
        <w:rPr>
          <w:spacing w:val="-6"/>
          <w:sz w:val="28"/>
        </w:rPr>
        <w:t> </w:t>
      </w:r>
      <w:r>
        <w:rPr>
          <w:sz w:val="28"/>
        </w:rPr>
        <w:t>information</w:t>
      </w:r>
      <w:r>
        <w:rPr>
          <w:spacing w:val="-5"/>
          <w:sz w:val="28"/>
        </w:rPr>
        <w:t> </w:t>
      </w:r>
      <w:r>
        <w:rPr>
          <w:sz w:val="28"/>
        </w:rPr>
        <w:t>on</w:t>
      </w:r>
      <w:r>
        <w:rPr>
          <w:spacing w:val="-5"/>
          <w:sz w:val="28"/>
        </w:rPr>
        <w:t> </w:t>
      </w:r>
      <w:r>
        <w:rPr>
          <w:sz w:val="28"/>
        </w:rPr>
        <w:t>sexual</w:t>
      </w:r>
      <w:r>
        <w:rPr>
          <w:spacing w:val="-5"/>
          <w:sz w:val="28"/>
        </w:rPr>
        <w:t> </w:t>
      </w:r>
      <w:r>
        <w:rPr>
          <w:sz w:val="28"/>
        </w:rPr>
        <w:t>orientation,</w:t>
      </w:r>
      <w:r>
        <w:rPr>
          <w:spacing w:val="-5"/>
          <w:sz w:val="28"/>
        </w:rPr>
        <w:t> </w:t>
      </w:r>
      <w:r>
        <w:rPr>
          <w:sz w:val="28"/>
        </w:rPr>
        <w:t>gender</w:t>
      </w:r>
      <w:r>
        <w:rPr>
          <w:spacing w:val="-5"/>
          <w:sz w:val="28"/>
        </w:rPr>
        <w:t> </w:t>
      </w:r>
      <w:r>
        <w:rPr>
          <w:sz w:val="28"/>
        </w:rPr>
        <w:t>identity and expression, and variations in sex characteristics</w:t>
      </w:r>
    </w:p>
    <w:p>
      <w:pPr>
        <w:pStyle w:val="ListParagraph"/>
        <w:numPr>
          <w:ilvl w:val="1"/>
          <w:numId w:val="25"/>
        </w:numPr>
        <w:tabs>
          <w:tab w:pos="1216" w:val="left" w:leader="none"/>
          <w:tab w:pos="1218" w:val="left" w:leader="none"/>
        </w:tabs>
        <w:spacing w:line="232" w:lineRule="auto" w:before="35" w:after="0"/>
        <w:ind w:left="1218" w:right="663" w:hanging="459"/>
        <w:jc w:val="left"/>
        <w:rPr>
          <w:rFonts w:ascii="Segoe UI Symbol" w:hAnsi="Segoe UI Symbol"/>
          <w:sz w:val="30"/>
        </w:rPr>
      </w:pPr>
      <w:r>
        <w:rPr>
          <w:sz w:val="28"/>
        </w:rPr>
        <w:t>Identifying sources of distress, including internalized stigma and minority</w:t>
      </w:r>
      <w:r>
        <w:rPr>
          <w:spacing w:val="-5"/>
          <w:sz w:val="28"/>
        </w:rPr>
        <w:t> </w:t>
      </w:r>
      <w:r>
        <w:rPr>
          <w:sz w:val="28"/>
        </w:rPr>
        <w:t>stress,</w:t>
      </w:r>
      <w:r>
        <w:rPr>
          <w:spacing w:val="-5"/>
          <w:sz w:val="28"/>
        </w:rPr>
        <w:t> </w:t>
      </w:r>
      <w:r>
        <w:rPr>
          <w:sz w:val="28"/>
        </w:rPr>
        <w:t>and</w:t>
      </w:r>
      <w:r>
        <w:rPr>
          <w:spacing w:val="-5"/>
          <w:sz w:val="28"/>
        </w:rPr>
        <w:t> </w:t>
      </w:r>
      <w:r>
        <w:rPr>
          <w:sz w:val="28"/>
        </w:rPr>
        <w:t>working</w:t>
      </w:r>
      <w:r>
        <w:rPr>
          <w:spacing w:val="-5"/>
          <w:sz w:val="28"/>
        </w:rPr>
        <w:t> </w:t>
      </w:r>
      <w:r>
        <w:rPr>
          <w:sz w:val="28"/>
        </w:rPr>
        <w:t>with</w:t>
      </w:r>
      <w:r>
        <w:rPr>
          <w:spacing w:val="-5"/>
          <w:sz w:val="28"/>
        </w:rPr>
        <w:t> </w:t>
      </w:r>
      <w:r>
        <w:rPr>
          <w:sz w:val="28"/>
        </w:rPr>
        <w:t>children,</w:t>
      </w:r>
      <w:r>
        <w:rPr>
          <w:spacing w:val="-5"/>
          <w:sz w:val="28"/>
        </w:rPr>
        <w:t> </w:t>
      </w:r>
      <w:r>
        <w:rPr>
          <w:sz w:val="28"/>
        </w:rPr>
        <w:t>adolescents,</w:t>
      </w:r>
      <w:r>
        <w:rPr>
          <w:spacing w:val="-5"/>
          <w:sz w:val="28"/>
        </w:rPr>
        <w:t> </w:t>
      </w:r>
      <w:r>
        <w:rPr>
          <w:sz w:val="28"/>
        </w:rPr>
        <w:t>families,</w:t>
      </w:r>
      <w:r>
        <w:rPr>
          <w:spacing w:val="-5"/>
          <w:sz w:val="28"/>
        </w:rPr>
        <w:t> </w:t>
      </w:r>
      <w:r>
        <w:rPr>
          <w:sz w:val="28"/>
        </w:rPr>
        <w:t>and caregivers to reduce the distress LGBTQI+ youth experience</w:t>
      </w:r>
    </w:p>
    <w:p>
      <w:pPr>
        <w:pStyle w:val="ListParagraph"/>
        <w:numPr>
          <w:ilvl w:val="1"/>
          <w:numId w:val="25"/>
        </w:numPr>
        <w:tabs>
          <w:tab w:pos="1217" w:val="left" w:leader="none"/>
        </w:tabs>
        <w:spacing w:line="240" w:lineRule="auto" w:before="22" w:after="0"/>
        <w:ind w:left="1217" w:right="0" w:hanging="457"/>
        <w:jc w:val="left"/>
        <w:rPr>
          <w:rFonts w:ascii="Segoe UI Symbol" w:hAnsi="Segoe UI Symbol"/>
          <w:sz w:val="30"/>
        </w:rPr>
      </w:pPr>
      <w:r>
        <w:rPr>
          <w:sz w:val="28"/>
        </w:rPr>
        <w:t>Supporting</w:t>
      </w:r>
      <w:r>
        <w:rPr>
          <w:spacing w:val="-4"/>
          <w:sz w:val="28"/>
        </w:rPr>
        <w:t> </w:t>
      </w:r>
      <w:r>
        <w:rPr>
          <w:sz w:val="28"/>
        </w:rPr>
        <w:t>adaptive</w:t>
      </w:r>
      <w:r>
        <w:rPr>
          <w:spacing w:val="-2"/>
          <w:sz w:val="28"/>
        </w:rPr>
        <w:t> </w:t>
      </w:r>
      <w:r>
        <w:rPr>
          <w:sz w:val="28"/>
        </w:rPr>
        <w:t>coping</w:t>
      </w:r>
      <w:r>
        <w:rPr>
          <w:spacing w:val="-1"/>
          <w:sz w:val="28"/>
        </w:rPr>
        <w:t> </w:t>
      </w:r>
      <w:r>
        <w:rPr>
          <w:sz w:val="28"/>
        </w:rPr>
        <w:t>to</w:t>
      </w:r>
      <w:r>
        <w:rPr>
          <w:spacing w:val="-2"/>
          <w:sz w:val="28"/>
        </w:rPr>
        <w:t> </w:t>
      </w:r>
      <w:r>
        <w:rPr>
          <w:sz w:val="28"/>
        </w:rPr>
        <w:t>improve</w:t>
      </w:r>
      <w:r>
        <w:rPr>
          <w:spacing w:val="-2"/>
          <w:sz w:val="28"/>
        </w:rPr>
        <w:t> </w:t>
      </w:r>
      <w:r>
        <w:rPr>
          <w:sz w:val="28"/>
        </w:rPr>
        <w:t>psychological</w:t>
      </w:r>
      <w:r>
        <w:rPr>
          <w:spacing w:val="-1"/>
          <w:sz w:val="28"/>
        </w:rPr>
        <w:t> </w:t>
      </w:r>
      <w:r>
        <w:rPr>
          <w:sz w:val="28"/>
        </w:rPr>
        <w:t>well-</w:t>
      </w:r>
      <w:r>
        <w:rPr>
          <w:spacing w:val="-2"/>
          <w:sz w:val="28"/>
        </w:rPr>
        <w:t>being</w:t>
      </w:r>
    </w:p>
    <w:p>
      <w:pPr>
        <w:pStyle w:val="ListParagraph"/>
        <w:numPr>
          <w:ilvl w:val="1"/>
          <w:numId w:val="25"/>
        </w:numPr>
        <w:tabs>
          <w:tab w:pos="1216" w:val="left" w:leader="none"/>
          <w:tab w:pos="1218" w:val="left" w:leader="none"/>
        </w:tabs>
        <w:spacing w:line="225" w:lineRule="auto" w:before="23" w:after="0"/>
        <w:ind w:left="1218" w:right="538" w:hanging="459"/>
        <w:jc w:val="left"/>
        <w:rPr>
          <w:rFonts w:ascii="Segoe UI Symbol" w:hAnsi="Segoe UI Symbol"/>
          <w:sz w:val="30"/>
        </w:rPr>
      </w:pPr>
      <w:r>
        <w:rPr>
          <w:sz w:val="28"/>
        </w:rPr>
        <w:t>Supporting</w:t>
      </w:r>
      <w:r>
        <w:rPr>
          <w:spacing w:val="-4"/>
          <w:sz w:val="28"/>
        </w:rPr>
        <w:t> </w:t>
      </w:r>
      <w:r>
        <w:rPr>
          <w:sz w:val="28"/>
        </w:rPr>
        <w:t>youth</w:t>
      </w:r>
      <w:r>
        <w:rPr>
          <w:spacing w:val="-4"/>
          <w:sz w:val="28"/>
        </w:rPr>
        <w:t> </w:t>
      </w:r>
      <w:r>
        <w:rPr>
          <w:sz w:val="28"/>
        </w:rPr>
        <w:t>as</w:t>
      </w:r>
      <w:r>
        <w:rPr>
          <w:spacing w:val="-4"/>
          <w:sz w:val="28"/>
        </w:rPr>
        <w:t> </w:t>
      </w:r>
      <w:r>
        <w:rPr>
          <w:sz w:val="28"/>
        </w:rPr>
        <w:t>they</w:t>
      </w:r>
      <w:r>
        <w:rPr>
          <w:spacing w:val="-4"/>
          <w:sz w:val="28"/>
        </w:rPr>
        <w:t> </w:t>
      </w:r>
      <w:r>
        <w:rPr>
          <w:sz w:val="28"/>
        </w:rPr>
        <w:t>learn</w:t>
      </w:r>
      <w:r>
        <w:rPr>
          <w:spacing w:val="-4"/>
          <w:sz w:val="28"/>
        </w:rPr>
        <w:t> </w:t>
      </w:r>
      <w:r>
        <w:rPr>
          <w:sz w:val="28"/>
        </w:rPr>
        <w:t>more</w:t>
      </w:r>
      <w:r>
        <w:rPr>
          <w:spacing w:val="-5"/>
          <w:sz w:val="28"/>
        </w:rPr>
        <w:t> </w:t>
      </w:r>
      <w:r>
        <w:rPr>
          <w:sz w:val="28"/>
        </w:rPr>
        <w:t>about</w:t>
      </w:r>
      <w:r>
        <w:rPr>
          <w:spacing w:val="-4"/>
          <w:sz w:val="28"/>
        </w:rPr>
        <w:t> </w:t>
      </w:r>
      <w:r>
        <w:rPr>
          <w:sz w:val="28"/>
        </w:rPr>
        <w:t>their</w:t>
      </w:r>
      <w:r>
        <w:rPr>
          <w:spacing w:val="-4"/>
          <w:sz w:val="28"/>
        </w:rPr>
        <w:t> </w:t>
      </w:r>
      <w:r>
        <w:rPr>
          <w:sz w:val="28"/>
        </w:rPr>
        <w:t>sexual</w:t>
      </w:r>
      <w:r>
        <w:rPr>
          <w:spacing w:val="-4"/>
          <w:sz w:val="28"/>
        </w:rPr>
        <w:t> </w:t>
      </w:r>
      <w:r>
        <w:rPr>
          <w:sz w:val="28"/>
        </w:rPr>
        <w:t>orientation</w:t>
      </w:r>
      <w:r>
        <w:rPr>
          <w:spacing w:val="-4"/>
          <w:sz w:val="28"/>
        </w:rPr>
        <w:t> </w:t>
      </w:r>
      <w:r>
        <w:rPr>
          <w:sz w:val="28"/>
        </w:rPr>
        <w:t>and gender identity</w:t>
      </w:r>
    </w:p>
    <w:p>
      <w:pPr>
        <w:pStyle w:val="ListParagraph"/>
        <w:numPr>
          <w:ilvl w:val="1"/>
          <w:numId w:val="25"/>
        </w:numPr>
        <w:tabs>
          <w:tab w:pos="1216" w:val="left" w:leader="none"/>
          <w:tab w:pos="1218" w:val="left" w:leader="none"/>
        </w:tabs>
        <w:spacing w:line="232" w:lineRule="auto" w:before="36" w:after="0"/>
        <w:ind w:left="1218" w:right="975" w:hanging="459"/>
        <w:jc w:val="left"/>
        <w:rPr>
          <w:rFonts w:ascii="Segoe UI Symbol" w:hAnsi="Segoe UI Symbol"/>
          <w:sz w:val="30"/>
        </w:rPr>
      </w:pPr>
      <w:r>
        <w:rPr>
          <w:sz w:val="28"/>
        </w:rPr>
        <w:t>Helping</w:t>
      </w:r>
      <w:r>
        <w:rPr>
          <w:spacing w:val="-5"/>
          <w:sz w:val="28"/>
        </w:rPr>
        <w:t> </w:t>
      </w:r>
      <w:r>
        <w:rPr>
          <w:sz w:val="28"/>
        </w:rPr>
        <w:t>children</w:t>
      </w:r>
      <w:r>
        <w:rPr>
          <w:spacing w:val="-5"/>
          <w:sz w:val="28"/>
        </w:rPr>
        <w:t> </w:t>
      </w:r>
      <w:r>
        <w:rPr>
          <w:sz w:val="28"/>
        </w:rPr>
        <w:t>and</w:t>
      </w:r>
      <w:r>
        <w:rPr>
          <w:spacing w:val="-5"/>
          <w:sz w:val="28"/>
        </w:rPr>
        <w:t> </w:t>
      </w:r>
      <w:r>
        <w:rPr>
          <w:sz w:val="28"/>
        </w:rPr>
        <w:t>adolescents</w:t>
      </w:r>
      <w:r>
        <w:rPr>
          <w:spacing w:val="-5"/>
          <w:sz w:val="28"/>
        </w:rPr>
        <w:t> </w:t>
      </w:r>
      <w:r>
        <w:rPr>
          <w:sz w:val="28"/>
        </w:rPr>
        <w:t>navigate</w:t>
      </w:r>
      <w:r>
        <w:rPr>
          <w:spacing w:val="-6"/>
          <w:sz w:val="28"/>
        </w:rPr>
        <w:t> </w:t>
      </w:r>
      <w:r>
        <w:rPr>
          <w:sz w:val="28"/>
        </w:rPr>
        <w:t>their</w:t>
      </w:r>
      <w:r>
        <w:rPr>
          <w:spacing w:val="-5"/>
          <w:sz w:val="28"/>
        </w:rPr>
        <w:t> </w:t>
      </w:r>
      <w:r>
        <w:rPr>
          <w:sz w:val="28"/>
        </w:rPr>
        <w:t>sexual</w:t>
      </w:r>
      <w:r>
        <w:rPr>
          <w:spacing w:val="-5"/>
          <w:sz w:val="28"/>
        </w:rPr>
        <w:t> </w:t>
      </w:r>
      <w:r>
        <w:rPr>
          <w:sz w:val="28"/>
        </w:rPr>
        <w:t>orientation, gender identity, and gender expression within the context of their cultural, religious, and other identities</w:t>
      </w:r>
    </w:p>
    <w:p>
      <w:pPr>
        <w:pStyle w:val="BodyText"/>
        <w:spacing w:before="10"/>
        <w:rPr>
          <w:sz w:val="34"/>
        </w:rPr>
      </w:pPr>
    </w:p>
    <w:p>
      <w:pPr>
        <w:pStyle w:val="BodyText"/>
        <w:ind w:left="280" w:right="502"/>
      </w:pPr>
      <w:r>
        <w:rPr/>
        <w:t>Interventions should be client-centered, culturally appropriate, and developmentally</w:t>
      </w:r>
      <w:r>
        <w:rPr>
          <w:spacing w:val="-4"/>
        </w:rPr>
        <w:t> </w:t>
      </w:r>
      <w:r>
        <w:rPr/>
        <w:t>sensitive.</w:t>
      </w:r>
      <w:r>
        <w:rPr>
          <w:spacing w:val="-9"/>
        </w:rPr>
        <w:t> </w:t>
      </w:r>
      <w:r>
        <w:rPr/>
        <w:t>The</w:t>
      </w:r>
      <w:r>
        <w:rPr>
          <w:spacing w:val="-5"/>
        </w:rPr>
        <w:t> </w:t>
      </w:r>
      <w:r>
        <w:rPr/>
        <w:t>treatment</w:t>
      </w:r>
      <w:r>
        <w:rPr>
          <w:spacing w:val="-4"/>
        </w:rPr>
        <w:t> </w:t>
      </w:r>
      <w:r>
        <w:rPr/>
        <w:t>goal</w:t>
      </w:r>
      <w:r>
        <w:rPr>
          <w:spacing w:val="-4"/>
        </w:rPr>
        <w:t> </w:t>
      </w:r>
      <w:r>
        <w:rPr/>
        <w:t>should</w:t>
      </w:r>
      <w:r>
        <w:rPr>
          <w:spacing w:val="-4"/>
        </w:rPr>
        <w:t> </w:t>
      </w:r>
      <w:r>
        <w:rPr/>
        <w:t>be</w:t>
      </w:r>
      <w:r>
        <w:rPr>
          <w:spacing w:val="-5"/>
        </w:rPr>
        <w:t> </w:t>
      </w:r>
      <w:r>
        <w:rPr/>
        <w:t>to</w:t>
      </w:r>
      <w:r>
        <w:rPr>
          <w:spacing w:val="-4"/>
        </w:rPr>
        <w:t> </w:t>
      </w:r>
      <w:r>
        <w:rPr/>
        <w:t>facilitate</w:t>
      </w:r>
      <w:r>
        <w:rPr>
          <w:spacing w:val="-5"/>
        </w:rPr>
        <w:t> </w:t>
      </w:r>
      <w:r>
        <w:rPr/>
        <w:t>the</w:t>
      </w:r>
      <w:r>
        <w:rPr>
          <w:spacing w:val="-5"/>
        </w:rPr>
        <w:t> </w:t>
      </w:r>
      <w:r>
        <w:rPr/>
        <w:t>best possible level of psychological functioning, rather than identifying with a specific</w:t>
      </w:r>
      <w:r>
        <w:rPr>
          <w:spacing w:val="-5"/>
        </w:rPr>
        <w:t> </w:t>
      </w:r>
      <w:r>
        <w:rPr/>
        <w:t>gender</w:t>
      </w:r>
      <w:r>
        <w:rPr>
          <w:spacing w:val="-4"/>
        </w:rPr>
        <w:t> </w:t>
      </w:r>
      <w:r>
        <w:rPr/>
        <w:t>or</w:t>
      </w:r>
      <w:r>
        <w:rPr>
          <w:spacing w:val="-4"/>
        </w:rPr>
        <w:t> </w:t>
      </w:r>
      <w:r>
        <w:rPr/>
        <w:t>sexual</w:t>
      </w:r>
      <w:r>
        <w:rPr>
          <w:spacing w:val="-4"/>
        </w:rPr>
        <w:t> </w:t>
      </w:r>
      <w:r>
        <w:rPr/>
        <w:t>orientation.</w:t>
      </w:r>
      <w:r>
        <w:rPr>
          <w:spacing w:val="-18"/>
        </w:rPr>
        <w:t> </w:t>
      </w:r>
      <w:r>
        <w:rPr/>
        <w:t>Appropriate</w:t>
      </w:r>
      <w:r>
        <w:rPr>
          <w:spacing w:val="-4"/>
        </w:rPr>
        <w:t> </w:t>
      </w:r>
      <w:r>
        <w:rPr/>
        <w:t>treatment</w:t>
      </w:r>
      <w:r>
        <w:rPr>
          <w:spacing w:val="-4"/>
        </w:rPr>
        <w:t> </w:t>
      </w:r>
      <w:r>
        <w:rPr/>
        <w:t>approaches</w:t>
      </w:r>
      <w:r>
        <w:rPr>
          <w:spacing w:val="-4"/>
        </w:rPr>
        <w:t> </w:t>
      </w:r>
      <w:r>
        <w:rPr/>
        <w:t>with youth of diverse sexual orientation and/or gender identity should focus on identity development and affirming exploration that allows the child or adolescent the freedom of self-discovery within a context of acceptance and support.</w:t>
      </w:r>
      <w:r>
        <w:rPr>
          <w:spacing w:val="-3"/>
        </w:rPr>
        <w:t> </w:t>
      </w:r>
      <w:r>
        <w:rPr/>
        <w:t>It</w:t>
      </w:r>
      <w:r>
        <w:rPr>
          <w:spacing w:val="-3"/>
        </w:rPr>
        <w:t> </w:t>
      </w:r>
      <w:r>
        <w:rPr/>
        <w:t>is</w:t>
      </w:r>
      <w:r>
        <w:rPr>
          <w:spacing w:val="-3"/>
        </w:rPr>
        <w:t> </w:t>
      </w:r>
      <w:r>
        <w:rPr/>
        <w:t>important</w:t>
      </w:r>
      <w:r>
        <w:rPr>
          <w:spacing w:val="-3"/>
        </w:rPr>
        <w:t> </w:t>
      </w:r>
      <w:r>
        <w:rPr/>
        <w:t>to</w:t>
      </w:r>
      <w:r>
        <w:rPr>
          <w:spacing w:val="-3"/>
        </w:rPr>
        <w:t> </w:t>
      </w:r>
      <w:r>
        <w:rPr/>
        <w:t>identify</w:t>
      </w:r>
      <w:r>
        <w:rPr>
          <w:spacing w:val="-3"/>
        </w:rPr>
        <w:t> </w:t>
      </w:r>
      <w:r>
        <w:rPr/>
        <w:t>the</w:t>
      </w:r>
      <w:r>
        <w:rPr>
          <w:spacing w:val="-4"/>
        </w:rPr>
        <w:t> </w:t>
      </w:r>
      <w:r>
        <w:rPr/>
        <w:t>sources</w:t>
      </w:r>
      <w:r>
        <w:rPr>
          <w:spacing w:val="-3"/>
        </w:rPr>
        <w:t> </w:t>
      </w:r>
      <w:r>
        <w:rPr/>
        <w:t>of</w:t>
      </w:r>
      <w:r>
        <w:rPr>
          <w:spacing w:val="-3"/>
        </w:rPr>
        <w:t> </w:t>
      </w:r>
      <w:r>
        <w:rPr/>
        <w:t>any</w:t>
      </w:r>
      <w:r>
        <w:rPr>
          <w:spacing w:val="-3"/>
        </w:rPr>
        <w:t> </w:t>
      </w:r>
      <w:r>
        <w:rPr/>
        <w:t>distress</w:t>
      </w:r>
      <w:r>
        <w:rPr>
          <w:spacing w:val="-3"/>
        </w:rPr>
        <w:t> </w:t>
      </w:r>
      <w:r>
        <w:rPr/>
        <w:t>experienced</w:t>
      </w:r>
      <w:r>
        <w:rPr>
          <w:spacing w:val="-3"/>
        </w:rPr>
        <w:t> </w:t>
      </w:r>
      <w:r>
        <w:rPr/>
        <w:t>by LGBTQI+ youth and their families and caregivers, and work to reduce this </w:t>
      </w:r>
      <w:r>
        <w:rPr>
          <w:spacing w:val="-2"/>
        </w:rPr>
        <w:t>distress.</w:t>
      </w:r>
    </w:p>
    <w:p>
      <w:pPr>
        <w:spacing w:after="0"/>
        <w:sectPr>
          <w:pgSz w:w="12240" w:h="15840"/>
          <w:pgMar w:header="0" w:footer="783" w:top="1260" w:bottom="980" w:left="1400" w:right="1180"/>
        </w:sectPr>
      </w:pPr>
    </w:p>
    <w:p>
      <w:pPr>
        <w:pStyle w:val="BodyText"/>
        <w:spacing w:before="66"/>
        <w:ind w:left="280" w:right="738"/>
      </w:pPr>
      <w:r>
        <w:rPr/>
        <w:t>Working with parents and caregivers is important, as their behaviors and attitudes</w:t>
      </w:r>
      <w:r>
        <w:rPr>
          <w:spacing w:val="-2"/>
        </w:rPr>
        <w:t> </w:t>
      </w:r>
      <w:r>
        <w:rPr/>
        <w:t>have</w:t>
      </w:r>
      <w:r>
        <w:rPr>
          <w:spacing w:val="-3"/>
        </w:rPr>
        <w:t> </w:t>
      </w:r>
      <w:r>
        <w:rPr/>
        <w:t>significant</w:t>
      </w:r>
      <w:r>
        <w:rPr>
          <w:spacing w:val="-2"/>
        </w:rPr>
        <w:t> </w:t>
      </w:r>
      <w:r>
        <w:rPr/>
        <w:t>effects</w:t>
      </w:r>
      <w:r>
        <w:rPr>
          <w:spacing w:val="-2"/>
        </w:rPr>
        <w:t> </w:t>
      </w:r>
      <w:r>
        <w:rPr/>
        <w:t>on</w:t>
      </w:r>
      <w:r>
        <w:rPr>
          <w:spacing w:val="-2"/>
        </w:rPr>
        <w:t> </w:t>
      </w:r>
      <w:r>
        <w:rPr/>
        <w:t>the</w:t>
      </w:r>
      <w:r>
        <w:rPr>
          <w:spacing w:val="-3"/>
        </w:rPr>
        <w:t> </w:t>
      </w:r>
      <w:r>
        <w:rPr/>
        <w:t>mental</w:t>
      </w:r>
      <w:r>
        <w:rPr>
          <w:spacing w:val="-2"/>
        </w:rPr>
        <w:t> </w:t>
      </w:r>
      <w:r>
        <w:rPr/>
        <w:t>health</w:t>
      </w:r>
      <w:r>
        <w:rPr>
          <w:spacing w:val="-2"/>
        </w:rPr>
        <w:t> </w:t>
      </w:r>
      <w:r>
        <w:rPr/>
        <w:t>and</w:t>
      </w:r>
      <w:r>
        <w:rPr>
          <w:spacing w:val="-2"/>
        </w:rPr>
        <w:t> </w:t>
      </w:r>
      <w:r>
        <w:rPr/>
        <w:t>wellbeing</w:t>
      </w:r>
      <w:r>
        <w:rPr>
          <w:spacing w:val="-2"/>
        </w:rPr>
        <w:t> </w:t>
      </w:r>
      <w:r>
        <w:rPr/>
        <w:t>of</w:t>
      </w:r>
      <w:r>
        <w:rPr>
          <w:spacing w:val="-2"/>
        </w:rPr>
        <w:t> </w:t>
      </w:r>
      <w:r>
        <w:rPr/>
        <w:t>youth with diverse sexual orientation and/or gender identity. Supportive family, caregivers, community, school, child welfare, and healthcare environments have</w:t>
      </w:r>
      <w:r>
        <w:rPr>
          <w:spacing w:val="-5"/>
        </w:rPr>
        <w:t> </w:t>
      </w:r>
      <w:r>
        <w:rPr/>
        <w:t>been</w:t>
      </w:r>
      <w:r>
        <w:rPr>
          <w:spacing w:val="-4"/>
        </w:rPr>
        <w:t> </w:t>
      </w:r>
      <w:r>
        <w:rPr/>
        <w:t>shown</w:t>
      </w:r>
      <w:r>
        <w:rPr>
          <w:spacing w:val="-4"/>
        </w:rPr>
        <w:t> </w:t>
      </w:r>
      <w:r>
        <w:rPr/>
        <w:t>to</w:t>
      </w:r>
      <w:r>
        <w:rPr>
          <w:spacing w:val="-4"/>
        </w:rPr>
        <w:t> </w:t>
      </w:r>
      <w:r>
        <w:rPr/>
        <w:t>positively</w:t>
      </w:r>
      <w:r>
        <w:rPr>
          <w:spacing w:val="-4"/>
        </w:rPr>
        <w:t> </w:t>
      </w:r>
      <w:r>
        <w:rPr/>
        <w:t>impact</w:t>
      </w:r>
      <w:r>
        <w:rPr>
          <w:spacing w:val="-4"/>
        </w:rPr>
        <w:t> </w:t>
      </w:r>
      <w:r>
        <w:rPr/>
        <w:t>both</w:t>
      </w:r>
      <w:r>
        <w:rPr>
          <w:spacing w:val="-4"/>
        </w:rPr>
        <w:t> </w:t>
      </w:r>
      <w:r>
        <w:rPr/>
        <w:t>the</w:t>
      </w:r>
      <w:r>
        <w:rPr>
          <w:spacing w:val="-5"/>
        </w:rPr>
        <w:t> </w:t>
      </w:r>
      <w:r>
        <w:rPr/>
        <w:t>short-and</w:t>
      </w:r>
      <w:r>
        <w:rPr>
          <w:spacing w:val="-4"/>
        </w:rPr>
        <w:t> </w:t>
      </w:r>
      <w:r>
        <w:rPr/>
        <w:t>longterm</w:t>
      </w:r>
      <w:r>
        <w:rPr>
          <w:spacing w:val="-4"/>
        </w:rPr>
        <w:t> </w:t>
      </w:r>
      <w:r>
        <w:rPr/>
        <w:t>health</w:t>
      </w:r>
      <w:r>
        <w:rPr>
          <w:spacing w:val="-4"/>
        </w:rPr>
        <w:t> </w:t>
      </w:r>
      <w:r>
        <w:rPr/>
        <w:t>and well-being</w:t>
      </w:r>
      <w:r>
        <w:rPr>
          <w:spacing w:val="-4"/>
        </w:rPr>
        <w:t> </w:t>
      </w:r>
      <w:r>
        <w:rPr/>
        <w:t>of</w:t>
      </w:r>
      <w:r>
        <w:rPr>
          <w:spacing w:val="-4"/>
        </w:rPr>
        <w:t> </w:t>
      </w:r>
      <w:r>
        <w:rPr/>
        <w:t>LGBTQI+</w:t>
      </w:r>
      <w:r>
        <w:rPr>
          <w:spacing w:val="-4"/>
        </w:rPr>
        <w:t> </w:t>
      </w:r>
      <w:r>
        <w:rPr/>
        <w:t>youth.</w:t>
      </w:r>
      <w:r>
        <w:rPr>
          <w:spacing w:val="-4"/>
        </w:rPr>
        <w:t> </w:t>
      </w:r>
      <w:r>
        <w:rPr/>
        <w:t>Families,</w:t>
      </w:r>
      <w:r>
        <w:rPr>
          <w:spacing w:val="-4"/>
        </w:rPr>
        <w:t> </w:t>
      </w:r>
      <w:r>
        <w:rPr/>
        <w:t>caregivers,</w:t>
      </w:r>
      <w:r>
        <w:rPr>
          <w:spacing w:val="-4"/>
        </w:rPr>
        <w:t> </w:t>
      </w:r>
      <w:r>
        <w:rPr/>
        <w:t>and</w:t>
      </w:r>
      <w:r>
        <w:rPr>
          <w:spacing w:val="-4"/>
        </w:rPr>
        <w:t> </w:t>
      </w:r>
      <w:r>
        <w:rPr/>
        <w:t>those</w:t>
      </w:r>
      <w:r>
        <w:rPr>
          <w:spacing w:val="-5"/>
        </w:rPr>
        <w:t> </w:t>
      </w:r>
      <w:r>
        <w:rPr/>
        <w:t>working</w:t>
      </w:r>
      <w:r>
        <w:rPr>
          <w:spacing w:val="-4"/>
        </w:rPr>
        <w:t> </w:t>
      </w:r>
      <w:r>
        <w:rPr/>
        <w:t>with these youth can benefit from guidance and resources to increase support for sexual-and gender-diverse groups and to reduce stigma and discrimination.</w:t>
      </w:r>
    </w:p>
    <w:p>
      <w:pPr>
        <w:pStyle w:val="BodyText"/>
        <w:spacing w:before="164"/>
        <w:ind w:left="280" w:right="502"/>
      </w:pPr>
      <w:r>
        <w:rPr/>
        <w:t>In addition to the appropriate therapeutic approaches described above, social transition is appropriate and beneficial for many transgender and gender- diverse youth.</w:t>
      </w:r>
      <w:r>
        <w:rPr>
          <w:spacing w:val="-10"/>
        </w:rPr>
        <w:t> </w:t>
      </w:r>
      <w:r>
        <w:rPr/>
        <w:t>Although professional intervention is not required for youth to take</w:t>
      </w:r>
      <w:r>
        <w:rPr>
          <w:spacing w:val="-5"/>
        </w:rPr>
        <w:t> </w:t>
      </w:r>
      <w:r>
        <w:rPr/>
        <w:t>steps</w:t>
      </w:r>
      <w:r>
        <w:rPr>
          <w:spacing w:val="-4"/>
        </w:rPr>
        <w:t> </w:t>
      </w:r>
      <w:r>
        <w:rPr/>
        <w:t>in</w:t>
      </w:r>
      <w:r>
        <w:rPr>
          <w:spacing w:val="-4"/>
        </w:rPr>
        <w:t> </w:t>
      </w:r>
      <w:r>
        <w:rPr/>
        <w:t>social</w:t>
      </w:r>
      <w:r>
        <w:rPr>
          <w:spacing w:val="-4"/>
        </w:rPr>
        <w:t> </w:t>
      </w:r>
      <w:r>
        <w:rPr/>
        <w:t>transition,</w:t>
      </w:r>
      <w:r>
        <w:rPr>
          <w:spacing w:val="-4"/>
        </w:rPr>
        <w:t> </w:t>
      </w:r>
      <w:r>
        <w:rPr/>
        <w:t>providers</w:t>
      </w:r>
      <w:r>
        <w:rPr>
          <w:spacing w:val="-4"/>
        </w:rPr>
        <w:t> </w:t>
      </w:r>
      <w:r>
        <w:rPr/>
        <w:t>can</w:t>
      </w:r>
      <w:r>
        <w:rPr>
          <w:spacing w:val="-4"/>
        </w:rPr>
        <w:t> </w:t>
      </w:r>
      <w:r>
        <w:rPr/>
        <w:t>support</w:t>
      </w:r>
      <w:r>
        <w:rPr>
          <w:spacing w:val="-4"/>
        </w:rPr>
        <w:t> </w:t>
      </w:r>
      <w:r>
        <w:rPr/>
        <w:t>families</w:t>
      </w:r>
      <w:r>
        <w:rPr>
          <w:spacing w:val="-4"/>
        </w:rPr>
        <w:t> </w:t>
      </w:r>
      <w:r>
        <w:rPr/>
        <w:t>and</w:t>
      </w:r>
      <w:r>
        <w:rPr>
          <w:spacing w:val="-4"/>
        </w:rPr>
        <w:t> </w:t>
      </w:r>
      <w:r>
        <w:rPr/>
        <w:t>caregivers</w:t>
      </w:r>
      <w:r>
        <w:rPr>
          <w:spacing w:val="-4"/>
        </w:rPr>
        <w:t> </w:t>
      </w:r>
      <w:r>
        <w:rPr/>
        <w:t>to protect</w:t>
      </w:r>
      <w:r>
        <w:rPr>
          <w:spacing w:val="-9"/>
        </w:rPr>
        <w:t> </w:t>
      </w:r>
      <w:r>
        <w:rPr/>
        <w:t>youth’s</w:t>
      </w:r>
      <w:r>
        <w:rPr>
          <w:spacing w:val="-9"/>
        </w:rPr>
        <w:t> </w:t>
      </w:r>
      <w:r>
        <w:rPr/>
        <w:t>safety,</w:t>
      </w:r>
      <w:r>
        <w:rPr>
          <w:spacing w:val="-9"/>
        </w:rPr>
        <w:t> </w:t>
      </w:r>
      <w:r>
        <w:rPr/>
        <w:t>ensure</w:t>
      </w:r>
      <w:r>
        <w:rPr>
          <w:spacing w:val="-10"/>
        </w:rPr>
        <w:t> </w:t>
      </w:r>
      <w:r>
        <w:rPr/>
        <w:t>emotional,</w:t>
      </w:r>
      <w:r>
        <w:rPr>
          <w:spacing w:val="-9"/>
        </w:rPr>
        <w:t> </w:t>
      </w:r>
      <w:r>
        <w:rPr/>
        <w:t>psychological,</w:t>
      </w:r>
      <w:r>
        <w:rPr>
          <w:spacing w:val="-9"/>
        </w:rPr>
        <w:t> </w:t>
      </w:r>
      <w:r>
        <w:rPr/>
        <w:t>and</w:t>
      </w:r>
      <w:r>
        <w:rPr>
          <w:spacing w:val="-9"/>
        </w:rPr>
        <w:t> </w:t>
      </w:r>
      <w:r>
        <w:rPr/>
        <w:t>social</w:t>
      </w:r>
      <w:r>
        <w:rPr>
          <w:spacing w:val="-9"/>
        </w:rPr>
        <w:t> </w:t>
      </w:r>
      <w:r>
        <w:rPr/>
        <w:t>well-being, and help youth and families navigate the potential complexities of exploring and taking steps in social transition.</w:t>
      </w:r>
    </w:p>
    <w:p>
      <w:pPr>
        <w:pStyle w:val="BodyText"/>
        <w:spacing w:before="7"/>
        <w:rPr>
          <w:sz w:val="26"/>
        </w:rPr>
      </w:pPr>
    </w:p>
    <w:p>
      <w:pPr>
        <w:pStyle w:val="BodyText"/>
        <w:spacing w:line="288" w:lineRule="auto"/>
        <w:ind w:left="280" w:right="502"/>
      </w:pPr>
      <w:r>
        <w:rPr/>
        <w:t>Policy</w:t>
      </w:r>
      <w:r>
        <w:rPr>
          <w:spacing w:val="-18"/>
        </w:rPr>
        <w:t> </w:t>
      </w:r>
      <w:r>
        <w:rPr/>
        <w:t>Approaches</w:t>
      </w:r>
      <w:r>
        <w:rPr>
          <w:spacing w:val="-11"/>
        </w:rPr>
        <w:t> </w:t>
      </w:r>
      <w:r>
        <w:rPr/>
        <w:t>to</w:t>
      </w:r>
      <w:r>
        <w:rPr>
          <w:spacing w:val="-8"/>
        </w:rPr>
        <w:t> </w:t>
      </w:r>
      <w:r>
        <w:rPr/>
        <w:t>Support</w:t>
      </w:r>
      <w:r>
        <w:rPr>
          <w:spacing w:val="-8"/>
        </w:rPr>
        <w:t> </w:t>
      </w:r>
      <w:r>
        <w:rPr/>
        <w:t>the</w:t>
      </w:r>
      <w:r>
        <w:rPr>
          <w:spacing w:val="-9"/>
        </w:rPr>
        <w:t> </w:t>
      </w:r>
      <w:r>
        <w:rPr/>
        <w:t>Behavioral</w:t>
      </w:r>
      <w:r>
        <w:rPr>
          <w:spacing w:val="-8"/>
        </w:rPr>
        <w:t> </w:t>
      </w:r>
      <w:r>
        <w:rPr/>
        <w:t>Health</w:t>
      </w:r>
      <w:r>
        <w:rPr>
          <w:spacing w:val="-8"/>
        </w:rPr>
        <w:t> </w:t>
      </w:r>
      <w:r>
        <w:rPr/>
        <w:t>of</w:t>
      </w:r>
      <w:r>
        <w:rPr>
          <w:spacing w:val="-8"/>
        </w:rPr>
        <w:t> </w:t>
      </w:r>
      <w:r>
        <w:rPr/>
        <w:t>LGBTQI+</w:t>
      </w:r>
      <w:r>
        <w:rPr>
          <w:spacing w:val="-18"/>
        </w:rPr>
        <w:t> </w:t>
      </w:r>
      <w:r>
        <w:rPr/>
        <w:t>Youth LGBTQI+</w:t>
      </w:r>
      <w:r>
        <w:rPr>
          <w:spacing w:val="-2"/>
        </w:rPr>
        <w:t> </w:t>
      </w:r>
      <w:r>
        <w:rPr/>
        <w:t>youth</w:t>
      </w:r>
      <w:r>
        <w:rPr>
          <w:spacing w:val="-1"/>
        </w:rPr>
        <w:t> </w:t>
      </w:r>
      <w:r>
        <w:rPr/>
        <w:t>and</w:t>
      </w:r>
      <w:r>
        <w:rPr>
          <w:spacing w:val="-1"/>
        </w:rPr>
        <w:t> </w:t>
      </w:r>
      <w:r>
        <w:rPr/>
        <w:t>their</w:t>
      </w:r>
      <w:r>
        <w:rPr>
          <w:spacing w:val="-2"/>
        </w:rPr>
        <w:t> </w:t>
      </w:r>
      <w:r>
        <w:rPr/>
        <w:t>families</w:t>
      </w:r>
      <w:r>
        <w:rPr>
          <w:spacing w:val="-1"/>
        </w:rPr>
        <w:t> </w:t>
      </w:r>
      <w:r>
        <w:rPr/>
        <w:t>can</w:t>
      </w:r>
      <w:r>
        <w:rPr>
          <w:spacing w:val="-1"/>
        </w:rPr>
        <w:t> </w:t>
      </w:r>
      <w:r>
        <w:rPr/>
        <w:t>benefit</w:t>
      </w:r>
      <w:r>
        <w:rPr>
          <w:spacing w:val="-1"/>
        </w:rPr>
        <w:t> </w:t>
      </w:r>
      <w:r>
        <w:rPr/>
        <w:t>from</w:t>
      </w:r>
      <w:r>
        <w:rPr>
          <w:spacing w:val="-2"/>
        </w:rPr>
        <w:t> </w:t>
      </w:r>
      <w:r>
        <w:rPr/>
        <w:t>policies</w:t>
      </w:r>
      <w:r>
        <w:rPr>
          <w:spacing w:val="-1"/>
        </w:rPr>
        <w:t> </w:t>
      </w:r>
      <w:r>
        <w:rPr/>
        <w:t>that</w:t>
      </w:r>
      <w:r>
        <w:rPr>
          <w:spacing w:val="-1"/>
        </w:rPr>
        <w:t> </w:t>
      </w:r>
      <w:r>
        <w:rPr/>
        <w:t>aim</w:t>
      </w:r>
      <w:r>
        <w:rPr>
          <w:spacing w:val="-1"/>
        </w:rPr>
        <w:t> </w:t>
      </w:r>
      <w:r>
        <w:rPr>
          <w:spacing w:val="-5"/>
        </w:rPr>
        <w:t>to:</w:t>
      </w:r>
    </w:p>
    <w:p>
      <w:pPr>
        <w:pStyle w:val="BodyText"/>
        <w:spacing w:before="115"/>
        <w:ind w:left="280" w:right="502"/>
      </w:pPr>
      <w:r>
        <w:rPr/>
        <w:t>End</w:t>
      </w:r>
      <w:r>
        <w:rPr>
          <w:spacing w:val="-5"/>
        </w:rPr>
        <w:t> </w:t>
      </w:r>
      <w:r>
        <w:rPr/>
        <w:t>harmful</w:t>
      </w:r>
      <w:r>
        <w:rPr>
          <w:spacing w:val="-5"/>
        </w:rPr>
        <w:t> </w:t>
      </w:r>
      <w:r>
        <w:rPr/>
        <w:t>and</w:t>
      </w:r>
      <w:r>
        <w:rPr>
          <w:spacing w:val="-5"/>
        </w:rPr>
        <w:t> </w:t>
      </w:r>
      <w:r>
        <w:rPr/>
        <w:t>ineffective</w:t>
      </w:r>
      <w:r>
        <w:rPr>
          <w:spacing w:val="-6"/>
        </w:rPr>
        <w:t> </w:t>
      </w:r>
      <w:r>
        <w:rPr/>
        <w:t>efforts</w:t>
      </w:r>
      <w:r>
        <w:rPr>
          <w:spacing w:val="-5"/>
        </w:rPr>
        <w:t> </w:t>
      </w:r>
      <w:r>
        <w:rPr/>
        <w:t>such</w:t>
      </w:r>
      <w:r>
        <w:rPr>
          <w:spacing w:val="-5"/>
        </w:rPr>
        <w:t> </w:t>
      </w:r>
      <w:r>
        <w:rPr/>
        <w:t>as</w:t>
      </w:r>
      <w:r>
        <w:rPr>
          <w:spacing w:val="-5"/>
        </w:rPr>
        <w:t> </w:t>
      </w:r>
      <w:r>
        <w:rPr/>
        <w:t>SOGI</w:t>
      </w:r>
      <w:r>
        <w:rPr>
          <w:spacing w:val="-5"/>
        </w:rPr>
        <w:t> </w:t>
      </w:r>
      <w:r>
        <w:rPr/>
        <w:t>change</w:t>
      </w:r>
      <w:r>
        <w:rPr>
          <w:spacing w:val="-6"/>
        </w:rPr>
        <w:t> </w:t>
      </w:r>
      <w:r>
        <w:rPr/>
        <w:t>efforts</w:t>
      </w:r>
      <w:r>
        <w:rPr>
          <w:spacing w:val="-5"/>
        </w:rPr>
        <w:t> </w:t>
      </w:r>
      <w:r>
        <w:rPr/>
        <w:t>and</w:t>
      </w:r>
      <w:r>
        <w:rPr>
          <w:spacing w:val="-5"/>
        </w:rPr>
        <w:t> </w:t>
      </w:r>
      <w:r>
        <w:rPr/>
        <w:t>ensure access to evidence-based care</w:t>
      </w:r>
    </w:p>
    <w:p>
      <w:pPr>
        <w:pStyle w:val="BodyText"/>
        <w:spacing w:line="237" w:lineRule="auto"/>
        <w:ind w:left="280"/>
      </w:pPr>
      <w:r>
        <w:rPr/>
        <w:t>Promote behavioral health through protective and antidiscrimination policies Improve</w:t>
      </w:r>
      <w:r>
        <w:rPr>
          <w:spacing w:val="-6"/>
        </w:rPr>
        <w:t> </w:t>
      </w:r>
      <w:r>
        <w:rPr/>
        <w:t>behavioral</w:t>
      </w:r>
      <w:r>
        <w:rPr>
          <w:spacing w:val="-5"/>
        </w:rPr>
        <w:t> </w:t>
      </w:r>
      <w:r>
        <w:rPr/>
        <w:t>health</w:t>
      </w:r>
      <w:r>
        <w:rPr>
          <w:spacing w:val="-5"/>
        </w:rPr>
        <w:t> </w:t>
      </w:r>
      <w:r>
        <w:rPr/>
        <w:t>through</w:t>
      </w:r>
      <w:r>
        <w:rPr>
          <w:spacing w:val="-5"/>
        </w:rPr>
        <w:t> </w:t>
      </w:r>
      <w:r>
        <w:rPr/>
        <w:t>facilitating</w:t>
      </w:r>
      <w:r>
        <w:rPr>
          <w:spacing w:val="-5"/>
        </w:rPr>
        <w:t> </w:t>
      </w:r>
      <w:r>
        <w:rPr/>
        <w:t>increased</w:t>
      </w:r>
      <w:r>
        <w:rPr>
          <w:spacing w:val="-5"/>
        </w:rPr>
        <w:t> </w:t>
      </w:r>
      <w:r>
        <w:rPr/>
        <w:t>support</w:t>
      </w:r>
      <w:r>
        <w:rPr>
          <w:spacing w:val="-5"/>
        </w:rPr>
        <w:t> </w:t>
      </w:r>
      <w:r>
        <w:rPr/>
        <w:t>from</w:t>
      </w:r>
      <w:r>
        <w:rPr>
          <w:spacing w:val="-5"/>
        </w:rPr>
        <w:t> </w:t>
      </w:r>
      <w:r>
        <w:rPr/>
        <w:t>families, schools, and communities</w:t>
      </w:r>
    </w:p>
    <w:p>
      <w:pPr>
        <w:pStyle w:val="BodyText"/>
        <w:ind w:left="280"/>
      </w:pPr>
      <w:r>
        <w:rPr/>
        <w:t>Conduct</w:t>
      </w:r>
      <w:r>
        <w:rPr>
          <w:spacing w:val="-4"/>
        </w:rPr>
        <w:t> </w:t>
      </w:r>
      <w:r>
        <w:rPr/>
        <w:t>research</w:t>
      </w:r>
      <w:r>
        <w:rPr>
          <w:spacing w:val="-4"/>
        </w:rPr>
        <w:t> </w:t>
      </w:r>
      <w:r>
        <w:rPr/>
        <w:t>that</w:t>
      </w:r>
      <w:r>
        <w:rPr>
          <w:spacing w:val="-4"/>
        </w:rPr>
        <w:t> </w:t>
      </w:r>
      <w:r>
        <w:rPr/>
        <w:t>increases</w:t>
      </w:r>
      <w:r>
        <w:rPr>
          <w:spacing w:val="-4"/>
        </w:rPr>
        <w:t> </w:t>
      </w:r>
      <w:r>
        <w:rPr/>
        <w:t>knowledge</w:t>
      </w:r>
      <w:r>
        <w:rPr>
          <w:spacing w:val="-5"/>
        </w:rPr>
        <w:t> </w:t>
      </w:r>
      <w:r>
        <w:rPr/>
        <w:t>of</w:t>
      </w:r>
      <w:r>
        <w:rPr>
          <w:spacing w:val="-4"/>
        </w:rPr>
        <w:t> </w:t>
      </w:r>
      <w:r>
        <w:rPr/>
        <w:t>health</w:t>
      </w:r>
      <w:r>
        <w:rPr>
          <w:spacing w:val="-4"/>
        </w:rPr>
        <w:t> </w:t>
      </w:r>
      <w:r>
        <w:rPr/>
        <w:t>inequities</w:t>
      </w:r>
      <w:r>
        <w:rPr>
          <w:spacing w:val="-4"/>
        </w:rPr>
        <w:t> </w:t>
      </w:r>
      <w:r>
        <w:rPr/>
        <w:t>with</w:t>
      </w:r>
      <w:r>
        <w:rPr>
          <w:spacing w:val="-4"/>
        </w:rPr>
        <w:t> </w:t>
      </w:r>
      <w:r>
        <w:rPr/>
        <w:t>the</w:t>
      </w:r>
      <w:r>
        <w:rPr>
          <w:spacing w:val="-5"/>
        </w:rPr>
        <w:t> </w:t>
      </w:r>
      <w:r>
        <w:rPr/>
        <w:t>goal</w:t>
      </w:r>
      <w:r>
        <w:rPr>
          <w:spacing w:val="-4"/>
        </w:rPr>
        <w:t> </w:t>
      </w:r>
      <w:r>
        <w:rPr/>
        <w:t>to improve care</w:t>
      </w:r>
    </w:p>
    <w:p>
      <w:pPr>
        <w:pStyle w:val="BodyText"/>
        <w:spacing w:before="5"/>
        <w:rPr>
          <w:sz w:val="27"/>
        </w:rPr>
      </w:pPr>
    </w:p>
    <w:p>
      <w:pPr>
        <w:pStyle w:val="BodyText"/>
        <w:ind w:left="280" w:right="502"/>
      </w:pPr>
      <w:r>
        <w:rPr/>
        <w:t>Given</w:t>
      </w:r>
      <w:r>
        <w:rPr>
          <w:spacing w:val="-5"/>
        </w:rPr>
        <w:t> </w:t>
      </w:r>
      <w:r>
        <w:rPr/>
        <w:t>that</w:t>
      </w:r>
      <w:r>
        <w:rPr>
          <w:spacing w:val="-5"/>
        </w:rPr>
        <w:t> </w:t>
      </w:r>
      <w:r>
        <w:rPr/>
        <w:t>SOGI</w:t>
      </w:r>
      <w:r>
        <w:rPr>
          <w:spacing w:val="-5"/>
        </w:rPr>
        <w:t> </w:t>
      </w:r>
      <w:r>
        <w:rPr/>
        <w:t>change</w:t>
      </w:r>
      <w:r>
        <w:rPr>
          <w:spacing w:val="-6"/>
        </w:rPr>
        <w:t> </w:t>
      </w:r>
      <w:r>
        <w:rPr/>
        <w:t>efforts</w:t>
      </w:r>
      <w:r>
        <w:rPr>
          <w:spacing w:val="-5"/>
        </w:rPr>
        <w:t> </w:t>
      </w:r>
      <w:r>
        <w:rPr/>
        <w:t>are</w:t>
      </w:r>
      <w:r>
        <w:rPr>
          <w:spacing w:val="-6"/>
        </w:rPr>
        <w:t> </w:t>
      </w:r>
      <w:r>
        <w:rPr/>
        <w:t>not</w:t>
      </w:r>
      <w:r>
        <w:rPr>
          <w:spacing w:val="-5"/>
        </w:rPr>
        <w:t> </w:t>
      </w:r>
      <w:r>
        <w:rPr/>
        <w:t>appropriate</w:t>
      </w:r>
      <w:r>
        <w:rPr>
          <w:spacing w:val="-6"/>
        </w:rPr>
        <w:t> </w:t>
      </w:r>
      <w:r>
        <w:rPr/>
        <w:t>therapeutic</w:t>
      </w:r>
      <w:r>
        <w:rPr>
          <w:spacing w:val="-6"/>
        </w:rPr>
        <w:t> </w:t>
      </w:r>
      <w:r>
        <w:rPr/>
        <w:t>interventions, and are in fact harmful, immediate efforts are required to end their practice.</w:t>
      </w:r>
    </w:p>
    <w:p>
      <w:pPr>
        <w:pStyle w:val="BodyText"/>
        <w:spacing w:line="318" w:lineRule="exact"/>
        <w:ind w:left="280"/>
      </w:pPr>
      <w:r>
        <w:rPr/>
        <w:t>Policy</w:t>
      </w:r>
      <w:r>
        <w:rPr>
          <w:spacing w:val="-5"/>
        </w:rPr>
        <w:t> </w:t>
      </w:r>
      <w:r>
        <w:rPr/>
        <w:t>efforts</w:t>
      </w:r>
      <w:r>
        <w:rPr>
          <w:spacing w:val="-2"/>
        </w:rPr>
        <w:t> </w:t>
      </w:r>
      <w:r>
        <w:rPr/>
        <w:t>to</w:t>
      </w:r>
      <w:r>
        <w:rPr>
          <w:spacing w:val="-3"/>
        </w:rPr>
        <w:t> </w:t>
      </w:r>
      <w:r>
        <w:rPr/>
        <w:t>end</w:t>
      </w:r>
      <w:r>
        <w:rPr>
          <w:spacing w:val="-2"/>
        </w:rPr>
        <w:t> </w:t>
      </w:r>
      <w:r>
        <w:rPr/>
        <w:t>SOGI</w:t>
      </w:r>
      <w:r>
        <w:rPr>
          <w:spacing w:val="-2"/>
        </w:rPr>
        <w:t> </w:t>
      </w:r>
      <w:r>
        <w:rPr/>
        <w:t>change</w:t>
      </w:r>
      <w:r>
        <w:rPr>
          <w:spacing w:val="-4"/>
        </w:rPr>
        <w:t> </w:t>
      </w:r>
      <w:r>
        <w:rPr/>
        <w:t>efforts</w:t>
      </w:r>
      <w:r>
        <w:rPr>
          <w:spacing w:val="-2"/>
        </w:rPr>
        <w:t> </w:t>
      </w:r>
      <w:r>
        <w:rPr/>
        <w:t>have</w:t>
      </w:r>
      <w:r>
        <w:rPr>
          <w:spacing w:val="-3"/>
        </w:rPr>
        <w:t> </w:t>
      </w:r>
      <w:r>
        <w:rPr>
          <w:spacing w:val="-2"/>
        </w:rPr>
        <w:t>included:</w:t>
      </w:r>
    </w:p>
    <w:p>
      <w:pPr>
        <w:pStyle w:val="ListParagraph"/>
        <w:numPr>
          <w:ilvl w:val="1"/>
          <w:numId w:val="25"/>
        </w:numPr>
        <w:tabs>
          <w:tab w:pos="1185" w:val="left" w:leader="none"/>
        </w:tabs>
        <w:spacing w:line="228" w:lineRule="auto" w:before="161" w:after="0"/>
        <w:ind w:left="1185" w:right="1435" w:hanging="426"/>
        <w:jc w:val="left"/>
        <w:rPr>
          <w:rFonts w:ascii="Segoe UI Symbol" w:hAnsi="Segoe UI Symbol"/>
          <w:sz w:val="28"/>
        </w:rPr>
      </w:pPr>
      <w:r>
        <w:rPr>
          <w:sz w:val="26"/>
        </w:rPr>
        <w:t>P</w:t>
      </w:r>
      <w:r>
        <w:rPr>
          <w:sz w:val="28"/>
        </w:rPr>
        <w:t>assing</w:t>
      </w:r>
      <w:r>
        <w:rPr>
          <w:spacing w:val="-5"/>
          <w:sz w:val="28"/>
        </w:rPr>
        <w:t> </w:t>
      </w:r>
      <w:r>
        <w:rPr>
          <w:sz w:val="28"/>
        </w:rPr>
        <w:t>state</w:t>
      </w:r>
      <w:r>
        <w:rPr>
          <w:spacing w:val="-6"/>
          <w:sz w:val="28"/>
        </w:rPr>
        <w:t> </w:t>
      </w:r>
      <w:r>
        <w:rPr>
          <w:sz w:val="28"/>
        </w:rPr>
        <w:t>legislation</w:t>
      </w:r>
      <w:r>
        <w:rPr>
          <w:spacing w:val="-5"/>
          <w:sz w:val="28"/>
        </w:rPr>
        <w:t> </w:t>
      </w:r>
      <w:r>
        <w:rPr>
          <w:sz w:val="28"/>
        </w:rPr>
        <w:t>to</w:t>
      </w:r>
      <w:r>
        <w:rPr>
          <w:spacing w:val="-5"/>
          <w:sz w:val="28"/>
        </w:rPr>
        <w:t> </w:t>
      </w:r>
      <w:r>
        <w:rPr>
          <w:sz w:val="28"/>
        </w:rPr>
        <w:t>ban</w:t>
      </w:r>
      <w:r>
        <w:rPr>
          <w:spacing w:val="-5"/>
          <w:sz w:val="28"/>
        </w:rPr>
        <w:t> </w:t>
      </w:r>
      <w:r>
        <w:rPr>
          <w:sz w:val="28"/>
        </w:rPr>
        <w:t>SOGI</w:t>
      </w:r>
      <w:r>
        <w:rPr>
          <w:spacing w:val="-5"/>
          <w:sz w:val="28"/>
        </w:rPr>
        <w:t> </w:t>
      </w:r>
      <w:r>
        <w:rPr>
          <w:sz w:val="28"/>
        </w:rPr>
        <w:t>change</w:t>
      </w:r>
      <w:r>
        <w:rPr>
          <w:spacing w:val="-6"/>
          <w:sz w:val="28"/>
        </w:rPr>
        <w:t> </w:t>
      </w:r>
      <w:r>
        <w:rPr>
          <w:sz w:val="28"/>
        </w:rPr>
        <w:t>efforts</w:t>
      </w:r>
      <w:r>
        <w:rPr>
          <w:spacing w:val="-5"/>
          <w:sz w:val="28"/>
        </w:rPr>
        <w:t> </w:t>
      </w:r>
      <w:r>
        <w:rPr>
          <w:sz w:val="28"/>
        </w:rPr>
        <w:t>or</w:t>
      </w:r>
      <w:r>
        <w:rPr>
          <w:spacing w:val="-5"/>
          <w:sz w:val="28"/>
        </w:rPr>
        <w:t> </w:t>
      </w:r>
      <w:r>
        <w:rPr>
          <w:sz w:val="28"/>
        </w:rPr>
        <w:t>provide supportive resources</w:t>
      </w:r>
    </w:p>
    <w:p>
      <w:pPr>
        <w:pStyle w:val="ListParagraph"/>
        <w:numPr>
          <w:ilvl w:val="1"/>
          <w:numId w:val="25"/>
        </w:numPr>
        <w:tabs>
          <w:tab w:pos="1183" w:val="left" w:leader="none"/>
          <w:tab w:pos="1185" w:val="left" w:leader="none"/>
        </w:tabs>
        <w:spacing w:line="225" w:lineRule="auto" w:before="45" w:after="0"/>
        <w:ind w:left="1185" w:right="709" w:hanging="426"/>
        <w:jc w:val="left"/>
        <w:rPr>
          <w:rFonts w:ascii="Segoe UI Symbol" w:hAnsi="Segoe UI Symbol"/>
          <w:sz w:val="30"/>
        </w:rPr>
      </w:pPr>
      <w:r>
        <w:rPr>
          <w:sz w:val="28"/>
        </w:rPr>
        <w:t>Introducing</w:t>
      </w:r>
      <w:r>
        <w:rPr>
          <w:spacing w:val="-5"/>
          <w:sz w:val="28"/>
        </w:rPr>
        <w:t> </w:t>
      </w:r>
      <w:r>
        <w:rPr>
          <w:sz w:val="28"/>
        </w:rPr>
        <w:t>federal</w:t>
      </w:r>
      <w:r>
        <w:rPr>
          <w:spacing w:val="-5"/>
          <w:sz w:val="28"/>
        </w:rPr>
        <w:t> </w:t>
      </w:r>
      <w:r>
        <w:rPr>
          <w:sz w:val="28"/>
        </w:rPr>
        <w:t>legislation</w:t>
      </w:r>
      <w:r>
        <w:rPr>
          <w:spacing w:val="-5"/>
          <w:sz w:val="28"/>
        </w:rPr>
        <w:t> </w:t>
      </w:r>
      <w:r>
        <w:rPr>
          <w:sz w:val="28"/>
        </w:rPr>
        <w:t>to</w:t>
      </w:r>
      <w:r>
        <w:rPr>
          <w:spacing w:val="-5"/>
          <w:sz w:val="28"/>
        </w:rPr>
        <w:t> </w:t>
      </w:r>
      <w:r>
        <w:rPr>
          <w:sz w:val="28"/>
        </w:rPr>
        <w:t>ban</w:t>
      </w:r>
      <w:r>
        <w:rPr>
          <w:spacing w:val="-5"/>
          <w:sz w:val="28"/>
        </w:rPr>
        <w:t> </w:t>
      </w:r>
      <w:r>
        <w:rPr>
          <w:sz w:val="28"/>
        </w:rPr>
        <w:t>SOGI</w:t>
      </w:r>
      <w:r>
        <w:rPr>
          <w:spacing w:val="-5"/>
          <w:sz w:val="28"/>
        </w:rPr>
        <w:t> </w:t>
      </w:r>
      <w:r>
        <w:rPr>
          <w:sz w:val="28"/>
        </w:rPr>
        <w:t>change</w:t>
      </w:r>
      <w:r>
        <w:rPr>
          <w:spacing w:val="-6"/>
          <w:sz w:val="28"/>
        </w:rPr>
        <w:t> </w:t>
      </w:r>
      <w:r>
        <w:rPr>
          <w:sz w:val="28"/>
        </w:rPr>
        <w:t>efforts</w:t>
      </w:r>
      <w:r>
        <w:rPr>
          <w:spacing w:val="-5"/>
          <w:sz w:val="28"/>
        </w:rPr>
        <w:t> </w:t>
      </w:r>
      <w:r>
        <w:rPr>
          <w:sz w:val="28"/>
        </w:rPr>
        <w:t>or</w:t>
      </w:r>
      <w:r>
        <w:rPr>
          <w:spacing w:val="-5"/>
          <w:sz w:val="28"/>
        </w:rPr>
        <w:t> </w:t>
      </w:r>
      <w:r>
        <w:rPr>
          <w:sz w:val="28"/>
        </w:rPr>
        <w:t>provide supportive resources</w:t>
      </w:r>
    </w:p>
    <w:p>
      <w:pPr>
        <w:pStyle w:val="ListParagraph"/>
        <w:numPr>
          <w:ilvl w:val="1"/>
          <w:numId w:val="25"/>
        </w:numPr>
        <w:tabs>
          <w:tab w:pos="1183" w:val="left" w:leader="none"/>
          <w:tab w:pos="1185" w:val="left" w:leader="none"/>
        </w:tabs>
        <w:spacing w:line="225" w:lineRule="auto" w:before="45" w:after="0"/>
        <w:ind w:left="1185" w:right="680" w:hanging="426"/>
        <w:jc w:val="left"/>
        <w:rPr>
          <w:rFonts w:ascii="Segoe UI Symbol" w:hAnsi="Segoe UI Symbol"/>
          <w:sz w:val="30"/>
        </w:rPr>
      </w:pPr>
      <w:r>
        <w:rPr>
          <w:sz w:val="28"/>
        </w:rPr>
        <w:t>Banning</w:t>
      </w:r>
      <w:r>
        <w:rPr>
          <w:spacing w:val="-5"/>
          <w:sz w:val="28"/>
        </w:rPr>
        <w:t> </w:t>
      </w:r>
      <w:r>
        <w:rPr>
          <w:sz w:val="28"/>
        </w:rPr>
        <w:t>licensed</w:t>
      </w:r>
      <w:r>
        <w:rPr>
          <w:spacing w:val="-5"/>
          <w:sz w:val="28"/>
        </w:rPr>
        <w:t> </w:t>
      </w:r>
      <w:r>
        <w:rPr>
          <w:sz w:val="28"/>
        </w:rPr>
        <w:t>behavioral</w:t>
      </w:r>
      <w:r>
        <w:rPr>
          <w:spacing w:val="-5"/>
          <w:sz w:val="28"/>
        </w:rPr>
        <w:t> </w:t>
      </w:r>
      <w:r>
        <w:rPr>
          <w:sz w:val="28"/>
        </w:rPr>
        <w:t>health</w:t>
      </w:r>
      <w:r>
        <w:rPr>
          <w:spacing w:val="-5"/>
          <w:sz w:val="28"/>
        </w:rPr>
        <w:t> </w:t>
      </w:r>
      <w:r>
        <w:rPr>
          <w:sz w:val="28"/>
        </w:rPr>
        <w:t>providers</w:t>
      </w:r>
      <w:r>
        <w:rPr>
          <w:spacing w:val="-5"/>
          <w:sz w:val="28"/>
        </w:rPr>
        <w:t> </w:t>
      </w:r>
      <w:r>
        <w:rPr>
          <w:sz w:val="28"/>
        </w:rPr>
        <w:t>from</w:t>
      </w:r>
      <w:r>
        <w:rPr>
          <w:spacing w:val="-5"/>
          <w:sz w:val="28"/>
        </w:rPr>
        <w:t> </w:t>
      </w:r>
      <w:r>
        <w:rPr>
          <w:sz w:val="28"/>
        </w:rPr>
        <w:t>engaging</w:t>
      </w:r>
      <w:r>
        <w:rPr>
          <w:spacing w:val="-5"/>
          <w:sz w:val="28"/>
        </w:rPr>
        <w:t> </w:t>
      </w:r>
      <w:r>
        <w:rPr>
          <w:sz w:val="28"/>
        </w:rPr>
        <w:t>in</w:t>
      </w:r>
      <w:r>
        <w:rPr>
          <w:spacing w:val="-5"/>
          <w:sz w:val="28"/>
        </w:rPr>
        <w:t> </w:t>
      </w:r>
      <w:r>
        <w:rPr>
          <w:sz w:val="28"/>
        </w:rPr>
        <w:t>SOGI change efforts</w:t>
      </w:r>
    </w:p>
    <w:p>
      <w:pPr>
        <w:pStyle w:val="ListParagraph"/>
        <w:numPr>
          <w:ilvl w:val="1"/>
          <w:numId w:val="25"/>
        </w:numPr>
        <w:tabs>
          <w:tab w:pos="1183" w:val="left" w:leader="none"/>
          <w:tab w:pos="1185" w:val="left" w:leader="none"/>
        </w:tabs>
        <w:spacing w:line="225" w:lineRule="auto" w:before="46" w:after="0"/>
        <w:ind w:left="1185" w:right="790" w:hanging="426"/>
        <w:jc w:val="left"/>
        <w:rPr>
          <w:rFonts w:ascii="Segoe UI Symbol" w:hAnsi="Segoe UI Symbol"/>
          <w:sz w:val="30"/>
        </w:rPr>
      </w:pPr>
      <w:r>
        <w:rPr>
          <w:sz w:val="28"/>
        </w:rPr>
        <w:t>Restricting</w:t>
      </w:r>
      <w:r>
        <w:rPr>
          <w:spacing w:val="-4"/>
          <w:sz w:val="28"/>
        </w:rPr>
        <w:t> </w:t>
      </w:r>
      <w:r>
        <w:rPr>
          <w:sz w:val="28"/>
        </w:rPr>
        <w:t>use</w:t>
      </w:r>
      <w:r>
        <w:rPr>
          <w:spacing w:val="-5"/>
          <w:sz w:val="28"/>
        </w:rPr>
        <w:t> </w:t>
      </w:r>
      <w:r>
        <w:rPr>
          <w:sz w:val="28"/>
        </w:rPr>
        <w:t>of</w:t>
      </w:r>
      <w:r>
        <w:rPr>
          <w:spacing w:val="-4"/>
          <w:sz w:val="28"/>
        </w:rPr>
        <w:t> </w:t>
      </w:r>
      <w:r>
        <w:rPr>
          <w:sz w:val="28"/>
        </w:rPr>
        <w:t>state</w:t>
      </w:r>
      <w:r>
        <w:rPr>
          <w:spacing w:val="-5"/>
          <w:sz w:val="28"/>
        </w:rPr>
        <w:t> </w:t>
      </w:r>
      <w:r>
        <w:rPr>
          <w:sz w:val="28"/>
        </w:rPr>
        <w:t>funds</w:t>
      </w:r>
      <w:r>
        <w:rPr>
          <w:spacing w:val="-4"/>
          <w:sz w:val="28"/>
        </w:rPr>
        <w:t> </w:t>
      </w:r>
      <w:r>
        <w:rPr>
          <w:sz w:val="28"/>
        </w:rPr>
        <w:t>and</w:t>
      </w:r>
      <w:r>
        <w:rPr>
          <w:spacing w:val="-4"/>
          <w:sz w:val="28"/>
        </w:rPr>
        <w:t> </w:t>
      </w:r>
      <w:r>
        <w:rPr>
          <w:sz w:val="28"/>
        </w:rPr>
        <w:t>proposing</w:t>
      </w:r>
      <w:r>
        <w:rPr>
          <w:spacing w:val="-4"/>
          <w:sz w:val="28"/>
        </w:rPr>
        <w:t> </w:t>
      </w:r>
      <w:r>
        <w:rPr>
          <w:sz w:val="28"/>
        </w:rPr>
        <w:t>the</w:t>
      </w:r>
      <w:r>
        <w:rPr>
          <w:spacing w:val="-5"/>
          <w:sz w:val="28"/>
        </w:rPr>
        <w:t> </w:t>
      </w:r>
      <w:r>
        <w:rPr>
          <w:sz w:val="28"/>
        </w:rPr>
        <w:t>restriction</w:t>
      </w:r>
      <w:r>
        <w:rPr>
          <w:spacing w:val="-4"/>
          <w:sz w:val="28"/>
        </w:rPr>
        <w:t> </w:t>
      </w:r>
      <w:r>
        <w:rPr>
          <w:sz w:val="28"/>
        </w:rPr>
        <w:t>of</w:t>
      </w:r>
      <w:r>
        <w:rPr>
          <w:spacing w:val="-4"/>
          <w:sz w:val="28"/>
        </w:rPr>
        <w:t> </w:t>
      </w:r>
      <w:r>
        <w:rPr>
          <w:sz w:val="28"/>
        </w:rPr>
        <w:t>federal funds for these efforts</w:t>
      </w:r>
    </w:p>
    <w:p>
      <w:pPr>
        <w:pStyle w:val="ListParagraph"/>
        <w:numPr>
          <w:ilvl w:val="1"/>
          <w:numId w:val="25"/>
        </w:numPr>
        <w:tabs>
          <w:tab w:pos="1184" w:val="left" w:leader="none"/>
        </w:tabs>
        <w:spacing w:line="240" w:lineRule="auto" w:before="25" w:after="0"/>
        <w:ind w:left="1184" w:right="0" w:hanging="424"/>
        <w:jc w:val="left"/>
        <w:rPr>
          <w:rFonts w:ascii="Segoe UI Symbol" w:hAnsi="Segoe UI Symbol"/>
          <w:sz w:val="30"/>
        </w:rPr>
      </w:pPr>
      <w:r>
        <w:rPr>
          <w:sz w:val="28"/>
        </w:rPr>
        <w:t>Defining</w:t>
      </w:r>
      <w:r>
        <w:rPr>
          <w:spacing w:val="-5"/>
          <w:sz w:val="28"/>
        </w:rPr>
        <w:t> </w:t>
      </w:r>
      <w:r>
        <w:rPr>
          <w:sz w:val="28"/>
        </w:rPr>
        <w:t>SOGI</w:t>
      </w:r>
      <w:r>
        <w:rPr>
          <w:spacing w:val="-3"/>
          <w:sz w:val="28"/>
        </w:rPr>
        <w:t> </w:t>
      </w:r>
      <w:r>
        <w:rPr>
          <w:sz w:val="28"/>
        </w:rPr>
        <w:t>change</w:t>
      </w:r>
      <w:r>
        <w:rPr>
          <w:spacing w:val="-3"/>
          <w:sz w:val="28"/>
        </w:rPr>
        <w:t> </w:t>
      </w:r>
      <w:r>
        <w:rPr>
          <w:sz w:val="28"/>
        </w:rPr>
        <w:t>efforts</w:t>
      </w:r>
      <w:r>
        <w:rPr>
          <w:spacing w:val="-2"/>
          <w:sz w:val="28"/>
        </w:rPr>
        <w:t> </w:t>
      </w:r>
      <w:r>
        <w:rPr>
          <w:sz w:val="28"/>
        </w:rPr>
        <w:t>as</w:t>
      </w:r>
      <w:r>
        <w:rPr>
          <w:spacing w:val="-3"/>
          <w:sz w:val="28"/>
        </w:rPr>
        <w:t> </w:t>
      </w:r>
      <w:r>
        <w:rPr>
          <w:sz w:val="28"/>
        </w:rPr>
        <w:t>consumer</w:t>
      </w:r>
      <w:r>
        <w:rPr>
          <w:spacing w:val="-2"/>
          <w:sz w:val="28"/>
        </w:rPr>
        <w:t> fraud</w:t>
      </w:r>
    </w:p>
    <w:p>
      <w:pPr>
        <w:spacing w:after="0" w:line="240" w:lineRule="auto"/>
        <w:jc w:val="left"/>
        <w:rPr>
          <w:rFonts w:ascii="Segoe UI Symbol" w:hAnsi="Segoe UI Symbol"/>
          <w:sz w:val="30"/>
        </w:rPr>
        <w:sectPr>
          <w:pgSz w:w="12240" w:h="15840"/>
          <w:pgMar w:header="0" w:footer="783" w:top="1260" w:bottom="980" w:left="1400" w:right="1180"/>
        </w:sectPr>
      </w:pPr>
    </w:p>
    <w:p>
      <w:pPr>
        <w:pStyle w:val="BodyText"/>
        <w:spacing w:before="66"/>
        <w:ind w:left="280" w:right="518"/>
      </w:pPr>
      <w:r>
        <w:rPr/>
        <w:t>Efforts to improve understanding among behavioral health providers and other stakeholders</w:t>
      </w:r>
      <w:r>
        <w:rPr>
          <w:spacing w:val="-4"/>
        </w:rPr>
        <w:t> </w:t>
      </w:r>
      <w:r>
        <w:rPr/>
        <w:t>of</w:t>
      </w:r>
      <w:r>
        <w:rPr>
          <w:spacing w:val="-4"/>
        </w:rPr>
        <w:t> </w:t>
      </w:r>
      <w:r>
        <w:rPr/>
        <w:t>the</w:t>
      </w:r>
      <w:r>
        <w:rPr>
          <w:spacing w:val="-5"/>
        </w:rPr>
        <w:t> </w:t>
      </w:r>
      <w:r>
        <w:rPr/>
        <w:t>harms</w:t>
      </w:r>
      <w:r>
        <w:rPr>
          <w:spacing w:val="-4"/>
        </w:rPr>
        <w:t> </w:t>
      </w:r>
      <w:r>
        <w:rPr/>
        <w:t>of</w:t>
      </w:r>
      <w:r>
        <w:rPr>
          <w:spacing w:val="-4"/>
        </w:rPr>
        <w:t> </w:t>
      </w:r>
      <w:r>
        <w:rPr/>
        <w:t>SOGI</w:t>
      </w:r>
      <w:r>
        <w:rPr>
          <w:spacing w:val="-4"/>
        </w:rPr>
        <w:t> </w:t>
      </w:r>
      <w:r>
        <w:rPr/>
        <w:t>change</w:t>
      </w:r>
      <w:r>
        <w:rPr>
          <w:spacing w:val="-5"/>
        </w:rPr>
        <w:t> </w:t>
      </w:r>
      <w:r>
        <w:rPr/>
        <w:t>efforts</w:t>
      </w:r>
      <w:r>
        <w:rPr>
          <w:spacing w:val="-4"/>
        </w:rPr>
        <w:t> </w:t>
      </w:r>
      <w:r>
        <w:rPr/>
        <w:t>and</w:t>
      </w:r>
      <w:r>
        <w:rPr>
          <w:spacing w:val="-4"/>
        </w:rPr>
        <w:t> </w:t>
      </w:r>
      <w:r>
        <w:rPr/>
        <w:t>the</w:t>
      </w:r>
      <w:r>
        <w:rPr>
          <w:spacing w:val="-5"/>
        </w:rPr>
        <w:t> </w:t>
      </w:r>
      <w:r>
        <w:rPr/>
        <w:t>benefits</w:t>
      </w:r>
      <w:r>
        <w:rPr>
          <w:spacing w:val="-4"/>
        </w:rPr>
        <w:t> </w:t>
      </w:r>
      <w:r>
        <w:rPr/>
        <w:t>of</w:t>
      </w:r>
      <w:r>
        <w:rPr>
          <w:spacing w:val="-4"/>
        </w:rPr>
        <w:t> </w:t>
      </w:r>
      <w:r>
        <w:rPr/>
        <w:t>evidence- based care are essential. Other policy efforts can expand access to LGBTQI+ evidence-based</w:t>
      </w:r>
      <w:r>
        <w:rPr>
          <w:spacing w:val="-2"/>
        </w:rPr>
        <w:t> </w:t>
      </w:r>
      <w:r>
        <w:rPr/>
        <w:t>care</w:t>
      </w:r>
      <w:r>
        <w:rPr>
          <w:spacing w:val="-3"/>
        </w:rPr>
        <w:t> </w:t>
      </w:r>
      <w:r>
        <w:rPr/>
        <w:t>through</w:t>
      </w:r>
      <w:r>
        <w:rPr>
          <w:spacing w:val="-2"/>
        </w:rPr>
        <w:t> </w:t>
      </w:r>
      <w:r>
        <w:rPr/>
        <w:t>reforming</w:t>
      </w:r>
      <w:r>
        <w:rPr>
          <w:spacing w:val="-2"/>
        </w:rPr>
        <w:t> </w:t>
      </w:r>
      <w:r>
        <w:rPr/>
        <w:t>insurance</w:t>
      </w:r>
      <w:r>
        <w:rPr>
          <w:spacing w:val="-3"/>
        </w:rPr>
        <w:t> </w:t>
      </w:r>
      <w:r>
        <w:rPr/>
        <w:t>and</w:t>
      </w:r>
      <w:r>
        <w:rPr>
          <w:spacing w:val="-2"/>
        </w:rPr>
        <w:t> </w:t>
      </w:r>
      <w:r>
        <w:rPr/>
        <w:t>health</w:t>
      </w:r>
      <w:r>
        <w:rPr>
          <w:spacing w:val="-2"/>
        </w:rPr>
        <w:t> </w:t>
      </w:r>
      <w:r>
        <w:rPr/>
        <w:t>services,</w:t>
      </w:r>
      <w:r>
        <w:rPr>
          <w:spacing w:val="-2"/>
        </w:rPr>
        <w:t> </w:t>
      </w:r>
      <w:r>
        <w:rPr/>
        <w:t>ensuring nondiscrimination in health services programs, and increasing behavioral health and medical professional training in appropriate treatments.</w:t>
      </w:r>
    </w:p>
    <w:p>
      <w:pPr>
        <w:pStyle w:val="BodyText"/>
        <w:spacing w:before="9"/>
        <w:rPr>
          <w:sz w:val="26"/>
        </w:rPr>
      </w:pPr>
    </w:p>
    <w:p>
      <w:pPr>
        <w:pStyle w:val="BodyText"/>
        <w:ind w:left="280" w:right="502"/>
      </w:pPr>
      <w:r>
        <w:rPr/>
        <w:t>Policies can improve behavioral health and reduce health risks in this population</w:t>
      </w:r>
      <w:r>
        <w:rPr>
          <w:spacing w:val="-5"/>
        </w:rPr>
        <w:t> </w:t>
      </w:r>
      <w:r>
        <w:rPr/>
        <w:t>by</w:t>
      </w:r>
      <w:r>
        <w:rPr>
          <w:spacing w:val="-5"/>
        </w:rPr>
        <w:t> </w:t>
      </w:r>
      <w:r>
        <w:rPr/>
        <w:t>ensuring</w:t>
      </w:r>
      <w:r>
        <w:rPr>
          <w:spacing w:val="-5"/>
        </w:rPr>
        <w:t> </w:t>
      </w:r>
      <w:r>
        <w:rPr/>
        <w:t>protection</w:t>
      </w:r>
      <w:r>
        <w:rPr>
          <w:spacing w:val="-5"/>
        </w:rPr>
        <w:t> </w:t>
      </w:r>
      <w:r>
        <w:rPr/>
        <w:t>from</w:t>
      </w:r>
      <w:r>
        <w:rPr>
          <w:spacing w:val="-5"/>
        </w:rPr>
        <w:t> </w:t>
      </w:r>
      <w:r>
        <w:rPr/>
        <w:t>discrimination,</w:t>
      </w:r>
      <w:r>
        <w:rPr>
          <w:spacing w:val="-5"/>
        </w:rPr>
        <w:t> </w:t>
      </w:r>
      <w:r>
        <w:rPr/>
        <w:t>exclusion,</w:t>
      </w:r>
      <w:r>
        <w:rPr>
          <w:spacing w:val="-5"/>
        </w:rPr>
        <w:t> </w:t>
      </w:r>
      <w:r>
        <w:rPr/>
        <w:t>and</w:t>
      </w:r>
      <w:r>
        <w:rPr>
          <w:spacing w:val="-5"/>
        </w:rPr>
        <w:t> </w:t>
      </w:r>
      <w:r>
        <w:rPr/>
        <w:t>violence in schools and communities, and by expanding civil rights for LGBTQI+ individuals and families. Reducing stigma directed at LGBTQI+ individuals and families through affirmative public information that is respectful of families and youth from diverse religious, cultural, socioeconomic, and racial/ ethnic backgrounds is important and consistent with professional ethical guidelines and standards of care. Supporting research to continue the development of evidence-based behavioral interventions for LGBTQI+ youth</w:t>
      </w:r>
    </w:p>
    <w:p>
      <w:pPr>
        <w:pStyle w:val="BodyText"/>
        <w:spacing w:line="303" w:lineRule="exact"/>
        <w:ind w:left="280"/>
      </w:pPr>
      <w:r>
        <w:rPr/>
        <w:t>—</w:t>
      </w:r>
      <w:r>
        <w:rPr>
          <w:spacing w:val="-5"/>
        </w:rPr>
        <w:t> </w:t>
      </w:r>
      <w:r>
        <w:rPr/>
        <w:t>especially</w:t>
      </w:r>
      <w:r>
        <w:rPr>
          <w:spacing w:val="-2"/>
        </w:rPr>
        <w:t> </w:t>
      </w:r>
      <w:r>
        <w:rPr/>
        <w:t>those</w:t>
      </w:r>
      <w:r>
        <w:rPr>
          <w:spacing w:val="-3"/>
        </w:rPr>
        <w:t> </w:t>
      </w:r>
      <w:r>
        <w:rPr/>
        <w:t>from</w:t>
      </w:r>
      <w:r>
        <w:rPr>
          <w:spacing w:val="-2"/>
        </w:rPr>
        <w:t> </w:t>
      </w:r>
      <w:r>
        <w:rPr/>
        <w:t>diverse</w:t>
      </w:r>
      <w:r>
        <w:rPr>
          <w:spacing w:val="-3"/>
        </w:rPr>
        <w:t> </w:t>
      </w:r>
      <w:r>
        <w:rPr/>
        <w:t>backgrounds—will</w:t>
      </w:r>
      <w:r>
        <w:rPr>
          <w:spacing w:val="-2"/>
        </w:rPr>
        <w:t> </w:t>
      </w:r>
      <w:r>
        <w:rPr/>
        <w:t>contribute</w:t>
      </w:r>
      <w:r>
        <w:rPr>
          <w:spacing w:val="-3"/>
        </w:rPr>
        <w:t> </w:t>
      </w:r>
      <w:r>
        <w:rPr/>
        <w:t>to</w:t>
      </w:r>
      <w:r>
        <w:rPr>
          <w:spacing w:val="-2"/>
        </w:rPr>
        <w:t> </w:t>
      </w:r>
      <w:r>
        <w:rPr/>
        <w:t>the</w:t>
      </w:r>
      <w:r>
        <w:rPr>
          <w:spacing w:val="-3"/>
        </w:rPr>
        <w:t> </w:t>
      </w:r>
      <w:r>
        <w:rPr>
          <w:spacing w:val="-2"/>
        </w:rPr>
        <w:t>overall</w:t>
      </w:r>
    </w:p>
    <w:p>
      <w:pPr>
        <w:pStyle w:val="BodyText"/>
        <w:spacing w:line="321" w:lineRule="exact"/>
        <w:ind w:left="280"/>
      </w:pPr>
      <w:r>
        <w:rPr/>
        <w:t>health</w:t>
      </w:r>
      <w:r>
        <w:rPr>
          <w:spacing w:val="-1"/>
        </w:rPr>
        <w:t> </w:t>
      </w:r>
      <w:r>
        <w:rPr/>
        <w:t>and</w:t>
      </w:r>
      <w:r>
        <w:rPr>
          <w:spacing w:val="-1"/>
        </w:rPr>
        <w:t> </w:t>
      </w:r>
      <w:r>
        <w:rPr/>
        <w:t>well-being</w:t>
      </w:r>
      <w:r>
        <w:rPr>
          <w:spacing w:val="-1"/>
        </w:rPr>
        <w:t> </w:t>
      </w:r>
      <w:r>
        <w:rPr/>
        <w:t>of</w:t>
      </w:r>
      <w:r>
        <w:rPr>
          <w:spacing w:val="-1"/>
        </w:rPr>
        <w:t> </w:t>
      </w:r>
      <w:r>
        <w:rPr/>
        <w:t>this</w:t>
      </w:r>
      <w:r>
        <w:rPr>
          <w:spacing w:val="-1"/>
        </w:rPr>
        <w:t> </w:t>
      </w:r>
      <w:r>
        <w:rPr>
          <w:spacing w:val="-2"/>
        </w:rPr>
        <w:t>community.</w:t>
      </w:r>
    </w:p>
    <w:p>
      <w:pPr>
        <w:pStyle w:val="BodyText"/>
        <w:spacing w:before="7"/>
        <w:rPr>
          <w:sz w:val="27"/>
        </w:rPr>
      </w:pPr>
    </w:p>
    <w:p>
      <w:pPr>
        <w:pStyle w:val="Heading3"/>
        <w:spacing w:before="1"/>
        <w:rPr>
          <w:i/>
        </w:rPr>
      </w:pPr>
      <w:r>
        <w:rPr>
          <w:i/>
        </w:rPr>
        <w:t>Guiding</w:t>
      </w:r>
      <w:r>
        <w:rPr>
          <w:i/>
          <w:spacing w:val="-4"/>
        </w:rPr>
        <w:t> </w:t>
      </w:r>
      <w:r>
        <w:rPr>
          <w:i/>
        </w:rPr>
        <w:t>Principles</w:t>
      </w:r>
      <w:r>
        <w:rPr>
          <w:i/>
          <w:spacing w:val="-2"/>
        </w:rPr>
        <w:t> </w:t>
      </w:r>
      <w:r>
        <w:rPr>
          <w:i/>
        </w:rPr>
        <w:t>for</w:t>
      </w:r>
      <w:r>
        <w:rPr>
          <w:i/>
          <w:spacing w:val="-2"/>
        </w:rPr>
        <w:t> </w:t>
      </w:r>
      <w:r>
        <w:rPr>
          <w:i/>
        </w:rPr>
        <w:t>Behavioral</w:t>
      </w:r>
      <w:r>
        <w:rPr>
          <w:i/>
          <w:spacing w:val="-2"/>
        </w:rPr>
        <w:t> </w:t>
      </w:r>
      <w:r>
        <w:rPr>
          <w:i/>
        </w:rPr>
        <w:t>Health</w:t>
      </w:r>
      <w:r>
        <w:rPr>
          <w:i/>
          <w:spacing w:val="-1"/>
        </w:rPr>
        <w:t> </w:t>
      </w:r>
      <w:r>
        <w:rPr>
          <w:i/>
          <w:spacing w:val="-2"/>
        </w:rPr>
        <w:t>Providers</w:t>
      </w:r>
    </w:p>
    <w:p>
      <w:pPr>
        <w:pStyle w:val="BodyText"/>
        <w:spacing w:before="125"/>
        <w:ind w:left="280" w:right="604"/>
      </w:pPr>
      <w:r>
        <w:rPr/>
        <w:t>The Panel updated a statement regarding the guiding human rights and scientific</w:t>
      </w:r>
      <w:r>
        <w:rPr>
          <w:spacing w:val="-5"/>
        </w:rPr>
        <w:t> </w:t>
      </w:r>
      <w:r>
        <w:rPr/>
        <w:t>principles</w:t>
      </w:r>
      <w:r>
        <w:rPr>
          <w:spacing w:val="-4"/>
        </w:rPr>
        <w:t> </w:t>
      </w:r>
      <w:r>
        <w:rPr/>
        <w:t>that</w:t>
      </w:r>
      <w:r>
        <w:rPr>
          <w:spacing w:val="-4"/>
        </w:rPr>
        <w:t> </w:t>
      </w:r>
      <w:r>
        <w:rPr/>
        <w:t>provide</w:t>
      </w:r>
      <w:r>
        <w:rPr>
          <w:spacing w:val="-5"/>
        </w:rPr>
        <w:t> </w:t>
      </w:r>
      <w:r>
        <w:rPr/>
        <w:t>a</w:t>
      </w:r>
      <w:r>
        <w:rPr>
          <w:spacing w:val="-5"/>
        </w:rPr>
        <w:t> </w:t>
      </w:r>
      <w:r>
        <w:rPr/>
        <w:t>foundation</w:t>
      </w:r>
      <w:r>
        <w:rPr>
          <w:spacing w:val="-4"/>
        </w:rPr>
        <w:t> </w:t>
      </w:r>
      <w:r>
        <w:rPr/>
        <w:t>for</w:t>
      </w:r>
      <w:r>
        <w:rPr>
          <w:spacing w:val="-4"/>
        </w:rPr>
        <w:t> </w:t>
      </w:r>
      <w:r>
        <w:rPr/>
        <w:t>behavioral</w:t>
      </w:r>
      <w:r>
        <w:rPr>
          <w:spacing w:val="-4"/>
        </w:rPr>
        <w:t> </w:t>
      </w:r>
      <w:r>
        <w:rPr/>
        <w:t>health</w:t>
      </w:r>
      <w:r>
        <w:rPr>
          <w:spacing w:val="-4"/>
        </w:rPr>
        <w:t> </w:t>
      </w:r>
      <w:r>
        <w:rPr/>
        <w:t>providers working</w:t>
      </w:r>
      <w:r>
        <w:rPr>
          <w:spacing w:val="-1"/>
        </w:rPr>
        <w:t> </w:t>
      </w:r>
      <w:r>
        <w:rPr/>
        <w:t>with</w:t>
      </w:r>
      <w:r>
        <w:rPr>
          <w:spacing w:val="-1"/>
        </w:rPr>
        <w:t> </w:t>
      </w:r>
      <w:r>
        <w:rPr/>
        <w:t>this</w:t>
      </w:r>
      <w:r>
        <w:rPr>
          <w:spacing w:val="-1"/>
        </w:rPr>
        <w:t> </w:t>
      </w:r>
      <w:r>
        <w:rPr/>
        <w:t>population.</w:t>
      </w:r>
      <w:r>
        <w:rPr>
          <w:spacing w:val="-7"/>
        </w:rPr>
        <w:t> </w:t>
      </w:r>
      <w:r>
        <w:rPr/>
        <w:t>They</w:t>
      </w:r>
      <w:r>
        <w:rPr>
          <w:spacing w:val="-1"/>
        </w:rPr>
        <w:t> </w:t>
      </w:r>
      <w:r>
        <w:rPr/>
        <w:t>are</w:t>
      </w:r>
      <w:r>
        <w:rPr>
          <w:spacing w:val="-2"/>
        </w:rPr>
        <w:t> </w:t>
      </w:r>
      <w:r>
        <w:rPr/>
        <w:t>based</w:t>
      </w:r>
      <w:r>
        <w:rPr>
          <w:spacing w:val="-1"/>
        </w:rPr>
        <w:t> </w:t>
      </w:r>
      <w:r>
        <w:rPr/>
        <w:t>on</w:t>
      </w:r>
      <w:r>
        <w:rPr>
          <w:spacing w:val="-1"/>
        </w:rPr>
        <w:t> </w:t>
      </w:r>
      <w:r>
        <w:rPr/>
        <w:t>codes</w:t>
      </w:r>
      <w:r>
        <w:rPr>
          <w:spacing w:val="-1"/>
        </w:rPr>
        <w:t> </w:t>
      </w:r>
      <w:r>
        <w:rPr/>
        <w:t>of</w:t>
      </w:r>
      <w:r>
        <w:rPr>
          <w:spacing w:val="-1"/>
        </w:rPr>
        <w:t> </w:t>
      </w:r>
      <w:r>
        <w:rPr/>
        <w:t>professional</w:t>
      </w:r>
      <w:r>
        <w:rPr>
          <w:spacing w:val="-1"/>
        </w:rPr>
        <w:t> </w:t>
      </w:r>
      <w:r>
        <w:rPr/>
        <w:t>ethics for the fields of psychology, psychiatry, counseling, social work, and </w:t>
      </w:r>
      <w:r>
        <w:rPr>
          <w:spacing w:val="-2"/>
        </w:rPr>
        <w:t>pediatrics.</w:t>
      </w:r>
    </w:p>
    <w:p>
      <w:pPr>
        <w:pStyle w:val="BodyText"/>
        <w:spacing w:before="11"/>
        <w:rPr>
          <w:sz w:val="26"/>
        </w:rPr>
      </w:pPr>
    </w:p>
    <w:p>
      <w:pPr>
        <w:pStyle w:val="BodyText"/>
        <w:ind w:left="280" w:right="502"/>
      </w:pPr>
      <w:r>
        <w:rPr/>
        <w:t>Behavioral health providers respect human dignity and human rights. Professional</w:t>
      </w:r>
      <w:r>
        <w:rPr>
          <w:spacing w:val="-4"/>
        </w:rPr>
        <w:t> </w:t>
      </w:r>
      <w:r>
        <w:rPr/>
        <w:t>ethics</w:t>
      </w:r>
      <w:r>
        <w:rPr>
          <w:spacing w:val="-4"/>
        </w:rPr>
        <w:t> </w:t>
      </w:r>
      <w:r>
        <w:rPr/>
        <w:t>necessitate</w:t>
      </w:r>
      <w:r>
        <w:rPr>
          <w:spacing w:val="-5"/>
        </w:rPr>
        <w:t> </w:t>
      </w:r>
      <w:r>
        <w:rPr/>
        <w:t>that</w:t>
      </w:r>
      <w:r>
        <w:rPr>
          <w:spacing w:val="-4"/>
        </w:rPr>
        <w:t> </w:t>
      </w:r>
      <w:r>
        <w:rPr/>
        <w:t>children</w:t>
      </w:r>
      <w:r>
        <w:rPr>
          <w:spacing w:val="-4"/>
        </w:rPr>
        <w:t> </w:t>
      </w:r>
      <w:r>
        <w:rPr/>
        <w:t>and</w:t>
      </w:r>
      <w:r>
        <w:rPr>
          <w:spacing w:val="-4"/>
        </w:rPr>
        <w:t> </w:t>
      </w:r>
      <w:r>
        <w:rPr/>
        <w:t>adolescents</w:t>
      </w:r>
      <w:r>
        <w:rPr>
          <w:spacing w:val="-4"/>
        </w:rPr>
        <w:t> </w:t>
      </w:r>
      <w:r>
        <w:rPr/>
        <w:t>be</w:t>
      </w:r>
      <w:r>
        <w:rPr>
          <w:spacing w:val="-5"/>
        </w:rPr>
        <w:t> </w:t>
      </w:r>
      <w:r>
        <w:rPr/>
        <w:t>supported</w:t>
      </w:r>
      <w:r>
        <w:rPr>
          <w:spacing w:val="-4"/>
        </w:rPr>
        <w:t> </w:t>
      </w:r>
      <w:r>
        <w:rPr/>
        <w:t>in their right to explore and actualize their own identities.</w:t>
      </w:r>
    </w:p>
    <w:p>
      <w:pPr>
        <w:pStyle w:val="BodyText"/>
        <w:spacing w:before="3"/>
        <w:rPr>
          <w:sz w:val="27"/>
        </w:rPr>
      </w:pPr>
    </w:p>
    <w:p>
      <w:pPr>
        <w:pStyle w:val="BodyText"/>
        <w:ind w:left="280" w:right="505"/>
      </w:pPr>
      <w:r>
        <w:rPr/>
        <w:t>All children and adolescents should have fair and equitable access to behavioral health services that will benefit their health and welfare without the risk</w:t>
      </w:r>
      <w:r>
        <w:rPr>
          <w:spacing w:val="-3"/>
        </w:rPr>
        <w:t> </w:t>
      </w:r>
      <w:r>
        <w:rPr/>
        <w:t>of</w:t>
      </w:r>
      <w:r>
        <w:rPr>
          <w:spacing w:val="-3"/>
        </w:rPr>
        <w:t> </w:t>
      </w:r>
      <w:r>
        <w:rPr/>
        <w:t>harm.</w:t>
      </w:r>
      <w:r>
        <w:rPr>
          <w:spacing w:val="-3"/>
        </w:rPr>
        <w:t> </w:t>
      </w:r>
      <w:r>
        <w:rPr/>
        <w:t>Children</w:t>
      </w:r>
      <w:r>
        <w:rPr>
          <w:spacing w:val="-3"/>
        </w:rPr>
        <w:t> </w:t>
      </w:r>
      <w:r>
        <w:rPr/>
        <w:t>and</w:t>
      </w:r>
      <w:r>
        <w:rPr>
          <w:spacing w:val="-3"/>
        </w:rPr>
        <w:t> </w:t>
      </w:r>
      <w:r>
        <w:rPr/>
        <w:t>adolescents</w:t>
      </w:r>
      <w:r>
        <w:rPr>
          <w:spacing w:val="-3"/>
        </w:rPr>
        <w:t> </w:t>
      </w:r>
      <w:r>
        <w:rPr/>
        <w:t>have</w:t>
      </w:r>
      <w:r>
        <w:rPr>
          <w:spacing w:val="-4"/>
        </w:rPr>
        <w:t> </w:t>
      </w:r>
      <w:r>
        <w:rPr/>
        <w:t>the</w:t>
      </w:r>
      <w:r>
        <w:rPr>
          <w:spacing w:val="-4"/>
        </w:rPr>
        <w:t> </w:t>
      </w:r>
      <w:r>
        <w:rPr/>
        <w:t>right</w:t>
      </w:r>
      <w:r>
        <w:rPr>
          <w:spacing w:val="-3"/>
        </w:rPr>
        <w:t> </w:t>
      </w:r>
      <w:r>
        <w:rPr/>
        <w:t>to</w:t>
      </w:r>
      <w:r>
        <w:rPr>
          <w:spacing w:val="-3"/>
        </w:rPr>
        <w:t> </w:t>
      </w:r>
      <w:r>
        <w:rPr/>
        <w:t>participate</w:t>
      </w:r>
      <w:r>
        <w:rPr>
          <w:spacing w:val="-4"/>
        </w:rPr>
        <w:t> </w:t>
      </w:r>
      <w:r>
        <w:rPr/>
        <w:t>in</w:t>
      </w:r>
      <w:r>
        <w:rPr>
          <w:spacing w:val="-3"/>
        </w:rPr>
        <w:t> </w:t>
      </w:r>
      <w:r>
        <w:rPr/>
        <w:t>decisions that affect their health care and future lives.</w:t>
      </w:r>
    </w:p>
    <w:p>
      <w:pPr>
        <w:pStyle w:val="ListParagraph"/>
        <w:numPr>
          <w:ilvl w:val="0"/>
          <w:numId w:val="26"/>
        </w:numPr>
        <w:tabs>
          <w:tab w:pos="640" w:val="left" w:leader="none"/>
        </w:tabs>
        <w:spacing w:line="232" w:lineRule="auto" w:before="60" w:after="0"/>
        <w:ind w:left="640" w:right="596" w:hanging="360"/>
        <w:jc w:val="left"/>
        <w:rPr>
          <w:sz w:val="28"/>
        </w:rPr>
      </w:pPr>
      <w:r>
        <w:rPr>
          <w:position w:val="2"/>
          <w:sz w:val="28"/>
        </w:rPr>
        <w:t>Behavioral health providers assist children, adolescents, and their families </w:t>
      </w:r>
      <w:r>
        <w:rPr>
          <w:sz w:val="28"/>
        </w:rPr>
        <w:t>in making informed healthcare decisions by providing developmentally appropriate</w:t>
      </w:r>
      <w:r>
        <w:rPr>
          <w:spacing w:val="-7"/>
          <w:sz w:val="28"/>
        </w:rPr>
        <w:t> </w:t>
      </w:r>
      <w:r>
        <w:rPr>
          <w:sz w:val="28"/>
        </w:rPr>
        <w:t>information</w:t>
      </w:r>
      <w:r>
        <w:rPr>
          <w:spacing w:val="-6"/>
          <w:sz w:val="28"/>
        </w:rPr>
        <w:t> </w:t>
      </w:r>
      <w:r>
        <w:rPr>
          <w:sz w:val="28"/>
        </w:rPr>
        <w:t>and</w:t>
      </w:r>
      <w:r>
        <w:rPr>
          <w:spacing w:val="-6"/>
          <w:sz w:val="28"/>
        </w:rPr>
        <w:t> </w:t>
      </w:r>
      <w:r>
        <w:rPr>
          <w:sz w:val="28"/>
        </w:rPr>
        <w:t>assessing</w:t>
      </w:r>
      <w:r>
        <w:rPr>
          <w:spacing w:val="-6"/>
          <w:sz w:val="28"/>
        </w:rPr>
        <w:t> </w:t>
      </w:r>
      <w:r>
        <w:rPr>
          <w:sz w:val="28"/>
        </w:rPr>
        <w:t>their</w:t>
      </w:r>
      <w:r>
        <w:rPr>
          <w:spacing w:val="-6"/>
          <w:sz w:val="28"/>
        </w:rPr>
        <w:t> </w:t>
      </w:r>
      <w:r>
        <w:rPr>
          <w:sz w:val="28"/>
        </w:rPr>
        <w:t>decision-making</w:t>
      </w:r>
      <w:r>
        <w:rPr>
          <w:spacing w:val="-6"/>
          <w:sz w:val="28"/>
        </w:rPr>
        <w:t> </w:t>
      </w:r>
      <w:r>
        <w:rPr>
          <w:sz w:val="28"/>
        </w:rPr>
        <w:t>capacities</w:t>
      </w:r>
      <w:r>
        <w:rPr>
          <w:spacing w:val="-6"/>
          <w:sz w:val="28"/>
        </w:rPr>
        <w:t> </w:t>
      </w:r>
      <w:r>
        <w:rPr>
          <w:sz w:val="28"/>
        </w:rPr>
        <w:t>and family and community contexts.</w:t>
      </w:r>
    </w:p>
    <w:p>
      <w:pPr>
        <w:pStyle w:val="ListParagraph"/>
        <w:numPr>
          <w:ilvl w:val="0"/>
          <w:numId w:val="26"/>
        </w:numPr>
        <w:tabs>
          <w:tab w:pos="640" w:val="left" w:leader="none"/>
        </w:tabs>
        <w:spacing w:line="218" w:lineRule="auto" w:before="82" w:after="0"/>
        <w:ind w:left="640" w:right="604" w:hanging="360"/>
        <w:jc w:val="left"/>
        <w:rPr>
          <w:sz w:val="28"/>
        </w:rPr>
      </w:pPr>
      <w:r>
        <w:rPr>
          <w:position w:val="2"/>
          <w:sz w:val="28"/>
        </w:rPr>
        <w:t>Behavioral</w:t>
      </w:r>
      <w:r>
        <w:rPr>
          <w:spacing w:val="-3"/>
          <w:position w:val="2"/>
          <w:sz w:val="28"/>
        </w:rPr>
        <w:t> </w:t>
      </w:r>
      <w:r>
        <w:rPr>
          <w:position w:val="2"/>
          <w:sz w:val="28"/>
        </w:rPr>
        <w:t>health</w:t>
      </w:r>
      <w:r>
        <w:rPr>
          <w:spacing w:val="-3"/>
          <w:position w:val="2"/>
          <w:sz w:val="28"/>
        </w:rPr>
        <w:t> </w:t>
      </w:r>
      <w:r>
        <w:rPr>
          <w:position w:val="2"/>
          <w:sz w:val="28"/>
        </w:rPr>
        <w:t>providers</w:t>
      </w:r>
      <w:r>
        <w:rPr>
          <w:spacing w:val="-3"/>
          <w:position w:val="2"/>
          <w:sz w:val="28"/>
        </w:rPr>
        <w:t> </w:t>
      </w:r>
      <w:r>
        <w:rPr>
          <w:position w:val="2"/>
          <w:sz w:val="28"/>
        </w:rPr>
        <w:t>strive</w:t>
      </w:r>
      <w:r>
        <w:rPr>
          <w:spacing w:val="-4"/>
          <w:position w:val="2"/>
          <w:sz w:val="28"/>
        </w:rPr>
        <w:t> </w:t>
      </w:r>
      <w:r>
        <w:rPr>
          <w:position w:val="2"/>
          <w:sz w:val="28"/>
        </w:rPr>
        <w:t>to</w:t>
      </w:r>
      <w:r>
        <w:rPr>
          <w:spacing w:val="-3"/>
          <w:position w:val="2"/>
          <w:sz w:val="28"/>
        </w:rPr>
        <w:t> </w:t>
      </w:r>
      <w:r>
        <w:rPr>
          <w:position w:val="2"/>
          <w:sz w:val="28"/>
        </w:rPr>
        <w:t>provide</w:t>
      </w:r>
      <w:r>
        <w:rPr>
          <w:spacing w:val="-4"/>
          <w:position w:val="2"/>
          <w:sz w:val="28"/>
        </w:rPr>
        <w:t> </w:t>
      </w:r>
      <w:r>
        <w:rPr>
          <w:position w:val="2"/>
          <w:sz w:val="28"/>
        </w:rPr>
        <w:t>care</w:t>
      </w:r>
      <w:r>
        <w:rPr>
          <w:spacing w:val="-4"/>
          <w:position w:val="2"/>
          <w:sz w:val="28"/>
        </w:rPr>
        <w:t> </w:t>
      </w:r>
      <w:r>
        <w:rPr>
          <w:position w:val="2"/>
          <w:sz w:val="28"/>
        </w:rPr>
        <w:t>that</w:t>
      </w:r>
      <w:r>
        <w:rPr>
          <w:spacing w:val="-3"/>
          <w:position w:val="2"/>
          <w:sz w:val="28"/>
        </w:rPr>
        <w:t> </w:t>
      </w:r>
      <w:r>
        <w:rPr>
          <w:position w:val="2"/>
          <w:sz w:val="28"/>
        </w:rPr>
        <w:t>is</w:t>
      </w:r>
      <w:r>
        <w:rPr>
          <w:spacing w:val="-3"/>
          <w:position w:val="2"/>
          <w:sz w:val="28"/>
        </w:rPr>
        <w:t> </w:t>
      </w:r>
      <w:r>
        <w:rPr>
          <w:position w:val="2"/>
          <w:sz w:val="28"/>
        </w:rPr>
        <w:t>in</w:t>
      </w:r>
      <w:r>
        <w:rPr>
          <w:spacing w:val="-3"/>
          <w:position w:val="2"/>
          <w:sz w:val="28"/>
        </w:rPr>
        <w:t> </w:t>
      </w:r>
      <w:r>
        <w:rPr>
          <w:position w:val="2"/>
          <w:sz w:val="28"/>
        </w:rPr>
        <w:t>the</w:t>
      </w:r>
      <w:r>
        <w:rPr>
          <w:spacing w:val="-4"/>
          <w:position w:val="2"/>
          <w:sz w:val="28"/>
        </w:rPr>
        <w:t> </w:t>
      </w:r>
      <w:r>
        <w:rPr>
          <w:position w:val="2"/>
          <w:sz w:val="28"/>
        </w:rPr>
        <w:t>best</w:t>
      </w:r>
      <w:r>
        <w:rPr>
          <w:spacing w:val="-3"/>
          <w:position w:val="2"/>
          <w:sz w:val="28"/>
        </w:rPr>
        <w:t> </w:t>
      </w:r>
      <w:r>
        <w:rPr>
          <w:position w:val="2"/>
          <w:sz w:val="28"/>
        </w:rPr>
        <w:t>interest </w:t>
      </w:r>
      <w:r>
        <w:rPr>
          <w:sz w:val="28"/>
        </w:rPr>
        <w:t>of the child or adolescent.</w:t>
      </w:r>
    </w:p>
    <w:p>
      <w:pPr>
        <w:spacing w:after="0" w:line="218" w:lineRule="auto"/>
        <w:jc w:val="left"/>
        <w:rPr>
          <w:sz w:val="28"/>
        </w:rPr>
        <w:sectPr>
          <w:pgSz w:w="12240" w:h="15840"/>
          <w:pgMar w:header="0" w:footer="783" w:top="1580" w:bottom="980" w:left="1400" w:right="1180"/>
        </w:sectPr>
      </w:pPr>
    </w:p>
    <w:p>
      <w:pPr>
        <w:pStyle w:val="BodyText"/>
        <w:ind w:left="220"/>
        <w:rPr>
          <w:sz w:val="20"/>
        </w:rPr>
      </w:pPr>
      <w:r>
        <w:rPr>
          <w:sz w:val="20"/>
        </w:rPr>
        <mc:AlternateContent>
          <mc:Choice Requires="wps">
            <w:drawing>
              <wp:inline distT="0" distB="0" distL="0" distR="0">
                <wp:extent cx="5715000" cy="3070225"/>
                <wp:effectExtent l="0" t="0" r="0" b="6350"/>
                <wp:docPr id="368" name="Group 368"/>
                <wp:cNvGraphicFramePr>
                  <a:graphicFrameLocks/>
                </wp:cNvGraphicFramePr>
                <a:graphic>
                  <a:graphicData uri="http://schemas.microsoft.com/office/word/2010/wordprocessingGroup">
                    <wpg:wgp>
                      <wpg:cNvPr id="368" name="Group 368"/>
                      <wpg:cNvGrpSpPr/>
                      <wpg:grpSpPr>
                        <a:xfrm>
                          <a:off x="0" y="0"/>
                          <a:ext cx="5715000" cy="3070225"/>
                          <a:chExt cx="5715000" cy="3070225"/>
                        </a:xfrm>
                      </wpg:grpSpPr>
                      <pic:pic>
                        <pic:nvPicPr>
                          <pic:cNvPr id="369" name="Image 369"/>
                          <pic:cNvPicPr/>
                        </pic:nvPicPr>
                        <pic:blipFill>
                          <a:blip r:embed="rId50" cstate="print"/>
                          <a:stretch>
                            <a:fillRect/>
                          </a:stretch>
                        </pic:blipFill>
                        <pic:spPr>
                          <a:xfrm>
                            <a:off x="0" y="0"/>
                            <a:ext cx="5715000" cy="3069932"/>
                          </a:xfrm>
                          <a:prstGeom prst="rect">
                            <a:avLst/>
                          </a:prstGeom>
                        </pic:spPr>
                      </pic:pic>
                      <pic:pic>
                        <pic:nvPicPr>
                          <pic:cNvPr id="370" name="Image 370"/>
                          <pic:cNvPicPr/>
                        </pic:nvPicPr>
                        <pic:blipFill>
                          <a:blip r:embed="rId51" cstate="print"/>
                          <a:stretch>
                            <a:fillRect/>
                          </a:stretch>
                        </pic:blipFill>
                        <pic:spPr>
                          <a:xfrm>
                            <a:off x="76200" y="56200"/>
                            <a:ext cx="5562600" cy="2917532"/>
                          </a:xfrm>
                          <a:prstGeom prst="rect">
                            <a:avLst/>
                          </a:prstGeom>
                        </pic:spPr>
                      </pic:pic>
                      <pic:pic>
                        <pic:nvPicPr>
                          <pic:cNvPr id="371" name="Image 371"/>
                          <pic:cNvPicPr/>
                        </pic:nvPicPr>
                        <pic:blipFill>
                          <a:blip r:embed="rId52" cstate="print"/>
                          <a:stretch>
                            <a:fillRect/>
                          </a:stretch>
                        </pic:blipFill>
                        <pic:spPr>
                          <a:xfrm>
                            <a:off x="37609" y="27823"/>
                            <a:ext cx="5637976" cy="2984499"/>
                          </a:xfrm>
                          <a:prstGeom prst="rect">
                            <a:avLst/>
                          </a:prstGeom>
                        </pic:spPr>
                      </pic:pic>
                      <wps:wsp>
                        <wps:cNvPr id="372" name="Textbox 372"/>
                        <wps:cNvSpPr txBox="1"/>
                        <wps:spPr>
                          <a:xfrm>
                            <a:off x="0" y="0"/>
                            <a:ext cx="5715000" cy="3070225"/>
                          </a:xfrm>
                          <a:prstGeom prst="rect">
                            <a:avLst/>
                          </a:prstGeom>
                        </wps:spPr>
                        <wps:txbx>
                          <w:txbxContent>
                            <w:p>
                              <w:pPr>
                                <w:spacing w:line="252" w:lineRule="auto" w:before="168"/>
                                <w:ind w:left="251" w:right="268" w:firstLine="0"/>
                                <w:jc w:val="left"/>
                                <w:rPr>
                                  <w:rFonts w:ascii="Calibri" w:hAnsi="Calibri"/>
                                  <w:sz w:val="36"/>
                                </w:rPr>
                              </w:pPr>
                              <w:r>
                                <w:rPr>
                                  <w:rFonts w:ascii="Calibri" w:hAnsi="Calibri"/>
                                  <w:sz w:val="36"/>
                                </w:rPr>
                                <w:t>In the field of health care, the term “inappropriate” is used</w:t>
                              </w:r>
                              <w:r>
                                <w:rPr>
                                  <w:rFonts w:ascii="Calibri" w:hAnsi="Calibri"/>
                                  <w:spacing w:val="-9"/>
                                  <w:sz w:val="36"/>
                                </w:rPr>
                                <w:t> </w:t>
                              </w:r>
                              <w:r>
                                <w:rPr>
                                  <w:rFonts w:ascii="Calibri" w:hAnsi="Calibri"/>
                                  <w:sz w:val="36"/>
                                </w:rPr>
                                <w:t>to</w:t>
                              </w:r>
                              <w:r>
                                <w:rPr>
                                  <w:rFonts w:ascii="Calibri" w:hAnsi="Calibri"/>
                                  <w:spacing w:val="-9"/>
                                  <w:sz w:val="36"/>
                                </w:rPr>
                                <w:t> </w:t>
                              </w:r>
                              <w:r>
                                <w:rPr>
                                  <w:rFonts w:ascii="Calibri" w:hAnsi="Calibri"/>
                                  <w:sz w:val="36"/>
                                </w:rPr>
                                <w:t>designate</w:t>
                              </w:r>
                              <w:r>
                                <w:rPr>
                                  <w:rFonts w:ascii="Calibri" w:hAnsi="Calibri"/>
                                  <w:spacing w:val="-9"/>
                                  <w:sz w:val="36"/>
                                </w:rPr>
                                <w:t> </w:t>
                              </w:r>
                              <w:r>
                                <w:rPr>
                                  <w:rFonts w:ascii="Calibri" w:hAnsi="Calibri"/>
                                  <w:sz w:val="36"/>
                                </w:rPr>
                                <w:t>care</w:t>
                              </w:r>
                              <w:r>
                                <w:rPr>
                                  <w:rFonts w:ascii="Calibri" w:hAnsi="Calibri"/>
                                  <w:spacing w:val="-9"/>
                                  <w:sz w:val="36"/>
                                </w:rPr>
                                <w:t> </w:t>
                              </w:r>
                              <w:r>
                                <w:rPr>
                                  <w:rFonts w:ascii="Calibri" w:hAnsi="Calibri"/>
                                  <w:sz w:val="36"/>
                                </w:rPr>
                                <w:t>that</w:t>
                              </w:r>
                              <w:r>
                                <w:rPr>
                                  <w:rFonts w:ascii="Calibri" w:hAnsi="Calibri"/>
                                  <w:spacing w:val="-9"/>
                                  <w:sz w:val="36"/>
                                </w:rPr>
                                <w:t> </w:t>
                              </w:r>
                              <w:r>
                                <w:rPr>
                                  <w:rFonts w:ascii="Calibri" w:hAnsi="Calibri"/>
                                  <w:sz w:val="36"/>
                                </w:rPr>
                                <w:t>is</w:t>
                              </w:r>
                              <w:r>
                                <w:rPr>
                                  <w:rFonts w:ascii="Calibri" w:hAnsi="Calibri"/>
                                  <w:spacing w:val="-9"/>
                                  <w:sz w:val="36"/>
                                </w:rPr>
                                <w:t> </w:t>
                              </w:r>
                              <w:r>
                                <w:rPr>
                                  <w:rFonts w:ascii="Calibri" w:hAnsi="Calibri"/>
                                  <w:sz w:val="36"/>
                                </w:rPr>
                                <w:t>nonbeneficial,</w:t>
                              </w:r>
                              <w:r>
                                <w:rPr>
                                  <w:rFonts w:ascii="Calibri" w:hAnsi="Calibri"/>
                                  <w:spacing w:val="-9"/>
                                  <w:sz w:val="36"/>
                                </w:rPr>
                                <w:t> </w:t>
                              </w:r>
                              <w:r>
                                <w:rPr>
                                  <w:rFonts w:ascii="Calibri" w:hAnsi="Calibri"/>
                                  <w:sz w:val="36"/>
                                </w:rPr>
                                <w:t>not</w:t>
                              </w:r>
                              <w:r>
                                <w:rPr>
                                  <w:rFonts w:ascii="Calibri" w:hAnsi="Calibri"/>
                                  <w:spacing w:val="-9"/>
                                  <w:sz w:val="36"/>
                                </w:rPr>
                                <w:t> </w:t>
                              </w:r>
                              <w:r>
                                <w:rPr>
                                  <w:rFonts w:ascii="Calibri" w:hAnsi="Calibri"/>
                                  <w:sz w:val="36"/>
                                </w:rPr>
                                <w:t>medically indicated, and ineffective in achieving a patient’s desired results. Medically inappropriate care is not needed or supported by clinical evidence and can result in negative health outcomes. The term “appropriate” is used to designate care when the expected health benefit exceeds the expected negative consequences by a sufficiently wide margin that the care is worthwhile.</w:t>
                              </w:r>
                            </w:p>
                          </w:txbxContent>
                        </wps:txbx>
                        <wps:bodyPr wrap="square" lIns="0" tIns="0" rIns="0" bIns="0" rtlCol="0">
                          <a:noAutofit/>
                        </wps:bodyPr>
                      </wps:wsp>
                    </wpg:wgp>
                  </a:graphicData>
                </a:graphic>
              </wp:inline>
            </w:drawing>
          </mc:Choice>
          <mc:Fallback>
            <w:pict>
              <v:group style="width:450pt;height:241.75pt;mso-position-horizontal-relative:char;mso-position-vertical-relative:line" id="docshapegroup365" coordorigin="0,0" coordsize="9000,4835">
                <v:shape style="position:absolute;left:0;top:0;width:9000;height:4835" type="#_x0000_t75" id="docshape366" stroked="false">
                  <v:imagedata r:id="rId50" o:title=""/>
                </v:shape>
                <v:shape style="position:absolute;left:120;top:88;width:8760;height:4595" type="#_x0000_t75" id="docshape367" stroked="false">
                  <v:imagedata r:id="rId51" o:title=""/>
                </v:shape>
                <v:shape style="position:absolute;left:59;top:43;width:8879;height:4700" type="#_x0000_t75" id="docshape368" stroked="false">
                  <v:imagedata r:id="rId52" o:title=""/>
                </v:shape>
                <v:shape style="position:absolute;left:0;top:0;width:9000;height:4835" type="#_x0000_t202" id="docshape369" filled="false" stroked="false">
                  <v:textbox inset="0,0,0,0">
                    <w:txbxContent>
                      <w:p>
                        <w:pPr>
                          <w:spacing w:line="252" w:lineRule="auto" w:before="168"/>
                          <w:ind w:left="251" w:right="268" w:firstLine="0"/>
                          <w:jc w:val="left"/>
                          <w:rPr>
                            <w:rFonts w:ascii="Calibri" w:hAnsi="Calibri"/>
                            <w:sz w:val="36"/>
                          </w:rPr>
                        </w:pPr>
                        <w:r>
                          <w:rPr>
                            <w:rFonts w:ascii="Calibri" w:hAnsi="Calibri"/>
                            <w:sz w:val="36"/>
                          </w:rPr>
                          <w:t>In the field of health care, the term “inappropriate” is used</w:t>
                        </w:r>
                        <w:r>
                          <w:rPr>
                            <w:rFonts w:ascii="Calibri" w:hAnsi="Calibri"/>
                            <w:spacing w:val="-9"/>
                            <w:sz w:val="36"/>
                          </w:rPr>
                          <w:t> </w:t>
                        </w:r>
                        <w:r>
                          <w:rPr>
                            <w:rFonts w:ascii="Calibri" w:hAnsi="Calibri"/>
                            <w:sz w:val="36"/>
                          </w:rPr>
                          <w:t>to</w:t>
                        </w:r>
                        <w:r>
                          <w:rPr>
                            <w:rFonts w:ascii="Calibri" w:hAnsi="Calibri"/>
                            <w:spacing w:val="-9"/>
                            <w:sz w:val="36"/>
                          </w:rPr>
                          <w:t> </w:t>
                        </w:r>
                        <w:r>
                          <w:rPr>
                            <w:rFonts w:ascii="Calibri" w:hAnsi="Calibri"/>
                            <w:sz w:val="36"/>
                          </w:rPr>
                          <w:t>designate</w:t>
                        </w:r>
                        <w:r>
                          <w:rPr>
                            <w:rFonts w:ascii="Calibri" w:hAnsi="Calibri"/>
                            <w:spacing w:val="-9"/>
                            <w:sz w:val="36"/>
                          </w:rPr>
                          <w:t> </w:t>
                        </w:r>
                        <w:r>
                          <w:rPr>
                            <w:rFonts w:ascii="Calibri" w:hAnsi="Calibri"/>
                            <w:sz w:val="36"/>
                          </w:rPr>
                          <w:t>care</w:t>
                        </w:r>
                        <w:r>
                          <w:rPr>
                            <w:rFonts w:ascii="Calibri" w:hAnsi="Calibri"/>
                            <w:spacing w:val="-9"/>
                            <w:sz w:val="36"/>
                          </w:rPr>
                          <w:t> </w:t>
                        </w:r>
                        <w:r>
                          <w:rPr>
                            <w:rFonts w:ascii="Calibri" w:hAnsi="Calibri"/>
                            <w:sz w:val="36"/>
                          </w:rPr>
                          <w:t>that</w:t>
                        </w:r>
                        <w:r>
                          <w:rPr>
                            <w:rFonts w:ascii="Calibri" w:hAnsi="Calibri"/>
                            <w:spacing w:val="-9"/>
                            <w:sz w:val="36"/>
                          </w:rPr>
                          <w:t> </w:t>
                        </w:r>
                        <w:r>
                          <w:rPr>
                            <w:rFonts w:ascii="Calibri" w:hAnsi="Calibri"/>
                            <w:sz w:val="36"/>
                          </w:rPr>
                          <w:t>is</w:t>
                        </w:r>
                        <w:r>
                          <w:rPr>
                            <w:rFonts w:ascii="Calibri" w:hAnsi="Calibri"/>
                            <w:spacing w:val="-9"/>
                            <w:sz w:val="36"/>
                          </w:rPr>
                          <w:t> </w:t>
                        </w:r>
                        <w:r>
                          <w:rPr>
                            <w:rFonts w:ascii="Calibri" w:hAnsi="Calibri"/>
                            <w:sz w:val="36"/>
                          </w:rPr>
                          <w:t>nonbeneficial,</w:t>
                        </w:r>
                        <w:r>
                          <w:rPr>
                            <w:rFonts w:ascii="Calibri" w:hAnsi="Calibri"/>
                            <w:spacing w:val="-9"/>
                            <w:sz w:val="36"/>
                          </w:rPr>
                          <w:t> </w:t>
                        </w:r>
                        <w:r>
                          <w:rPr>
                            <w:rFonts w:ascii="Calibri" w:hAnsi="Calibri"/>
                            <w:sz w:val="36"/>
                          </w:rPr>
                          <w:t>not</w:t>
                        </w:r>
                        <w:r>
                          <w:rPr>
                            <w:rFonts w:ascii="Calibri" w:hAnsi="Calibri"/>
                            <w:spacing w:val="-9"/>
                            <w:sz w:val="36"/>
                          </w:rPr>
                          <w:t> </w:t>
                        </w:r>
                        <w:r>
                          <w:rPr>
                            <w:rFonts w:ascii="Calibri" w:hAnsi="Calibri"/>
                            <w:sz w:val="36"/>
                          </w:rPr>
                          <w:t>medically indicated, and ineffective in achieving a patient’s desired results. Medically inappropriate care is not needed or supported by clinical evidence and can result in negative health outcomes. The term “appropriate” is used to designate care when the expected health benefit exceeds the expected negative consequences by a sufficiently wide margin that the care is worthwhile.</w:t>
                        </w:r>
                      </w:p>
                    </w:txbxContent>
                  </v:textbox>
                  <w10:wrap type="none"/>
                </v:shape>
              </v:group>
            </w:pict>
          </mc:Fallback>
        </mc:AlternateContent>
      </w:r>
      <w:r>
        <w:rPr>
          <w:sz w:val="20"/>
        </w:rPr>
      </w:r>
    </w:p>
    <w:p>
      <w:pPr>
        <w:pStyle w:val="ListParagraph"/>
        <w:numPr>
          <w:ilvl w:val="0"/>
          <w:numId w:val="26"/>
        </w:numPr>
        <w:tabs>
          <w:tab w:pos="640" w:val="left" w:leader="none"/>
        </w:tabs>
        <w:spacing w:line="235" w:lineRule="auto" w:before="104" w:after="0"/>
        <w:ind w:left="640" w:right="674" w:hanging="360"/>
        <w:jc w:val="left"/>
        <w:rPr>
          <w:sz w:val="28"/>
        </w:rPr>
      </w:pPr>
      <w:r>
        <w:rPr>
          <w:position w:val="2"/>
          <w:sz w:val="28"/>
        </w:rPr>
        <w:t>Behavioral health providers strive to incorporate cultural awareness, </w:t>
      </w:r>
      <w:r>
        <w:rPr>
          <w:sz w:val="28"/>
        </w:rPr>
        <w:t>respect, and sensitivity into their work. They recognize that age, gender identity and expression, race, ethnicity, culture, language, national origin, religion, spirituality, sexual orientation, different abilities, and socioeconomic</w:t>
      </w:r>
      <w:r>
        <w:rPr>
          <w:spacing w:val="-5"/>
          <w:sz w:val="28"/>
        </w:rPr>
        <w:t> </w:t>
      </w:r>
      <w:r>
        <w:rPr>
          <w:sz w:val="28"/>
        </w:rPr>
        <w:t>status</w:t>
      </w:r>
      <w:r>
        <w:rPr>
          <w:spacing w:val="-4"/>
          <w:sz w:val="28"/>
        </w:rPr>
        <w:t> </w:t>
      </w:r>
      <w:r>
        <w:rPr>
          <w:sz w:val="28"/>
        </w:rPr>
        <w:t>are</w:t>
      </w:r>
      <w:r>
        <w:rPr>
          <w:spacing w:val="-5"/>
          <w:sz w:val="28"/>
        </w:rPr>
        <w:t> </w:t>
      </w:r>
      <w:r>
        <w:rPr>
          <w:sz w:val="28"/>
        </w:rPr>
        <w:t>important</w:t>
      </w:r>
      <w:r>
        <w:rPr>
          <w:spacing w:val="-4"/>
          <w:sz w:val="28"/>
        </w:rPr>
        <w:t> </w:t>
      </w:r>
      <w:r>
        <w:rPr>
          <w:sz w:val="28"/>
        </w:rPr>
        <w:t>factors</w:t>
      </w:r>
      <w:r>
        <w:rPr>
          <w:spacing w:val="-4"/>
          <w:sz w:val="28"/>
        </w:rPr>
        <w:t> </w:t>
      </w:r>
      <w:r>
        <w:rPr>
          <w:sz w:val="28"/>
        </w:rPr>
        <w:t>to</w:t>
      </w:r>
      <w:r>
        <w:rPr>
          <w:spacing w:val="-4"/>
          <w:sz w:val="28"/>
        </w:rPr>
        <w:t> </w:t>
      </w:r>
      <w:r>
        <w:rPr>
          <w:sz w:val="28"/>
        </w:rPr>
        <w:t>consider</w:t>
      </w:r>
      <w:r>
        <w:rPr>
          <w:spacing w:val="-4"/>
          <w:sz w:val="28"/>
        </w:rPr>
        <w:t> </w:t>
      </w:r>
      <w:r>
        <w:rPr>
          <w:sz w:val="28"/>
        </w:rPr>
        <w:t>when</w:t>
      </w:r>
      <w:r>
        <w:rPr>
          <w:spacing w:val="-4"/>
          <w:sz w:val="28"/>
        </w:rPr>
        <w:t> </w:t>
      </w:r>
      <w:r>
        <w:rPr>
          <w:sz w:val="28"/>
        </w:rPr>
        <w:t>working</w:t>
      </w:r>
      <w:r>
        <w:rPr>
          <w:spacing w:val="-4"/>
          <w:sz w:val="28"/>
        </w:rPr>
        <w:t> </w:t>
      </w:r>
      <w:r>
        <w:rPr>
          <w:sz w:val="28"/>
        </w:rPr>
        <w:t>with children, adolescents, and families.</w:t>
      </w:r>
    </w:p>
    <w:p>
      <w:pPr>
        <w:pStyle w:val="ListParagraph"/>
        <w:numPr>
          <w:ilvl w:val="0"/>
          <w:numId w:val="26"/>
        </w:numPr>
        <w:tabs>
          <w:tab w:pos="640" w:val="left" w:leader="none"/>
        </w:tabs>
        <w:spacing w:line="218" w:lineRule="auto" w:before="80" w:after="0"/>
        <w:ind w:left="640" w:right="752" w:hanging="360"/>
        <w:jc w:val="left"/>
        <w:rPr>
          <w:sz w:val="28"/>
        </w:rPr>
      </w:pPr>
      <w:r>
        <w:rPr>
          <w:position w:val="2"/>
          <w:sz w:val="28"/>
        </w:rPr>
        <w:t>Behavioral</w:t>
      </w:r>
      <w:r>
        <w:rPr>
          <w:spacing w:val="-4"/>
          <w:position w:val="2"/>
          <w:sz w:val="28"/>
        </w:rPr>
        <w:t> </w:t>
      </w:r>
      <w:r>
        <w:rPr>
          <w:position w:val="2"/>
          <w:sz w:val="28"/>
        </w:rPr>
        <w:t>health</w:t>
      </w:r>
      <w:r>
        <w:rPr>
          <w:spacing w:val="-4"/>
          <w:position w:val="2"/>
          <w:sz w:val="28"/>
        </w:rPr>
        <w:t> </w:t>
      </w:r>
      <w:r>
        <w:rPr>
          <w:position w:val="2"/>
          <w:sz w:val="28"/>
        </w:rPr>
        <w:t>providers</w:t>
      </w:r>
      <w:r>
        <w:rPr>
          <w:spacing w:val="-4"/>
          <w:position w:val="2"/>
          <w:sz w:val="28"/>
        </w:rPr>
        <w:t> </w:t>
      </w:r>
      <w:r>
        <w:rPr>
          <w:position w:val="2"/>
          <w:sz w:val="28"/>
        </w:rPr>
        <w:t>strive</w:t>
      </w:r>
      <w:r>
        <w:rPr>
          <w:spacing w:val="-5"/>
          <w:position w:val="2"/>
          <w:sz w:val="28"/>
        </w:rPr>
        <w:t> </w:t>
      </w:r>
      <w:r>
        <w:rPr>
          <w:position w:val="2"/>
          <w:sz w:val="28"/>
        </w:rPr>
        <w:t>to</w:t>
      </w:r>
      <w:r>
        <w:rPr>
          <w:spacing w:val="-4"/>
          <w:position w:val="2"/>
          <w:sz w:val="28"/>
        </w:rPr>
        <w:t> </w:t>
      </w:r>
      <w:r>
        <w:rPr>
          <w:position w:val="2"/>
          <w:sz w:val="28"/>
        </w:rPr>
        <w:t>eliminate</w:t>
      </w:r>
      <w:r>
        <w:rPr>
          <w:spacing w:val="-5"/>
          <w:position w:val="2"/>
          <w:sz w:val="28"/>
        </w:rPr>
        <w:t> </w:t>
      </w:r>
      <w:r>
        <w:rPr>
          <w:position w:val="2"/>
          <w:sz w:val="28"/>
        </w:rPr>
        <w:t>any</w:t>
      </w:r>
      <w:r>
        <w:rPr>
          <w:spacing w:val="-4"/>
          <w:position w:val="2"/>
          <w:sz w:val="28"/>
        </w:rPr>
        <w:t> </w:t>
      </w:r>
      <w:r>
        <w:rPr>
          <w:position w:val="2"/>
          <w:sz w:val="28"/>
        </w:rPr>
        <w:t>impact</w:t>
      </w:r>
      <w:r>
        <w:rPr>
          <w:spacing w:val="-4"/>
          <w:position w:val="2"/>
          <w:sz w:val="28"/>
        </w:rPr>
        <w:t> </w:t>
      </w:r>
      <w:r>
        <w:rPr>
          <w:position w:val="2"/>
          <w:sz w:val="28"/>
        </w:rPr>
        <w:t>of</w:t>
      </w:r>
      <w:r>
        <w:rPr>
          <w:spacing w:val="-4"/>
          <w:position w:val="2"/>
          <w:sz w:val="28"/>
        </w:rPr>
        <w:t> </w:t>
      </w:r>
      <w:r>
        <w:rPr>
          <w:position w:val="2"/>
          <w:sz w:val="28"/>
        </w:rPr>
        <w:t>bias</w:t>
      </w:r>
      <w:r>
        <w:rPr>
          <w:spacing w:val="-4"/>
          <w:position w:val="2"/>
          <w:sz w:val="28"/>
        </w:rPr>
        <w:t> </w:t>
      </w:r>
      <w:r>
        <w:rPr>
          <w:position w:val="2"/>
          <w:sz w:val="28"/>
        </w:rPr>
        <w:t>on</w:t>
      </w:r>
      <w:r>
        <w:rPr>
          <w:spacing w:val="-4"/>
          <w:position w:val="2"/>
          <w:sz w:val="28"/>
        </w:rPr>
        <w:t> </w:t>
      </w:r>
      <w:r>
        <w:rPr>
          <w:position w:val="2"/>
          <w:sz w:val="28"/>
        </w:rPr>
        <w:t>their </w:t>
      </w:r>
      <w:r>
        <w:rPr>
          <w:sz w:val="28"/>
        </w:rPr>
        <w:t>professional interactions and decisions.</w:t>
      </w:r>
    </w:p>
    <w:p>
      <w:pPr>
        <w:pStyle w:val="Heading3"/>
        <w:spacing w:before="86"/>
        <w:rPr>
          <w:i/>
        </w:rPr>
      </w:pPr>
      <w:r>
        <w:rPr>
          <w:i/>
        </w:rPr>
        <w:t>Defining</w:t>
      </w:r>
      <w:r>
        <w:rPr>
          <w:i/>
          <w:spacing w:val="-4"/>
        </w:rPr>
        <w:t> </w:t>
      </w:r>
      <w:r>
        <w:rPr>
          <w:i/>
        </w:rPr>
        <w:t>Sexual</w:t>
      </w:r>
      <w:r>
        <w:rPr>
          <w:i/>
          <w:spacing w:val="-2"/>
        </w:rPr>
        <w:t> </w:t>
      </w:r>
      <w:r>
        <w:rPr>
          <w:i/>
        </w:rPr>
        <w:t>Orientation</w:t>
      </w:r>
      <w:r>
        <w:rPr>
          <w:i/>
          <w:spacing w:val="-1"/>
        </w:rPr>
        <w:t> </w:t>
      </w:r>
      <w:r>
        <w:rPr>
          <w:i/>
        </w:rPr>
        <w:t>and</w:t>
      </w:r>
      <w:r>
        <w:rPr>
          <w:i/>
          <w:spacing w:val="-2"/>
        </w:rPr>
        <w:t> </w:t>
      </w:r>
      <w:r>
        <w:rPr>
          <w:i/>
        </w:rPr>
        <w:t>Gender</w:t>
      </w:r>
      <w:r>
        <w:rPr>
          <w:i/>
          <w:spacing w:val="-1"/>
        </w:rPr>
        <w:t> </w:t>
      </w:r>
      <w:r>
        <w:rPr>
          <w:i/>
        </w:rPr>
        <w:t>Identity</w:t>
      </w:r>
      <w:r>
        <w:rPr>
          <w:i/>
          <w:spacing w:val="-3"/>
        </w:rPr>
        <w:t> </w:t>
      </w:r>
      <w:r>
        <w:rPr>
          <w:i/>
        </w:rPr>
        <w:t>Change</w:t>
      </w:r>
      <w:r>
        <w:rPr>
          <w:i/>
          <w:spacing w:val="-2"/>
        </w:rPr>
        <w:t> Efforts</w:t>
      </w:r>
    </w:p>
    <w:p>
      <w:pPr>
        <w:pStyle w:val="BodyText"/>
        <w:spacing w:before="125"/>
        <w:ind w:left="280" w:right="502"/>
      </w:pPr>
      <w:r>
        <w:rPr/>
        <w:t>SOGI change efforts, commonly referred to as “conversion therapy” or “reparative therapy,” are practices that aim to suppress or alter an individual’s sexual orientation or gender to align with heterosexual orientation, cisgender identity, and/or stereotypical gender expression. SOGI change efforts are premised</w:t>
      </w:r>
      <w:r>
        <w:rPr>
          <w:spacing w:val="-3"/>
        </w:rPr>
        <w:t> </w:t>
      </w:r>
      <w:r>
        <w:rPr/>
        <w:t>on</w:t>
      </w:r>
      <w:r>
        <w:rPr>
          <w:spacing w:val="-3"/>
        </w:rPr>
        <w:t> </w:t>
      </w:r>
      <w:r>
        <w:rPr/>
        <w:t>or</w:t>
      </w:r>
      <w:r>
        <w:rPr>
          <w:spacing w:val="-3"/>
        </w:rPr>
        <w:t> </w:t>
      </w:r>
      <w:r>
        <w:rPr/>
        <w:t>motivated</w:t>
      </w:r>
      <w:r>
        <w:rPr>
          <w:spacing w:val="-3"/>
        </w:rPr>
        <w:t> </w:t>
      </w:r>
      <w:r>
        <w:rPr/>
        <w:t>by</w:t>
      </w:r>
      <w:r>
        <w:rPr>
          <w:spacing w:val="-3"/>
        </w:rPr>
        <w:t> </w:t>
      </w:r>
      <w:r>
        <w:rPr/>
        <w:t>the</w:t>
      </w:r>
      <w:r>
        <w:rPr>
          <w:spacing w:val="-4"/>
        </w:rPr>
        <w:t> </w:t>
      </w:r>
      <w:r>
        <w:rPr/>
        <w:t>belief</w:t>
      </w:r>
      <w:r>
        <w:rPr>
          <w:spacing w:val="-3"/>
        </w:rPr>
        <w:t> </w:t>
      </w:r>
      <w:r>
        <w:rPr/>
        <w:t>that</w:t>
      </w:r>
      <w:r>
        <w:rPr>
          <w:spacing w:val="-3"/>
        </w:rPr>
        <w:t> </w:t>
      </w:r>
      <w:r>
        <w:rPr/>
        <w:t>diversity</w:t>
      </w:r>
      <w:r>
        <w:rPr>
          <w:spacing w:val="-3"/>
        </w:rPr>
        <w:t> </w:t>
      </w:r>
      <w:r>
        <w:rPr/>
        <w:t>in</w:t>
      </w:r>
      <w:r>
        <w:rPr>
          <w:spacing w:val="-3"/>
        </w:rPr>
        <w:t> </w:t>
      </w:r>
      <w:r>
        <w:rPr/>
        <w:t>sexual</w:t>
      </w:r>
      <w:r>
        <w:rPr>
          <w:spacing w:val="-3"/>
        </w:rPr>
        <w:t> </w:t>
      </w:r>
      <w:r>
        <w:rPr/>
        <w:t>orientation</w:t>
      </w:r>
      <w:r>
        <w:rPr>
          <w:spacing w:val="-3"/>
        </w:rPr>
        <w:t> </w:t>
      </w:r>
      <w:r>
        <w:rPr/>
        <w:t>and/ or gender identity and expression is a deficit, mental illness, or pathology.</w:t>
      </w:r>
    </w:p>
    <w:p>
      <w:pPr>
        <w:pStyle w:val="BodyText"/>
        <w:spacing w:before="168"/>
        <w:ind w:left="280"/>
      </w:pPr>
      <w:r>
        <w:rPr/>
        <w:t>SOGI</w:t>
      </w:r>
      <w:r>
        <w:rPr>
          <w:spacing w:val="-5"/>
        </w:rPr>
        <w:t> </w:t>
      </w:r>
      <w:r>
        <w:rPr/>
        <w:t>change</w:t>
      </w:r>
      <w:r>
        <w:rPr>
          <w:spacing w:val="-6"/>
        </w:rPr>
        <w:t> </w:t>
      </w:r>
      <w:r>
        <w:rPr/>
        <w:t>efforts</w:t>
      </w:r>
      <w:r>
        <w:rPr>
          <w:spacing w:val="-5"/>
        </w:rPr>
        <w:t> </w:t>
      </w:r>
      <w:r>
        <w:rPr/>
        <w:t>do</w:t>
      </w:r>
      <w:r>
        <w:rPr>
          <w:spacing w:val="-5"/>
        </w:rPr>
        <w:t> </w:t>
      </w:r>
      <w:r>
        <w:rPr/>
        <w:t>not</w:t>
      </w:r>
      <w:r>
        <w:rPr>
          <w:spacing w:val="-5"/>
        </w:rPr>
        <w:t> </w:t>
      </w:r>
      <w:r>
        <w:rPr/>
        <w:t>include</w:t>
      </w:r>
      <w:r>
        <w:rPr>
          <w:spacing w:val="-6"/>
        </w:rPr>
        <w:t> </w:t>
      </w:r>
      <w:r>
        <w:rPr/>
        <w:t>gender-affirming</w:t>
      </w:r>
      <w:r>
        <w:rPr>
          <w:spacing w:val="-5"/>
        </w:rPr>
        <w:t> </w:t>
      </w:r>
      <w:r>
        <w:rPr/>
        <w:t>care.</w:t>
      </w:r>
      <w:r>
        <w:rPr>
          <w:spacing w:val="-11"/>
        </w:rPr>
        <w:t> </w:t>
      </w:r>
      <w:r>
        <w:rPr/>
        <w:t>They</w:t>
      </w:r>
      <w:r>
        <w:rPr>
          <w:spacing w:val="-5"/>
        </w:rPr>
        <w:t> </w:t>
      </w:r>
      <w:r>
        <w:rPr/>
        <w:t>do</w:t>
      </w:r>
      <w:r>
        <w:rPr>
          <w:spacing w:val="-5"/>
        </w:rPr>
        <w:t> </w:t>
      </w:r>
      <w:r>
        <w:rPr/>
        <w:t>not</w:t>
      </w:r>
      <w:r>
        <w:rPr>
          <w:spacing w:val="-5"/>
        </w:rPr>
        <w:t> </w:t>
      </w:r>
      <w:r>
        <w:rPr/>
        <w:t>include counseling that facilitates acceptance, social support, or open and affirming exploration and development of one’s sexual or gender identity, including navigating sexual orientation and/or gender identity within the context of intersecting identities.</w:t>
      </w:r>
    </w:p>
    <w:p>
      <w:pPr>
        <w:spacing w:after="0"/>
        <w:sectPr>
          <w:pgSz w:w="12240" w:h="15840"/>
          <w:pgMar w:header="0" w:footer="783" w:top="960" w:bottom="980" w:left="1400" w:right="1180"/>
        </w:sectPr>
      </w:pPr>
    </w:p>
    <w:p>
      <w:pPr>
        <w:pStyle w:val="BodyText"/>
        <w:spacing w:before="1"/>
        <w:rPr>
          <w:sz w:val="27"/>
        </w:rPr>
      </w:pPr>
    </w:p>
    <w:p>
      <w:pPr>
        <w:pStyle w:val="Heading3"/>
        <w:spacing w:before="88"/>
      </w:pPr>
      <w:r>
        <w:rPr>
          <w:i/>
        </w:rPr>
        <w:t>Professional</w:t>
      </w:r>
      <w:r>
        <w:rPr>
          <w:i/>
          <w:spacing w:val="-5"/>
        </w:rPr>
        <w:t> </w:t>
      </w:r>
      <w:r>
        <w:rPr>
          <w:i/>
        </w:rPr>
        <w:t>Consensus</w:t>
      </w:r>
      <w:r>
        <w:rPr>
          <w:i/>
          <w:spacing w:val="-5"/>
        </w:rPr>
        <w:t> </w:t>
      </w:r>
      <w:r>
        <w:rPr>
          <w:i/>
        </w:rPr>
        <w:t>on</w:t>
      </w:r>
      <w:r>
        <w:rPr>
          <w:i/>
          <w:spacing w:val="-5"/>
        </w:rPr>
        <w:t> </w:t>
      </w:r>
      <w:r>
        <w:rPr>
          <w:i/>
        </w:rPr>
        <w:t>Sexual</w:t>
      </w:r>
      <w:r>
        <w:rPr>
          <w:i/>
          <w:spacing w:val="-5"/>
        </w:rPr>
        <w:t> </w:t>
      </w:r>
      <w:r>
        <w:rPr>
          <w:i/>
        </w:rPr>
        <w:t>Orientation</w:t>
      </w:r>
      <w:r>
        <w:rPr>
          <w:i/>
          <w:spacing w:val="-5"/>
        </w:rPr>
        <w:t> </w:t>
      </w:r>
      <w:r>
        <w:rPr>
          <w:i/>
        </w:rPr>
        <w:t>and</w:t>
      </w:r>
      <w:r>
        <w:rPr>
          <w:i/>
          <w:spacing w:val="-5"/>
        </w:rPr>
        <w:t> </w:t>
      </w:r>
      <w:r>
        <w:rPr>
          <w:i/>
        </w:rPr>
        <w:t>Gender</w:t>
      </w:r>
      <w:r>
        <w:rPr>
          <w:i/>
          <w:spacing w:val="-5"/>
        </w:rPr>
        <w:t> </w:t>
      </w:r>
      <w:r>
        <w:rPr>
          <w:i/>
        </w:rPr>
        <w:t>Identity</w:t>
      </w:r>
      <w:r>
        <w:rPr>
          <w:i/>
          <w:spacing w:val="-6"/>
        </w:rPr>
        <w:t> </w:t>
      </w:r>
      <w:r>
        <w:rPr>
          <w:i/>
        </w:rPr>
        <w:t>Change</w:t>
      </w:r>
      <w:r>
        <w:rPr/>
        <w:t> Efforts With Youth</w:t>
      </w:r>
    </w:p>
    <w:p>
      <w:pPr>
        <w:pStyle w:val="BodyText"/>
        <w:spacing w:line="235" w:lineRule="auto" w:before="128"/>
        <w:ind w:left="640" w:right="502" w:hanging="360"/>
      </w:pPr>
      <w:r>
        <w:rPr>
          <w:rFonts w:ascii="Microsoft Sans Serif" w:hAnsi="Microsoft Sans Serif" w:cs="Microsoft Sans Serif" w:eastAsia="Microsoft Sans Serif"/>
          <w:w w:val="110"/>
          <w:position w:val="-1"/>
        </w:rPr>
        <w:t>๏</w:t>
      </w:r>
      <w:r>
        <w:rPr>
          <w:rFonts w:ascii="Microsoft Sans Serif" w:hAnsi="Microsoft Sans Serif" w:cs="Microsoft Sans Serif" w:eastAsia="Microsoft Sans Serif"/>
          <w:spacing w:val="40"/>
          <w:w w:val="110"/>
          <w:position w:val="-1"/>
        </w:rPr>
        <w:t> </w:t>
      </w:r>
      <w:r>
        <w:rPr/>
        <w:t>Available</w:t>
      </w:r>
      <w:r>
        <w:rPr>
          <w:spacing w:val="-3"/>
        </w:rPr>
        <w:t> </w:t>
      </w:r>
      <w:r>
        <w:rPr/>
        <w:t>research</w:t>
      </w:r>
      <w:r>
        <w:rPr>
          <w:spacing w:val="-2"/>
        </w:rPr>
        <w:t> </w:t>
      </w:r>
      <w:r>
        <w:rPr/>
        <w:t>indicates</w:t>
      </w:r>
      <w:r>
        <w:rPr>
          <w:spacing w:val="-2"/>
        </w:rPr>
        <w:t> </w:t>
      </w:r>
      <w:r>
        <w:rPr/>
        <w:t>that</w:t>
      </w:r>
      <w:r>
        <w:rPr>
          <w:spacing w:val="-2"/>
        </w:rPr>
        <w:t> </w:t>
      </w:r>
      <w:r>
        <w:rPr/>
        <w:t>SOGI</w:t>
      </w:r>
      <w:r>
        <w:rPr>
          <w:spacing w:val="-2"/>
        </w:rPr>
        <w:t> </w:t>
      </w:r>
      <w:r>
        <w:rPr/>
        <w:t>change</w:t>
      </w:r>
      <w:r>
        <w:rPr>
          <w:spacing w:val="-3"/>
        </w:rPr>
        <w:t> </w:t>
      </w:r>
      <w:r>
        <w:rPr/>
        <w:t>efforts</w:t>
      </w:r>
      <w:r>
        <w:rPr>
          <w:spacing w:val="-2"/>
        </w:rPr>
        <w:t> </w:t>
      </w:r>
      <w:r>
        <w:rPr/>
        <w:t>can</w:t>
      </w:r>
      <w:r>
        <w:rPr>
          <w:spacing w:val="-2"/>
        </w:rPr>
        <w:t> </w:t>
      </w:r>
      <w:r>
        <w:rPr/>
        <w:t>cause</w:t>
      </w:r>
      <w:r>
        <w:rPr>
          <w:spacing w:val="-3"/>
        </w:rPr>
        <w:t> </w:t>
      </w:r>
      <w:r>
        <w:rPr/>
        <w:t>significant harm. It also indicates that these efforts are not effective in altering sexual orientation. Further, no available research indicates that SOGI change efforts are effective in altering gender identity. No available research supports the claim that these efforts are beneficial to children, adolescents, or families.</w:t>
      </w:r>
    </w:p>
    <w:p>
      <w:pPr>
        <w:pStyle w:val="BodyText"/>
        <w:spacing w:line="225" w:lineRule="auto" w:before="146"/>
        <w:ind w:left="640" w:right="502" w:hanging="360"/>
      </w:pPr>
      <w:r>
        <w:rPr>
          <w:rFonts w:ascii="Microsoft Sans Serif" w:hAnsi="Microsoft Sans Serif" w:cs="Microsoft Sans Serif" w:eastAsia="Microsoft Sans Serif"/>
          <w:w w:val="110"/>
          <w:position w:val="-1"/>
        </w:rPr>
        <w:t>๏</w:t>
      </w:r>
      <w:r>
        <w:rPr>
          <w:rFonts w:ascii="Microsoft Sans Serif" w:hAnsi="Microsoft Sans Serif" w:cs="Microsoft Sans Serif" w:eastAsia="Microsoft Sans Serif"/>
          <w:spacing w:val="40"/>
          <w:w w:val="110"/>
          <w:position w:val="-1"/>
        </w:rPr>
        <w:t> </w:t>
      </w:r>
      <w:r>
        <w:rPr/>
        <w:t>SOGI change</w:t>
      </w:r>
      <w:r>
        <w:rPr>
          <w:spacing w:val="-1"/>
        </w:rPr>
        <w:t> </w:t>
      </w:r>
      <w:r>
        <w:rPr/>
        <w:t>efforts are</w:t>
      </w:r>
      <w:r>
        <w:rPr>
          <w:spacing w:val="-1"/>
        </w:rPr>
        <w:t> </w:t>
      </w:r>
      <w:r>
        <w:rPr/>
        <w:t>inappropriate</w:t>
      </w:r>
      <w:r>
        <w:rPr>
          <w:spacing w:val="-1"/>
        </w:rPr>
        <w:t> </w:t>
      </w:r>
      <w:r>
        <w:rPr/>
        <w:t>practices that should not be</w:t>
      </w:r>
      <w:r>
        <w:rPr>
          <w:spacing w:val="-1"/>
        </w:rPr>
        <w:t> </w:t>
      </w:r>
      <w:r>
        <w:rPr/>
        <w:t>provided to children and adolescents.</w:t>
      </w:r>
    </w:p>
    <w:p>
      <w:pPr>
        <w:pStyle w:val="BodyText"/>
        <w:spacing w:line="235" w:lineRule="auto" w:before="133"/>
        <w:ind w:left="640" w:right="502" w:hanging="360"/>
      </w:pPr>
      <w:r>
        <w:rPr>
          <w:rFonts w:ascii="Microsoft Sans Serif" w:hAnsi="Microsoft Sans Serif" w:cs="Microsoft Sans Serif" w:eastAsia="Microsoft Sans Serif"/>
          <w:w w:val="110"/>
          <w:position w:val="-1"/>
        </w:rPr>
        <w:t>๏</w:t>
      </w:r>
      <w:r>
        <w:rPr>
          <w:rFonts w:ascii="Microsoft Sans Serif" w:hAnsi="Microsoft Sans Serif" w:cs="Microsoft Sans Serif" w:eastAsia="Microsoft Sans Serif"/>
          <w:spacing w:val="40"/>
          <w:w w:val="110"/>
          <w:position w:val="-1"/>
        </w:rPr>
        <w:t> </w:t>
      </w:r>
      <w:r>
        <w:rPr/>
        <w:t>Rejection and lack of social and emotional support from families and communities</w:t>
      </w:r>
      <w:r>
        <w:rPr>
          <w:spacing w:val="-5"/>
        </w:rPr>
        <w:t> </w:t>
      </w:r>
      <w:r>
        <w:rPr/>
        <w:t>negatively</w:t>
      </w:r>
      <w:r>
        <w:rPr>
          <w:spacing w:val="-5"/>
        </w:rPr>
        <w:t> </w:t>
      </w:r>
      <w:r>
        <w:rPr/>
        <w:t>impact</w:t>
      </w:r>
      <w:r>
        <w:rPr>
          <w:spacing w:val="-5"/>
        </w:rPr>
        <w:t> </w:t>
      </w:r>
      <w:r>
        <w:rPr/>
        <w:t>the</w:t>
      </w:r>
      <w:r>
        <w:rPr>
          <w:spacing w:val="-5"/>
        </w:rPr>
        <w:t> </w:t>
      </w:r>
      <w:r>
        <w:rPr/>
        <w:t>health</w:t>
      </w:r>
      <w:r>
        <w:rPr>
          <w:spacing w:val="-5"/>
        </w:rPr>
        <w:t> </w:t>
      </w:r>
      <w:r>
        <w:rPr/>
        <w:t>of</w:t>
      </w:r>
      <w:r>
        <w:rPr>
          <w:spacing w:val="-5"/>
        </w:rPr>
        <w:t> </w:t>
      </w:r>
      <w:r>
        <w:rPr/>
        <w:t>sexual</w:t>
      </w:r>
      <w:r>
        <w:rPr>
          <w:spacing w:val="-5"/>
        </w:rPr>
        <w:t> </w:t>
      </w:r>
      <w:r>
        <w:rPr/>
        <w:t>and</w:t>
      </w:r>
      <w:r>
        <w:rPr>
          <w:spacing w:val="-5"/>
        </w:rPr>
        <w:t> </w:t>
      </w:r>
      <w:r>
        <w:rPr/>
        <w:t>gender</w:t>
      </w:r>
      <w:r>
        <w:rPr>
          <w:spacing w:val="-5"/>
        </w:rPr>
        <w:t> </w:t>
      </w:r>
      <w:r>
        <w:rPr/>
        <w:t>minority youth. Such behaviors can cause harm, particularly family rejection of sexual orientation and/or gender diversity.</w:t>
      </w:r>
    </w:p>
    <w:p>
      <w:pPr>
        <w:pStyle w:val="BodyText"/>
        <w:spacing w:before="5"/>
        <w:rPr>
          <w:sz w:val="38"/>
        </w:rPr>
      </w:pPr>
    </w:p>
    <w:p>
      <w:pPr>
        <w:pStyle w:val="Heading3"/>
      </w:pPr>
      <w:r>
        <w:rPr>
          <w:i/>
        </w:rPr>
        <w:t>Professional</w:t>
      </w:r>
      <w:r>
        <w:rPr>
          <w:i/>
          <w:spacing w:val="-12"/>
        </w:rPr>
        <w:t> </w:t>
      </w:r>
      <w:r>
        <w:rPr>
          <w:i/>
        </w:rPr>
        <w:t>Consensus</w:t>
      </w:r>
      <w:r>
        <w:rPr>
          <w:i/>
          <w:spacing w:val="-10"/>
        </w:rPr>
        <w:t> </w:t>
      </w:r>
      <w:r>
        <w:rPr>
          <w:i/>
        </w:rPr>
        <w:t>on</w:t>
      </w:r>
      <w:r>
        <w:rPr>
          <w:i/>
          <w:spacing w:val="-18"/>
        </w:rPr>
        <w:t> </w:t>
      </w:r>
      <w:r>
        <w:rPr>
          <w:i/>
        </w:rPr>
        <w:t>Appropriate</w:t>
      </w:r>
      <w:r>
        <w:rPr>
          <w:i/>
          <w:spacing w:val="-11"/>
        </w:rPr>
        <w:t> </w:t>
      </w:r>
      <w:r>
        <w:rPr>
          <w:i/>
        </w:rPr>
        <w:t>Interventions</w:t>
      </w:r>
      <w:r>
        <w:rPr>
          <w:i/>
          <w:spacing w:val="-16"/>
        </w:rPr>
        <w:t> </w:t>
      </w:r>
      <w:r>
        <w:rPr>
          <w:i/>
        </w:rPr>
        <w:t>With</w:t>
      </w:r>
      <w:r>
        <w:rPr>
          <w:i/>
          <w:spacing w:val="-16"/>
        </w:rPr>
        <w:t> </w:t>
      </w:r>
      <w:r>
        <w:rPr>
          <w:i/>
        </w:rPr>
        <w:t>Youth</w:t>
      </w:r>
      <w:r>
        <w:rPr>
          <w:i/>
          <w:spacing w:val="-10"/>
        </w:rPr>
        <w:t> </w:t>
      </w:r>
      <w:r>
        <w:rPr>
          <w:i/>
        </w:rPr>
        <w:t>of</w:t>
      </w:r>
      <w:r>
        <w:rPr>
          <w:i/>
          <w:spacing w:val="-10"/>
        </w:rPr>
        <w:t> </w:t>
      </w:r>
      <w:r>
        <w:rPr>
          <w:i/>
        </w:rPr>
        <w:t>Diverse</w:t>
      </w:r>
      <w:r>
        <w:rPr/>
        <w:t> Sexual Orientation and/or Gender Identity and Their Families</w:t>
      </w:r>
    </w:p>
    <w:p>
      <w:pPr>
        <w:pStyle w:val="BodyText"/>
        <w:spacing w:before="63"/>
        <w:ind w:left="280"/>
      </w:pPr>
      <w:r>
        <w:rPr/>
        <w:t>Appropriate</w:t>
      </w:r>
      <w:r>
        <w:rPr>
          <w:spacing w:val="-5"/>
        </w:rPr>
        <w:t> </w:t>
      </w:r>
      <w:r>
        <w:rPr/>
        <w:t>approaches</w:t>
      </w:r>
      <w:r>
        <w:rPr>
          <w:spacing w:val="-4"/>
        </w:rPr>
        <w:t> </w:t>
      </w:r>
      <w:r>
        <w:rPr/>
        <w:t>to</w:t>
      </w:r>
      <w:r>
        <w:rPr>
          <w:spacing w:val="-4"/>
        </w:rPr>
        <w:t> </w:t>
      </w:r>
      <w:r>
        <w:rPr/>
        <w:t>care</w:t>
      </w:r>
      <w:r>
        <w:rPr>
          <w:spacing w:val="-5"/>
        </w:rPr>
        <w:t> </w:t>
      </w:r>
      <w:r>
        <w:rPr/>
        <w:t>for</w:t>
      </w:r>
      <w:r>
        <w:rPr>
          <w:spacing w:val="-4"/>
        </w:rPr>
        <w:t> </w:t>
      </w:r>
      <w:r>
        <w:rPr/>
        <w:t>sexual</w:t>
      </w:r>
      <w:r>
        <w:rPr>
          <w:spacing w:val="-4"/>
        </w:rPr>
        <w:t> </w:t>
      </w:r>
      <w:r>
        <w:rPr/>
        <w:t>and</w:t>
      </w:r>
      <w:r>
        <w:rPr>
          <w:spacing w:val="-4"/>
        </w:rPr>
        <w:t> </w:t>
      </w:r>
      <w:r>
        <w:rPr/>
        <w:t>gender</w:t>
      </w:r>
      <w:r>
        <w:rPr>
          <w:spacing w:val="-4"/>
        </w:rPr>
        <w:t> </w:t>
      </w:r>
      <w:r>
        <w:rPr/>
        <w:t>minority</w:t>
      </w:r>
      <w:r>
        <w:rPr>
          <w:spacing w:val="-4"/>
        </w:rPr>
        <w:t> </w:t>
      </w:r>
      <w:r>
        <w:rPr/>
        <w:t>youth</w:t>
      </w:r>
      <w:r>
        <w:rPr>
          <w:spacing w:val="-4"/>
        </w:rPr>
        <w:t> </w:t>
      </w:r>
      <w:r>
        <w:rPr/>
        <w:t>and</w:t>
      </w:r>
      <w:r>
        <w:rPr>
          <w:spacing w:val="-4"/>
        </w:rPr>
        <w:t> </w:t>
      </w:r>
      <w:r>
        <w:rPr/>
        <w:t>their families: Are evidence-based and person-centered</w:t>
      </w:r>
    </w:p>
    <w:p>
      <w:pPr>
        <w:pStyle w:val="BodyText"/>
        <w:spacing w:before="59"/>
        <w:ind w:left="280"/>
      </w:pPr>
      <w:r>
        <w:rPr>
          <w:rFonts w:ascii="Microsoft Sans Serif" w:hAnsi="Microsoft Sans Serif" w:cs="Microsoft Sans Serif" w:eastAsia="Microsoft Sans Serif"/>
          <w:position w:val="-1"/>
        </w:rPr>
        <w:t>๏</w:t>
      </w:r>
      <w:r>
        <w:rPr>
          <w:rFonts w:ascii="Microsoft Sans Serif" w:hAnsi="Microsoft Sans Serif" w:cs="Microsoft Sans Serif" w:eastAsia="Microsoft Sans Serif"/>
          <w:spacing w:val="53"/>
          <w:w w:val="150"/>
          <w:position w:val="-1"/>
        </w:rPr>
        <w:t> </w:t>
      </w:r>
      <w:r>
        <w:rPr/>
        <w:t>Reduce</w:t>
      </w:r>
      <w:r>
        <w:rPr>
          <w:spacing w:val="3"/>
        </w:rPr>
        <w:t> </w:t>
      </w:r>
      <w:r>
        <w:rPr/>
        <w:t>the</w:t>
      </w:r>
      <w:r>
        <w:rPr>
          <w:spacing w:val="4"/>
        </w:rPr>
        <w:t> </w:t>
      </w:r>
      <w:r>
        <w:rPr/>
        <w:t>rejection</w:t>
      </w:r>
      <w:r>
        <w:rPr>
          <w:spacing w:val="4"/>
        </w:rPr>
        <w:t> </w:t>
      </w:r>
      <w:r>
        <w:rPr/>
        <w:t>of</w:t>
      </w:r>
      <w:r>
        <w:rPr>
          <w:spacing w:val="5"/>
        </w:rPr>
        <w:t> </w:t>
      </w:r>
      <w:r>
        <w:rPr/>
        <w:t>sexual</w:t>
      </w:r>
      <w:r>
        <w:rPr>
          <w:spacing w:val="5"/>
        </w:rPr>
        <w:t> </w:t>
      </w:r>
      <w:r>
        <w:rPr/>
        <w:t>and</w:t>
      </w:r>
      <w:r>
        <w:rPr>
          <w:spacing w:val="4"/>
        </w:rPr>
        <w:t> </w:t>
      </w:r>
      <w:r>
        <w:rPr/>
        <w:t>gender</w:t>
      </w:r>
      <w:r>
        <w:rPr>
          <w:spacing w:val="5"/>
        </w:rPr>
        <w:t> </w:t>
      </w:r>
      <w:r>
        <w:rPr/>
        <w:t>minority</w:t>
      </w:r>
      <w:r>
        <w:rPr>
          <w:spacing w:val="5"/>
        </w:rPr>
        <w:t> </w:t>
      </w:r>
      <w:r>
        <w:rPr>
          <w:spacing w:val="-2"/>
        </w:rPr>
        <w:t>youth</w:t>
      </w:r>
    </w:p>
    <w:p>
      <w:pPr>
        <w:pStyle w:val="BodyText"/>
        <w:spacing w:before="43"/>
        <w:ind w:left="280"/>
      </w:pPr>
      <w:r>
        <w:rPr>
          <w:rFonts w:ascii="Microsoft Sans Serif" w:hAnsi="Microsoft Sans Serif" w:cs="Microsoft Sans Serif" w:eastAsia="Microsoft Sans Serif"/>
          <w:position w:val="-1"/>
        </w:rPr>
        <w:t>๏</w:t>
      </w:r>
      <w:r>
        <w:rPr>
          <w:rFonts w:ascii="Microsoft Sans Serif" w:hAnsi="Microsoft Sans Serif" w:cs="Microsoft Sans Serif" w:eastAsia="Microsoft Sans Serif"/>
          <w:spacing w:val="52"/>
          <w:w w:val="150"/>
          <w:position w:val="-1"/>
        </w:rPr>
        <w:t> </w:t>
      </w:r>
      <w:r>
        <w:rPr/>
        <w:t>Increase</w:t>
      </w:r>
      <w:r>
        <w:rPr>
          <w:spacing w:val="3"/>
        </w:rPr>
        <w:t> </w:t>
      </w:r>
      <w:r>
        <w:rPr/>
        <w:t>family,</w:t>
      </w:r>
      <w:r>
        <w:rPr>
          <w:spacing w:val="5"/>
        </w:rPr>
        <w:t> </w:t>
      </w:r>
      <w:r>
        <w:rPr/>
        <w:t>school,</w:t>
      </w:r>
      <w:r>
        <w:rPr>
          <w:spacing w:val="4"/>
        </w:rPr>
        <w:t> </w:t>
      </w:r>
      <w:r>
        <w:rPr/>
        <w:t>and</w:t>
      </w:r>
      <w:r>
        <w:rPr>
          <w:spacing w:val="4"/>
        </w:rPr>
        <w:t> </w:t>
      </w:r>
      <w:r>
        <w:rPr/>
        <w:t>community</w:t>
      </w:r>
      <w:r>
        <w:rPr>
          <w:spacing w:val="5"/>
        </w:rPr>
        <w:t> </w:t>
      </w:r>
      <w:r>
        <w:rPr>
          <w:spacing w:val="-2"/>
        </w:rPr>
        <w:t>support</w:t>
      </w:r>
    </w:p>
    <w:p>
      <w:pPr>
        <w:pStyle w:val="BodyText"/>
        <w:spacing w:line="235" w:lineRule="auto" w:before="48"/>
        <w:ind w:left="640" w:right="502" w:hanging="360"/>
      </w:pPr>
      <w:r>
        <w:rPr>
          <w:rFonts w:ascii="Microsoft Sans Serif" w:hAnsi="Microsoft Sans Serif" w:cs="Microsoft Sans Serif" w:eastAsia="Microsoft Sans Serif"/>
          <w:w w:val="110"/>
          <w:position w:val="-1"/>
        </w:rPr>
        <w:t>๏</w:t>
      </w:r>
      <w:r>
        <w:rPr>
          <w:rFonts w:ascii="Microsoft Sans Serif" w:hAnsi="Microsoft Sans Serif" w:cs="Microsoft Sans Serif" w:eastAsia="Microsoft Sans Serif"/>
          <w:spacing w:val="40"/>
          <w:w w:val="110"/>
          <w:position w:val="-1"/>
        </w:rPr>
        <w:t> </w:t>
      </w:r>
      <w:r>
        <w:rPr/>
        <w:t>Are responsive to children’s, adolescents’, and families’</w:t>
      </w:r>
      <w:r>
        <w:rPr>
          <w:spacing w:val="-8"/>
        </w:rPr>
        <w:t> </w:t>
      </w:r>
      <w:r>
        <w:rPr/>
        <w:t>intersectional identities,</w:t>
      </w:r>
      <w:r>
        <w:rPr>
          <w:spacing w:val="-3"/>
        </w:rPr>
        <w:t> </w:t>
      </w:r>
      <w:r>
        <w:rPr/>
        <w:t>including</w:t>
      </w:r>
      <w:r>
        <w:rPr>
          <w:spacing w:val="-3"/>
        </w:rPr>
        <w:t> </w:t>
      </w:r>
      <w:r>
        <w:rPr/>
        <w:t>age,</w:t>
      </w:r>
      <w:r>
        <w:rPr>
          <w:spacing w:val="-3"/>
        </w:rPr>
        <w:t> </w:t>
      </w:r>
      <w:r>
        <w:rPr/>
        <w:t>gender,</w:t>
      </w:r>
      <w:r>
        <w:rPr>
          <w:spacing w:val="-3"/>
        </w:rPr>
        <w:t> </w:t>
      </w:r>
      <w:r>
        <w:rPr/>
        <w:t>race,</w:t>
      </w:r>
      <w:r>
        <w:rPr>
          <w:spacing w:val="-3"/>
        </w:rPr>
        <w:t> </w:t>
      </w:r>
      <w:r>
        <w:rPr/>
        <w:t>ethnicity,</w:t>
      </w:r>
      <w:r>
        <w:rPr>
          <w:spacing w:val="-3"/>
        </w:rPr>
        <w:t> </w:t>
      </w:r>
      <w:r>
        <w:rPr/>
        <w:t>culture,</w:t>
      </w:r>
      <w:r>
        <w:rPr>
          <w:spacing w:val="-3"/>
        </w:rPr>
        <w:t> </w:t>
      </w:r>
      <w:r>
        <w:rPr/>
        <w:t>national</w:t>
      </w:r>
      <w:r>
        <w:rPr>
          <w:spacing w:val="-3"/>
        </w:rPr>
        <w:t> </w:t>
      </w:r>
      <w:r>
        <w:rPr/>
        <w:t>origin, religion,</w:t>
      </w:r>
      <w:r>
        <w:rPr>
          <w:spacing w:val="-9"/>
        </w:rPr>
        <w:t> </w:t>
      </w:r>
      <w:r>
        <w:rPr/>
        <w:t>spirituality,</w:t>
      </w:r>
      <w:r>
        <w:rPr>
          <w:spacing w:val="-9"/>
        </w:rPr>
        <w:t> </w:t>
      </w:r>
      <w:r>
        <w:rPr/>
        <w:t>sexual</w:t>
      </w:r>
      <w:r>
        <w:rPr>
          <w:spacing w:val="-9"/>
        </w:rPr>
        <w:t> </w:t>
      </w:r>
      <w:r>
        <w:rPr/>
        <w:t>orientation,</w:t>
      </w:r>
      <w:r>
        <w:rPr>
          <w:spacing w:val="-9"/>
        </w:rPr>
        <w:t> </w:t>
      </w:r>
      <w:r>
        <w:rPr/>
        <w:t>different</w:t>
      </w:r>
      <w:r>
        <w:rPr>
          <w:spacing w:val="-9"/>
        </w:rPr>
        <w:t> </w:t>
      </w:r>
      <w:r>
        <w:rPr/>
        <w:t>abilities,</w:t>
      </w:r>
      <w:r>
        <w:rPr>
          <w:spacing w:val="-9"/>
        </w:rPr>
        <w:t> </w:t>
      </w:r>
      <w:r>
        <w:rPr/>
        <w:t>language,</w:t>
      </w:r>
      <w:r>
        <w:rPr>
          <w:spacing w:val="-9"/>
        </w:rPr>
        <w:t> </w:t>
      </w:r>
      <w:r>
        <w:rPr/>
        <w:t>and socioeconomic status</w:t>
      </w:r>
    </w:p>
    <w:p>
      <w:pPr>
        <w:pStyle w:val="BodyText"/>
        <w:spacing w:before="9"/>
        <w:rPr>
          <w:sz w:val="32"/>
        </w:rPr>
      </w:pPr>
    </w:p>
    <w:p>
      <w:pPr>
        <w:pStyle w:val="BodyText"/>
        <w:spacing w:before="1"/>
        <w:ind w:left="280" w:right="668"/>
      </w:pPr>
      <w:r>
        <w:rPr/>
        <w:t>Appropriate</w:t>
      </w:r>
      <w:r>
        <w:rPr>
          <w:spacing w:val="-5"/>
        </w:rPr>
        <w:t> </w:t>
      </w:r>
      <w:r>
        <w:rPr/>
        <w:t>therapeutic</w:t>
      </w:r>
      <w:r>
        <w:rPr>
          <w:spacing w:val="-5"/>
        </w:rPr>
        <w:t> </w:t>
      </w:r>
      <w:r>
        <w:rPr/>
        <w:t>approaches</w:t>
      </w:r>
      <w:r>
        <w:rPr>
          <w:spacing w:val="-4"/>
        </w:rPr>
        <w:t> </w:t>
      </w:r>
      <w:r>
        <w:rPr/>
        <w:t>for</w:t>
      </w:r>
      <w:r>
        <w:rPr>
          <w:spacing w:val="-4"/>
        </w:rPr>
        <w:t> </w:t>
      </w:r>
      <w:r>
        <w:rPr/>
        <w:t>sexual</w:t>
      </w:r>
      <w:r>
        <w:rPr>
          <w:spacing w:val="-4"/>
        </w:rPr>
        <w:t> </w:t>
      </w:r>
      <w:r>
        <w:rPr/>
        <w:t>and</w:t>
      </w:r>
      <w:r>
        <w:rPr>
          <w:spacing w:val="-4"/>
        </w:rPr>
        <w:t> </w:t>
      </w:r>
      <w:r>
        <w:rPr/>
        <w:t>gender</w:t>
      </w:r>
      <w:r>
        <w:rPr>
          <w:spacing w:val="-4"/>
        </w:rPr>
        <w:t> </w:t>
      </w:r>
      <w:r>
        <w:rPr/>
        <w:t>minority</w:t>
      </w:r>
      <w:r>
        <w:rPr>
          <w:spacing w:val="-4"/>
        </w:rPr>
        <w:t> </w:t>
      </w:r>
      <w:r>
        <w:rPr/>
        <w:t>youth</w:t>
      </w:r>
      <w:r>
        <w:rPr>
          <w:spacing w:val="-4"/>
        </w:rPr>
        <w:t> </w:t>
      </w:r>
      <w:r>
        <w:rPr/>
        <w:t>do the following:</w:t>
      </w:r>
    </w:p>
    <w:p>
      <w:pPr>
        <w:pStyle w:val="BodyText"/>
        <w:spacing w:line="225" w:lineRule="auto" w:before="73"/>
        <w:ind w:left="640" w:hanging="360"/>
      </w:pPr>
      <w:r>
        <w:rPr>
          <w:rFonts w:ascii="Microsoft Sans Serif" w:hAnsi="Microsoft Sans Serif" w:cs="Microsoft Sans Serif" w:eastAsia="Microsoft Sans Serif"/>
          <w:position w:val="-1"/>
        </w:rPr>
        <w:t>๏</w:t>
      </w:r>
      <w:r>
        <w:rPr>
          <w:rFonts w:ascii="Microsoft Sans Serif" w:hAnsi="Microsoft Sans Serif" w:cs="Microsoft Sans Serif" w:eastAsia="Microsoft Sans Serif"/>
          <w:spacing w:val="40"/>
          <w:position w:val="-1"/>
        </w:rPr>
        <w:t> </w:t>
      </w:r>
      <w:r>
        <w:rPr/>
        <w:t>Provide accurate information on sexual orientation and gender identity and </w:t>
      </w:r>
      <w:r>
        <w:rPr>
          <w:spacing w:val="-2"/>
          <w:w w:val="105"/>
        </w:rPr>
        <w:t>expression</w:t>
      </w:r>
    </w:p>
    <w:p>
      <w:pPr>
        <w:pStyle w:val="BodyText"/>
        <w:spacing w:line="225" w:lineRule="auto" w:before="80"/>
        <w:ind w:left="640" w:right="502" w:hanging="360"/>
      </w:pPr>
      <w:r>
        <w:rPr>
          <w:rFonts w:ascii="Microsoft Sans Serif" w:hAnsi="Microsoft Sans Serif" w:cs="Microsoft Sans Serif" w:eastAsia="Microsoft Sans Serif"/>
          <w:w w:val="110"/>
          <w:position w:val="-1"/>
        </w:rPr>
        <w:t>๏</w:t>
      </w:r>
      <w:r>
        <w:rPr>
          <w:rFonts w:ascii="Microsoft Sans Serif" w:hAnsi="Microsoft Sans Serif" w:cs="Microsoft Sans Serif" w:eastAsia="Microsoft Sans Serif"/>
          <w:spacing w:val="40"/>
          <w:w w:val="110"/>
          <w:position w:val="-1"/>
        </w:rPr>
        <w:t> </w:t>
      </w:r>
      <w:r>
        <w:rPr/>
        <w:t>Identify sources of distress for children, adolescents, and families and work with them to reduce it</w:t>
      </w:r>
    </w:p>
    <w:p>
      <w:pPr>
        <w:pStyle w:val="BodyText"/>
        <w:spacing w:line="225" w:lineRule="auto" w:before="79"/>
        <w:ind w:left="640" w:right="502" w:hanging="360"/>
      </w:pPr>
      <w:r>
        <w:rPr>
          <w:rFonts w:ascii="Microsoft Sans Serif" w:hAnsi="Microsoft Sans Serif" w:cs="Microsoft Sans Serif" w:eastAsia="Microsoft Sans Serif"/>
          <w:position w:val="-1"/>
        </w:rPr>
        <w:t>๏</w:t>
      </w:r>
      <w:r>
        <w:rPr>
          <w:rFonts w:ascii="Microsoft Sans Serif" w:hAnsi="Microsoft Sans Serif" w:cs="Microsoft Sans Serif" w:eastAsia="Microsoft Sans Serif"/>
          <w:spacing w:val="40"/>
          <w:position w:val="-1"/>
        </w:rPr>
        <w:t> </w:t>
      </w:r>
      <w:r>
        <w:rPr/>
        <w:t>Facilitate</w:t>
      </w:r>
      <w:r>
        <w:rPr>
          <w:spacing w:val="-1"/>
        </w:rPr>
        <w:t> </w:t>
      </w:r>
      <w:r>
        <w:rPr/>
        <w:t>exploration and development of one’s sexual and/or gender </w:t>
      </w:r>
      <w:r>
        <w:rPr>
          <w:spacing w:val="-2"/>
          <w:w w:val="105"/>
        </w:rPr>
        <w:t>identity</w:t>
      </w:r>
    </w:p>
    <w:p>
      <w:pPr>
        <w:pStyle w:val="BodyText"/>
        <w:spacing w:before="65"/>
        <w:ind w:left="280"/>
      </w:pPr>
      <w:r>
        <w:rPr>
          <w:rFonts w:ascii="Microsoft Sans Serif" w:hAnsi="Microsoft Sans Serif" w:cs="Microsoft Sans Serif" w:eastAsia="Microsoft Sans Serif"/>
          <w:position w:val="-1"/>
        </w:rPr>
        <w:t>๏</w:t>
      </w:r>
      <w:r>
        <w:rPr>
          <w:rFonts w:ascii="Microsoft Sans Serif" w:hAnsi="Microsoft Sans Serif" w:cs="Microsoft Sans Serif" w:eastAsia="Microsoft Sans Serif"/>
          <w:spacing w:val="56"/>
          <w:w w:val="150"/>
          <w:position w:val="-1"/>
        </w:rPr>
        <w:t> </w:t>
      </w:r>
      <w:r>
        <w:rPr/>
        <w:t>Support</w:t>
      </w:r>
      <w:r>
        <w:rPr>
          <w:spacing w:val="6"/>
        </w:rPr>
        <w:t> </w:t>
      </w:r>
      <w:r>
        <w:rPr/>
        <w:t>adaptive</w:t>
      </w:r>
      <w:r>
        <w:rPr>
          <w:spacing w:val="5"/>
        </w:rPr>
        <w:t> </w:t>
      </w:r>
      <w:r>
        <w:rPr/>
        <w:t>coping</w:t>
      </w:r>
      <w:r>
        <w:rPr>
          <w:spacing w:val="6"/>
        </w:rPr>
        <w:t> </w:t>
      </w:r>
      <w:r>
        <w:rPr/>
        <w:t>to</w:t>
      </w:r>
      <w:r>
        <w:rPr>
          <w:spacing w:val="6"/>
        </w:rPr>
        <w:t> </w:t>
      </w:r>
      <w:r>
        <w:rPr/>
        <w:t>improve</w:t>
      </w:r>
      <w:r>
        <w:rPr>
          <w:spacing w:val="5"/>
        </w:rPr>
        <w:t> </w:t>
      </w:r>
      <w:r>
        <w:rPr/>
        <w:t>psychological</w:t>
      </w:r>
      <w:r>
        <w:rPr>
          <w:spacing w:val="6"/>
        </w:rPr>
        <w:t> </w:t>
      </w:r>
      <w:r>
        <w:rPr/>
        <w:t>well-</w:t>
      </w:r>
      <w:r>
        <w:rPr>
          <w:spacing w:val="-2"/>
        </w:rPr>
        <w:t>being</w:t>
      </w:r>
    </w:p>
    <w:p>
      <w:pPr>
        <w:spacing w:after="0"/>
        <w:sectPr>
          <w:pgSz w:w="12240" w:h="15840"/>
          <w:pgMar w:header="0" w:footer="783" w:top="1820" w:bottom="980" w:left="1400" w:right="1180"/>
        </w:sectPr>
      </w:pPr>
    </w:p>
    <w:p>
      <w:pPr>
        <w:pStyle w:val="BodyText"/>
        <w:spacing w:line="232" w:lineRule="auto" w:before="113"/>
        <w:ind w:left="640" w:right="502" w:hanging="360"/>
      </w:pPr>
      <w:r>
        <w:rPr>
          <w:rFonts w:ascii="Microsoft Sans Serif" w:hAnsi="Microsoft Sans Serif" w:cs="Microsoft Sans Serif" w:eastAsia="Microsoft Sans Serif"/>
          <w:w w:val="110"/>
          <w:position w:val="-1"/>
        </w:rPr>
        <w:t>๏</w:t>
      </w:r>
      <w:r>
        <w:rPr>
          <w:rFonts w:ascii="Microsoft Sans Serif" w:hAnsi="Microsoft Sans Serif" w:cs="Microsoft Sans Serif" w:eastAsia="Microsoft Sans Serif"/>
          <w:spacing w:val="40"/>
          <w:w w:val="110"/>
          <w:position w:val="-1"/>
        </w:rPr>
        <w:t> </w:t>
      </w:r>
      <w:r>
        <w:rPr/>
        <w:t>Help</w:t>
      </w:r>
      <w:r>
        <w:rPr>
          <w:spacing w:val="-1"/>
        </w:rPr>
        <w:t> </w:t>
      </w:r>
      <w:r>
        <w:rPr/>
        <w:t>youth</w:t>
      </w:r>
      <w:r>
        <w:rPr>
          <w:spacing w:val="-1"/>
        </w:rPr>
        <w:t> </w:t>
      </w:r>
      <w:r>
        <w:rPr/>
        <w:t>navigate</w:t>
      </w:r>
      <w:r>
        <w:rPr>
          <w:spacing w:val="-2"/>
        </w:rPr>
        <w:t> </w:t>
      </w:r>
      <w:r>
        <w:rPr/>
        <w:t>their</w:t>
      </w:r>
      <w:r>
        <w:rPr>
          <w:spacing w:val="-1"/>
        </w:rPr>
        <w:t> </w:t>
      </w:r>
      <w:r>
        <w:rPr/>
        <w:t>sexual</w:t>
      </w:r>
      <w:r>
        <w:rPr>
          <w:spacing w:val="-1"/>
        </w:rPr>
        <w:t> </w:t>
      </w:r>
      <w:r>
        <w:rPr/>
        <w:t>orientation,</w:t>
      </w:r>
      <w:r>
        <w:rPr>
          <w:spacing w:val="-1"/>
        </w:rPr>
        <w:t> </w:t>
      </w:r>
      <w:r>
        <w:rPr/>
        <w:t>gender</w:t>
      </w:r>
      <w:r>
        <w:rPr>
          <w:spacing w:val="-1"/>
        </w:rPr>
        <w:t> </w:t>
      </w:r>
      <w:r>
        <w:rPr/>
        <w:t>identity,</w:t>
      </w:r>
      <w:r>
        <w:rPr>
          <w:spacing w:val="-1"/>
        </w:rPr>
        <w:t> </w:t>
      </w:r>
      <w:r>
        <w:rPr/>
        <w:t>and</w:t>
      </w:r>
      <w:r>
        <w:rPr>
          <w:spacing w:val="-1"/>
        </w:rPr>
        <w:t> </w:t>
      </w:r>
      <w:r>
        <w:rPr/>
        <w:t>gender expression within the context of their cultural, religious, and other intersecting identities</w:t>
      </w:r>
    </w:p>
    <w:p>
      <w:pPr>
        <w:pStyle w:val="BodyText"/>
        <w:rPr>
          <w:sz w:val="20"/>
        </w:rPr>
      </w:pPr>
    </w:p>
    <w:p>
      <w:pPr>
        <w:pStyle w:val="BodyText"/>
        <w:rPr>
          <w:sz w:val="20"/>
        </w:rPr>
      </w:pPr>
    </w:p>
    <w:p>
      <w:pPr>
        <w:pStyle w:val="BodyText"/>
        <w:rPr>
          <w:sz w:val="20"/>
        </w:rPr>
      </w:pPr>
    </w:p>
    <w:p>
      <w:pPr>
        <w:pStyle w:val="BodyText"/>
        <w:spacing w:before="9"/>
        <w:rPr>
          <w:sz w:val="27"/>
        </w:rPr>
      </w:pPr>
    </w:p>
    <w:p>
      <w:pPr>
        <w:spacing w:line="252" w:lineRule="auto" w:before="27"/>
        <w:ind w:left="131" w:right="579" w:firstLine="0"/>
        <w:jc w:val="left"/>
        <w:rPr>
          <w:rFonts w:ascii="Calibri"/>
          <w:sz w:val="36"/>
        </w:rPr>
      </w:pPr>
      <w:r>
        <w:rPr/>
        <mc:AlternateContent>
          <mc:Choice Requires="wps">
            <w:drawing>
              <wp:anchor distT="0" distB="0" distL="0" distR="0" allowOverlap="1" layoutInCell="1" locked="0" behindDoc="1" simplePos="0" relativeHeight="485165056">
                <wp:simplePos x="0" y="0"/>
                <wp:positionH relativeFrom="page">
                  <wp:posOffset>812747</wp:posOffset>
                </wp:positionH>
                <wp:positionV relativeFrom="paragraph">
                  <wp:posOffset>-89710</wp:posOffset>
                </wp:positionV>
                <wp:extent cx="6043295" cy="436372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6043295" cy="4363720"/>
                          <a:chExt cx="6043295" cy="4363720"/>
                        </a:xfrm>
                      </wpg:grpSpPr>
                      <pic:pic>
                        <pic:nvPicPr>
                          <pic:cNvPr id="374" name="Image 374"/>
                          <pic:cNvPicPr/>
                        </pic:nvPicPr>
                        <pic:blipFill>
                          <a:blip r:embed="rId53" cstate="print"/>
                          <a:stretch>
                            <a:fillRect/>
                          </a:stretch>
                        </pic:blipFill>
                        <pic:spPr>
                          <a:xfrm>
                            <a:off x="0" y="0"/>
                            <a:ext cx="6042839" cy="4363147"/>
                          </a:xfrm>
                          <a:prstGeom prst="rect">
                            <a:avLst/>
                          </a:prstGeom>
                        </pic:spPr>
                      </pic:pic>
                      <pic:pic>
                        <pic:nvPicPr>
                          <pic:cNvPr id="375" name="Image 375"/>
                          <pic:cNvPicPr/>
                        </pic:nvPicPr>
                        <pic:blipFill>
                          <a:blip r:embed="rId54" cstate="print"/>
                          <a:stretch>
                            <a:fillRect/>
                          </a:stretch>
                        </pic:blipFill>
                        <pic:spPr>
                          <a:xfrm>
                            <a:off x="76200" y="56200"/>
                            <a:ext cx="5890439" cy="4210747"/>
                          </a:xfrm>
                          <a:prstGeom prst="rect">
                            <a:avLst/>
                          </a:prstGeom>
                        </pic:spPr>
                      </pic:pic>
                      <pic:pic>
                        <pic:nvPicPr>
                          <pic:cNvPr id="376" name="Image 376"/>
                          <pic:cNvPicPr/>
                        </pic:nvPicPr>
                        <pic:blipFill>
                          <a:blip r:embed="rId55" cstate="print"/>
                          <a:stretch>
                            <a:fillRect/>
                          </a:stretch>
                        </pic:blipFill>
                        <pic:spPr>
                          <a:xfrm>
                            <a:off x="42501" y="36617"/>
                            <a:ext cx="5961057" cy="4267199"/>
                          </a:xfrm>
                          <a:prstGeom prst="rect">
                            <a:avLst/>
                          </a:prstGeom>
                        </pic:spPr>
                      </pic:pic>
                    </wpg:wgp>
                  </a:graphicData>
                </a:graphic>
              </wp:anchor>
            </w:drawing>
          </mc:Choice>
          <mc:Fallback>
            <w:pict>
              <v:group style="position:absolute;margin-left:63.99585pt;margin-top:-7.063855pt;width:475.85pt;height:343.6pt;mso-position-horizontal-relative:page;mso-position-vertical-relative:paragraph;z-index:-18151424" id="docshapegroup370" coordorigin="1280,-141" coordsize="9517,6872">
                <v:shape style="position:absolute;left:1279;top:-142;width:9517;height:6872" type="#_x0000_t75" id="docshape371" stroked="false">
                  <v:imagedata r:id="rId53" o:title=""/>
                </v:shape>
                <v:shape style="position:absolute;left:1399;top:-53;width:9277;height:6632" type="#_x0000_t75" id="docshape372" stroked="false">
                  <v:imagedata r:id="rId54" o:title=""/>
                </v:shape>
                <v:shape style="position:absolute;left:1346;top:-84;width:9388;height:6720" type="#_x0000_t75" id="docshape373" stroked="false">
                  <v:imagedata r:id="rId55" o:title=""/>
                </v:shape>
                <w10:wrap type="none"/>
              </v:group>
            </w:pict>
          </mc:Fallback>
        </mc:AlternateContent>
      </w:r>
      <w:r>
        <w:rPr>
          <w:rFonts w:ascii="Calibri"/>
          <w:sz w:val="36"/>
        </w:rPr>
        <w:t>Behavioral health providers may want to consult guidelines from major medical and mental health associations such as: American Academy of Child and Adolescent Psychiatry, American Academy of Pediatrics, American College of Physicians, American Counseling Association, American Medical Association, American Psychiatric Association, American</w:t>
      </w:r>
      <w:r>
        <w:rPr>
          <w:rFonts w:ascii="Calibri"/>
          <w:spacing w:val="-21"/>
          <w:sz w:val="36"/>
        </w:rPr>
        <w:t> </w:t>
      </w:r>
      <w:r>
        <w:rPr>
          <w:rFonts w:ascii="Calibri"/>
          <w:sz w:val="36"/>
        </w:rPr>
        <w:t>Psychoanalytic</w:t>
      </w:r>
      <w:r>
        <w:rPr>
          <w:rFonts w:ascii="Calibri"/>
          <w:spacing w:val="-20"/>
          <w:sz w:val="36"/>
        </w:rPr>
        <w:t> </w:t>
      </w:r>
      <w:r>
        <w:rPr>
          <w:rFonts w:ascii="Calibri"/>
          <w:sz w:val="36"/>
        </w:rPr>
        <w:t>Association,</w:t>
      </w:r>
      <w:r>
        <w:rPr>
          <w:rFonts w:ascii="Calibri"/>
          <w:spacing w:val="-21"/>
          <w:sz w:val="36"/>
        </w:rPr>
        <w:t> </w:t>
      </w:r>
      <w:r>
        <w:rPr>
          <w:rFonts w:ascii="Calibri"/>
          <w:sz w:val="36"/>
        </w:rPr>
        <w:t>American</w:t>
      </w:r>
      <w:r>
        <w:rPr>
          <w:rFonts w:ascii="Calibri"/>
          <w:spacing w:val="-20"/>
          <w:sz w:val="36"/>
        </w:rPr>
        <w:t> </w:t>
      </w:r>
      <w:r>
        <w:rPr>
          <w:rFonts w:ascii="Calibri"/>
          <w:sz w:val="36"/>
        </w:rPr>
        <w:t>Psychological Association, American School Counselor Association, Endocrine Society, National Association of School Psychologists, National Association of Social Workers, Pediatric Endocrine Society, Society for Adolescent Health and Medicine, World Medical Association, and World Professional Association for Transgender Health.</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0"/>
        </w:rPr>
      </w:pPr>
    </w:p>
    <w:p>
      <w:pPr>
        <w:pStyle w:val="BodyText"/>
        <w:spacing w:before="89"/>
        <w:ind w:left="280" w:right="502"/>
      </w:pPr>
      <w:r>
        <w:rPr/>
        <w:t>When working with sexual and gender minority youth, behavioral health providers’</w:t>
      </w:r>
      <w:r>
        <w:rPr>
          <w:spacing w:val="-17"/>
        </w:rPr>
        <w:t> </w:t>
      </w:r>
      <w:r>
        <w:rPr/>
        <w:t>ethical and professional responsibilities include delivering care that reflects</w:t>
      </w:r>
      <w:r>
        <w:rPr>
          <w:spacing w:val="-6"/>
        </w:rPr>
        <w:t> </w:t>
      </w:r>
      <w:r>
        <w:rPr/>
        <w:t>respect,</w:t>
      </w:r>
      <w:r>
        <w:rPr>
          <w:spacing w:val="-6"/>
        </w:rPr>
        <w:t> </w:t>
      </w:r>
      <w:r>
        <w:rPr/>
        <w:t>compassion,</w:t>
      </w:r>
      <w:r>
        <w:rPr>
          <w:spacing w:val="-6"/>
        </w:rPr>
        <w:t> </w:t>
      </w:r>
      <w:r>
        <w:rPr/>
        <w:t>and</w:t>
      </w:r>
      <w:r>
        <w:rPr>
          <w:spacing w:val="-6"/>
        </w:rPr>
        <w:t> </w:t>
      </w:r>
      <w:r>
        <w:rPr/>
        <w:t>cultural</w:t>
      </w:r>
      <w:r>
        <w:rPr>
          <w:spacing w:val="-6"/>
        </w:rPr>
        <w:t> </w:t>
      </w:r>
      <w:r>
        <w:rPr/>
        <w:t>humility.</w:t>
      </w:r>
      <w:r>
        <w:rPr>
          <w:spacing w:val="-6"/>
        </w:rPr>
        <w:t> </w:t>
      </w:r>
      <w:r>
        <w:rPr/>
        <w:t>It</w:t>
      </w:r>
      <w:r>
        <w:rPr>
          <w:spacing w:val="-6"/>
        </w:rPr>
        <w:t> </w:t>
      </w:r>
      <w:r>
        <w:rPr/>
        <w:t>should</w:t>
      </w:r>
      <w:r>
        <w:rPr>
          <w:spacing w:val="-6"/>
        </w:rPr>
        <w:t> </w:t>
      </w:r>
      <w:r>
        <w:rPr/>
        <w:t>be</w:t>
      </w:r>
      <w:r>
        <w:rPr>
          <w:spacing w:val="-7"/>
        </w:rPr>
        <w:t> </w:t>
      </w:r>
      <w:r>
        <w:rPr/>
        <w:t>consistent</w:t>
      </w:r>
      <w:r>
        <w:rPr>
          <w:spacing w:val="-6"/>
        </w:rPr>
        <w:t> </w:t>
      </w:r>
      <w:r>
        <w:rPr/>
        <w:t>with current professional, evidence-based, multidisciplinary resolutions and guidelines</w:t>
      </w:r>
      <w:r>
        <w:rPr>
          <w:spacing w:val="-3"/>
        </w:rPr>
        <w:t> </w:t>
      </w:r>
      <w:r>
        <w:rPr/>
        <w:t>issued</w:t>
      </w:r>
      <w:r>
        <w:rPr>
          <w:spacing w:val="-3"/>
        </w:rPr>
        <w:t> </w:t>
      </w:r>
      <w:r>
        <w:rPr/>
        <w:t>by</w:t>
      </w:r>
      <w:r>
        <w:rPr>
          <w:spacing w:val="-3"/>
        </w:rPr>
        <w:t> </w:t>
      </w:r>
      <w:r>
        <w:rPr/>
        <w:t>leading</w:t>
      </w:r>
      <w:r>
        <w:rPr>
          <w:spacing w:val="-3"/>
        </w:rPr>
        <w:t> </w:t>
      </w:r>
      <w:r>
        <w:rPr/>
        <w:t>health</w:t>
      </w:r>
      <w:r>
        <w:rPr>
          <w:spacing w:val="-3"/>
        </w:rPr>
        <w:t> </w:t>
      </w:r>
      <w:r>
        <w:rPr/>
        <w:t>and</w:t>
      </w:r>
      <w:r>
        <w:rPr>
          <w:spacing w:val="-3"/>
        </w:rPr>
        <w:t> </w:t>
      </w:r>
      <w:r>
        <w:rPr/>
        <w:t>scientific</w:t>
      </w:r>
      <w:r>
        <w:rPr>
          <w:spacing w:val="-4"/>
        </w:rPr>
        <w:t> </w:t>
      </w:r>
      <w:r>
        <w:rPr/>
        <w:t>associations</w:t>
      </w:r>
      <w:r>
        <w:rPr>
          <w:spacing w:val="-3"/>
        </w:rPr>
        <w:t> </w:t>
      </w:r>
      <w:r>
        <w:rPr/>
        <w:t>and</w:t>
      </w:r>
      <w:r>
        <w:rPr>
          <w:spacing w:val="-3"/>
        </w:rPr>
        <w:t> </w:t>
      </w:r>
      <w:r>
        <w:rPr/>
        <w:t>professional ethical principles.</w:t>
      </w:r>
    </w:p>
    <w:p>
      <w:pPr>
        <w:pStyle w:val="BodyText"/>
        <w:spacing w:before="7"/>
        <w:rPr>
          <w:sz w:val="32"/>
        </w:rPr>
      </w:pPr>
    </w:p>
    <w:p>
      <w:pPr>
        <w:pStyle w:val="Heading3"/>
        <w:rPr>
          <w:i/>
        </w:rPr>
      </w:pPr>
      <w:r>
        <w:rPr>
          <w:i/>
        </w:rPr>
        <w:t>Professional</w:t>
      </w:r>
      <w:r>
        <w:rPr>
          <w:i/>
          <w:spacing w:val="-5"/>
        </w:rPr>
        <w:t> </w:t>
      </w:r>
      <w:r>
        <w:rPr>
          <w:i/>
        </w:rPr>
        <w:t>Consensus</w:t>
      </w:r>
      <w:r>
        <w:rPr>
          <w:i/>
          <w:spacing w:val="-2"/>
        </w:rPr>
        <w:t> </w:t>
      </w:r>
      <w:r>
        <w:rPr>
          <w:i/>
        </w:rPr>
        <w:t>on</w:t>
      </w:r>
      <w:r>
        <w:rPr>
          <w:i/>
          <w:spacing w:val="-3"/>
        </w:rPr>
        <w:t> </w:t>
      </w:r>
      <w:r>
        <w:rPr>
          <w:i/>
        </w:rPr>
        <w:t>Education</w:t>
      </w:r>
      <w:r>
        <w:rPr>
          <w:i/>
          <w:spacing w:val="-2"/>
        </w:rPr>
        <w:t> </w:t>
      </w:r>
      <w:r>
        <w:rPr>
          <w:i/>
        </w:rPr>
        <w:t>and</w:t>
      </w:r>
      <w:r>
        <w:rPr>
          <w:i/>
          <w:spacing w:val="-2"/>
        </w:rPr>
        <w:t> Training</w:t>
      </w:r>
    </w:p>
    <w:p>
      <w:pPr>
        <w:pStyle w:val="BodyText"/>
        <w:spacing w:before="65"/>
        <w:ind w:left="280" w:right="502"/>
      </w:pPr>
      <w:r>
        <w:rPr/>
        <w:t>Like all youth, sexual and gender minority youth and their families have diverse</w:t>
      </w:r>
      <w:r>
        <w:rPr>
          <w:spacing w:val="-5"/>
        </w:rPr>
        <w:t> </w:t>
      </w:r>
      <w:r>
        <w:rPr/>
        <w:t>cultural,</w:t>
      </w:r>
      <w:r>
        <w:rPr>
          <w:spacing w:val="-4"/>
        </w:rPr>
        <w:t> </w:t>
      </w:r>
      <w:r>
        <w:rPr/>
        <w:t>ethnic,</w:t>
      </w:r>
      <w:r>
        <w:rPr>
          <w:spacing w:val="-4"/>
        </w:rPr>
        <w:t> </w:t>
      </w:r>
      <w:r>
        <w:rPr/>
        <w:t>racial,</w:t>
      </w:r>
      <w:r>
        <w:rPr>
          <w:spacing w:val="-4"/>
        </w:rPr>
        <w:t> </w:t>
      </w:r>
      <w:r>
        <w:rPr/>
        <w:t>religious,</w:t>
      </w:r>
      <w:r>
        <w:rPr>
          <w:spacing w:val="-4"/>
        </w:rPr>
        <w:t> </w:t>
      </w:r>
      <w:r>
        <w:rPr/>
        <w:t>and</w:t>
      </w:r>
      <w:r>
        <w:rPr>
          <w:spacing w:val="-4"/>
        </w:rPr>
        <w:t> </w:t>
      </w:r>
      <w:r>
        <w:rPr/>
        <w:t>other</w:t>
      </w:r>
      <w:r>
        <w:rPr>
          <w:spacing w:val="-4"/>
        </w:rPr>
        <w:t> </w:t>
      </w:r>
      <w:r>
        <w:rPr/>
        <w:t>identities</w:t>
      </w:r>
      <w:r>
        <w:rPr>
          <w:spacing w:val="-4"/>
        </w:rPr>
        <w:t> </w:t>
      </w:r>
      <w:r>
        <w:rPr/>
        <w:t>that</w:t>
      </w:r>
      <w:r>
        <w:rPr>
          <w:spacing w:val="-4"/>
        </w:rPr>
        <w:t> </w:t>
      </w:r>
      <w:r>
        <w:rPr/>
        <w:t>shape</w:t>
      </w:r>
      <w:r>
        <w:rPr>
          <w:spacing w:val="-5"/>
        </w:rPr>
        <w:t> </w:t>
      </w:r>
      <w:r>
        <w:rPr/>
        <w:t>their</w:t>
      </w:r>
    </w:p>
    <w:p>
      <w:pPr>
        <w:spacing w:after="0"/>
        <w:sectPr>
          <w:pgSz w:w="12240" w:h="15840"/>
          <w:pgMar w:header="0" w:footer="783" w:top="1220" w:bottom="980" w:left="1400" w:right="1180"/>
        </w:sectPr>
      </w:pPr>
    </w:p>
    <w:p>
      <w:pPr>
        <w:pStyle w:val="BodyText"/>
        <w:spacing w:before="66"/>
        <w:ind w:left="280" w:right="502"/>
      </w:pPr>
      <w:r>
        <w:rPr/>
        <w:t>experiences,</w:t>
      </w:r>
      <w:r>
        <w:rPr>
          <w:spacing w:val="-3"/>
        </w:rPr>
        <w:t> </w:t>
      </w:r>
      <w:r>
        <w:rPr/>
        <w:t>values,</w:t>
      </w:r>
      <w:r>
        <w:rPr>
          <w:spacing w:val="-3"/>
        </w:rPr>
        <w:t> </w:t>
      </w:r>
      <w:r>
        <w:rPr/>
        <w:t>and</w:t>
      </w:r>
      <w:r>
        <w:rPr>
          <w:spacing w:val="-3"/>
        </w:rPr>
        <w:t> </w:t>
      </w:r>
      <w:r>
        <w:rPr/>
        <w:t>behavioral</w:t>
      </w:r>
      <w:r>
        <w:rPr>
          <w:spacing w:val="-3"/>
        </w:rPr>
        <w:t> </w:t>
      </w:r>
      <w:r>
        <w:rPr/>
        <w:t>health</w:t>
      </w:r>
      <w:r>
        <w:rPr>
          <w:spacing w:val="-3"/>
        </w:rPr>
        <w:t> </w:t>
      </w:r>
      <w:r>
        <w:rPr/>
        <w:t>needs.</w:t>
      </w:r>
      <w:r>
        <w:rPr>
          <w:spacing w:val="-9"/>
        </w:rPr>
        <w:t> </w:t>
      </w:r>
      <w:r>
        <w:rPr/>
        <w:t>These</w:t>
      </w:r>
      <w:r>
        <w:rPr>
          <w:spacing w:val="-4"/>
        </w:rPr>
        <w:t> </w:t>
      </w:r>
      <w:r>
        <w:rPr/>
        <w:t>are</w:t>
      </w:r>
      <w:r>
        <w:rPr>
          <w:spacing w:val="-4"/>
        </w:rPr>
        <w:t> </w:t>
      </w:r>
      <w:r>
        <w:rPr/>
        <w:t>important</w:t>
      </w:r>
      <w:r>
        <w:rPr>
          <w:spacing w:val="-3"/>
        </w:rPr>
        <w:t> </w:t>
      </w:r>
      <w:r>
        <w:rPr/>
        <w:t>factors for behavioral health providers to understand and acknowledge. Providers should receive specific training in the development of diverse sexual orientations</w:t>
      </w:r>
      <w:r>
        <w:rPr>
          <w:spacing w:val="-4"/>
        </w:rPr>
        <w:t> </w:t>
      </w:r>
      <w:r>
        <w:rPr/>
        <w:t>and</w:t>
      </w:r>
      <w:r>
        <w:rPr>
          <w:spacing w:val="-4"/>
        </w:rPr>
        <w:t> </w:t>
      </w:r>
      <w:r>
        <w:rPr/>
        <w:t>gender</w:t>
      </w:r>
      <w:r>
        <w:rPr>
          <w:spacing w:val="-4"/>
        </w:rPr>
        <w:t> </w:t>
      </w:r>
      <w:r>
        <w:rPr/>
        <w:t>identities,</w:t>
      </w:r>
      <w:r>
        <w:rPr>
          <w:spacing w:val="-4"/>
        </w:rPr>
        <w:t> </w:t>
      </w:r>
      <w:r>
        <w:rPr/>
        <w:t>as</w:t>
      </w:r>
      <w:r>
        <w:rPr>
          <w:spacing w:val="-4"/>
        </w:rPr>
        <w:t> </w:t>
      </w:r>
      <w:r>
        <w:rPr/>
        <w:t>well</w:t>
      </w:r>
      <w:r>
        <w:rPr>
          <w:spacing w:val="-4"/>
        </w:rPr>
        <w:t> </w:t>
      </w:r>
      <w:r>
        <w:rPr/>
        <w:t>as</w:t>
      </w:r>
      <w:r>
        <w:rPr>
          <w:spacing w:val="-4"/>
        </w:rPr>
        <w:t> </w:t>
      </w:r>
      <w:r>
        <w:rPr/>
        <w:t>training</w:t>
      </w:r>
      <w:r>
        <w:rPr>
          <w:spacing w:val="-4"/>
        </w:rPr>
        <w:t> </w:t>
      </w:r>
      <w:r>
        <w:rPr/>
        <w:t>on</w:t>
      </w:r>
      <w:r>
        <w:rPr>
          <w:spacing w:val="-4"/>
        </w:rPr>
        <w:t> </w:t>
      </w:r>
      <w:r>
        <w:rPr/>
        <w:t>culturally</w:t>
      </w:r>
      <w:r>
        <w:rPr>
          <w:spacing w:val="-4"/>
        </w:rPr>
        <w:t> </w:t>
      </w:r>
      <w:r>
        <w:rPr/>
        <w:t>responsive approaches to working with sexual and gender minority youth and their families from diverse backgrounds.</w:t>
      </w:r>
    </w:p>
    <w:p>
      <w:pPr>
        <w:pStyle w:val="BodyText"/>
        <w:spacing w:before="5"/>
        <w:rPr>
          <w:sz w:val="38"/>
        </w:rPr>
      </w:pPr>
    </w:p>
    <w:p>
      <w:pPr>
        <w:pStyle w:val="BodyText"/>
        <w:ind w:left="280" w:right="502"/>
      </w:pPr>
      <w:r>
        <w:rPr/>
        <w:t>While sexual and gender minority youth experience many of the same developmental milestones as other youth, they also encounter unique challenges</w:t>
      </w:r>
      <w:r>
        <w:rPr>
          <w:spacing w:val="-4"/>
        </w:rPr>
        <w:t> </w:t>
      </w:r>
      <w:r>
        <w:rPr/>
        <w:t>and</w:t>
      </w:r>
      <w:r>
        <w:rPr>
          <w:spacing w:val="-4"/>
        </w:rPr>
        <w:t> </w:t>
      </w:r>
      <w:r>
        <w:rPr/>
        <w:t>may</w:t>
      </w:r>
      <w:r>
        <w:rPr>
          <w:spacing w:val="-4"/>
        </w:rPr>
        <w:t> </w:t>
      </w:r>
      <w:r>
        <w:rPr/>
        <w:t>need</w:t>
      </w:r>
      <w:r>
        <w:rPr>
          <w:spacing w:val="-4"/>
        </w:rPr>
        <w:t> </w:t>
      </w:r>
      <w:r>
        <w:rPr/>
        <w:t>specific</w:t>
      </w:r>
      <w:r>
        <w:rPr>
          <w:spacing w:val="-4"/>
        </w:rPr>
        <w:t> </w:t>
      </w:r>
      <w:r>
        <w:rPr/>
        <w:t>support</w:t>
      </w:r>
      <w:r>
        <w:rPr>
          <w:spacing w:val="-4"/>
        </w:rPr>
        <w:t> </w:t>
      </w:r>
      <w:r>
        <w:rPr/>
        <w:t>and</w:t>
      </w:r>
      <w:r>
        <w:rPr>
          <w:spacing w:val="-4"/>
        </w:rPr>
        <w:t> </w:t>
      </w:r>
      <w:r>
        <w:rPr/>
        <w:t>resources</w:t>
      </w:r>
      <w:r>
        <w:rPr>
          <w:spacing w:val="-4"/>
        </w:rPr>
        <w:t> </w:t>
      </w:r>
      <w:r>
        <w:rPr/>
        <w:t>to</w:t>
      </w:r>
      <w:r>
        <w:rPr>
          <w:spacing w:val="-4"/>
        </w:rPr>
        <w:t> </w:t>
      </w:r>
      <w:r>
        <w:rPr/>
        <w:t>thrive.</w:t>
      </w:r>
      <w:r>
        <w:rPr>
          <w:spacing w:val="-18"/>
        </w:rPr>
        <w:t> </w:t>
      </w:r>
      <w:r>
        <w:rPr/>
        <w:t>All</w:t>
      </w:r>
      <w:r>
        <w:rPr>
          <w:spacing w:val="-3"/>
        </w:rPr>
        <w:t> </w:t>
      </w:r>
      <w:r>
        <w:rPr/>
        <w:t>of</w:t>
      </w:r>
      <w:r>
        <w:rPr>
          <w:spacing w:val="-4"/>
        </w:rPr>
        <w:t> </w:t>
      </w:r>
      <w:r>
        <w:rPr/>
        <w:t>those engaged in the care of youth, including parents and caregivers,</w:t>
      </w:r>
    </w:p>
    <w:p>
      <w:pPr>
        <w:pStyle w:val="BodyText"/>
        <w:spacing w:before="59"/>
        <w:ind w:left="5012" w:right="526" w:hanging="68"/>
      </w:pPr>
      <w:r>
        <w:rPr/>
        <mc:AlternateContent>
          <mc:Choice Requires="wps">
            <w:drawing>
              <wp:anchor distT="0" distB="0" distL="0" distR="0" allowOverlap="1" layoutInCell="1" locked="0" behindDoc="0" simplePos="0" relativeHeight="15821312">
                <wp:simplePos x="0" y="0"/>
                <wp:positionH relativeFrom="page">
                  <wp:posOffset>995362</wp:posOffset>
                </wp:positionH>
                <wp:positionV relativeFrom="paragraph">
                  <wp:posOffset>328490</wp:posOffset>
                </wp:positionV>
                <wp:extent cx="2962275" cy="2198370"/>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2962275" cy="2198370"/>
                          <a:chExt cx="2962275" cy="2198370"/>
                        </a:xfrm>
                      </wpg:grpSpPr>
                      <pic:pic>
                        <pic:nvPicPr>
                          <pic:cNvPr id="378" name="Image 378"/>
                          <pic:cNvPicPr/>
                        </pic:nvPicPr>
                        <pic:blipFill>
                          <a:blip r:embed="rId56" cstate="print"/>
                          <a:stretch>
                            <a:fillRect/>
                          </a:stretch>
                        </pic:blipFill>
                        <pic:spPr>
                          <a:xfrm>
                            <a:off x="0" y="0"/>
                            <a:ext cx="2962275" cy="2198062"/>
                          </a:xfrm>
                          <a:prstGeom prst="rect">
                            <a:avLst/>
                          </a:prstGeom>
                        </pic:spPr>
                      </pic:pic>
                      <pic:pic>
                        <pic:nvPicPr>
                          <pic:cNvPr id="379" name="Image 379"/>
                          <pic:cNvPicPr/>
                        </pic:nvPicPr>
                        <pic:blipFill>
                          <a:blip r:embed="rId57" cstate="print"/>
                          <a:stretch>
                            <a:fillRect/>
                          </a:stretch>
                        </pic:blipFill>
                        <pic:spPr>
                          <a:xfrm>
                            <a:off x="76200" y="56200"/>
                            <a:ext cx="2809875" cy="2045662"/>
                          </a:xfrm>
                          <a:prstGeom prst="rect">
                            <a:avLst/>
                          </a:prstGeom>
                        </pic:spPr>
                      </pic:pic>
                      <pic:pic>
                        <pic:nvPicPr>
                          <pic:cNvPr id="380" name="Image 380"/>
                          <pic:cNvPicPr/>
                        </pic:nvPicPr>
                        <pic:blipFill>
                          <a:blip r:embed="rId58" cstate="print"/>
                          <a:stretch>
                            <a:fillRect/>
                          </a:stretch>
                        </pic:blipFill>
                        <pic:spPr>
                          <a:xfrm>
                            <a:off x="42501" y="30533"/>
                            <a:ext cx="2880177" cy="2108199"/>
                          </a:xfrm>
                          <a:prstGeom prst="rect">
                            <a:avLst/>
                          </a:prstGeom>
                        </pic:spPr>
                      </pic:pic>
                      <wps:wsp>
                        <wps:cNvPr id="381" name="Textbox 381"/>
                        <wps:cNvSpPr txBox="1"/>
                        <wps:spPr>
                          <a:xfrm>
                            <a:off x="0" y="0"/>
                            <a:ext cx="2962275" cy="2198370"/>
                          </a:xfrm>
                          <a:prstGeom prst="rect">
                            <a:avLst/>
                          </a:prstGeom>
                        </wps:spPr>
                        <wps:txbx>
                          <w:txbxContent>
                            <w:p>
                              <w:pPr>
                                <w:spacing w:line="252" w:lineRule="auto" w:before="168"/>
                                <w:ind w:left="251" w:right="253" w:firstLine="0"/>
                                <w:jc w:val="left"/>
                                <w:rPr>
                                  <w:rFonts w:ascii="Calibri"/>
                                  <w:sz w:val="36"/>
                                </w:rPr>
                              </w:pPr>
                              <w:r>
                                <w:rPr>
                                  <w:rFonts w:ascii="Calibri"/>
                                  <w:sz w:val="36"/>
                                </w:rPr>
                                <w:t>Person-centered, also known</w:t>
                              </w:r>
                              <w:r>
                                <w:rPr>
                                  <w:rFonts w:ascii="Calibri"/>
                                  <w:spacing w:val="-21"/>
                                  <w:sz w:val="36"/>
                                </w:rPr>
                                <w:t> </w:t>
                              </w:r>
                              <w:r>
                                <w:rPr>
                                  <w:rFonts w:ascii="Calibri"/>
                                  <w:sz w:val="36"/>
                                </w:rPr>
                                <w:t>as</w:t>
                              </w:r>
                              <w:r>
                                <w:rPr>
                                  <w:rFonts w:ascii="Calibri"/>
                                  <w:spacing w:val="-20"/>
                                  <w:sz w:val="36"/>
                                </w:rPr>
                                <w:t> </w:t>
                              </w:r>
                              <w:r>
                                <w:rPr>
                                  <w:rFonts w:ascii="Calibri"/>
                                  <w:sz w:val="36"/>
                                </w:rPr>
                                <w:t>client-centered,</w:t>
                              </w:r>
                              <w:r>
                                <w:rPr>
                                  <w:rFonts w:ascii="Calibri"/>
                                  <w:spacing w:val="-21"/>
                                  <w:sz w:val="36"/>
                                </w:rPr>
                                <w:t> </w:t>
                              </w:r>
                              <w:r>
                                <w:rPr>
                                  <w:rFonts w:ascii="Calibri"/>
                                  <w:sz w:val="36"/>
                                </w:rPr>
                                <w:t>is a</w:t>
                              </w:r>
                              <w:r>
                                <w:rPr>
                                  <w:rFonts w:ascii="Calibri"/>
                                  <w:spacing w:val="-2"/>
                                  <w:sz w:val="36"/>
                                </w:rPr>
                                <w:t> </w:t>
                              </w:r>
                              <w:r>
                                <w:rPr>
                                  <w:rFonts w:ascii="Calibri"/>
                                  <w:sz w:val="36"/>
                                </w:rPr>
                                <w:t>long-standing</w:t>
                              </w:r>
                              <w:r>
                                <w:rPr>
                                  <w:rFonts w:ascii="Calibri"/>
                                  <w:spacing w:val="-2"/>
                                  <w:sz w:val="36"/>
                                </w:rPr>
                                <w:t> </w:t>
                              </w:r>
                              <w:r>
                                <w:rPr>
                                  <w:rFonts w:ascii="Calibri"/>
                                  <w:sz w:val="36"/>
                                </w:rPr>
                                <w:t>therapeutic approach that affirms and values all aspects of individuals.</w:t>
                              </w:r>
                              <w:r>
                                <w:rPr>
                                  <w:rFonts w:ascii="Calibri"/>
                                  <w:sz w:val="13"/>
                                </w:rPr>
                                <w:t>89 </w:t>
                              </w:r>
                              <w:r>
                                <w:rPr>
                                  <w:rFonts w:ascii="Calibri"/>
                                  <w:sz w:val="36"/>
                                </w:rPr>
                                <w:t>It emphasizes</w:t>
                              </w:r>
                            </w:p>
                          </w:txbxContent>
                        </wps:txbx>
                        <wps:bodyPr wrap="square" lIns="0" tIns="0" rIns="0" bIns="0" rtlCol="0">
                          <a:noAutofit/>
                        </wps:bodyPr>
                      </wps:wsp>
                    </wpg:wgp>
                  </a:graphicData>
                </a:graphic>
              </wp:anchor>
            </w:drawing>
          </mc:Choice>
          <mc:Fallback>
            <w:pict>
              <v:group style="position:absolute;margin-left:78.375pt;margin-top:25.86541pt;width:233.25pt;height:173.1pt;mso-position-horizontal-relative:page;mso-position-vertical-relative:paragraph;z-index:15821312" id="docshapegroup374" coordorigin="1568,517" coordsize="4665,3462">
                <v:shape style="position:absolute;left:1567;top:517;width:4665;height:3462" type="#_x0000_t75" id="docshape375" stroked="false">
                  <v:imagedata r:id="rId56" o:title=""/>
                </v:shape>
                <v:shape style="position:absolute;left:1687;top:605;width:4425;height:3222" type="#_x0000_t75" id="docshape376" stroked="false">
                  <v:imagedata r:id="rId57" o:title=""/>
                </v:shape>
                <v:shape style="position:absolute;left:1634;top:565;width:4536;height:3320" type="#_x0000_t75" id="docshape377" stroked="false">
                  <v:imagedata r:id="rId58" o:title=""/>
                </v:shape>
                <v:shape style="position:absolute;left:1567;top:517;width:4665;height:3462" type="#_x0000_t202" id="docshape378" filled="false" stroked="false">
                  <v:textbox inset="0,0,0,0">
                    <w:txbxContent>
                      <w:p>
                        <w:pPr>
                          <w:spacing w:line="252" w:lineRule="auto" w:before="168"/>
                          <w:ind w:left="251" w:right="253" w:firstLine="0"/>
                          <w:jc w:val="left"/>
                          <w:rPr>
                            <w:rFonts w:ascii="Calibri"/>
                            <w:sz w:val="36"/>
                          </w:rPr>
                        </w:pPr>
                        <w:r>
                          <w:rPr>
                            <w:rFonts w:ascii="Calibri"/>
                            <w:sz w:val="36"/>
                          </w:rPr>
                          <w:t>Person-centered, also known</w:t>
                        </w:r>
                        <w:r>
                          <w:rPr>
                            <w:rFonts w:ascii="Calibri"/>
                            <w:spacing w:val="-21"/>
                            <w:sz w:val="36"/>
                          </w:rPr>
                          <w:t> </w:t>
                        </w:r>
                        <w:r>
                          <w:rPr>
                            <w:rFonts w:ascii="Calibri"/>
                            <w:sz w:val="36"/>
                          </w:rPr>
                          <w:t>as</w:t>
                        </w:r>
                        <w:r>
                          <w:rPr>
                            <w:rFonts w:ascii="Calibri"/>
                            <w:spacing w:val="-20"/>
                            <w:sz w:val="36"/>
                          </w:rPr>
                          <w:t> </w:t>
                        </w:r>
                        <w:r>
                          <w:rPr>
                            <w:rFonts w:ascii="Calibri"/>
                            <w:sz w:val="36"/>
                          </w:rPr>
                          <w:t>client-centered,</w:t>
                        </w:r>
                        <w:r>
                          <w:rPr>
                            <w:rFonts w:ascii="Calibri"/>
                            <w:spacing w:val="-21"/>
                            <w:sz w:val="36"/>
                          </w:rPr>
                          <w:t> </w:t>
                        </w:r>
                        <w:r>
                          <w:rPr>
                            <w:rFonts w:ascii="Calibri"/>
                            <w:sz w:val="36"/>
                          </w:rPr>
                          <w:t>is a</w:t>
                        </w:r>
                        <w:r>
                          <w:rPr>
                            <w:rFonts w:ascii="Calibri"/>
                            <w:spacing w:val="-2"/>
                            <w:sz w:val="36"/>
                          </w:rPr>
                          <w:t> </w:t>
                        </w:r>
                        <w:r>
                          <w:rPr>
                            <w:rFonts w:ascii="Calibri"/>
                            <w:sz w:val="36"/>
                          </w:rPr>
                          <w:t>long-standing</w:t>
                        </w:r>
                        <w:r>
                          <w:rPr>
                            <w:rFonts w:ascii="Calibri"/>
                            <w:spacing w:val="-2"/>
                            <w:sz w:val="36"/>
                          </w:rPr>
                          <w:t> </w:t>
                        </w:r>
                        <w:r>
                          <w:rPr>
                            <w:rFonts w:ascii="Calibri"/>
                            <w:sz w:val="36"/>
                          </w:rPr>
                          <w:t>therapeutic approach that affirms and values all aspects of individuals.</w:t>
                        </w:r>
                        <w:r>
                          <w:rPr>
                            <w:rFonts w:ascii="Calibri"/>
                            <w:sz w:val="13"/>
                          </w:rPr>
                          <w:t>89 </w:t>
                        </w:r>
                        <w:r>
                          <w:rPr>
                            <w:rFonts w:ascii="Calibri"/>
                            <w:sz w:val="36"/>
                          </w:rPr>
                          <w:t>It emphasizes</w:t>
                        </w:r>
                      </w:p>
                    </w:txbxContent>
                  </v:textbox>
                  <w10:wrap type="none"/>
                </v:shape>
                <w10:wrap type="none"/>
              </v:group>
            </w:pict>
          </mc:Fallback>
        </mc:AlternateContent>
      </w:r>
      <w:r>
        <w:rPr/>
        <w:t>healthcare</w:t>
      </w:r>
      <w:r>
        <w:rPr>
          <w:spacing w:val="-11"/>
        </w:rPr>
        <w:t> </w:t>
      </w:r>
      <w:r>
        <w:rPr/>
        <w:t>providers</w:t>
      </w:r>
      <w:r>
        <w:rPr>
          <w:spacing w:val="-10"/>
        </w:rPr>
        <w:t> </w:t>
      </w:r>
      <w:r>
        <w:rPr/>
        <w:t>and</w:t>
      </w:r>
      <w:r>
        <w:rPr>
          <w:spacing w:val="-10"/>
        </w:rPr>
        <w:t> </w:t>
      </w:r>
      <w:r>
        <w:rPr/>
        <w:t>staff,</w:t>
      </w:r>
      <w:r>
        <w:rPr>
          <w:spacing w:val="-10"/>
        </w:rPr>
        <w:t> </w:t>
      </w:r>
      <w:r>
        <w:rPr/>
        <w:t>school and education professionals, community leaders, social service providers, legal professionals, and policymakers, can benefit from accurate, scientific, nonpathologizing information about sexual and gender diversity.</w:t>
      </w:r>
    </w:p>
    <w:p>
      <w:pPr>
        <w:pStyle w:val="BodyText"/>
        <w:spacing w:before="3"/>
        <w:rPr>
          <w:sz w:val="32"/>
        </w:rPr>
      </w:pPr>
    </w:p>
    <w:p>
      <w:pPr>
        <w:pStyle w:val="Heading2"/>
        <w:ind w:left="5012" w:right="502"/>
      </w:pPr>
      <w:r>
        <w:rPr/>
        <w:t>Sexual</w:t>
      </w:r>
      <w:r>
        <w:rPr>
          <w:spacing w:val="-13"/>
        </w:rPr>
        <w:t> </w:t>
      </w:r>
      <w:r>
        <w:rPr/>
        <w:t>Orientation</w:t>
      </w:r>
      <w:r>
        <w:rPr>
          <w:spacing w:val="-13"/>
        </w:rPr>
        <w:t> </w:t>
      </w:r>
      <w:r>
        <w:rPr/>
        <w:t>and</w:t>
      </w:r>
      <w:r>
        <w:rPr>
          <w:spacing w:val="-13"/>
        </w:rPr>
        <w:t> </w:t>
      </w:r>
      <w:r>
        <w:rPr/>
        <w:t>Gender Identity Change Efforts With </w:t>
      </w:r>
      <w:r>
        <w:rPr>
          <w:spacing w:val="-2"/>
        </w:rPr>
        <w:t>Youth</w:t>
      </w:r>
    </w:p>
    <w:p>
      <w:pPr>
        <w:pStyle w:val="BodyText"/>
        <w:spacing w:line="321" w:lineRule="exact" w:before="61"/>
        <w:ind w:left="4948"/>
      </w:pPr>
      <w:r>
        <w:rPr/>
        <w:t>Over</w:t>
      </w:r>
      <w:r>
        <w:rPr>
          <w:spacing w:val="-2"/>
        </w:rPr>
        <w:t> </w:t>
      </w:r>
      <w:r>
        <w:rPr/>
        <w:t>the</w:t>
      </w:r>
      <w:r>
        <w:rPr>
          <w:spacing w:val="-2"/>
        </w:rPr>
        <w:t> </w:t>
      </w:r>
      <w:r>
        <w:rPr/>
        <w:t>past</w:t>
      </w:r>
      <w:r>
        <w:rPr>
          <w:spacing w:val="-2"/>
        </w:rPr>
        <w:t> </w:t>
      </w:r>
      <w:r>
        <w:rPr/>
        <w:t>decade,</w:t>
      </w:r>
      <w:r>
        <w:rPr>
          <w:spacing w:val="-1"/>
        </w:rPr>
        <w:t> </w:t>
      </w:r>
      <w:r>
        <w:rPr>
          <w:spacing w:val="-2"/>
        </w:rPr>
        <w:t>additional</w:t>
      </w:r>
    </w:p>
    <w:p>
      <w:pPr>
        <w:pStyle w:val="BodyText"/>
        <w:ind w:left="280" w:right="505"/>
      </w:pPr>
      <w:r>
        <w:rPr/>
        <w:t>high-quality</w:t>
      </w:r>
      <w:r>
        <w:rPr>
          <w:spacing w:val="-5"/>
        </w:rPr>
        <w:t> </w:t>
      </w:r>
      <w:r>
        <w:rPr/>
        <w:t>research</w:t>
      </w:r>
      <w:r>
        <w:rPr>
          <w:spacing w:val="-5"/>
        </w:rPr>
        <w:t> </w:t>
      </w:r>
      <w:r>
        <w:rPr/>
        <w:t>focused</w:t>
      </w:r>
      <w:r>
        <w:rPr>
          <w:spacing w:val="-5"/>
        </w:rPr>
        <w:t> </w:t>
      </w:r>
      <w:r>
        <w:rPr/>
        <w:t>on</w:t>
      </w:r>
      <w:r>
        <w:rPr>
          <w:spacing w:val="-5"/>
        </w:rPr>
        <w:t> </w:t>
      </w:r>
      <w:r>
        <w:rPr/>
        <w:t>documenting</w:t>
      </w:r>
      <w:r>
        <w:rPr>
          <w:spacing w:val="-5"/>
        </w:rPr>
        <w:t> </w:t>
      </w:r>
      <w:r>
        <w:rPr/>
        <w:t>the</w:t>
      </w:r>
      <w:r>
        <w:rPr>
          <w:spacing w:val="-5"/>
        </w:rPr>
        <w:t> </w:t>
      </w:r>
      <w:r>
        <w:rPr/>
        <w:t>practice</w:t>
      </w:r>
      <w:r>
        <w:rPr>
          <w:spacing w:val="-5"/>
        </w:rPr>
        <w:t> </w:t>
      </w:r>
      <w:r>
        <w:rPr/>
        <w:t>and</w:t>
      </w:r>
      <w:r>
        <w:rPr>
          <w:spacing w:val="-5"/>
        </w:rPr>
        <w:t> </w:t>
      </w:r>
      <w:r>
        <w:rPr/>
        <w:t>effects</w:t>
      </w:r>
      <w:r>
        <w:rPr>
          <w:spacing w:val="-5"/>
        </w:rPr>
        <w:t> </w:t>
      </w:r>
      <w:r>
        <w:rPr/>
        <w:t>of</w:t>
      </w:r>
      <w:r>
        <w:rPr>
          <w:spacing w:val="-5"/>
        </w:rPr>
        <w:t> </w:t>
      </w:r>
      <w:r>
        <w:rPr/>
        <w:t>SOGI change efforts has provided further evidence that these efforts should not be practiced with youth. This section includes a review of recent research on SOGI change efforts and information about their continued use across the United States. It also includes a detailed description of some of the methodological issues relevant to SOGI change efforts research that may be useful for researchers and policymakers. Finally, this section describes guidance from professional organizations disavowing SOGI change efforts.</w:t>
      </w:r>
    </w:p>
    <w:p>
      <w:pPr>
        <w:pStyle w:val="Heading3"/>
        <w:spacing w:before="164"/>
        <w:rPr>
          <w:i/>
        </w:rPr>
      </w:pPr>
      <w:r>
        <w:rPr>
          <w:i/>
        </w:rPr>
        <w:t>Research</w:t>
      </w:r>
      <w:r>
        <w:rPr>
          <w:i/>
          <w:spacing w:val="-4"/>
        </w:rPr>
        <w:t> </w:t>
      </w:r>
      <w:r>
        <w:rPr>
          <w:i/>
        </w:rPr>
        <w:t>on</w:t>
      </w:r>
      <w:r>
        <w:rPr>
          <w:i/>
          <w:spacing w:val="-2"/>
        </w:rPr>
        <w:t> </w:t>
      </w:r>
      <w:r>
        <w:rPr>
          <w:i/>
        </w:rPr>
        <w:t>SOGI</w:t>
      </w:r>
      <w:r>
        <w:rPr>
          <w:i/>
          <w:spacing w:val="-2"/>
        </w:rPr>
        <w:t> </w:t>
      </w:r>
      <w:r>
        <w:rPr>
          <w:i/>
        </w:rPr>
        <w:t>Change</w:t>
      </w:r>
      <w:r>
        <w:rPr>
          <w:i/>
          <w:spacing w:val="-2"/>
        </w:rPr>
        <w:t> Efforts</w:t>
      </w:r>
    </w:p>
    <w:p>
      <w:pPr>
        <w:pStyle w:val="BodyText"/>
        <w:spacing w:before="125"/>
        <w:ind w:left="280" w:right="502"/>
      </w:pPr>
      <w:r>
        <w:rPr/>
        <w:t>There</w:t>
      </w:r>
      <w:r>
        <w:rPr>
          <w:spacing w:val="-4"/>
        </w:rPr>
        <w:t> </w:t>
      </w:r>
      <w:r>
        <w:rPr/>
        <w:t>is</w:t>
      </w:r>
      <w:r>
        <w:rPr>
          <w:spacing w:val="-4"/>
        </w:rPr>
        <w:t> </w:t>
      </w:r>
      <w:r>
        <w:rPr/>
        <w:t>now</w:t>
      </w:r>
      <w:r>
        <w:rPr>
          <w:spacing w:val="-4"/>
        </w:rPr>
        <w:t> </w:t>
      </w:r>
      <w:r>
        <w:rPr/>
        <w:t>a</w:t>
      </w:r>
      <w:r>
        <w:rPr>
          <w:spacing w:val="-4"/>
        </w:rPr>
        <w:t> </w:t>
      </w:r>
      <w:r>
        <w:rPr/>
        <w:t>significant</w:t>
      </w:r>
      <w:r>
        <w:rPr>
          <w:spacing w:val="-4"/>
        </w:rPr>
        <w:t> </w:t>
      </w:r>
      <w:r>
        <w:rPr/>
        <w:t>body</w:t>
      </w:r>
      <w:r>
        <w:rPr>
          <w:spacing w:val="-4"/>
        </w:rPr>
        <w:t> </w:t>
      </w:r>
      <w:r>
        <w:rPr/>
        <w:t>of</w:t>
      </w:r>
      <w:r>
        <w:rPr>
          <w:spacing w:val="-4"/>
        </w:rPr>
        <w:t> </w:t>
      </w:r>
      <w:r>
        <w:rPr/>
        <w:t>research</w:t>
      </w:r>
      <w:r>
        <w:rPr>
          <w:spacing w:val="-4"/>
        </w:rPr>
        <w:t> </w:t>
      </w:r>
      <w:r>
        <w:rPr/>
        <w:t>on</w:t>
      </w:r>
      <w:r>
        <w:rPr>
          <w:spacing w:val="-4"/>
        </w:rPr>
        <w:t> </w:t>
      </w:r>
      <w:r>
        <w:rPr/>
        <w:t>SOGI</w:t>
      </w:r>
      <w:r>
        <w:rPr>
          <w:spacing w:val="-4"/>
        </w:rPr>
        <w:t> </w:t>
      </w:r>
      <w:r>
        <w:rPr/>
        <w:t>change</w:t>
      </w:r>
      <w:r>
        <w:rPr>
          <w:spacing w:val="-4"/>
        </w:rPr>
        <w:t> </w:t>
      </w:r>
      <w:r>
        <w:rPr/>
        <w:t>efforts.</w:t>
      </w:r>
      <w:r>
        <w:rPr>
          <w:spacing w:val="-4"/>
        </w:rPr>
        <w:t> </w:t>
      </w:r>
      <w:r>
        <w:rPr/>
        <w:t>Overall,</w:t>
      </w:r>
      <w:r>
        <w:rPr>
          <w:spacing w:val="-4"/>
        </w:rPr>
        <w:t> </w:t>
      </w:r>
      <w:r>
        <w:rPr/>
        <w:t>it has focused on sexual orientation change efforts more than gender identity change efforts.</w:t>
      </w:r>
      <w:r>
        <w:rPr>
          <w:spacing w:val="-4"/>
        </w:rPr>
        <w:t> </w:t>
      </w:r>
      <w:r>
        <w:rPr/>
        <w:t>Although some study populations included both sexual and gender minorities, they often examined SOGI change efforts in ways that obscure whether transgender participants experienced change efforts related to their sexual orientation, gender identity, or both.</w:t>
      </w:r>
      <w:r>
        <w:rPr>
          <w:spacing w:val="-6"/>
        </w:rPr>
        <w:t> </w:t>
      </w:r>
      <w:r>
        <w:rPr/>
        <w:t>This is both a</w:t>
      </w:r>
      <w:r>
        <w:rPr>
          <w:spacing w:val="-1"/>
        </w:rPr>
        <w:t> </w:t>
      </w:r>
      <w:r>
        <w:rPr/>
        <w:t>methodological shortcoming of some SOGI change efforts research and a reflection of the</w:t>
      </w:r>
    </w:p>
    <w:p>
      <w:pPr>
        <w:spacing w:after="0"/>
        <w:sectPr>
          <w:pgSz w:w="12240" w:h="15840"/>
          <w:pgMar w:header="0" w:footer="783" w:top="1260" w:bottom="980" w:left="1400" w:right="1180"/>
        </w:sectPr>
      </w:pPr>
    </w:p>
    <w:p>
      <w:pPr>
        <w:pStyle w:val="BodyText"/>
        <w:spacing w:before="66"/>
        <w:ind w:left="280" w:right="581"/>
      </w:pPr>
      <w:r>
        <w:rPr/>
        <w:t>realities of its practice, where it is not always possible to distinguish between sexual orientation and gender identity change efforts. For example, SOGI change efforts often include attempts to change children’s and adolescents’ gender</w:t>
      </w:r>
      <w:r>
        <w:rPr>
          <w:spacing w:val="-4"/>
        </w:rPr>
        <w:t> </w:t>
      </w:r>
      <w:r>
        <w:rPr/>
        <w:t>expression</w:t>
      </w:r>
      <w:r>
        <w:rPr>
          <w:spacing w:val="-4"/>
        </w:rPr>
        <w:t> </w:t>
      </w:r>
      <w:r>
        <w:rPr/>
        <w:t>to</w:t>
      </w:r>
      <w:r>
        <w:rPr>
          <w:spacing w:val="-4"/>
        </w:rPr>
        <w:t> </w:t>
      </w:r>
      <w:r>
        <w:rPr/>
        <w:t>be</w:t>
      </w:r>
      <w:r>
        <w:rPr>
          <w:spacing w:val="-5"/>
        </w:rPr>
        <w:t> </w:t>
      </w:r>
      <w:r>
        <w:rPr/>
        <w:t>more</w:t>
      </w:r>
      <w:r>
        <w:rPr>
          <w:spacing w:val="-5"/>
        </w:rPr>
        <w:t> </w:t>
      </w:r>
      <w:r>
        <w:rPr/>
        <w:t>consistent</w:t>
      </w:r>
      <w:r>
        <w:rPr>
          <w:spacing w:val="-4"/>
        </w:rPr>
        <w:t> </w:t>
      </w:r>
      <w:r>
        <w:rPr/>
        <w:t>with</w:t>
      </w:r>
      <w:r>
        <w:rPr>
          <w:spacing w:val="-4"/>
        </w:rPr>
        <w:t> </w:t>
      </w:r>
      <w:r>
        <w:rPr/>
        <w:t>the</w:t>
      </w:r>
      <w:r>
        <w:rPr>
          <w:spacing w:val="-5"/>
        </w:rPr>
        <w:t> </w:t>
      </w:r>
      <w:r>
        <w:rPr/>
        <w:t>stereotypical</w:t>
      </w:r>
      <w:r>
        <w:rPr>
          <w:spacing w:val="-4"/>
        </w:rPr>
        <w:t> </w:t>
      </w:r>
      <w:r>
        <w:rPr/>
        <w:t>norms</w:t>
      </w:r>
      <w:r>
        <w:rPr>
          <w:spacing w:val="-4"/>
        </w:rPr>
        <w:t> </w:t>
      </w:r>
      <w:r>
        <w:rPr/>
        <w:t>expected for their assigned sex at birth, with a goal to prevent both a transgender identity and a future diverse sexual orientation.</w:t>
      </w:r>
    </w:p>
    <w:p>
      <w:pPr>
        <w:pStyle w:val="BodyText"/>
        <w:spacing w:before="7"/>
        <w:rPr>
          <w:sz w:val="32"/>
        </w:rPr>
      </w:pPr>
    </w:p>
    <w:p>
      <w:pPr>
        <w:pStyle w:val="BodyText"/>
        <w:ind w:left="280" w:right="499"/>
      </w:pPr>
      <w:r>
        <w:rPr/>
        <w:t>In 2009, the</w:t>
      </w:r>
      <w:r>
        <w:rPr>
          <w:spacing w:val="-4"/>
        </w:rPr>
        <w:t> </w:t>
      </w:r>
      <w:r>
        <w:rPr/>
        <w:t>American Psychological</w:t>
      </w:r>
      <w:r>
        <w:rPr>
          <w:spacing w:val="-4"/>
        </w:rPr>
        <w:t> </w:t>
      </w:r>
      <w:r>
        <w:rPr/>
        <w:t>Association Task Force on</w:t>
      </w:r>
      <w:r>
        <w:rPr>
          <w:spacing w:val="-4"/>
        </w:rPr>
        <w:t> </w:t>
      </w:r>
      <w:r>
        <w:rPr/>
        <w:t>Appropriate Therapeutic Responses to Sexual Orientation Change Efforts conducted an authoritative</w:t>
      </w:r>
      <w:r>
        <w:rPr>
          <w:spacing w:val="-7"/>
        </w:rPr>
        <w:t> </w:t>
      </w:r>
      <w:r>
        <w:rPr/>
        <w:t>review</w:t>
      </w:r>
      <w:r>
        <w:rPr>
          <w:spacing w:val="-6"/>
        </w:rPr>
        <w:t> </w:t>
      </w:r>
      <w:r>
        <w:rPr/>
        <w:t>of</w:t>
      </w:r>
      <w:r>
        <w:rPr>
          <w:spacing w:val="-6"/>
        </w:rPr>
        <w:t> </w:t>
      </w:r>
      <w:r>
        <w:rPr/>
        <w:t>peer-reviewed</w:t>
      </w:r>
      <w:r>
        <w:rPr>
          <w:spacing w:val="-6"/>
        </w:rPr>
        <w:t> </w:t>
      </w:r>
      <w:r>
        <w:rPr/>
        <w:t>literature</w:t>
      </w:r>
      <w:r>
        <w:rPr>
          <w:spacing w:val="-7"/>
        </w:rPr>
        <w:t> </w:t>
      </w:r>
      <w:r>
        <w:rPr/>
        <w:t>published</w:t>
      </w:r>
      <w:r>
        <w:rPr>
          <w:spacing w:val="-6"/>
        </w:rPr>
        <w:t> </w:t>
      </w:r>
      <w:r>
        <w:rPr/>
        <w:t>on</w:t>
      </w:r>
      <w:r>
        <w:rPr>
          <w:spacing w:val="-6"/>
        </w:rPr>
        <w:t> </w:t>
      </w:r>
      <w:r>
        <w:rPr/>
        <w:t>sexual</w:t>
      </w:r>
      <w:r>
        <w:rPr>
          <w:spacing w:val="-6"/>
        </w:rPr>
        <w:t> </w:t>
      </w:r>
      <w:r>
        <w:rPr/>
        <w:t>orientation change efforts. Since its publication, a systematic review of research on sexual orientation change efforts has been published, as well as quantitative and qualitative empirical studies examining sexual orientation change efforts among populations residing in the United States or Canada.</w:t>
      </w:r>
    </w:p>
    <w:p>
      <w:pPr>
        <w:pStyle w:val="BodyText"/>
        <w:spacing w:before="3"/>
        <w:rPr>
          <w:sz w:val="38"/>
        </w:rPr>
      </w:pPr>
    </w:p>
    <w:p>
      <w:pPr>
        <w:pStyle w:val="BodyText"/>
        <w:ind w:left="280" w:right="544"/>
      </w:pPr>
      <w:r>
        <w:rPr/>
        <w:t>A</w:t>
      </w:r>
      <w:r>
        <w:rPr>
          <w:spacing w:val="-5"/>
        </w:rPr>
        <w:t> </w:t>
      </w:r>
      <w:r>
        <w:rPr/>
        <w:t>2018 systematic review of research on gender identity change efforts published between 1990 and 2017 identified four studies reporting on its use, which consisted of three case reports and one case series. Since then, three studies</w:t>
      </w:r>
      <w:r>
        <w:rPr>
          <w:spacing w:val="-4"/>
        </w:rPr>
        <w:t> </w:t>
      </w:r>
      <w:r>
        <w:rPr/>
        <w:t>investigated</w:t>
      </w:r>
      <w:r>
        <w:rPr>
          <w:spacing w:val="-4"/>
        </w:rPr>
        <w:t> </w:t>
      </w:r>
      <w:r>
        <w:rPr/>
        <w:t>gender</w:t>
      </w:r>
      <w:r>
        <w:rPr>
          <w:spacing w:val="-4"/>
        </w:rPr>
        <w:t> </w:t>
      </w:r>
      <w:r>
        <w:rPr/>
        <w:t>identity</w:t>
      </w:r>
      <w:r>
        <w:rPr>
          <w:spacing w:val="-4"/>
        </w:rPr>
        <w:t> </w:t>
      </w:r>
      <w:r>
        <w:rPr/>
        <w:t>change</w:t>
      </w:r>
      <w:r>
        <w:rPr>
          <w:spacing w:val="-5"/>
        </w:rPr>
        <w:t> </w:t>
      </w:r>
      <w:r>
        <w:rPr/>
        <w:t>efforts</w:t>
      </w:r>
      <w:r>
        <w:rPr>
          <w:spacing w:val="-4"/>
        </w:rPr>
        <w:t> </w:t>
      </w:r>
      <w:r>
        <w:rPr/>
        <w:t>among</w:t>
      </w:r>
      <w:r>
        <w:rPr>
          <w:spacing w:val="-4"/>
        </w:rPr>
        <w:t> </w:t>
      </w:r>
      <w:r>
        <w:rPr/>
        <w:t>populations</w:t>
      </w:r>
      <w:r>
        <w:rPr>
          <w:spacing w:val="-4"/>
        </w:rPr>
        <w:t> </w:t>
      </w:r>
      <w:r>
        <w:rPr/>
        <w:t>residing in</w:t>
      </w:r>
      <w:r>
        <w:rPr>
          <w:spacing w:val="-3"/>
        </w:rPr>
        <w:t> </w:t>
      </w:r>
      <w:r>
        <w:rPr/>
        <w:t>the</w:t>
      </w:r>
      <w:r>
        <w:rPr>
          <w:spacing w:val="-4"/>
        </w:rPr>
        <w:t> </w:t>
      </w:r>
      <w:r>
        <w:rPr/>
        <w:t>United</w:t>
      </w:r>
      <w:r>
        <w:rPr>
          <w:spacing w:val="-3"/>
        </w:rPr>
        <w:t> </w:t>
      </w:r>
      <w:r>
        <w:rPr/>
        <w:t>States</w:t>
      </w:r>
      <w:r>
        <w:rPr>
          <w:spacing w:val="-3"/>
        </w:rPr>
        <w:t> </w:t>
      </w:r>
      <w:r>
        <w:rPr/>
        <w:t>or</w:t>
      </w:r>
      <w:r>
        <w:rPr>
          <w:spacing w:val="-3"/>
        </w:rPr>
        <w:t> </w:t>
      </w:r>
      <w:r>
        <w:rPr/>
        <w:t>Canada.</w:t>
      </w:r>
      <w:r>
        <w:rPr>
          <w:spacing w:val="-3"/>
        </w:rPr>
        <w:t> </w:t>
      </w:r>
      <w:r>
        <w:rPr/>
        <w:t>One</w:t>
      </w:r>
      <w:r>
        <w:rPr>
          <w:spacing w:val="-4"/>
        </w:rPr>
        <w:t> </w:t>
      </w:r>
      <w:r>
        <w:rPr/>
        <w:t>study</w:t>
      </w:r>
      <w:r>
        <w:rPr>
          <w:spacing w:val="-3"/>
        </w:rPr>
        <w:t> </w:t>
      </w:r>
      <w:r>
        <w:rPr/>
        <w:t>examined</w:t>
      </w:r>
      <w:r>
        <w:rPr>
          <w:spacing w:val="-3"/>
        </w:rPr>
        <w:t> </w:t>
      </w:r>
      <w:r>
        <w:rPr/>
        <w:t>their</w:t>
      </w:r>
      <w:r>
        <w:rPr>
          <w:spacing w:val="-3"/>
        </w:rPr>
        <w:t> </w:t>
      </w:r>
      <w:r>
        <w:rPr/>
        <w:t>use</w:t>
      </w:r>
      <w:r>
        <w:rPr>
          <w:spacing w:val="-4"/>
        </w:rPr>
        <w:t> </w:t>
      </w:r>
      <w:r>
        <w:rPr/>
        <w:t>in</w:t>
      </w:r>
      <w:r>
        <w:rPr>
          <w:spacing w:val="-3"/>
        </w:rPr>
        <w:t> </w:t>
      </w:r>
      <w:r>
        <w:rPr/>
        <w:t>New</w:t>
      </w:r>
      <w:r>
        <w:rPr>
          <w:spacing w:val="-3"/>
        </w:rPr>
        <w:t> </w:t>
      </w:r>
      <w:r>
        <w:rPr/>
        <w:t>Zealand, and several studies examined sexual orientation change efforts with transgender and gender-diverse populations in the United States and Canada.</w:t>
      </w:r>
    </w:p>
    <w:p>
      <w:pPr>
        <w:pStyle w:val="BodyText"/>
        <w:spacing w:before="4"/>
        <w:rPr>
          <w:sz w:val="31"/>
        </w:rPr>
      </w:pPr>
    </w:p>
    <w:p>
      <w:pPr>
        <w:pStyle w:val="Heading2"/>
      </w:pPr>
      <w:r>
        <w:rPr>
          <w:spacing w:val="-2"/>
        </w:rPr>
        <w:t>Conclusion</w:t>
      </w:r>
    </w:p>
    <w:p>
      <w:pPr>
        <w:pStyle w:val="BodyText"/>
        <w:spacing w:before="178"/>
        <w:ind w:left="280" w:right="502"/>
      </w:pPr>
      <w:r>
        <w:rPr/>
        <w:t>There</w:t>
      </w:r>
      <w:r>
        <w:rPr>
          <w:spacing w:val="-6"/>
        </w:rPr>
        <w:t> </w:t>
      </w:r>
      <w:r>
        <w:rPr/>
        <w:t>is</w:t>
      </w:r>
      <w:r>
        <w:rPr>
          <w:spacing w:val="-5"/>
        </w:rPr>
        <w:t> </w:t>
      </w:r>
      <w:r>
        <w:rPr/>
        <w:t>sufficient</w:t>
      </w:r>
      <w:r>
        <w:rPr>
          <w:spacing w:val="-5"/>
        </w:rPr>
        <w:t> </w:t>
      </w:r>
      <w:r>
        <w:rPr/>
        <w:t>evidence</w:t>
      </w:r>
      <w:r>
        <w:rPr>
          <w:spacing w:val="-6"/>
        </w:rPr>
        <w:t> </w:t>
      </w:r>
      <w:r>
        <w:rPr/>
        <w:t>to</w:t>
      </w:r>
      <w:r>
        <w:rPr>
          <w:spacing w:val="-5"/>
        </w:rPr>
        <w:t> </w:t>
      </w:r>
      <w:r>
        <w:rPr/>
        <w:t>conclude</w:t>
      </w:r>
      <w:r>
        <w:rPr>
          <w:spacing w:val="-6"/>
        </w:rPr>
        <w:t> </w:t>
      </w:r>
      <w:r>
        <w:rPr/>
        <w:t>that</w:t>
      </w:r>
      <w:r>
        <w:rPr>
          <w:spacing w:val="-5"/>
        </w:rPr>
        <w:t> </w:t>
      </w:r>
      <w:r>
        <w:rPr/>
        <w:t>SOGI</w:t>
      </w:r>
      <w:r>
        <w:rPr>
          <w:spacing w:val="-5"/>
        </w:rPr>
        <w:t> </w:t>
      </w:r>
      <w:r>
        <w:rPr/>
        <w:t>change</w:t>
      </w:r>
      <w:r>
        <w:rPr>
          <w:spacing w:val="-6"/>
        </w:rPr>
        <w:t> </w:t>
      </w:r>
      <w:r>
        <w:rPr/>
        <w:t>efforts</w:t>
      </w:r>
      <w:r>
        <w:rPr>
          <w:spacing w:val="-5"/>
        </w:rPr>
        <w:t> </w:t>
      </w:r>
      <w:r>
        <w:rPr/>
        <w:t>are inappropriate, harmful practices based on the knowledge that:</w:t>
      </w:r>
    </w:p>
    <w:p>
      <w:pPr>
        <w:pStyle w:val="ListParagraph"/>
        <w:numPr>
          <w:ilvl w:val="0"/>
          <w:numId w:val="27"/>
        </w:numPr>
        <w:tabs>
          <w:tab w:pos="501" w:val="left" w:leader="none"/>
        </w:tabs>
        <w:spacing w:line="240" w:lineRule="auto" w:before="176" w:after="0"/>
        <w:ind w:left="501" w:right="647" w:hanging="222"/>
        <w:jc w:val="left"/>
        <w:rPr>
          <w:sz w:val="28"/>
        </w:rPr>
      </w:pPr>
      <w:r>
        <w:rPr>
          <w:sz w:val="28"/>
        </w:rPr>
        <w:t>These</w:t>
      </w:r>
      <w:r>
        <w:rPr>
          <w:spacing w:val="-4"/>
          <w:sz w:val="28"/>
        </w:rPr>
        <w:t> </w:t>
      </w:r>
      <w:r>
        <w:rPr>
          <w:sz w:val="28"/>
        </w:rPr>
        <w:t>efforts</w:t>
      </w:r>
      <w:r>
        <w:rPr>
          <w:spacing w:val="-3"/>
          <w:sz w:val="28"/>
        </w:rPr>
        <w:t> </w:t>
      </w:r>
      <w:r>
        <w:rPr>
          <w:sz w:val="28"/>
        </w:rPr>
        <w:t>are</w:t>
      </w:r>
      <w:r>
        <w:rPr>
          <w:spacing w:val="-4"/>
          <w:sz w:val="28"/>
        </w:rPr>
        <w:t> </w:t>
      </w:r>
      <w:r>
        <w:rPr>
          <w:sz w:val="28"/>
        </w:rPr>
        <w:t>founded</w:t>
      </w:r>
      <w:r>
        <w:rPr>
          <w:spacing w:val="-3"/>
          <w:sz w:val="28"/>
        </w:rPr>
        <w:t> </w:t>
      </w:r>
      <w:r>
        <w:rPr>
          <w:sz w:val="28"/>
        </w:rPr>
        <w:t>on</w:t>
      </w:r>
      <w:r>
        <w:rPr>
          <w:spacing w:val="-4"/>
          <w:sz w:val="28"/>
        </w:rPr>
        <w:t> </w:t>
      </w:r>
      <w:r>
        <w:rPr>
          <w:sz w:val="28"/>
        </w:rPr>
        <w:t>a</w:t>
      </w:r>
      <w:r>
        <w:rPr>
          <w:spacing w:val="-4"/>
          <w:sz w:val="28"/>
        </w:rPr>
        <w:t> </w:t>
      </w:r>
      <w:r>
        <w:rPr>
          <w:sz w:val="28"/>
        </w:rPr>
        <w:t>view</w:t>
      </w:r>
      <w:r>
        <w:rPr>
          <w:spacing w:val="-3"/>
          <w:sz w:val="28"/>
        </w:rPr>
        <w:t> </w:t>
      </w:r>
      <w:r>
        <w:rPr>
          <w:sz w:val="28"/>
        </w:rPr>
        <w:t>of</w:t>
      </w:r>
      <w:r>
        <w:rPr>
          <w:spacing w:val="-4"/>
          <w:sz w:val="28"/>
        </w:rPr>
        <w:t> </w:t>
      </w:r>
      <w:r>
        <w:rPr>
          <w:sz w:val="28"/>
        </w:rPr>
        <w:t>sexual</w:t>
      </w:r>
      <w:r>
        <w:rPr>
          <w:spacing w:val="-3"/>
          <w:sz w:val="28"/>
        </w:rPr>
        <w:t> </w:t>
      </w:r>
      <w:r>
        <w:rPr>
          <w:sz w:val="28"/>
        </w:rPr>
        <w:t>and</w:t>
      </w:r>
      <w:r>
        <w:rPr>
          <w:spacing w:val="-4"/>
          <w:sz w:val="28"/>
        </w:rPr>
        <w:t> </w:t>
      </w:r>
      <w:r>
        <w:rPr>
          <w:sz w:val="28"/>
        </w:rPr>
        <w:t>gender</w:t>
      </w:r>
      <w:r>
        <w:rPr>
          <w:spacing w:val="-3"/>
          <w:sz w:val="28"/>
        </w:rPr>
        <w:t> </w:t>
      </w:r>
      <w:r>
        <w:rPr>
          <w:sz w:val="28"/>
        </w:rPr>
        <w:t>diversity</w:t>
      </w:r>
      <w:r>
        <w:rPr>
          <w:spacing w:val="-4"/>
          <w:sz w:val="28"/>
        </w:rPr>
        <w:t> </w:t>
      </w:r>
      <w:r>
        <w:rPr>
          <w:sz w:val="28"/>
        </w:rPr>
        <w:t>that</w:t>
      </w:r>
      <w:r>
        <w:rPr>
          <w:spacing w:val="-3"/>
          <w:sz w:val="28"/>
        </w:rPr>
        <w:t> </w:t>
      </w:r>
      <w:r>
        <w:rPr>
          <w:sz w:val="28"/>
        </w:rPr>
        <w:t>runs counter to scientific consensus.</w:t>
      </w:r>
    </w:p>
    <w:p>
      <w:pPr>
        <w:pStyle w:val="ListParagraph"/>
        <w:numPr>
          <w:ilvl w:val="0"/>
          <w:numId w:val="27"/>
        </w:numPr>
        <w:tabs>
          <w:tab w:pos="501" w:val="left" w:leader="none"/>
        </w:tabs>
        <w:spacing w:line="237" w:lineRule="auto" w:before="0" w:after="0"/>
        <w:ind w:left="501" w:right="622" w:hanging="222"/>
        <w:jc w:val="left"/>
        <w:rPr>
          <w:sz w:val="28"/>
        </w:rPr>
      </w:pPr>
      <w:r>
        <w:rPr>
          <w:sz w:val="28"/>
        </w:rPr>
        <w:t>Research</w:t>
      </w:r>
      <w:r>
        <w:rPr>
          <w:spacing w:val="-6"/>
          <w:sz w:val="28"/>
        </w:rPr>
        <w:t> </w:t>
      </w:r>
      <w:r>
        <w:rPr>
          <w:sz w:val="28"/>
        </w:rPr>
        <w:t>demonstrates</w:t>
      </w:r>
      <w:r>
        <w:rPr>
          <w:spacing w:val="-6"/>
          <w:sz w:val="28"/>
        </w:rPr>
        <w:t> </w:t>
      </w:r>
      <w:r>
        <w:rPr>
          <w:sz w:val="28"/>
        </w:rPr>
        <w:t>that</w:t>
      </w:r>
      <w:r>
        <w:rPr>
          <w:spacing w:val="-6"/>
          <w:sz w:val="28"/>
        </w:rPr>
        <w:t> </w:t>
      </w:r>
      <w:r>
        <w:rPr>
          <w:sz w:val="28"/>
        </w:rPr>
        <w:t>sexual</w:t>
      </w:r>
      <w:r>
        <w:rPr>
          <w:spacing w:val="-6"/>
          <w:sz w:val="28"/>
        </w:rPr>
        <w:t> </w:t>
      </w:r>
      <w:r>
        <w:rPr>
          <w:sz w:val="28"/>
        </w:rPr>
        <w:t>orientation</w:t>
      </w:r>
      <w:r>
        <w:rPr>
          <w:spacing w:val="-6"/>
          <w:sz w:val="28"/>
        </w:rPr>
        <w:t> </w:t>
      </w:r>
      <w:r>
        <w:rPr>
          <w:sz w:val="28"/>
        </w:rPr>
        <w:t>change</w:t>
      </w:r>
      <w:r>
        <w:rPr>
          <w:spacing w:val="-7"/>
          <w:sz w:val="28"/>
        </w:rPr>
        <w:t> </w:t>
      </w:r>
      <w:r>
        <w:rPr>
          <w:sz w:val="28"/>
        </w:rPr>
        <w:t>efforts</w:t>
      </w:r>
      <w:r>
        <w:rPr>
          <w:spacing w:val="-6"/>
          <w:sz w:val="28"/>
        </w:rPr>
        <w:t> </w:t>
      </w:r>
      <w:r>
        <w:rPr>
          <w:sz w:val="28"/>
        </w:rPr>
        <w:t>are</w:t>
      </w:r>
      <w:r>
        <w:rPr>
          <w:spacing w:val="-7"/>
          <w:sz w:val="28"/>
        </w:rPr>
        <w:t> </w:t>
      </w:r>
      <w:r>
        <w:rPr>
          <w:sz w:val="28"/>
        </w:rPr>
        <w:t>ineffective, and no research demonstrates the effectiveness of gender identity change </w:t>
      </w:r>
      <w:r>
        <w:rPr>
          <w:spacing w:val="-2"/>
          <w:sz w:val="28"/>
        </w:rPr>
        <w:t>efforts.</w:t>
      </w:r>
    </w:p>
    <w:p>
      <w:pPr>
        <w:pStyle w:val="ListParagraph"/>
        <w:numPr>
          <w:ilvl w:val="0"/>
          <w:numId w:val="27"/>
        </w:numPr>
        <w:tabs>
          <w:tab w:pos="501" w:val="left" w:leader="none"/>
        </w:tabs>
        <w:spacing w:line="240" w:lineRule="auto" w:before="0" w:after="0"/>
        <w:ind w:left="501" w:right="811" w:hanging="222"/>
        <w:jc w:val="left"/>
        <w:rPr>
          <w:sz w:val="28"/>
        </w:rPr>
      </w:pPr>
      <w:r>
        <w:rPr>
          <w:sz w:val="28"/>
        </w:rPr>
        <w:t>There</w:t>
      </w:r>
      <w:r>
        <w:rPr>
          <w:spacing w:val="-5"/>
          <w:sz w:val="28"/>
        </w:rPr>
        <w:t> </w:t>
      </w:r>
      <w:r>
        <w:rPr>
          <w:sz w:val="28"/>
        </w:rPr>
        <w:t>is</w:t>
      </w:r>
      <w:r>
        <w:rPr>
          <w:spacing w:val="-4"/>
          <w:sz w:val="28"/>
        </w:rPr>
        <w:t> </w:t>
      </w:r>
      <w:r>
        <w:rPr>
          <w:sz w:val="28"/>
        </w:rPr>
        <w:t>a</w:t>
      </w:r>
      <w:r>
        <w:rPr>
          <w:spacing w:val="-5"/>
          <w:sz w:val="28"/>
        </w:rPr>
        <w:t> </w:t>
      </w:r>
      <w:r>
        <w:rPr>
          <w:sz w:val="28"/>
        </w:rPr>
        <w:t>growing</w:t>
      </w:r>
      <w:r>
        <w:rPr>
          <w:spacing w:val="-4"/>
          <w:sz w:val="28"/>
        </w:rPr>
        <w:t> </w:t>
      </w:r>
      <w:r>
        <w:rPr>
          <w:sz w:val="28"/>
        </w:rPr>
        <w:t>body</w:t>
      </w:r>
      <w:r>
        <w:rPr>
          <w:spacing w:val="-4"/>
          <w:sz w:val="28"/>
        </w:rPr>
        <w:t> </w:t>
      </w:r>
      <w:r>
        <w:rPr>
          <w:sz w:val="28"/>
        </w:rPr>
        <w:t>of</w:t>
      </w:r>
      <w:r>
        <w:rPr>
          <w:spacing w:val="-4"/>
          <w:sz w:val="28"/>
        </w:rPr>
        <w:t> </w:t>
      </w:r>
      <w:r>
        <w:rPr>
          <w:sz w:val="28"/>
        </w:rPr>
        <w:t>evidence</w:t>
      </w:r>
      <w:r>
        <w:rPr>
          <w:spacing w:val="-5"/>
          <w:sz w:val="28"/>
        </w:rPr>
        <w:t> </w:t>
      </w:r>
      <w:r>
        <w:rPr>
          <w:sz w:val="28"/>
        </w:rPr>
        <w:t>that</w:t>
      </w:r>
      <w:r>
        <w:rPr>
          <w:spacing w:val="-4"/>
          <w:sz w:val="28"/>
        </w:rPr>
        <w:t> </w:t>
      </w:r>
      <w:r>
        <w:rPr>
          <w:sz w:val="28"/>
        </w:rPr>
        <w:t>exposure</w:t>
      </w:r>
      <w:r>
        <w:rPr>
          <w:spacing w:val="-5"/>
          <w:sz w:val="28"/>
        </w:rPr>
        <w:t> </w:t>
      </w:r>
      <w:r>
        <w:rPr>
          <w:sz w:val="28"/>
        </w:rPr>
        <w:t>to</w:t>
      </w:r>
      <w:r>
        <w:rPr>
          <w:spacing w:val="-4"/>
          <w:sz w:val="28"/>
        </w:rPr>
        <w:t> </w:t>
      </w:r>
      <w:r>
        <w:rPr>
          <w:sz w:val="28"/>
        </w:rPr>
        <w:t>SOGI</w:t>
      </w:r>
      <w:r>
        <w:rPr>
          <w:spacing w:val="-4"/>
          <w:sz w:val="28"/>
        </w:rPr>
        <w:t> </w:t>
      </w:r>
      <w:r>
        <w:rPr>
          <w:sz w:val="28"/>
        </w:rPr>
        <w:t>change</w:t>
      </w:r>
      <w:r>
        <w:rPr>
          <w:spacing w:val="-5"/>
          <w:sz w:val="28"/>
        </w:rPr>
        <w:t> </w:t>
      </w:r>
      <w:r>
        <w:rPr>
          <w:sz w:val="28"/>
        </w:rPr>
        <w:t>efforts can cause significant, lasting harm.</w:t>
      </w:r>
    </w:p>
    <w:p>
      <w:pPr>
        <w:pStyle w:val="BodyText"/>
        <w:spacing w:before="5"/>
        <w:rPr>
          <w:sz w:val="27"/>
        </w:rPr>
      </w:pPr>
    </w:p>
    <w:p>
      <w:pPr>
        <w:pStyle w:val="BodyText"/>
        <w:ind w:left="280" w:right="575"/>
      </w:pPr>
      <w:r>
        <w:rPr/>
        <w:t>Other supportive behavioral health approaches are recommended for individual or family distress associated with sexual orientation and gender identity,</w:t>
      </w:r>
      <w:r>
        <w:rPr>
          <w:spacing w:val="-11"/>
        </w:rPr>
        <w:t> </w:t>
      </w:r>
      <w:r>
        <w:rPr/>
        <w:t>as</w:t>
      </w:r>
      <w:r>
        <w:rPr>
          <w:spacing w:val="-7"/>
        </w:rPr>
        <w:t> </w:t>
      </w:r>
      <w:r>
        <w:rPr/>
        <w:t>discussed</w:t>
      </w:r>
      <w:r>
        <w:rPr>
          <w:spacing w:val="-7"/>
        </w:rPr>
        <w:t> </w:t>
      </w:r>
      <w:r>
        <w:rPr/>
        <w:t>in</w:t>
      </w:r>
      <w:r>
        <w:rPr>
          <w:spacing w:val="-7"/>
        </w:rPr>
        <w:t> </w:t>
      </w:r>
      <w:r>
        <w:rPr/>
        <w:t>“Beneficial</w:t>
      </w:r>
      <w:r>
        <w:rPr>
          <w:spacing w:val="-13"/>
        </w:rPr>
        <w:t> </w:t>
      </w:r>
      <w:r>
        <w:rPr/>
        <w:t>Therapeutic</w:t>
      </w:r>
      <w:r>
        <w:rPr>
          <w:spacing w:val="-18"/>
        </w:rPr>
        <w:t> </w:t>
      </w:r>
      <w:r>
        <w:rPr/>
        <w:t>Approaches</w:t>
      </w:r>
      <w:r>
        <w:rPr>
          <w:spacing w:val="-7"/>
        </w:rPr>
        <w:t> </w:t>
      </w:r>
      <w:r>
        <w:rPr/>
        <w:t>and</w:t>
      </w:r>
      <w:r>
        <w:rPr>
          <w:spacing w:val="-7"/>
        </w:rPr>
        <w:t> </w:t>
      </w:r>
      <w:r>
        <w:rPr/>
        <w:t>Interventions in LGBTQI+ Youth and Their Families” in Section 2.</w:t>
      </w:r>
    </w:p>
    <w:p>
      <w:pPr>
        <w:spacing w:after="0"/>
        <w:sectPr>
          <w:pgSz w:w="12240" w:h="15840"/>
          <w:pgMar w:header="0" w:footer="783" w:top="1260" w:bottom="980" w:left="1400" w:right="1180"/>
        </w:sectPr>
      </w:pPr>
    </w:p>
    <w:p>
      <w:pPr>
        <w:pStyle w:val="Heading2"/>
        <w:spacing w:line="288" w:lineRule="auto" w:before="66"/>
        <w:ind w:right="502"/>
      </w:pPr>
      <w:r>
        <w:rPr>
          <w:color w:val="665082"/>
        </w:rPr>
        <w:t>Development,</w:t>
      </w:r>
      <w:r>
        <w:rPr>
          <w:color w:val="665082"/>
          <w:spacing w:val="-12"/>
        </w:rPr>
        <w:t> </w:t>
      </w:r>
      <w:r>
        <w:rPr>
          <w:color w:val="665082"/>
        </w:rPr>
        <w:t>Behavioral</w:t>
      </w:r>
      <w:r>
        <w:rPr>
          <w:color w:val="665082"/>
          <w:spacing w:val="-8"/>
        </w:rPr>
        <w:t> </w:t>
      </w:r>
      <w:r>
        <w:rPr>
          <w:color w:val="665082"/>
        </w:rPr>
        <w:t>Health,</w:t>
      </w:r>
      <w:r>
        <w:rPr>
          <w:color w:val="665082"/>
          <w:spacing w:val="-8"/>
        </w:rPr>
        <w:t> </w:t>
      </w:r>
      <w:r>
        <w:rPr>
          <w:color w:val="665082"/>
        </w:rPr>
        <w:t>and</w:t>
      </w:r>
      <w:r>
        <w:rPr>
          <w:color w:val="665082"/>
          <w:spacing w:val="-8"/>
        </w:rPr>
        <w:t> </w:t>
      </w:r>
      <w:r>
        <w:rPr>
          <w:color w:val="665082"/>
        </w:rPr>
        <w:t>Beneficial</w:t>
      </w:r>
      <w:r>
        <w:rPr>
          <w:color w:val="665082"/>
          <w:spacing w:val="-13"/>
        </w:rPr>
        <w:t> </w:t>
      </w:r>
      <w:r>
        <w:rPr>
          <w:color w:val="665082"/>
        </w:rPr>
        <w:t>Therapeutic</w:t>
      </w:r>
      <w:r>
        <w:rPr>
          <w:color w:val="665082"/>
          <w:spacing w:val="-18"/>
        </w:rPr>
        <w:t> </w:t>
      </w:r>
      <w:r>
        <w:rPr>
          <w:color w:val="665082"/>
        </w:rPr>
        <w:t>Approaches With</w:t>
      </w:r>
      <w:r>
        <w:rPr>
          <w:color w:val="665082"/>
          <w:spacing w:val="-1"/>
        </w:rPr>
        <w:t> </w:t>
      </w:r>
      <w:r>
        <w:rPr>
          <w:color w:val="665082"/>
        </w:rPr>
        <w:t>Youth of Diverse Sexual Orientation and/or Gender Identity:</w:t>
      </w:r>
      <w:r>
        <w:rPr>
          <w:color w:val="665082"/>
          <w:spacing w:val="-7"/>
        </w:rPr>
        <w:t> </w:t>
      </w:r>
      <w:r>
        <w:rPr>
          <w:color w:val="665082"/>
        </w:rPr>
        <w:t>A Research Overview</w:t>
      </w:r>
    </w:p>
    <w:p>
      <w:pPr>
        <w:spacing w:before="215"/>
        <w:ind w:left="280" w:right="0" w:firstLine="0"/>
        <w:jc w:val="left"/>
        <w:rPr>
          <w:b/>
          <w:sz w:val="28"/>
        </w:rPr>
      </w:pPr>
      <w:r>
        <w:rPr>
          <w:b/>
          <w:sz w:val="28"/>
        </w:rPr>
        <w:t>Sexual</w:t>
      </w:r>
      <w:r>
        <w:rPr>
          <w:b/>
          <w:spacing w:val="-4"/>
          <w:sz w:val="28"/>
        </w:rPr>
        <w:t> </w:t>
      </w:r>
      <w:r>
        <w:rPr>
          <w:b/>
          <w:spacing w:val="-2"/>
          <w:sz w:val="28"/>
        </w:rPr>
        <w:t>Orientation</w:t>
      </w:r>
    </w:p>
    <w:p>
      <w:pPr>
        <w:pStyle w:val="BodyText"/>
        <w:spacing w:before="226"/>
        <w:ind w:left="280" w:right="604"/>
      </w:pPr>
      <w:r>
        <w:rPr/>
        <w:t>Sexual</w:t>
      </w:r>
      <w:r>
        <w:rPr>
          <w:spacing w:val="-3"/>
        </w:rPr>
        <w:t> </w:t>
      </w:r>
      <w:r>
        <w:rPr/>
        <w:t>orientation</w:t>
      </w:r>
      <w:r>
        <w:rPr>
          <w:spacing w:val="-3"/>
        </w:rPr>
        <w:t> </w:t>
      </w:r>
      <w:r>
        <w:rPr/>
        <w:t>consists</w:t>
      </w:r>
      <w:r>
        <w:rPr>
          <w:spacing w:val="-3"/>
        </w:rPr>
        <w:t> </w:t>
      </w:r>
      <w:r>
        <w:rPr/>
        <w:t>of</w:t>
      </w:r>
      <w:r>
        <w:rPr>
          <w:spacing w:val="-3"/>
        </w:rPr>
        <w:t> </w:t>
      </w:r>
      <w:r>
        <w:rPr/>
        <w:t>sexual</w:t>
      </w:r>
      <w:r>
        <w:rPr>
          <w:spacing w:val="-3"/>
        </w:rPr>
        <w:t> </w:t>
      </w:r>
      <w:r>
        <w:rPr/>
        <w:t>identity,</w:t>
      </w:r>
      <w:r>
        <w:rPr>
          <w:spacing w:val="-3"/>
        </w:rPr>
        <w:t> </w:t>
      </w:r>
      <w:r>
        <w:rPr/>
        <w:t>sexual</w:t>
      </w:r>
      <w:r>
        <w:rPr>
          <w:spacing w:val="-3"/>
        </w:rPr>
        <w:t> </w:t>
      </w:r>
      <w:r>
        <w:rPr/>
        <w:t>and</w:t>
      </w:r>
      <w:r>
        <w:rPr>
          <w:spacing w:val="-3"/>
        </w:rPr>
        <w:t> </w:t>
      </w:r>
      <w:r>
        <w:rPr/>
        <w:t>romantic</w:t>
      </w:r>
      <w:r>
        <w:rPr>
          <w:spacing w:val="-4"/>
        </w:rPr>
        <w:t> </w:t>
      </w:r>
      <w:r>
        <w:rPr/>
        <w:t>attraction, and sexual behavior. Great shifts in the understanding of sexual orientation have occurred over the past century.120</w:t>
      </w:r>
      <w:r>
        <w:rPr>
          <w:spacing w:val="-3"/>
        </w:rPr>
        <w:t> </w:t>
      </w:r>
      <w:r>
        <w:rPr/>
        <w:t>Though a diverse sexual orientation was once considered abnormal or a medical problem, scientists now understand</w:t>
      </w:r>
      <w:r>
        <w:rPr>
          <w:spacing w:val="-4"/>
        </w:rPr>
        <w:t> </w:t>
      </w:r>
      <w:r>
        <w:rPr/>
        <w:t>that</w:t>
      </w:r>
      <w:r>
        <w:rPr>
          <w:spacing w:val="-4"/>
        </w:rPr>
        <w:t> </w:t>
      </w:r>
      <w:r>
        <w:rPr/>
        <w:t>sexuality</w:t>
      </w:r>
      <w:r>
        <w:rPr>
          <w:spacing w:val="-4"/>
        </w:rPr>
        <w:t> </w:t>
      </w:r>
      <w:r>
        <w:rPr/>
        <w:t>occurs</w:t>
      </w:r>
      <w:r>
        <w:rPr>
          <w:spacing w:val="-4"/>
        </w:rPr>
        <w:t> </w:t>
      </w:r>
      <w:r>
        <w:rPr/>
        <w:t>on</w:t>
      </w:r>
      <w:r>
        <w:rPr>
          <w:spacing w:val="-4"/>
        </w:rPr>
        <w:t> </w:t>
      </w:r>
      <w:r>
        <w:rPr/>
        <w:t>a</w:t>
      </w:r>
      <w:r>
        <w:rPr>
          <w:spacing w:val="-5"/>
        </w:rPr>
        <w:t> </w:t>
      </w:r>
      <w:r>
        <w:rPr/>
        <w:t>continuum</w:t>
      </w:r>
      <w:r>
        <w:rPr>
          <w:spacing w:val="-4"/>
        </w:rPr>
        <w:t> </w:t>
      </w:r>
      <w:r>
        <w:rPr/>
        <w:t>and</w:t>
      </w:r>
      <w:r>
        <w:rPr>
          <w:spacing w:val="-4"/>
        </w:rPr>
        <w:t> </w:t>
      </w:r>
      <w:r>
        <w:rPr/>
        <w:t>that</w:t>
      </w:r>
      <w:r>
        <w:rPr>
          <w:spacing w:val="-4"/>
        </w:rPr>
        <w:t> </w:t>
      </w:r>
      <w:r>
        <w:rPr/>
        <w:t>variations</w:t>
      </w:r>
      <w:r>
        <w:rPr>
          <w:spacing w:val="-4"/>
        </w:rPr>
        <w:t> </w:t>
      </w:r>
      <w:r>
        <w:rPr/>
        <w:t>in</w:t>
      </w:r>
      <w:r>
        <w:rPr>
          <w:spacing w:val="-4"/>
        </w:rPr>
        <w:t> </w:t>
      </w:r>
      <w:r>
        <w:rPr/>
        <w:t>sexual orientation are part of the normal and healthy range of human sexuality.</w:t>
      </w:r>
    </w:p>
    <w:p>
      <w:pPr>
        <w:pStyle w:val="BodyText"/>
        <w:spacing w:before="5"/>
        <w:rPr>
          <w:sz w:val="38"/>
        </w:rPr>
      </w:pPr>
    </w:p>
    <w:p>
      <w:pPr>
        <w:pStyle w:val="BodyText"/>
        <w:ind w:left="280" w:right="502"/>
      </w:pPr>
      <w:r>
        <w:rPr/>
        <w:t>Although some people experience changes in sexual awareness, attractions, behaviors,</w:t>
      </w:r>
      <w:r>
        <w:rPr>
          <w:spacing w:val="-3"/>
        </w:rPr>
        <w:t> </w:t>
      </w:r>
      <w:r>
        <w:rPr/>
        <w:t>and</w:t>
      </w:r>
      <w:r>
        <w:rPr>
          <w:spacing w:val="-3"/>
        </w:rPr>
        <w:t> </w:t>
      </w:r>
      <w:r>
        <w:rPr/>
        <w:t>identities</w:t>
      </w:r>
      <w:r>
        <w:rPr>
          <w:spacing w:val="-3"/>
        </w:rPr>
        <w:t> </w:t>
      </w:r>
      <w:r>
        <w:rPr/>
        <w:t>over</w:t>
      </w:r>
      <w:r>
        <w:rPr>
          <w:spacing w:val="-3"/>
        </w:rPr>
        <w:t> </w:t>
      </w:r>
      <w:r>
        <w:rPr/>
        <w:t>time,</w:t>
      </w:r>
      <w:r>
        <w:rPr>
          <w:spacing w:val="-3"/>
        </w:rPr>
        <w:t> </w:t>
      </w:r>
      <w:r>
        <w:rPr/>
        <w:t>this</w:t>
      </w:r>
      <w:r>
        <w:rPr>
          <w:spacing w:val="-3"/>
        </w:rPr>
        <w:t> </w:t>
      </w:r>
      <w:r>
        <w:rPr/>
        <w:t>does</w:t>
      </w:r>
      <w:r>
        <w:rPr>
          <w:spacing w:val="-3"/>
        </w:rPr>
        <w:t> </w:t>
      </w:r>
      <w:r>
        <w:rPr/>
        <w:t>not</w:t>
      </w:r>
      <w:r>
        <w:rPr>
          <w:spacing w:val="-3"/>
        </w:rPr>
        <w:t> </w:t>
      </w:r>
      <w:r>
        <w:rPr/>
        <w:t>mean</w:t>
      </w:r>
      <w:r>
        <w:rPr>
          <w:spacing w:val="-3"/>
        </w:rPr>
        <w:t> </w:t>
      </w:r>
      <w:r>
        <w:rPr/>
        <w:t>that</w:t>
      </w:r>
      <w:r>
        <w:rPr>
          <w:spacing w:val="-3"/>
        </w:rPr>
        <w:t> </w:t>
      </w:r>
      <w:r>
        <w:rPr/>
        <w:t>sexual</w:t>
      </w:r>
      <w:r>
        <w:rPr>
          <w:spacing w:val="-3"/>
        </w:rPr>
        <w:t> </w:t>
      </w:r>
      <w:r>
        <w:rPr/>
        <w:t>orientation can</w:t>
      </w:r>
      <w:r>
        <w:rPr>
          <w:spacing w:val="-7"/>
        </w:rPr>
        <w:t> </w:t>
      </w:r>
      <w:r>
        <w:rPr/>
        <w:t>be</w:t>
      </w:r>
      <w:r>
        <w:rPr>
          <w:spacing w:val="-5"/>
        </w:rPr>
        <w:t> </w:t>
      </w:r>
      <w:r>
        <w:rPr/>
        <w:t>willfully</w:t>
      </w:r>
      <w:r>
        <w:rPr>
          <w:spacing w:val="-4"/>
        </w:rPr>
        <w:t> </w:t>
      </w:r>
      <w:r>
        <w:rPr/>
        <w:t>changed</w:t>
      </w:r>
      <w:r>
        <w:rPr>
          <w:spacing w:val="-4"/>
        </w:rPr>
        <w:t> </w:t>
      </w:r>
      <w:r>
        <w:rPr/>
        <w:t>through</w:t>
      </w:r>
      <w:r>
        <w:rPr>
          <w:spacing w:val="-4"/>
        </w:rPr>
        <w:t> </w:t>
      </w:r>
      <w:r>
        <w:rPr/>
        <w:t>their</w:t>
      </w:r>
      <w:r>
        <w:rPr>
          <w:spacing w:val="-4"/>
        </w:rPr>
        <w:t> </w:t>
      </w:r>
      <w:r>
        <w:rPr/>
        <w:t>own</w:t>
      </w:r>
      <w:r>
        <w:rPr>
          <w:spacing w:val="-4"/>
        </w:rPr>
        <w:t> </w:t>
      </w:r>
      <w:r>
        <w:rPr/>
        <w:t>or</w:t>
      </w:r>
      <w:r>
        <w:rPr>
          <w:spacing w:val="-4"/>
        </w:rPr>
        <w:t> </w:t>
      </w:r>
      <w:r>
        <w:rPr/>
        <w:t>others’</w:t>
      </w:r>
      <w:r>
        <w:rPr>
          <w:spacing w:val="-21"/>
        </w:rPr>
        <w:t> </w:t>
      </w:r>
      <w:r>
        <w:rPr/>
        <w:t>efforts,</w:t>
      </w:r>
      <w:r>
        <w:rPr>
          <w:spacing w:val="-4"/>
        </w:rPr>
        <w:t> </w:t>
      </w:r>
      <w:r>
        <w:rPr/>
        <w:t>such</w:t>
      </w:r>
      <w:r>
        <w:rPr>
          <w:spacing w:val="-4"/>
        </w:rPr>
        <w:t> </w:t>
      </w:r>
      <w:r>
        <w:rPr/>
        <w:t>as</w:t>
      </w:r>
      <w:r>
        <w:rPr>
          <w:spacing w:val="-4"/>
        </w:rPr>
        <w:t> </w:t>
      </w:r>
      <w:r>
        <w:rPr/>
        <w:t>through sexual orientation and gender identity (SOGI; pronounced "SO-gee") change </w:t>
      </w:r>
      <w:r>
        <w:rPr>
          <w:spacing w:val="-2"/>
        </w:rPr>
        <w:t>efforts.</w:t>
      </w:r>
    </w:p>
    <w:p>
      <w:pPr>
        <w:pStyle w:val="BodyText"/>
        <w:spacing w:before="170"/>
        <w:ind w:left="280" w:right="517"/>
      </w:pPr>
      <w:r>
        <w:rPr/>
        <w:t>Today,</w:t>
      </w:r>
      <w:r>
        <w:rPr>
          <w:spacing w:val="-4"/>
        </w:rPr>
        <w:t> </w:t>
      </w:r>
      <w:r>
        <w:rPr/>
        <w:t>many</w:t>
      </w:r>
      <w:r>
        <w:rPr>
          <w:spacing w:val="-4"/>
        </w:rPr>
        <w:t> </w:t>
      </w:r>
      <w:r>
        <w:rPr/>
        <w:t>terms</w:t>
      </w:r>
      <w:r>
        <w:rPr>
          <w:spacing w:val="-4"/>
        </w:rPr>
        <w:t> </w:t>
      </w:r>
      <w:r>
        <w:rPr/>
        <w:t>are</w:t>
      </w:r>
      <w:r>
        <w:rPr>
          <w:spacing w:val="-5"/>
        </w:rPr>
        <w:t> </w:t>
      </w:r>
      <w:r>
        <w:rPr/>
        <w:t>used</w:t>
      </w:r>
      <w:r>
        <w:rPr>
          <w:spacing w:val="-4"/>
        </w:rPr>
        <w:t> </w:t>
      </w:r>
      <w:r>
        <w:rPr/>
        <w:t>to</w:t>
      </w:r>
      <w:r>
        <w:rPr>
          <w:spacing w:val="-4"/>
        </w:rPr>
        <w:t> </w:t>
      </w:r>
      <w:r>
        <w:rPr/>
        <w:t>describe</w:t>
      </w:r>
      <w:r>
        <w:rPr>
          <w:spacing w:val="-5"/>
        </w:rPr>
        <w:t> </w:t>
      </w:r>
      <w:r>
        <w:rPr/>
        <w:t>sexual</w:t>
      </w:r>
      <w:r>
        <w:rPr>
          <w:spacing w:val="-4"/>
        </w:rPr>
        <w:t> </w:t>
      </w:r>
      <w:r>
        <w:rPr/>
        <w:t>orientation.</w:t>
      </w:r>
      <w:r>
        <w:rPr>
          <w:spacing w:val="-4"/>
        </w:rPr>
        <w:t> </w:t>
      </w:r>
      <w:r>
        <w:rPr/>
        <w:t>In</w:t>
      </w:r>
      <w:r>
        <w:rPr>
          <w:spacing w:val="-4"/>
        </w:rPr>
        <w:t> </w:t>
      </w:r>
      <w:r>
        <w:rPr/>
        <w:t>addition</w:t>
      </w:r>
      <w:r>
        <w:rPr>
          <w:spacing w:val="-4"/>
        </w:rPr>
        <w:t> </w:t>
      </w:r>
      <w:r>
        <w:rPr/>
        <w:t>to</w:t>
      </w:r>
      <w:r>
        <w:rPr>
          <w:spacing w:val="-4"/>
        </w:rPr>
        <w:t> </w:t>
      </w:r>
      <w:r>
        <w:rPr/>
        <w:t>terms such as lesbian, gay, bisexual, and straight, many young people use a wider range of descriptive identity labels for their sexual orientation such as pansexual,</w:t>
      </w:r>
      <w:r>
        <w:rPr>
          <w:spacing w:val="-6"/>
        </w:rPr>
        <w:t> </w:t>
      </w:r>
      <w:r>
        <w:rPr/>
        <w:t>asexual,</w:t>
      </w:r>
      <w:r>
        <w:rPr>
          <w:spacing w:val="-6"/>
        </w:rPr>
        <w:t> </w:t>
      </w:r>
      <w:r>
        <w:rPr/>
        <w:t>queer,</w:t>
      </w:r>
      <w:r>
        <w:rPr>
          <w:spacing w:val="-6"/>
        </w:rPr>
        <w:t> </w:t>
      </w:r>
      <w:r>
        <w:rPr/>
        <w:t>and</w:t>
      </w:r>
      <w:r>
        <w:rPr>
          <w:spacing w:val="-6"/>
        </w:rPr>
        <w:t> </w:t>
      </w:r>
      <w:r>
        <w:rPr/>
        <w:t>questioning,</w:t>
      </w:r>
      <w:r>
        <w:rPr>
          <w:spacing w:val="-6"/>
        </w:rPr>
        <w:t> </w:t>
      </w:r>
      <w:r>
        <w:rPr/>
        <w:t>among</w:t>
      </w:r>
      <w:r>
        <w:rPr>
          <w:spacing w:val="-6"/>
        </w:rPr>
        <w:t> </w:t>
      </w:r>
      <w:r>
        <w:rPr/>
        <w:t>others.</w:t>
      </w:r>
      <w:r>
        <w:rPr>
          <w:spacing w:val="-6"/>
        </w:rPr>
        <w:t> </w:t>
      </w:r>
      <w:r>
        <w:rPr/>
        <w:t>Research</w:t>
      </w:r>
      <w:r>
        <w:rPr>
          <w:spacing w:val="-6"/>
        </w:rPr>
        <w:t> </w:t>
      </w:r>
      <w:r>
        <w:rPr/>
        <w:t>with</w:t>
      </w:r>
      <w:r>
        <w:rPr>
          <w:spacing w:val="-6"/>
        </w:rPr>
        <w:t> </w:t>
      </w:r>
      <w:r>
        <w:rPr/>
        <w:t>large, national samples of adolescents has found that approximately one-quarter of adolescents of diverse sexual orientation and/or gender identity use newer descriptive labels for their sexual orientation and/or gender identity. Use of a wider range of descriptive sexual orientation labels appears to be more common</w:t>
      </w:r>
      <w:r>
        <w:rPr>
          <w:spacing w:val="-6"/>
        </w:rPr>
        <w:t> </w:t>
      </w:r>
      <w:r>
        <w:rPr/>
        <w:t>among</w:t>
      </w:r>
      <w:r>
        <w:rPr>
          <w:spacing w:val="-7"/>
        </w:rPr>
        <w:t> </w:t>
      </w:r>
      <w:r>
        <w:rPr/>
        <w:t>gender-diverse</w:t>
      </w:r>
      <w:r>
        <w:rPr>
          <w:spacing w:val="-7"/>
        </w:rPr>
        <w:t> </w:t>
      </w:r>
      <w:r>
        <w:rPr/>
        <w:t>adolescents</w:t>
      </w:r>
      <w:r>
        <w:rPr>
          <w:spacing w:val="-6"/>
        </w:rPr>
        <w:t> </w:t>
      </w:r>
      <w:r>
        <w:rPr/>
        <w:t>than</w:t>
      </w:r>
      <w:r>
        <w:rPr>
          <w:spacing w:val="-7"/>
        </w:rPr>
        <w:t> </w:t>
      </w:r>
      <w:r>
        <w:rPr/>
        <w:t>among</w:t>
      </w:r>
      <w:r>
        <w:rPr>
          <w:spacing w:val="-6"/>
        </w:rPr>
        <w:t> </w:t>
      </w:r>
      <w:r>
        <w:rPr/>
        <w:t>cisgender</w:t>
      </w:r>
      <w:r>
        <w:rPr>
          <w:spacing w:val="-7"/>
        </w:rPr>
        <w:t> </w:t>
      </w:r>
      <w:r>
        <w:rPr/>
        <w:t>adolescents.</w:t>
      </w:r>
    </w:p>
    <w:p>
      <w:pPr>
        <w:pStyle w:val="BodyText"/>
        <w:rPr>
          <w:sz w:val="31"/>
        </w:rPr>
      </w:pPr>
    </w:p>
    <w:p>
      <w:pPr>
        <w:pStyle w:val="BodyText"/>
        <w:ind w:left="280" w:right="678"/>
      </w:pPr>
      <w:r>
        <w:rPr/>
        <w:t>The number of people in the United States who feel safe or comfortable to self-identify as a sexual minority is increasing, and most of this increase is occurring among women, people of color, and younger generations. Nearly 5 percent</w:t>
      </w:r>
      <w:r>
        <w:rPr>
          <w:spacing w:val="-5"/>
        </w:rPr>
        <w:t> </w:t>
      </w:r>
      <w:r>
        <w:rPr/>
        <w:t>of</w:t>
      </w:r>
      <w:r>
        <w:rPr>
          <w:spacing w:val="-5"/>
        </w:rPr>
        <w:t> </w:t>
      </w:r>
      <w:r>
        <w:rPr/>
        <w:t>adults</w:t>
      </w:r>
      <w:r>
        <w:rPr>
          <w:spacing w:val="-5"/>
        </w:rPr>
        <w:t> </w:t>
      </w:r>
      <w:r>
        <w:rPr/>
        <w:t>in</w:t>
      </w:r>
      <w:r>
        <w:rPr>
          <w:spacing w:val="-5"/>
        </w:rPr>
        <w:t> </w:t>
      </w:r>
      <w:r>
        <w:rPr/>
        <w:t>the</w:t>
      </w:r>
      <w:r>
        <w:rPr>
          <w:spacing w:val="-6"/>
        </w:rPr>
        <w:t> </w:t>
      </w:r>
      <w:r>
        <w:rPr/>
        <w:t>United</w:t>
      </w:r>
      <w:r>
        <w:rPr>
          <w:spacing w:val="-5"/>
        </w:rPr>
        <w:t> </w:t>
      </w:r>
      <w:r>
        <w:rPr/>
        <w:t>States</w:t>
      </w:r>
      <w:r>
        <w:rPr>
          <w:spacing w:val="-5"/>
        </w:rPr>
        <w:t> </w:t>
      </w:r>
      <w:r>
        <w:rPr/>
        <w:t>identify</w:t>
      </w:r>
      <w:r>
        <w:rPr>
          <w:spacing w:val="-5"/>
        </w:rPr>
        <w:t> </w:t>
      </w:r>
      <w:r>
        <w:rPr/>
        <w:t>as</w:t>
      </w:r>
      <w:r>
        <w:rPr>
          <w:spacing w:val="-5"/>
        </w:rPr>
        <w:t> </w:t>
      </w:r>
      <w:r>
        <w:rPr/>
        <w:t>lesbian,</w:t>
      </w:r>
      <w:r>
        <w:rPr>
          <w:spacing w:val="-5"/>
        </w:rPr>
        <w:t> </w:t>
      </w:r>
      <w:r>
        <w:rPr/>
        <w:t>gay,</w:t>
      </w:r>
      <w:r>
        <w:rPr>
          <w:spacing w:val="-5"/>
        </w:rPr>
        <w:t> </w:t>
      </w:r>
      <w:r>
        <w:rPr/>
        <w:t>or</w:t>
      </w:r>
      <w:r>
        <w:rPr>
          <w:spacing w:val="-5"/>
        </w:rPr>
        <w:t> </w:t>
      </w:r>
      <w:r>
        <w:rPr/>
        <w:t>bisexual;</w:t>
      </w:r>
      <w:r>
        <w:rPr>
          <w:spacing w:val="-5"/>
        </w:rPr>
        <w:t> </w:t>
      </w:r>
      <w:r>
        <w:rPr/>
        <w:t>this represents an increase of nearly 60 percent of individuals who were</w:t>
      </w:r>
    </w:p>
    <w:p>
      <w:pPr>
        <w:pStyle w:val="BodyText"/>
        <w:spacing w:line="237" w:lineRule="auto"/>
        <w:ind w:left="280" w:right="522"/>
      </w:pPr>
      <w:r>
        <w:rPr/>
        <w:t>comfortable</w:t>
      </w:r>
      <w:r>
        <w:rPr>
          <w:spacing w:val="-5"/>
        </w:rPr>
        <w:t> </w:t>
      </w:r>
      <w:r>
        <w:rPr/>
        <w:t>self-identifying</w:t>
      </w:r>
      <w:r>
        <w:rPr>
          <w:spacing w:val="-4"/>
        </w:rPr>
        <w:t> </w:t>
      </w:r>
      <w:r>
        <w:rPr/>
        <w:t>as</w:t>
      </w:r>
      <w:r>
        <w:rPr>
          <w:spacing w:val="-4"/>
        </w:rPr>
        <w:t> </w:t>
      </w:r>
      <w:r>
        <w:rPr/>
        <w:t>LGB</w:t>
      </w:r>
      <w:r>
        <w:rPr>
          <w:spacing w:val="-4"/>
        </w:rPr>
        <w:t> </w:t>
      </w:r>
      <w:r>
        <w:rPr/>
        <w:t>than</w:t>
      </w:r>
      <w:r>
        <w:rPr>
          <w:spacing w:val="-4"/>
        </w:rPr>
        <w:t> </w:t>
      </w:r>
      <w:r>
        <w:rPr/>
        <w:t>on</w:t>
      </w:r>
      <w:r>
        <w:rPr>
          <w:spacing w:val="-4"/>
        </w:rPr>
        <w:t> </w:t>
      </w:r>
      <w:r>
        <w:rPr/>
        <w:t>surveys</w:t>
      </w:r>
      <w:r>
        <w:rPr>
          <w:spacing w:val="-4"/>
        </w:rPr>
        <w:t> </w:t>
      </w:r>
      <w:r>
        <w:rPr/>
        <w:t>conducted</w:t>
      </w:r>
      <w:r>
        <w:rPr>
          <w:spacing w:val="-4"/>
        </w:rPr>
        <w:t> </w:t>
      </w:r>
      <w:r>
        <w:rPr/>
        <w:t>8</w:t>
      </w:r>
      <w:r>
        <w:rPr>
          <w:spacing w:val="-4"/>
        </w:rPr>
        <w:t> </w:t>
      </w:r>
      <w:r>
        <w:rPr/>
        <w:t>years</w:t>
      </w:r>
      <w:r>
        <w:rPr>
          <w:spacing w:val="-4"/>
        </w:rPr>
        <w:t> </w:t>
      </w:r>
      <w:r>
        <w:rPr/>
        <w:t>earlier. Among</w:t>
      </w:r>
      <w:r>
        <w:rPr>
          <w:spacing w:val="-5"/>
        </w:rPr>
        <w:t> </w:t>
      </w:r>
      <w:r>
        <w:rPr/>
        <w:t>U.S.</w:t>
      </w:r>
      <w:r>
        <w:rPr>
          <w:spacing w:val="-5"/>
        </w:rPr>
        <w:t> </w:t>
      </w:r>
      <w:r>
        <w:rPr/>
        <w:t>high</w:t>
      </w:r>
      <w:r>
        <w:rPr>
          <w:spacing w:val="-5"/>
        </w:rPr>
        <w:t> </w:t>
      </w:r>
      <w:r>
        <w:rPr/>
        <w:t>school</w:t>
      </w:r>
      <w:r>
        <w:rPr>
          <w:spacing w:val="-5"/>
        </w:rPr>
        <w:t> </w:t>
      </w:r>
      <w:r>
        <w:rPr/>
        <w:t>students,</w:t>
      </w:r>
      <w:r>
        <w:rPr>
          <w:spacing w:val="-5"/>
        </w:rPr>
        <w:t> </w:t>
      </w:r>
      <w:r>
        <w:rPr/>
        <w:t>nearly</w:t>
      </w:r>
      <w:r>
        <w:rPr>
          <w:spacing w:val="-5"/>
        </w:rPr>
        <w:t> </w:t>
      </w:r>
      <w:r>
        <w:rPr/>
        <w:t>15</w:t>
      </w:r>
      <w:r>
        <w:rPr>
          <w:spacing w:val="-5"/>
        </w:rPr>
        <w:t> </w:t>
      </w:r>
      <w:r>
        <w:rPr/>
        <w:t>percent</w:t>
      </w:r>
      <w:r>
        <w:rPr>
          <w:spacing w:val="-5"/>
        </w:rPr>
        <w:t> </w:t>
      </w:r>
      <w:r>
        <w:rPr/>
        <w:t>identify</w:t>
      </w:r>
      <w:r>
        <w:rPr>
          <w:spacing w:val="-5"/>
        </w:rPr>
        <w:t> </w:t>
      </w:r>
      <w:r>
        <w:rPr/>
        <w:t>as</w:t>
      </w:r>
      <w:r>
        <w:rPr>
          <w:spacing w:val="-5"/>
        </w:rPr>
        <w:t> </w:t>
      </w:r>
      <w:r>
        <w:rPr/>
        <w:t>lesbian,</w:t>
      </w:r>
      <w:r>
        <w:rPr>
          <w:spacing w:val="-5"/>
        </w:rPr>
        <w:t> </w:t>
      </w:r>
      <w:r>
        <w:rPr/>
        <w:t>gay,</w:t>
      </w:r>
      <w:r>
        <w:rPr>
          <w:spacing w:val="-5"/>
        </w:rPr>
        <w:t> </w:t>
      </w:r>
      <w:r>
        <w:rPr/>
        <w:t>or bisexual or are unsure of their sexual orientation; this is nearly double the number</w:t>
      </w:r>
      <w:r>
        <w:rPr>
          <w:spacing w:val="-2"/>
        </w:rPr>
        <w:t> </w:t>
      </w:r>
      <w:r>
        <w:rPr/>
        <w:t>of</w:t>
      </w:r>
      <w:r>
        <w:rPr>
          <w:spacing w:val="-2"/>
        </w:rPr>
        <w:t> </w:t>
      </w:r>
      <w:r>
        <w:rPr/>
        <w:t>students</w:t>
      </w:r>
      <w:r>
        <w:rPr>
          <w:spacing w:val="-2"/>
        </w:rPr>
        <w:t> </w:t>
      </w:r>
      <w:r>
        <w:rPr/>
        <w:t>who</w:t>
      </w:r>
      <w:r>
        <w:rPr>
          <w:spacing w:val="-2"/>
        </w:rPr>
        <w:t> </w:t>
      </w:r>
      <w:r>
        <w:rPr/>
        <w:t>were</w:t>
      </w:r>
      <w:r>
        <w:rPr>
          <w:spacing w:val="-3"/>
        </w:rPr>
        <w:t> </w:t>
      </w:r>
      <w:r>
        <w:rPr/>
        <w:t>comfortable</w:t>
      </w:r>
      <w:r>
        <w:rPr>
          <w:spacing w:val="-3"/>
        </w:rPr>
        <w:t> </w:t>
      </w:r>
      <w:r>
        <w:rPr/>
        <w:t>self-identifying</w:t>
      </w:r>
      <w:r>
        <w:rPr>
          <w:spacing w:val="-2"/>
        </w:rPr>
        <w:t> </w:t>
      </w:r>
      <w:r>
        <w:rPr/>
        <w:t>as</w:t>
      </w:r>
      <w:r>
        <w:rPr>
          <w:spacing w:val="-2"/>
        </w:rPr>
        <w:t> </w:t>
      </w:r>
      <w:r>
        <w:rPr/>
        <w:t>non-heterosexual in surveys conducted 8 years prior. The true size of sexual minority populations is likely higher than reported in these surveys. Stigmatizing societal attitudes and concerns about confidentiality may limit accurate</w:t>
      </w:r>
    </w:p>
    <w:p>
      <w:pPr>
        <w:spacing w:after="0" w:line="237" w:lineRule="auto"/>
        <w:sectPr>
          <w:pgSz w:w="12240" w:h="15840"/>
          <w:pgMar w:header="0" w:footer="783" w:top="1260" w:bottom="980" w:left="1400" w:right="1180"/>
        </w:sectPr>
      </w:pPr>
    </w:p>
    <w:p>
      <w:pPr>
        <w:pStyle w:val="BodyText"/>
        <w:spacing w:before="66"/>
        <w:ind w:left="280" w:right="515"/>
      </w:pPr>
      <w:r>
        <w:rPr/>
        <w:t>reporting of sexual orientation identity and behavior.</w:t>
      </w:r>
      <w:r>
        <w:rPr>
          <w:spacing w:val="-5"/>
        </w:rPr>
        <w:t> </w:t>
      </w:r>
      <w:r>
        <w:rPr/>
        <w:t>Additionally, many surveys ask about only a limited number of sexual orientation options (e.g., lesbian, gay, bisexual, or heterosexual), which may miss individuals who use other terms (e.g., pansexual, asexual, or queer). The increase in openly identifying</w:t>
      </w:r>
      <w:r>
        <w:rPr>
          <w:spacing w:val="-3"/>
        </w:rPr>
        <w:t> </w:t>
      </w:r>
      <w:r>
        <w:rPr/>
        <w:t>as</w:t>
      </w:r>
      <w:r>
        <w:rPr>
          <w:spacing w:val="-3"/>
        </w:rPr>
        <w:t> </w:t>
      </w:r>
      <w:r>
        <w:rPr/>
        <w:t>a</w:t>
      </w:r>
      <w:r>
        <w:rPr>
          <w:spacing w:val="-4"/>
        </w:rPr>
        <w:t> </w:t>
      </w:r>
      <w:r>
        <w:rPr/>
        <w:t>sexual</w:t>
      </w:r>
      <w:r>
        <w:rPr>
          <w:spacing w:val="-3"/>
        </w:rPr>
        <w:t> </w:t>
      </w:r>
      <w:r>
        <w:rPr/>
        <w:t>minority</w:t>
      </w:r>
      <w:r>
        <w:rPr>
          <w:spacing w:val="-3"/>
        </w:rPr>
        <w:t> </w:t>
      </w:r>
      <w:r>
        <w:rPr/>
        <w:t>does</w:t>
      </w:r>
      <w:r>
        <w:rPr>
          <w:spacing w:val="-3"/>
        </w:rPr>
        <w:t> </w:t>
      </w:r>
      <w:r>
        <w:rPr/>
        <w:t>not</w:t>
      </w:r>
      <w:r>
        <w:rPr>
          <w:spacing w:val="-3"/>
        </w:rPr>
        <w:t> </w:t>
      </w:r>
      <w:r>
        <w:rPr/>
        <w:t>suggest</w:t>
      </w:r>
      <w:r>
        <w:rPr>
          <w:spacing w:val="-3"/>
        </w:rPr>
        <w:t> </w:t>
      </w:r>
      <w:r>
        <w:rPr/>
        <w:t>that</w:t>
      </w:r>
      <w:r>
        <w:rPr>
          <w:spacing w:val="-3"/>
        </w:rPr>
        <w:t> </w:t>
      </w:r>
      <w:r>
        <w:rPr/>
        <w:t>people</w:t>
      </w:r>
      <w:r>
        <w:rPr>
          <w:spacing w:val="-4"/>
        </w:rPr>
        <w:t> </w:t>
      </w:r>
      <w:r>
        <w:rPr/>
        <w:t>are</w:t>
      </w:r>
      <w:r>
        <w:rPr>
          <w:spacing w:val="-4"/>
        </w:rPr>
        <w:t> </w:t>
      </w:r>
      <w:r>
        <w:rPr/>
        <w:t>more</w:t>
      </w:r>
      <w:r>
        <w:rPr>
          <w:spacing w:val="-4"/>
        </w:rPr>
        <w:t> </w:t>
      </w:r>
      <w:r>
        <w:rPr/>
        <w:t>likely</w:t>
      </w:r>
      <w:r>
        <w:rPr>
          <w:spacing w:val="-3"/>
        </w:rPr>
        <w:t> </w:t>
      </w:r>
      <w:r>
        <w:rPr/>
        <w:t>to have the innate characteristics of being a sexual minority, but rather that individuals are increasingly able to publicly identify as LGBTQI+ because of increasing awareness and acceptance of diverse sexual orientations; the expansion of laws, policies, and practices that protect and support individuals regardless of sexual orientation; and an increased willingness and ability among LGBTQI+ people to self-identify due to decreased stigmatization and greater access to civil rights.</w:t>
      </w:r>
    </w:p>
    <w:p>
      <w:pPr>
        <w:pStyle w:val="BodyText"/>
        <w:spacing w:before="8"/>
        <w:rPr>
          <w:sz w:val="25"/>
        </w:rPr>
      </w:pPr>
    </w:p>
    <w:p>
      <w:pPr>
        <w:pStyle w:val="Heading3"/>
        <w:spacing w:before="1"/>
        <w:rPr>
          <w:i/>
        </w:rPr>
      </w:pPr>
      <w:r>
        <w:rPr>
          <w:i/>
        </w:rPr>
        <w:t>Sexual</w:t>
      </w:r>
      <w:r>
        <w:rPr>
          <w:i/>
          <w:spacing w:val="-3"/>
        </w:rPr>
        <w:t> </w:t>
      </w:r>
      <w:r>
        <w:rPr>
          <w:i/>
        </w:rPr>
        <w:t>Orientation</w:t>
      </w:r>
      <w:r>
        <w:rPr>
          <w:i/>
          <w:spacing w:val="-2"/>
        </w:rPr>
        <w:t> </w:t>
      </w:r>
      <w:r>
        <w:rPr>
          <w:i/>
        </w:rPr>
        <w:t>Development</w:t>
      </w:r>
      <w:r>
        <w:rPr>
          <w:i/>
          <w:spacing w:val="-2"/>
        </w:rPr>
        <w:t> </w:t>
      </w:r>
      <w:r>
        <w:rPr>
          <w:i/>
        </w:rPr>
        <w:t>in</w:t>
      </w:r>
      <w:r>
        <w:rPr>
          <w:i/>
          <w:spacing w:val="-7"/>
        </w:rPr>
        <w:t> </w:t>
      </w:r>
      <w:r>
        <w:rPr>
          <w:i/>
          <w:spacing w:val="-4"/>
        </w:rPr>
        <w:t>Youth</w:t>
      </w:r>
    </w:p>
    <w:p>
      <w:pPr>
        <w:pStyle w:val="BodyText"/>
        <w:spacing w:before="125"/>
        <w:ind w:left="280" w:right="540"/>
      </w:pPr>
      <w:r>
        <w:rPr/>
        <w:t>Sexual orientation is usually conceptualized to begin at or near adolescence with the development of sexual feelings. The average age at which sexual minority individuals reach important sexual orientation identity development milestones,</w:t>
      </w:r>
      <w:r>
        <w:rPr>
          <w:spacing w:val="-2"/>
        </w:rPr>
        <w:t> </w:t>
      </w:r>
      <w:r>
        <w:rPr/>
        <w:t>such</w:t>
      </w:r>
      <w:r>
        <w:rPr>
          <w:spacing w:val="-2"/>
        </w:rPr>
        <w:t> </w:t>
      </w:r>
      <w:r>
        <w:rPr/>
        <w:t>as</w:t>
      </w:r>
      <w:r>
        <w:rPr>
          <w:spacing w:val="-2"/>
        </w:rPr>
        <w:t> </w:t>
      </w:r>
      <w:r>
        <w:rPr/>
        <w:t>becoming</w:t>
      </w:r>
      <w:r>
        <w:rPr>
          <w:spacing w:val="-2"/>
        </w:rPr>
        <w:t> </w:t>
      </w:r>
      <w:r>
        <w:rPr/>
        <w:t>aware</w:t>
      </w:r>
      <w:r>
        <w:rPr>
          <w:spacing w:val="-3"/>
        </w:rPr>
        <w:t> </w:t>
      </w:r>
      <w:r>
        <w:rPr/>
        <w:t>of</w:t>
      </w:r>
      <w:r>
        <w:rPr>
          <w:spacing w:val="-2"/>
        </w:rPr>
        <w:t> </w:t>
      </w:r>
      <w:r>
        <w:rPr/>
        <w:t>same-sex</w:t>
      </w:r>
      <w:r>
        <w:rPr>
          <w:spacing w:val="-2"/>
        </w:rPr>
        <w:t> </w:t>
      </w:r>
      <w:r>
        <w:rPr/>
        <w:t>attractions</w:t>
      </w:r>
      <w:r>
        <w:rPr>
          <w:spacing w:val="-2"/>
        </w:rPr>
        <w:t> </w:t>
      </w:r>
      <w:r>
        <w:rPr/>
        <w:t>and</w:t>
      </w:r>
      <w:r>
        <w:rPr>
          <w:spacing w:val="-2"/>
        </w:rPr>
        <w:t> </w:t>
      </w:r>
      <w:r>
        <w:rPr/>
        <w:t>coming</w:t>
      </w:r>
      <w:r>
        <w:rPr>
          <w:spacing w:val="-2"/>
        </w:rPr>
        <w:t> </w:t>
      </w:r>
      <w:r>
        <w:rPr/>
        <w:t>out</w:t>
      </w:r>
      <w:r>
        <w:rPr>
          <w:spacing w:val="-2"/>
        </w:rPr>
        <w:t> </w:t>
      </w:r>
      <w:r>
        <w:rPr/>
        <w:t>to others, commonly occurs during adolescence. Various factors affect the trajectory of development related to sexual orientation, and there is no single or simple trajectory experienced by all individuals. Recent generations of sexual minority individuals tend to reach milestones related to sexual orientation</w:t>
      </w:r>
      <w:r>
        <w:rPr>
          <w:spacing w:val="-4"/>
        </w:rPr>
        <w:t> </w:t>
      </w:r>
      <w:r>
        <w:rPr/>
        <w:t>identity</w:t>
      </w:r>
      <w:r>
        <w:rPr>
          <w:spacing w:val="-4"/>
        </w:rPr>
        <w:t> </w:t>
      </w:r>
      <w:r>
        <w:rPr/>
        <w:t>development</w:t>
      </w:r>
      <w:r>
        <w:rPr>
          <w:spacing w:val="-4"/>
        </w:rPr>
        <w:t> </w:t>
      </w:r>
      <w:r>
        <w:rPr/>
        <w:t>and</w:t>
      </w:r>
      <w:r>
        <w:rPr>
          <w:spacing w:val="-4"/>
        </w:rPr>
        <w:t> </w:t>
      </w:r>
      <w:r>
        <w:rPr/>
        <w:t>coming</w:t>
      </w:r>
      <w:r>
        <w:rPr>
          <w:spacing w:val="-4"/>
        </w:rPr>
        <w:t> </w:t>
      </w:r>
      <w:r>
        <w:rPr/>
        <w:t>out</w:t>
      </w:r>
      <w:r>
        <w:rPr>
          <w:spacing w:val="-4"/>
        </w:rPr>
        <w:t> </w:t>
      </w:r>
      <w:r>
        <w:rPr/>
        <w:t>(e.g.,</w:t>
      </w:r>
      <w:r>
        <w:rPr>
          <w:spacing w:val="-4"/>
        </w:rPr>
        <w:t> </w:t>
      </w:r>
      <w:r>
        <w:rPr/>
        <w:t>first</w:t>
      </w:r>
      <w:r>
        <w:rPr>
          <w:spacing w:val="-4"/>
        </w:rPr>
        <w:t> </w:t>
      </w:r>
      <w:r>
        <w:rPr/>
        <w:t>becoming</w:t>
      </w:r>
      <w:r>
        <w:rPr>
          <w:spacing w:val="-4"/>
        </w:rPr>
        <w:t> </w:t>
      </w:r>
      <w:r>
        <w:rPr/>
        <w:t>aware</w:t>
      </w:r>
      <w:r>
        <w:rPr>
          <w:spacing w:val="-5"/>
        </w:rPr>
        <w:t> </w:t>
      </w:r>
      <w:r>
        <w:rPr/>
        <w:t>of their attractions, disclosing diverse identity, first sexual minority relationship) at similar ages in adolescence. In addition, it is becoming increasingly common for children to identify as lesbian, gay, or bisexual in childhood.</w:t>
      </w:r>
    </w:p>
    <w:p>
      <w:pPr>
        <w:pStyle w:val="BodyText"/>
        <w:spacing w:line="297" w:lineRule="exact"/>
        <w:ind w:left="280"/>
      </w:pPr>
      <w:r>
        <w:rPr/>
        <w:t>Youth’s</w:t>
      </w:r>
      <w:r>
        <w:rPr>
          <w:spacing w:val="-9"/>
        </w:rPr>
        <w:t> </w:t>
      </w:r>
      <w:r>
        <w:rPr/>
        <w:t>earlier</w:t>
      </w:r>
      <w:r>
        <w:rPr>
          <w:spacing w:val="-7"/>
        </w:rPr>
        <w:t> </w:t>
      </w:r>
      <w:r>
        <w:rPr/>
        <w:t>public</w:t>
      </w:r>
      <w:r>
        <w:rPr>
          <w:spacing w:val="-8"/>
        </w:rPr>
        <w:t> </w:t>
      </w:r>
      <w:r>
        <w:rPr/>
        <w:t>self-identification</w:t>
      </w:r>
      <w:r>
        <w:rPr>
          <w:spacing w:val="-6"/>
        </w:rPr>
        <w:t> </w:t>
      </w:r>
      <w:r>
        <w:rPr/>
        <w:t>as</w:t>
      </w:r>
      <w:r>
        <w:rPr>
          <w:spacing w:val="-7"/>
        </w:rPr>
        <w:t> </w:t>
      </w:r>
      <w:r>
        <w:rPr/>
        <w:t>having</w:t>
      </w:r>
      <w:r>
        <w:rPr>
          <w:spacing w:val="-7"/>
        </w:rPr>
        <w:t> </w:t>
      </w:r>
      <w:r>
        <w:rPr/>
        <w:t>a</w:t>
      </w:r>
      <w:r>
        <w:rPr>
          <w:spacing w:val="-8"/>
        </w:rPr>
        <w:t> </w:t>
      </w:r>
      <w:r>
        <w:rPr/>
        <w:t>minority</w:t>
      </w:r>
      <w:r>
        <w:rPr>
          <w:spacing w:val="-6"/>
        </w:rPr>
        <w:t> </w:t>
      </w:r>
      <w:r>
        <w:rPr>
          <w:spacing w:val="-2"/>
        </w:rPr>
        <w:t>sexual</w:t>
      </w:r>
    </w:p>
    <w:p>
      <w:pPr>
        <w:pStyle w:val="BodyText"/>
        <w:ind w:left="280" w:right="502"/>
      </w:pPr>
      <w:r>
        <w:rPr/>
        <w:t>orientation is likely due to reduced stigma related to sexual orientation diversity.</w:t>
      </w:r>
      <w:r>
        <w:rPr>
          <w:spacing w:val="-18"/>
        </w:rPr>
        <w:t> </w:t>
      </w:r>
      <w:r>
        <w:rPr/>
        <w:t>As</w:t>
      </w:r>
      <w:r>
        <w:rPr>
          <w:spacing w:val="-8"/>
        </w:rPr>
        <w:t> </w:t>
      </w:r>
      <w:r>
        <w:rPr/>
        <w:t>more</w:t>
      </w:r>
      <w:r>
        <w:rPr>
          <w:spacing w:val="-7"/>
        </w:rPr>
        <w:t> </w:t>
      </w:r>
      <w:r>
        <w:rPr/>
        <w:t>youth</w:t>
      </w:r>
      <w:r>
        <w:rPr>
          <w:spacing w:val="-6"/>
        </w:rPr>
        <w:t> </w:t>
      </w:r>
      <w:r>
        <w:rPr/>
        <w:t>self-identify</w:t>
      </w:r>
      <w:r>
        <w:rPr>
          <w:spacing w:val="-6"/>
        </w:rPr>
        <w:t> </w:t>
      </w:r>
      <w:r>
        <w:rPr/>
        <w:t>as</w:t>
      </w:r>
      <w:r>
        <w:rPr>
          <w:spacing w:val="-6"/>
        </w:rPr>
        <w:t> </w:t>
      </w:r>
      <w:r>
        <w:rPr/>
        <w:t>sexual</w:t>
      </w:r>
      <w:r>
        <w:rPr>
          <w:spacing w:val="-6"/>
        </w:rPr>
        <w:t> </w:t>
      </w:r>
      <w:r>
        <w:rPr/>
        <w:t>minorities,</w:t>
      </w:r>
      <w:r>
        <w:rPr>
          <w:spacing w:val="-6"/>
        </w:rPr>
        <w:t> </w:t>
      </w:r>
      <w:r>
        <w:rPr/>
        <w:t>scholars</w:t>
      </w:r>
      <w:r>
        <w:rPr>
          <w:spacing w:val="-6"/>
        </w:rPr>
        <w:t> </w:t>
      </w:r>
      <w:r>
        <w:rPr/>
        <w:t>have</w:t>
      </w:r>
      <w:r>
        <w:rPr>
          <w:spacing w:val="-7"/>
        </w:rPr>
        <w:t> </w:t>
      </w:r>
      <w:r>
        <w:rPr/>
        <w:t>called for supporting the emotional and mental health needs that children express related to their sexual orientation.</w:t>
      </w:r>
    </w:p>
    <w:p>
      <w:pPr>
        <w:pStyle w:val="BodyText"/>
        <w:rPr>
          <w:sz w:val="27"/>
        </w:rPr>
      </w:pPr>
    </w:p>
    <w:p>
      <w:pPr>
        <w:pStyle w:val="BodyText"/>
        <w:ind w:left="280" w:right="581"/>
      </w:pPr>
      <w:r>
        <w:rPr/>
        <w:t>Sexual identity development is influenced by cultural factors that may differ across</w:t>
      </w:r>
      <w:r>
        <w:rPr>
          <w:spacing w:val="-5"/>
        </w:rPr>
        <w:t> </w:t>
      </w:r>
      <w:r>
        <w:rPr/>
        <w:t>racial</w:t>
      </w:r>
      <w:r>
        <w:rPr>
          <w:spacing w:val="-5"/>
        </w:rPr>
        <w:t> </w:t>
      </w:r>
      <w:r>
        <w:rPr/>
        <w:t>and</w:t>
      </w:r>
      <w:r>
        <w:rPr>
          <w:spacing w:val="-5"/>
        </w:rPr>
        <w:t> </w:t>
      </w:r>
      <w:r>
        <w:rPr/>
        <w:t>ethnic</w:t>
      </w:r>
      <w:r>
        <w:rPr>
          <w:spacing w:val="-6"/>
        </w:rPr>
        <w:t> </w:t>
      </w:r>
      <w:r>
        <w:rPr/>
        <w:t>groups.</w:t>
      </w:r>
      <w:r>
        <w:rPr>
          <w:spacing w:val="-5"/>
        </w:rPr>
        <w:t> </w:t>
      </w:r>
      <w:r>
        <w:rPr/>
        <w:t>However,</w:t>
      </w:r>
      <w:r>
        <w:rPr>
          <w:spacing w:val="-5"/>
        </w:rPr>
        <w:t> </w:t>
      </w:r>
      <w:r>
        <w:rPr/>
        <w:t>most</w:t>
      </w:r>
      <w:r>
        <w:rPr>
          <w:spacing w:val="-5"/>
        </w:rPr>
        <w:t> </w:t>
      </w:r>
      <w:r>
        <w:rPr/>
        <w:t>research</w:t>
      </w:r>
      <w:r>
        <w:rPr>
          <w:spacing w:val="-5"/>
        </w:rPr>
        <w:t> </w:t>
      </w:r>
      <w:r>
        <w:rPr/>
        <w:t>on</w:t>
      </w:r>
      <w:r>
        <w:rPr>
          <w:spacing w:val="-5"/>
        </w:rPr>
        <w:t> </w:t>
      </w:r>
      <w:r>
        <w:rPr/>
        <w:t>sexual</w:t>
      </w:r>
      <w:r>
        <w:rPr>
          <w:spacing w:val="-5"/>
        </w:rPr>
        <w:t> </w:t>
      </w:r>
      <w:r>
        <w:rPr/>
        <w:t>orientation identity development has included primarily white youth without examining differences related to race and ethnicity or cultural background.124</w:t>
      </w:r>
      <w:r>
        <w:rPr>
          <w:spacing w:val="-7"/>
        </w:rPr>
        <w:t> </w:t>
      </w:r>
      <w:r>
        <w:rPr/>
        <w:t>As such, our cultural and scientific understandings of common experiences and developmental trajectories of sexual minority populations may better reflect the experiences of white sexual minority groups and be less relevant to the experiences of sexual minority people of color.137 Limited research has examined the dual or multiple identity development processes among sexual</w:t>
      </w:r>
    </w:p>
    <w:p>
      <w:pPr>
        <w:spacing w:after="0"/>
        <w:sectPr>
          <w:pgSz w:w="12240" w:h="15840"/>
          <w:pgMar w:header="0" w:footer="783" w:top="1260" w:bottom="980" w:left="1400" w:right="1180"/>
        </w:sectPr>
      </w:pPr>
    </w:p>
    <w:p>
      <w:pPr>
        <w:pStyle w:val="BodyText"/>
        <w:spacing w:before="66"/>
        <w:ind w:left="280" w:right="4622"/>
      </w:pPr>
      <w:r>
        <w:rPr/>
        <mc:AlternateContent>
          <mc:Choice Requires="wps">
            <w:drawing>
              <wp:anchor distT="0" distB="0" distL="0" distR="0" allowOverlap="1" layoutInCell="1" locked="0" behindDoc="0" simplePos="0" relativeHeight="15821824">
                <wp:simplePos x="0" y="0"/>
                <wp:positionH relativeFrom="page">
                  <wp:posOffset>4191281</wp:posOffset>
                </wp:positionH>
                <wp:positionV relativeFrom="paragraph">
                  <wp:posOffset>185014</wp:posOffset>
                </wp:positionV>
                <wp:extent cx="2552700" cy="6201410"/>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2552700" cy="6201410"/>
                          <a:chExt cx="2552700" cy="6201410"/>
                        </a:xfrm>
                      </wpg:grpSpPr>
                      <pic:pic>
                        <pic:nvPicPr>
                          <pic:cNvPr id="383" name="Image 383"/>
                          <pic:cNvPicPr/>
                        </pic:nvPicPr>
                        <pic:blipFill>
                          <a:blip r:embed="rId59" cstate="print"/>
                          <a:stretch>
                            <a:fillRect/>
                          </a:stretch>
                        </pic:blipFill>
                        <pic:spPr>
                          <a:xfrm>
                            <a:off x="0" y="0"/>
                            <a:ext cx="2552418" cy="6201229"/>
                          </a:xfrm>
                          <a:prstGeom prst="rect">
                            <a:avLst/>
                          </a:prstGeom>
                        </pic:spPr>
                      </pic:pic>
                      <pic:pic>
                        <pic:nvPicPr>
                          <pic:cNvPr id="384" name="Image 384"/>
                          <pic:cNvPicPr/>
                        </pic:nvPicPr>
                        <pic:blipFill>
                          <a:blip r:embed="rId60" cstate="print"/>
                          <a:stretch>
                            <a:fillRect/>
                          </a:stretch>
                        </pic:blipFill>
                        <pic:spPr>
                          <a:xfrm>
                            <a:off x="76200" y="56200"/>
                            <a:ext cx="2400018" cy="6048829"/>
                          </a:xfrm>
                          <a:prstGeom prst="rect">
                            <a:avLst/>
                          </a:prstGeom>
                        </pic:spPr>
                      </pic:pic>
                      <pic:pic>
                        <pic:nvPicPr>
                          <pic:cNvPr id="385" name="Image 385"/>
                          <pic:cNvPicPr/>
                        </pic:nvPicPr>
                        <pic:blipFill>
                          <a:blip r:embed="rId61" cstate="print"/>
                          <a:stretch>
                            <a:fillRect/>
                          </a:stretch>
                        </pic:blipFill>
                        <pic:spPr>
                          <a:xfrm>
                            <a:off x="39329" y="32177"/>
                            <a:ext cx="2473808" cy="6108699"/>
                          </a:xfrm>
                          <a:prstGeom prst="rect">
                            <a:avLst/>
                          </a:prstGeom>
                        </pic:spPr>
                      </pic:pic>
                      <wps:wsp>
                        <wps:cNvPr id="386" name="Textbox 386"/>
                        <wps:cNvSpPr txBox="1"/>
                        <wps:spPr>
                          <a:xfrm>
                            <a:off x="0" y="0"/>
                            <a:ext cx="2552700" cy="6201410"/>
                          </a:xfrm>
                          <a:prstGeom prst="rect">
                            <a:avLst/>
                          </a:prstGeom>
                        </wps:spPr>
                        <wps:txbx>
                          <w:txbxContent>
                            <w:p>
                              <w:pPr>
                                <w:spacing w:line="252" w:lineRule="auto" w:before="168"/>
                                <w:ind w:left="252" w:right="542" w:firstLine="0"/>
                                <w:jc w:val="left"/>
                                <w:rPr>
                                  <w:rFonts w:ascii="Calibri"/>
                                  <w:sz w:val="36"/>
                                </w:rPr>
                              </w:pPr>
                              <w:r>
                                <w:rPr>
                                  <w:rFonts w:ascii="Calibri"/>
                                  <w:sz w:val="36"/>
                                </w:rPr>
                                <w:t>How many people in the</w:t>
                              </w:r>
                              <w:r>
                                <w:rPr>
                                  <w:rFonts w:ascii="Calibri"/>
                                  <w:spacing w:val="-20"/>
                                  <w:sz w:val="36"/>
                                </w:rPr>
                                <w:t> </w:t>
                              </w:r>
                              <w:r>
                                <w:rPr>
                                  <w:rFonts w:ascii="Calibri"/>
                                  <w:sz w:val="36"/>
                                </w:rPr>
                                <w:t>United</w:t>
                              </w:r>
                              <w:r>
                                <w:rPr>
                                  <w:rFonts w:ascii="Calibri"/>
                                  <w:spacing w:val="-20"/>
                                  <w:sz w:val="36"/>
                                </w:rPr>
                                <w:t> </w:t>
                              </w:r>
                              <w:r>
                                <w:rPr>
                                  <w:rFonts w:ascii="Calibri"/>
                                  <w:sz w:val="36"/>
                                </w:rPr>
                                <w:t>States</w:t>
                              </w:r>
                              <w:r>
                                <w:rPr>
                                  <w:rFonts w:ascii="Calibri"/>
                                  <w:spacing w:val="-20"/>
                                  <w:sz w:val="36"/>
                                </w:rPr>
                                <w:t> </w:t>
                              </w:r>
                              <w:r>
                                <w:rPr>
                                  <w:rFonts w:ascii="Calibri"/>
                                  <w:sz w:val="36"/>
                                </w:rPr>
                                <w:t>are sexual and gender </w:t>
                              </w:r>
                              <w:r>
                                <w:rPr>
                                  <w:rFonts w:ascii="Calibri"/>
                                  <w:spacing w:val="-2"/>
                                  <w:sz w:val="36"/>
                                </w:rPr>
                                <w:t>minorities?</w:t>
                              </w:r>
                            </w:p>
                            <w:p>
                              <w:pPr>
                                <w:spacing w:line="434" w:lineRule="exact" w:before="0"/>
                                <w:ind w:left="252" w:right="0" w:firstLine="0"/>
                                <w:jc w:val="left"/>
                                <w:rPr>
                                  <w:rFonts w:ascii="Calibri"/>
                                  <w:sz w:val="36"/>
                                </w:rPr>
                              </w:pPr>
                              <w:r>
                                <w:rPr>
                                  <w:rFonts w:ascii="Calibri"/>
                                  <w:sz w:val="36"/>
                                </w:rPr>
                                <w:t>An</w:t>
                              </w:r>
                              <w:r>
                                <w:rPr>
                                  <w:rFonts w:ascii="Calibri"/>
                                  <w:spacing w:val="-6"/>
                                  <w:sz w:val="36"/>
                                </w:rPr>
                                <w:t> </w:t>
                              </w:r>
                              <w:r>
                                <w:rPr>
                                  <w:rFonts w:ascii="Calibri"/>
                                  <w:sz w:val="36"/>
                                </w:rPr>
                                <w:t>estimated</w:t>
                              </w:r>
                              <w:r>
                                <w:rPr>
                                  <w:rFonts w:ascii="Calibri"/>
                                  <w:spacing w:val="-6"/>
                                  <w:sz w:val="36"/>
                                </w:rPr>
                                <w:t> </w:t>
                              </w:r>
                              <w:r>
                                <w:rPr>
                                  <w:rFonts w:ascii="Calibri"/>
                                  <w:sz w:val="36"/>
                                </w:rPr>
                                <w:t>11.4</w:t>
                              </w:r>
                              <w:r>
                                <w:rPr>
                                  <w:rFonts w:ascii="Calibri"/>
                                  <w:spacing w:val="-6"/>
                                  <w:sz w:val="36"/>
                                </w:rPr>
                                <w:t> </w:t>
                              </w:r>
                              <w:r>
                                <w:rPr>
                                  <w:rFonts w:ascii="Calibri"/>
                                  <w:spacing w:val="-5"/>
                                  <w:sz w:val="36"/>
                                </w:rPr>
                                <w:t>to</w:t>
                              </w:r>
                            </w:p>
                            <w:p>
                              <w:pPr>
                                <w:spacing w:line="252" w:lineRule="auto" w:before="21"/>
                                <w:ind w:left="252" w:right="542" w:firstLine="0"/>
                                <w:jc w:val="left"/>
                                <w:rPr>
                                  <w:rFonts w:ascii="Calibri"/>
                                  <w:sz w:val="36"/>
                                </w:rPr>
                              </w:pPr>
                              <w:r>
                                <w:rPr>
                                  <w:rFonts w:ascii="Calibri"/>
                                  <w:sz w:val="36"/>
                                </w:rPr>
                                <w:t>12.2 million adults identify</w:t>
                              </w:r>
                              <w:r>
                                <w:rPr>
                                  <w:rFonts w:ascii="Calibri"/>
                                  <w:spacing w:val="-7"/>
                                  <w:sz w:val="36"/>
                                </w:rPr>
                                <w:t> </w:t>
                              </w:r>
                              <w:r>
                                <w:rPr>
                                  <w:rFonts w:ascii="Calibri"/>
                                  <w:sz w:val="36"/>
                                </w:rPr>
                                <w:t>as</w:t>
                              </w:r>
                              <w:r>
                                <w:rPr>
                                  <w:rFonts w:ascii="Calibri"/>
                                  <w:spacing w:val="-7"/>
                                  <w:sz w:val="36"/>
                                </w:rPr>
                                <w:t> </w:t>
                              </w:r>
                              <w:r>
                                <w:rPr>
                                  <w:rFonts w:ascii="Calibri"/>
                                  <w:sz w:val="36"/>
                                </w:rPr>
                                <w:t>LGBTQ+</w:t>
                              </w:r>
                              <w:r>
                                <w:rPr>
                                  <w:rFonts w:ascii="Calibri"/>
                                  <w:spacing w:val="-7"/>
                                  <w:sz w:val="36"/>
                                </w:rPr>
                                <w:t> </w:t>
                              </w:r>
                              <w:r>
                                <w:rPr>
                                  <w:rFonts w:ascii="Calibri"/>
                                  <w:sz w:val="36"/>
                                </w:rPr>
                                <w:t>in the United States, a number roughly equivalent to the population of Ohio. An estimated 1.99 million adolescents ages</w:t>
                              </w:r>
                              <w:r>
                                <w:rPr>
                                  <w:rFonts w:ascii="Calibri"/>
                                  <w:spacing w:val="-12"/>
                                  <w:sz w:val="36"/>
                                </w:rPr>
                                <w:t> </w:t>
                              </w:r>
                              <w:r>
                                <w:rPr>
                                  <w:rFonts w:ascii="Calibri"/>
                                  <w:sz w:val="36"/>
                                </w:rPr>
                                <w:t>13</w:t>
                              </w:r>
                              <w:r>
                                <w:rPr>
                                  <w:rFonts w:ascii="Calibri"/>
                                  <w:spacing w:val="-12"/>
                                  <w:sz w:val="36"/>
                                </w:rPr>
                                <w:t> </w:t>
                              </w:r>
                              <w:r>
                                <w:rPr>
                                  <w:rFonts w:ascii="Calibri"/>
                                  <w:sz w:val="36"/>
                                </w:rPr>
                                <w:t>to</w:t>
                              </w:r>
                              <w:r>
                                <w:rPr>
                                  <w:rFonts w:ascii="Calibri"/>
                                  <w:spacing w:val="-12"/>
                                  <w:sz w:val="36"/>
                                </w:rPr>
                                <w:t> </w:t>
                              </w:r>
                              <w:r>
                                <w:rPr>
                                  <w:rFonts w:ascii="Calibri"/>
                                  <w:sz w:val="36"/>
                                </w:rPr>
                                <w:t>17</w:t>
                              </w:r>
                              <w:r>
                                <w:rPr>
                                  <w:rFonts w:ascii="Calibri"/>
                                  <w:spacing w:val="-12"/>
                                  <w:sz w:val="36"/>
                                </w:rPr>
                                <w:t> </w:t>
                              </w:r>
                              <w:r>
                                <w:rPr>
                                  <w:rFonts w:ascii="Calibri"/>
                                  <w:sz w:val="36"/>
                                </w:rPr>
                                <w:t>identif</w:t>
                              </w:r>
                              <w:r>
                                <w:rPr>
                                  <w:rFonts w:ascii="Calibri"/>
                                  <w:sz w:val="36"/>
                                </w:rPr>
                                <w:t>y as</w:t>
                              </w:r>
                              <w:r>
                                <w:rPr>
                                  <w:rFonts w:ascii="Calibri"/>
                                  <w:spacing w:val="-5"/>
                                  <w:sz w:val="36"/>
                                </w:rPr>
                                <w:t> </w:t>
                              </w:r>
                              <w:r>
                                <w:rPr>
                                  <w:rFonts w:ascii="Calibri"/>
                                  <w:sz w:val="36"/>
                                </w:rPr>
                                <w:t>LGBT</w:t>
                              </w:r>
                              <w:r>
                                <w:rPr>
                                  <w:rFonts w:ascii="Calibri"/>
                                  <w:spacing w:val="-5"/>
                                  <w:sz w:val="36"/>
                                </w:rPr>
                                <w:t> </w:t>
                              </w:r>
                              <w:r>
                                <w:rPr>
                                  <w:rFonts w:ascii="Calibri"/>
                                  <w:sz w:val="36"/>
                                </w:rPr>
                                <w:t>in</w:t>
                              </w:r>
                              <w:r>
                                <w:rPr>
                                  <w:rFonts w:ascii="Calibri"/>
                                  <w:spacing w:val="-5"/>
                                  <w:sz w:val="36"/>
                                </w:rPr>
                                <w:t> </w:t>
                              </w:r>
                              <w:r>
                                <w:rPr>
                                  <w:rFonts w:ascii="Calibri"/>
                                  <w:sz w:val="36"/>
                                </w:rPr>
                                <w:t>the</w:t>
                              </w:r>
                              <w:r>
                                <w:rPr>
                                  <w:rFonts w:ascii="Calibri"/>
                                  <w:spacing w:val="-5"/>
                                  <w:sz w:val="36"/>
                                </w:rPr>
                                <w:t> </w:t>
                              </w:r>
                              <w:r>
                                <w:rPr>
                                  <w:rFonts w:ascii="Calibri"/>
                                  <w:spacing w:val="-2"/>
                                  <w:sz w:val="36"/>
                                </w:rPr>
                                <w:t>United</w:t>
                              </w:r>
                            </w:p>
                            <w:p>
                              <w:pPr>
                                <w:spacing w:line="425" w:lineRule="exact" w:before="0"/>
                                <w:ind w:left="252" w:right="0" w:firstLine="0"/>
                                <w:jc w:val="left"/>
                                <w:rPr>
                                  <w:rFonts w:ascii="Calibri"/>
                                  <w:sz w:val="36"/>
                                </w:rPr>
                              </w:pPr>
                              <w:r>
                                <w:rPr>
                                  <w:rFonts w:ascii="Calibri"/>
                                  <w:sz w:val="36"/>
                                </w:rPr>
                                <w:t>States,</w:t>
                              </w:r>
                              <w:r>
                                <w:rPr>
                                  <w:rFonts w:ascii="Calibri"/>
                                  <w:spacing w:val="-6"/>
                                  <w:sz w:val="36"/>
                                </w:rPr>
                                <w:t> </w:t>
                              </w:r>
                              <w:r>
                                <w:rPr>
                                  <w:rFonts w:ascii="Calibri"/>
                                  <w:sz w:val="36"/>
                                </w:rPr>
                                <w:t>which</w:t>
                              </w:r>
                              <w:r>
                                <w:rPr>
                                  <w:rFonts w:ascii="Calibri"/>
                                  <w:spacing w:val="-5"/>
                                  <w:sz w:val="36"/>
                                </w:rPr>
                                <w:t> </w:t>
                              </w:r>
                              <w:r>
                                <w:rPr>
                                  <w:rFonts w:ascii="Calibri"/>
                                  <w:sz w:val="36"/>
                                </w:rPr>
                                <w:t>is</w:t>
                              </w:r>
                              <w:r>
                                <w:rPr>
                                  <w:rFonts w:ascii="Calibri"/>
                                  <w:spacing w:val="-5"/>
                                  <w:sz w:val="36"/>
                                </w:rPr>
                                <w:t> </w:t>
                              </w:r>
                              <w:r>
                                <w:rPr>
                                  <w:rFonts w:ascii="Calibri"/>
                                  <w:spacing w:val="-2"/>
                                  <w:sz w:val="36"/>
                                </w:rPr>
                                <w:t>roughly</w:t>
                              </w:r>
                            </w:p>
                            <w:p>
                              <w:pPr>
                                <w:spacing w:line="252" w:lineRule="auto" w:before="20"/>
                                <w:ind w:left="252" w:right="493" w:firstLine="0"/>
                                <w:jc w:val="left"/>
                                <w:rPr>
                                  <w:rFonts w:ascii="Calibri"/>
                                  <w:sz w:val="36"/>
                                </w:rPr>
                              </w:pPr>
                              <w:r>
                                <w:rPr>
                                  <w:rFonts w:ascii="Calibri"/>
                                  <w:sz w:val="36"/>
                                </w:rPr>
                                <w:t>equivalent to the combined</w:t>
                              </w:r>
                              <w:r>
                                <w:rPr>
                                  <w:rFonts w:ascii="Calibri"/>
                                  <w:spacing w:val="-21"/>
                                  <w:sz w:val="36"/>
                                </w:rPr>
                                <w:t> </w:t>
                              </w:r>
                              <w:r>
                                <w:rPr>
                                  <w:rFonts w:ascii="Calibri"/>
                                  <w:sz w:val="36"/>
                                </w:rPr>
                                <w:t>populations of Dallas, Texas, and Detroit, Michigan.</w:t>
                              </w:r>
                            </w:p>
                          </w:txbxContent>
                        </wps:txbx>
                        <wps:bodyPr wrap="square" lIns="0" tIns="0" rIns="0" bIns="0" rtlCol="0">
                          <a:noAutofit/>
                        </wps:bodyPr>
                      </wps:wsp>
                    </wpg:wgp>
                  </a:graphicData>
                </a:graphic>
              </wp:anchor>
            </w:drawing>
          </mc:Choice>
          <mc:Fallback>
            <w:pict>
              <v:group style="position:absolute;margin-left:330.022186pt;margin-top:14.568098pt;width:201pt;height:488.3pt;mso-position-horizontal-relative:page;mso-position-vertical-relative:paragraph;z-index:15821824" id="docshapegroup379" coordorigin="6600,291" coordsize="4020,9766">
                <v:shape style="position:absolute;left:6600;top:291;width:4020;height:9766" type="#_x0000_t75" id="docshape380" stroked="false">
                  <v:imagedata r:id="rId59" o:title=""/>
                </v:shape>
                <v:shape style="position:absolute;left:6720;top:379;width:3780;height:9526" type="#_x0000_t75" id="docshape381" stroked="false">
                  <v:imagedata r:id="rId60" o:title=""/>
                </v:shape>
                <v:shape style="position:absolute;left:6662;top:342;width:3896;height:9620" type="#_x0000_t75" id="docshape382" stroked="false">
                  <v:imagedata r:id="rId61" o:title=""/>
                </v:shape>
                <v:shape style="position:absolute;left:6600;top:291;width:4020;height:9766" type="#_x0000_t202" id="docshape383" filled="false" stroked="false">
                  <v:textbox inset="0,0,0,0">
                    <w:txbxContent>
                      <w:p>
                        <w:pPr>
                          <w:spacing w:line="252" w:lineRule="auto" w:before="168"/>
                          <w:ind w:left="252" w:right="542" w:firstLine="0"/>
                          <w:jc w:val="left"/>
                          <w:rPr>
                            <w:rFonts w:ascii="Calibri"/>
                            <w:sz w:val="36"/>
                          </w:rPr>
                        </w:pPr>
                        <w:r>
                          <w:rPr>
                            <w:rFonts w:ascii="Calibri"/>
                            <w:sz w:val="36"/>
                          </w:rPr>
                          <w:t>How many people in the</w:t>
                        </w:r>
                        <w:r>
                          <w:rPr>
                            <w:rFonts w:ascii="Calibri"/>
                            <w:spacing w:val="-20"/>
                            <w:sz w:val="36"/>
                          </w:rPr>
                          <w:t> </w:t>
                        </w:r>
                        <w:r>
                          <w:rPr>
                            <w:rFonts w:ascii="Calibri"/>
                            <w:sz w:val="36"/>
                          </w:rPr>
                          <w:t>United</w:t>
                        </w:r>
                        <w:r>
                          <w:rPr>
                            <w:rFonts w:ascii="Calibri"/>
                            <w:spacing w:val="-20"/>
                            <w:sz w:val="36"/>
                          </w:rPr>
                          <w:t> </w:t>
                        </w:r>
                        <w:r>
                          <w:rPr>
                            <w:rFonts w:ascii="Calibri"/>
                            <w:sz w:val="36"/>
                          </w:rPr>
                          <w:t>States</w:t>
                        </w:r>
                        <w:r>
                          <w:rPr>
                            <w:rFonts w:ascii="Calibri"/>
                            <w:spacing w:val="-20"/>
                            <w:sz w:val="36"/>
                          </w:rPr>
                          <w:t> </w:t>
                        </w:r>
                        <w:r>
                          <w:rPr>
                            <w:rFonts w:ascii="Calibri"/>
                            <w:sz w:val="36"/>
                          </w:rPr>
                          <w:t>are sexual and gender </w:t>
                        </w:r>
                        <w:r>
                          <w:rPr>
                            <w:rFonts w:ascii="Calibri"/>
                            <w:spacing w:val="-2"/>
                            <w:sz w:val="36"/>
                          </w:rPr>
                          <w:t>minorities?</w:t>
                        </w:r>
                      </w:p>
                      <w:p>
                        <w:pPr>
                          <w:spacing w:line="434" w:lineRule="exact" w:before="0"/>
                          <w:ind w:left="252" w:right="0" w:firstLine="0"/>
                          <w:jc w:val="left"/>
                          <w:rPr>
                            <w:rFonts w:ascii="Calibri"/>
                            <w:sz w:val="36"/>
                          </w:rPr>
                        </w:pPr>
                        <w:r>
                          <w:rPr>
                            <w:rFonts w:ascii="Calibri"/>
                            <w:sz w:val="36"/>
                          </w:rPr>
                          <w:t>An</w:t>
                        </w:r>
                        <w:r>
                          <w:rPr>
                            <w:rFonts w:ascii="Calibri"/>
                            <w:spacing w:val="-6"/>
                            <w:sz w:val="36"/>
                          </w:rPr>
                          <w:t> </w:t>
                        </w:r>
                        <w:r>
                          <w:rPr>
                            <w:rFonts w:ascii="Calibri"/>
                            <w:sz w:val="36"/>
                          </w:rPr>
                          <w:t>estimated</w:t>
                        </w:r>
                        <w:r>
                          <w:rPr>
                            <w:rFonts w:ascii="Calibri"/>
                            <w:spacing w:val="-6"/>
                            <w:sz w:val="36"/>
                          </w:rPr>
                          <w:t> </w:t>
                        </w:r>
                        <w:r>
                          <w:rPr>
                            <w:rFonts w:ascii="Calibri"/>
                            <w:sz w:val="36"/>
                          </w:rPr>
                          <w:t>11.4</w:t>
                        </w:r>
                        <w:r>
                          <w:rPr>
                            <w:rFonts w:ascii="Calibri"/>
                            <w:spacing w:val="-6"/>
                            <w:sz w:val="36"/>
                          </w:rPr>
                          <w:t> </w:t>
                        </w:r>
                        <w:r>
                          <w:rPr>
                            <w:rFonts w:ascii="Calibri"/>
                            <w:spacing w:val="-5"/>
                            <w:sz w:val="36"/>
                          </w:rPr>
                          <w:t>to</w:t>
                        </w:r>
                      </w:p>
                      <w:p>
                        <w:pPr>
                          <w:spacing w:line="252" w:lineRule="auto" w:before="21"/>
                          <w:ind w:left="252" w:right="542" w:firstLine="0"/>
                          <w:jc w:val="left"/>
                          <w:rPr>
                            <w:rFonts w:ascii="Calibri"/>
                            <w:sz w:val="36"/>
                          </w:rPr>
                        </w:pPr>
                        <w:r>
                          <w:rPr>
                            <w:rFonts w:ascii="Calibri"/>
                            <w:sz w:val="36"/>
                          </w:rPr>
                          <w:t>12.2 million adults identify</w:t>
                        </w:r>
                        <w:r>
                          <w:rPr>
                            <w:rFonts w:ascii="Calibri"/>
                            <w:spacing w:val="-7"/>
                            <w:sz w:val="36"/>
                          </w:rPr>
                          <w:t> </w:t>
                        </w:r>
                        <w:r>
                          <w:rPr>
                            <w:rFonts w:ascii="Calibri"/>
                            <w:sz w:val="36"/>
                          </w:rPr>
                          <w:t>as</w:t>
                        </w:r>
                        <w:r>
                          <w:rPr>
                            <w:rFonts w:ascii="Calibri"/>
                            <w:spacing w:val="-7"/>
                            <w:sz w:val="36"/>
                          </w:rPr>
                          <w:t> </w:t>
                        </w:r>
                        <w:r>
                          <w:rPr>
                            <w:rFonts w:ascii="Calibri"/>
                            <w:sz w:val="36"/>
                          </w:rPr>
                          <w:t>LGBTQ+</w:t>
                        </w:r>
                        <w:r>
                          <w:rPr>
                            <w:rFonts w:ascii="Calibri"/>
                            <w:spacing w:val="-7"/>
                            <w:sz w:val="36"/>
                          </w:rPr>
                          <w:t> </w:t>
                        </w:r>
                        <w:r>
                          <w:rPr>
                            <w:rFonts w:ascii="Calibri"/>
                            <w:sz w:val="36"/>
                          </w:rPr>
                          <w:t>in the United States, a number roughly equivalent to the population of Ohio. An estimated 1.99 million adolescents ages</w:t>
                        </w:r>
                        <w:r>
                          <w:rPr>
                            <w:rFonts w:ascii="Calibri"/>
                            <w:spacing w:val="-12"/>
                            <w:sz w:val="36"/>
                          </w:rPr>
                          <w:t> </w:t>
                        </w:r>
                        <w:r>
                          <w:rPr>
                            <w:rFonts w:ascii="Calibri"/>
                            <w:sz w:val="36"/>
                          </w:rPr>
                          <w:t>13</w:t>
                        </w:r>
                        <w:r>
                          <w:rPr>
                            <w:rFonts w:ascii="Calibri"/>
                            <w:spacing w:val="-12"/>
                            <w:sz w:val="36"/>
                          </w:rPr>
                          <w:t> </w:t>
                        </w:r>
                        <w:r>
                          <w:rPr>
                            <w:rFonts w:ascii="Calibri"/>
                            <w:sz w:val="36"/>
                          </w:rPr>
                          <w:t>to</w:t>
                        </w:r>
                        <w:r>
                          <w:rPr>
                            <w:rFonts w:ascii="Calibri"/>
                            <w:spacing w:val="-12"/>
                            <w:sz w:val="36"/>
                          </w:rPr>
                          <w:t> </w:t>
                        </w:r>
                        <w:r>
                          <w:rPr>
                            <w:rFonts w:ascii="Calibri"/>
                            <w:sz w:val="36"/>
                          </w:rPr>
                          <w:t>17</w:t>
                        </w:r>
                        <w:r>
                          <w:rPr>
                            <w:rFonts w:ascii="Calibri"/>
                            <w:spacing w:val="-12"/>
                            <w:sz w:val="36"/>
                          </w:rPr>
                          <w:t> </w:t>
                        </w:r>
                        <w:r>
                          <w:rPr>
                            <w:rFonts w:ascii="Calibri"/>
                            <w:sz w:val="36"/>
                          </w:rPr>
                          <w:t>identif</w:t>
                        </w:r>
                        <w:r>
                          <w:rPr>
                            <w:rFonts w:ascii="Calibri"/>
                            <w:sz w:val="36"/>
                          </w:rPr>
                          <w:t>y as</w:t>
                        </w:r>
                        <w:r>
                          <w:rPr>
                            <w:rFonts w:ascii="Calibri"/>
                            <w:spacing w:val="-5"/>
                            <w:sz w:val="36"/>
                          </w:rPr>
                          <w:t> </w:t>
                        </w:r>
                        <w:r>
                          <w:rPr>
                            <w:rFonts w:ascii="Calibri"/>
                            <w:sz w:val="36"/>
                          </w:rPr>
                          <w:t>LGBT</w:t>
                        </w:r>
                        <w:r>
                          <w:rPr>
                            <w:rFonts w:ascii="Calibri"/>
                            <w:spacing w:val="-5"/>
                            <w:sz w:val="36"/>
                          </w:rPr>
                          <w:t> </w:t>
                        </w:r>
                        <w:r>
                          <w:rPr>
                            <w:rFonts w:ascii="Calibri"/>
                            <w:sz w:val="36"/>
                          </w:rPr>
                          <w:t>in</w:t>
                        </w:r>
                        <w:r>
                          <w:rPr>
                            <w:rFonts w:ascii="Calibri"/>
                            <w:spacing w:val="-5"/>
                            <w:sz w:val="36"/>
                          </w:rPr>
                          <w:t> </w:t>
                        </w:r>
                        <w:r>
                          <w:rPr>
                            <w:rFonts w:ascii="Calibri"/>
                            <w:sz w:val="36"/>
                          </w:rPr>
                          <w:t>the</w:t>
                        </w:r>
                        <w:r>
                          <w:rPr>
                            <w:rFonts w:ascii="Calibri"/>
                            <w:spacing w:val="-5"/>
                            <w:sz w:val="36"/>
                          </w:rPr>
                          <w:t> </w:t>
                        </w:r>
                        <w:r>
                          <w:rPr>
                            <w:rFonts w:ascii="Calibri"/>
                            <w:spacing w:val="-2"/>
                            <w:sz w:val="36"/>
                          </w:rPr>
                          <w:t>United</w:t>
                        </w:r>
                      </w:p>
                      <w:p>
                        <w:pPr>
                          <w:spacing w:line="425" w:lineRule="exact" w:before="0"/>
                          <w:ind w:left="252" w:right="0" w:firstLine="0"/>
                          <w:jc w:val="left"/>
                          <w:rPr>
                            <w:rFonts w:ascii="Calibri"/>
                            <w:sz w:val="36"/>
                          </w:rPr>
                        </w:pPr>
                        <w:r>
                          <w:rPr>
                            <w:rFonts w:ascii="Calibri"/>
                            <w:sz w:val="36"/>
                          </w:rPr>
                          <w:t>States,</w:t>
                        </w:r>
                        <w:r>
                          <w:rPr>
                            <w:rFonts w:ascii="Calibri"/>
                            <w:spacing w:val="-6"/>
                            <w:sz w:val="36"/>
                          </w:rPr>
                          <w:t> </w:t>
                        </w:r>
                        <w:r>
                          <w:rPr>
                            <w:rFonts w:ascii="Calibri"/>
                            <w:sz w:val="36"/>
                          </w:rPr>
                          <w:t>which</w:t>
                        </w:r>
                        <w:r>
                          <w:rPr>
                            <w:rFonts w:ascii="Calibri"/>
                            <w:spacing w:val="-5"/>
                            <w:sz w:val="36"/>
                          </w:rPr>
                          <w:t> </w:t>
                        </w:r>
                        <w:r>
                          <w:rPr>
                            <w:rFonts w:ascii="Calibri"/>
                            <w:sz w:val="36"/>
                          </w:rPr>
                          <w:t>is</w:t>
                        </w:r>
                        <w:r>
                          <w:rPr>
                            <w:rFonts w:ascii="Calibri"/>
                            <w:spacing w:val="-5"/>
                            <w:sz w:val="36"/>
                          </w:rPr>
                          <w:t> </w:t>
                        </w:r>
                        <w:r>
                          <w:rPr>
                            <w:rFonts w:ascii="Calibri"/>
                            <w:spacing w:val="-2"/>
                            <w:sz w:val="36"/>
                          </w:rPr>
                          <w:t>roughly</w:t>
                        </w:r>
                      </w:p>
                      <w:p>
                        <w:pPr>
                          <w:spacing w:line="252" w:lineRule="auto" w:before="20"/>
                          <w:ind w:left="252" w:right="493" w:firstLine="0"/>
                          <w:jc w:val="left"/>
                          <w:rPr>
                            <w:rFonts w:ascii="Calibri"/>
                            <w:sz w:val="36"/>
                          </w:rPr>
                        </w:pPr>
                        <w:r>
                          <w:rPr>
                            <w:rFonts w:ascii="Calibri"/>
                            <w:sz w:val="36"/>
                          </w:rPr>
                          <w:t>equivalent to the combined</w:t>
                        </w:r>
                        <w:r>
                          <w:rPr>
                            <w:rFonts w:ascii="Calibri"/>
                            <w:spacing w:val="-21"/>
                            <w:sz w:val="36"/>
                          </w:rPr>
                          <w:t> </w:t>
                        </w:r>
                        <w:r>
                          <w:rPr>
                            <w:rFonts w:ascii="Calibri"/>
                            <w:sz w:val="36"/>
                          </w:rPr>
                          <w:t>populations of Dallas, Texas, and Detroit, Michigan.</w:t>
                        </w:r>
                      </w:p>
                    </w:txbxContent>
                  </v:textbox>
                  <w10:wrap type="none"/>
                </v:shape>
                <w10:wrap type="none"/>
              </v:group>
            </w:pict>
          </mc:Fallback>
        </mc:AlternateContent>
      </w:r>
      <w:r>
        <w:rPr/>
        <w:t>minority</w:t>
      </w:r>
      <w:r>
        <w:rPr>
          <w:spacing w:val="-10"/>
        </w:rPr>
        <w:t> </w:t>
      </w:r>
      <w:r>
        <w:rPr/>
        <w:t>youth</w:t>
      </w:r>
      <w:r>
        <w:rPr>
          <w:spacing w:val="-10"/>
        </w:rPr>
        <w:t> </w:t>
      </w:r>
      <w:r>
        <w:rPr/>
        <w:t>of</w:t>
      </w:r>
      <w:r>
        <w:rPr>
          <w:spacing w:val="-10"/>
        </w:rPr>
        <w:t> </w:t>
      </w:r>
      <w:r>
        <w:rPr/>
        <w:t>color.138</w:t>
      </w:r>
      <w:r>
        <w:rPr>
          <w:spacing w:val="-10"/>
        </w:rPr>
        <w:t> </w:t>
      </w:r>
      <w:r>
        <w:rPr/>
        <w:t>Development related</w:t>
      </w:r>
      <w:r>
        <w:rPr>
          <w:spacing w:val="-8"/>
        </w:rPr>
        <w:t> </w:t>
      </w:r>
      <w:r>
        <w:rPr/>
        <w:t>to</w:t>
      </w:r>
      <w:r>
        <w:rPr>
          <w:spacing w:val="-8"/>
        </w:rPr>
        <w:t> </w:t>
      </w:r>
      <w:r>
        <w:rPr/>
        <w:t>racial/ethnic</w:t>
      </w:r>
      <w:r>
        <w:rPr>
          <w:spacing w:val="-9"/>
        </w:rPr>
        <w:t> </w:t>
      </w:r>
      <w:r>
        <w:rPr/>
        <w:t>identity</w:t>
      </w:r>
      <w:r>
        <w:rPr>
          <w:spacing w:val="-8"/>
        </w:rPr>
        <w:t> </w:t>
      </w:r>
      <w:r>
        <w:rPr/>
        <w:t>and</w:t>
      </w:r>
      <w:r>
        <w:rPr>
          <w:spacing w:val="-8"/>
        </w:rPr>
        <w:t> </w:t>
      </w:r>
      <w:r>
        <w:rPr/>
        <w:t>sexual identity may occur concurrently among adolescents, though</w:t>
      </w:r>
    </w:p>
    <w:p>
      <w:pPr>
        <w:pStyle w:val="BodyText"/>
        <w:spacing w:line="237" w:lineRule="auto"/>
        <w:ind w:left="280" w:right="4672"/>
      </w:pPr>
      <w:r>
        <w:rPr/>
        <w:t>studies have identified cultural constructs and culturally specific expectations that have</w:t>
      </w:r>
      <w:r>
        <w:rPr>
          <w:spacing w:val="-9"/>
        </w:rPr>
        <w:t> </w:t>
      </w:r>
      <w:r>
        <w:rPr/>
        <w:t>been</w:t>
      </w:r>
      <w:r>
        <w:rPr>
          <w:spacing w:val="-8"/>
        </w:rPr>
        <w:t> </w:t>
      </w:r>
      <w:r>
        <w:rPr/>
        <w:t>identified</w:t>
      </w:r>
      <w:r>
        <w:rPr>
          <w:spacing w:val="-8"/>
        </w:rPr>
        <w:t> </w:t>
      </w:r>
      <w:r>
        <w:rPr/>
        <w:t>as</w:t>
      </w:r>
      <w:r>
        <w:rPr>
          <w:spacing w:val="-8"/>
        </w:rPr>
        <w:t> </w:t>
      </w:r>
      <w:r>
        <w:rPr/>
        <w:t>influencing</w:t>
      </w:r>
      <w:r>
        <w:rPr>
          <w:spacing w:val="-8"/>
        </w:rPr>
        <w:t> </w:t>
      </w:r>
      <w:r>
        <w:rPr/>
        <w:t>sexual identity development among youth of color include familism (i.e., family needs take precedence over individual needs) and specific cultural understandings and expectations of masculinity among Black and Latino adolescent boys in particular.</w:t>
      </w:r>
    </w:p>
    <w:p>
      <w:pPr>
        <w:pStyle w:val="BodyText"/>
        <w:spacing w:before="1"/>
      </w:pPr>
    </w:p>
    <w:p>
      <w:pPr>
        <w:pStyle w:val="BodyText"/>
        <w:ind w:left="280" w:right="4698"/>
      </w:pPr>
      <w:r>
        <w:rPr/>
        <w:t>Significant</w:t>
      </w:r>
      <w:r>
        <w:rPr>
          <w:spacing w:val="-10"/>
        </w:rPr>
        <w:t> </w:t>
      </w:r>
      <w:r>
        <w:rPr/>
        <w:t>physical,</w:t>
      </w:r>
      <w:r>
        <w:rPr>
          <w:spacing w:val="-10"/>
        </w:rPr>
        <w:t> </w:t>
      </w:r>
      <w:r>
        <w:rPr/>
        <w:t>cognitive,</w:t>
      </w:r>
      <w:r>
        <w:rPr>
          <w:spacing w:val="-10"/>
        </w:rPr>
        <w:t> </w:t>
      </w:r>
      <w:r>
        <w:rPr/>
        <w:t>and</w:t>
      </w:r>
      <w:r>
        <w:rPr>
          <w:spacing w:val="-10"/>
        </w:rPr>
        <w:t> </w:t>
      </w:r>
      <w:r>
        <w:rPr/>
        <w:t>social development occurs during adolescence. Sexual minority adolescents face the same developmental tasks that accompany adolescence for all youth, including sexual identity development.</w:t>
      </w:r>
    </w:p>
    <w:p>
      <w:pPr>
        <w:pStyle w:val="BodyText"/>
        <w:spacing w:line="237" w:lineRule="auto"/>
        <w:ind w:left="280" w:right="4672"/>
      </w:pPr>
      <w:r>
        <w:rPr/>
        <w:t>However, sexual minority adolescents must also navigate an environment lacking awareness and acceptance of socially marginalized sexual identities, potentially</w:t>
      </w:r>
      <w:r>
        <w:rPr>
          <w:spacing w:val="-18"/>
        </w:rPr>
        <w:t> </w:t>
      </w:r>
      <w:r>
        <w:rPr/>
        <w:t>without</w:t>
      </w:r>
      <w:r>
        <w:rPr>
          <w:spacing w:val="-17"/>
        </w:rPr>
        <w:t> </w:t>
      </w:r>
      <w:r>
        <w:rPr/>
        <w:t>family,</w:t>
      </w:r>
      <w:r>
        <w:rPr>
          <w:spacing w:val="-18"/>
        </w:rPr>
        <w:t> </w:t>
      </w:r>
      <w:r>
        <w:rPr/>
        <w:t>community,</w:t>
      </w:r>
      <w:r>
        <w:rPr>
          <w:spacing w:val="-17"/>
        </w:rPr>
        <w:t> </w:t>
      </w:r>
      <w:r>
        <w:rPr/>
        <w:t>or societal support.</w:t>
      </w:r>
    </w:p>
    <w:p>
      <w:pPr>
        <w:pStyle w:val="BodyText"/>
        <w:spacing w:before="1"/>
        <w:rPr>
          <w:sz w:val="43"/>
        </w:rPr>
      </w:pPr>
    </w:p>
    <w:p>
      <w:pPr>
        <w:pStyle w:val="BodyText"/>
        <w:ind w:left="280" w:right="4244"/>
      </w:pPr>
      <w:r>
        <w:rPr/>
        <w:t>Sexual identity development includes processes of identity formation (i.e., becoming aware of sexual attractions, exploring sexual feelings) and identity integration</w:t>
      </w:r>
      <w:r>
        <w:rPr>
          <w:spacing w:val="-10"/>
        </w:rPr>
        <w:t> </w:t>
      </w:r>
      <w:r>
        <w:rPr/>
        <w:t>(i.e.,</w:t>
      </w:r>
      <w:r>
        <w:rPr>
          <w:spacing w:val="-10"/>
        </w:rPr>
        <w:t> </w:t>
      </w:r>
      <w:r>
        <w:rPr/>
        <w:t>integrating</w:t>
      </w:r>
      <w:r>
        <w:rPr>
          <w:spacing w:val="-10"/>
        </w:rPr>
        <w:t> </w:t>
      </w:r>
      <w:r>
        <w:rPr/>
        <w:t>sexual</w:t>
      </w:r>
      <w:r>
        <w:rPr>
          <w:spacing w:val="-10"/>
        </w:rPr>
        <w:t> </w:t>
      </w:r>
      <w:r>
        <w:rPr/>
        <w:t>identity</w:t>
      </w:r>
    </w:p>
    <w:p>
      <w:pPr>
        <w:pStyle w:val="BodyText"/>
        <w:spacing w:line="237" w:lineRule="auto"/>
        <w:ind w:left="280" w:right="502"/>
      </w:pPr>
      <w:r>
        <w:rPr/>
        <w:t>within</w:t>
      </w:r>
      <w:r>
        <w:rPr>
          <w:spacing w:val="-5"/>
        </w:rPr>
        <w:t> </w:t>
      </w:r>
      <w:r>
        <w:rPr/>
        <w:t>the</w:t>
      </w:r>
      <w:r>
        <w:rPr>
          <w:spacing w:val="-6"/>
        </w:rPr>
        <w:t> </w:t>
      </w:r>
      <w:r>
        <w:rPr/>
        <w:t>larger</w:t>
      </w:r>
      <w:r>
        <w:rPr>
          <w:spacing w:val="-5"/>
        </w:rPr>
        <w:t> </w:t>
      </w:r>
      <w:r>
        <w:rPr/>
        <w:t>view</w:t>
      </w:r>
      <w:r>
        <w:rPr>
          <w:spacing w:val="-5"/>
        </w:rPr>
        <w:t> </w:t>
      </w:r>
      <w:r>
        <w:rPr/>
        <w:t>of</w:t>
      </w:r>
      <w:r>
        <w:rPr>
          <w:spacing w:val="-5"/>
        </w:rPr>
        <w:t> </w:t>
      </w:r>
      <w:r>
        <w:rPr/>
        <w:t>self).</w:t>
      </w:r>
      <w:r>
        <w:rPr>
          <w:spacing w:val="-5"/>
        </w:rPr>
        <w:t> </w:t>
      </w:r>
      <w:r>
        <w:rPr/>
        <w:t>For</w:t>
      </w:r>
      <w:r>
        <w:rPr>
          <w:spacing w:val="-5"/>
        </w:rPr>
        <w:t> </w:t>
      </w:r>
      <w:r>
        <w:rPr/>
        <w:t>sexual</w:t>
      </w:r>
      <w:r>
        <w:rPr>
          <w:spacing w:val="-5"/>
        </w:rPr>
        <w:t> </w:t>
      </w:r>
      <w:r>
        <w:rPr/>
        <w:t>minority</w:t>
      </w:r>
      <w:r>
        <w:rPr>
          <w:spacing w:val="-5"/>
        </w:rPr>
        <w:t> </w:t>
      </w:r>
      <w:r>
        <w:rPr/>
        <w:t>adolescents,</w:t>
      </w:r>
      <w:r>
        <w:rPr>
          <w:spacing w:val="-5"/>
        </w:rPr>
        <w:t> </w:t>
      </w:r>
      <w:r>
        <w:rPr/>
        <w:t>difficulty</w:t>
      </w:r>
      <w:r>
        <w:rPr>
          <w:spacing w:val="-5"/>
        </w:rPr>
        <w:t> </w:t>
      </w:r>
      <w:r>
        <w:rPr/>
        <w:t>with the identity development process, such as difficulty accepting one’s sexual orientation and dissonance between one’s self-image and cultural, religious, and societal beliefs about sexual minorities, can increase negative views of one’s own and others’</w:t>
      </w:r>
      <w:r>
        <w:rPr>
          <w:spacing w:val="-21"/>
        </w:rPr>
        <w:t> </w:t>
      </w:r>
      <w:r>
        <w:rPr/>
        <w:t>sexual minority identities and lead to adopting negative societal attitudes and beliefs about being a sexual minority.</w:t>
      </w:r>
    </w:p>
    <w:p>
      <w:pPr>
        <w:pStyle w:val="BodyText"/>
        <w:spacing w:before="178"/>
        <w:ind w:left="280" w:right="502"/>
      </w:pPr>
      <w:r>
        <w:rPr/>
        <w:t>Sexual</w:t>
      </w:r>
      <w:r>
        <w:rPr>
          <w:spacing w:val="-5"/>
        </w:rPr>
        <w:t> </w:t>
      </w:r>
      <w:r>
        <w:rPr/>
        <w:t>orientation</w:t>
      </w:r>
      <w:r>
        <w:rPr>
          <w:spacing w:val="-5"/>
        </w:rPr>
        <w:t> </w:t>
      </w:r>
      <w:r>
        <w:rPr/>
        <w:t>conflict</w:t>
      </w:r>
      <w:r>
        <w:rPr>
          <w:spacing w:val="-5"/>
        </w:rPr>
        <w:t> </w:t>
      </w:r>
      <w:r>
        <w:rPr/>
        <w:t>has</w:t>
      </w:r>
      <w:r>
        <w:rPr>
          <w:spacing w:val="-5"/>
        </w:rPr>
        <w:t> </w:t>
      </w:r>
      <w:r>
        <w:rPr/>
        <w:t>been</w:t>
      </w:r>
      <w:r>
        <w:rPr>
          <w:spacing w:val="-5"/>
        </w:rPr>
        <w:t> </w:t>
      </w:r>
      <w:r>
        <w:rPr/>
        <w:t>linked</w:t>
      </w:r>
      <w:r>
        <w:rPr>
          <w:spacing w:val="-5"/>
        </w:rPr>
        <w:t> </w:t>
      </w:r>
      <w:r>
        <w:rPr/>
        <w:t>to</w:t>
      </w:r>
      <w:r>
        <w:rPr>
          <w:spacing w:val="-5"/>
        </w:rPr>
        <w:t> </w:t>
      </w:r>
      <w:r>
        <w:rPr/>
        <w:t>negative</w:t>
      </w:r>
      <w:r>
        <w:rPr>
          <w:spacing w:val="-6"/>
        </w:rPr>
        <w:t> </w:t>
      </w:r>
      <w:r>
        <w:rPr/>
        <w:t>psychosocial</w:t>
      </w:r>
      <w:r>
        <w:rPr>
          <w:spacing w:val="-5"/>
        </w:rPr>
        <w:t> </w:t>
      </w:r>
      <w:r>
        <w:rPr/>
        <w:t>outcomes in adolescents and young adults. Furthermore, a negative self-image as a</w:t>
      </w:r>
    </w:p>
    <w:p>
      <w:pPr>
        <w:spacing w:after="0"/>
        <w:sectPr>
          <w:pgSz w:w="12240" w:h="15840"/>
          <w:pgMar w:header="0" w:footer="783" w:top="1260" w:bottom="980" w:left="1400" w:right="1180"/>
        </w:sectPr>
      </w:pPr>
    </w:p>
    <w:p>
      <w:pPr>
        <w:pStyle w:val="BodyText"/>
        <w:spacing w:before="66"/>
        <w:ind w:left="280" w:right="668"/>
      </w:pPr>
      <w:r>
        <w:rPr/>
        <w:t>sexual minority youth contributes to the relationship between sexuality- specific</w:t>
      </w:r>
      <w:r>
        <w:rPr>
          <w:spacing w:val="-6"/>
        </w:rPr>
        <w:t> </w:t>
      </w:r>
      <w:r>
        <w:rPr/>
        <w:t>stressors</w:t>
      </w:r>
      <w:r>
        <w:rPr>
          <w:spacing w:val="-5"/>
        </w:rPr>
        <w:t> </w:t>
      </w:r>
      <w:r>
        <w:rPr/>
        <w:t>(e.g.,</w:t>
      </w:r>
      <w:r>
        <w:rPr>
          <w:spacing w:val="-5"/>
        </w:rPr>
        <w:t> </w:t>
      </w:r>
      <w:r>
        <w:rPr/>
        <w:t>family</w:t>
      </w:r>
      <w:r>
        <w:rPr>
          <w:spacing w:val="-5"/>
        </w:rPr>
        <w:t> </w:t>
      </w:r>
      <w:r>
        <w:rPr/>
        <w:t>rejection,</w:t>
      </w:r>
      <w:r>
        <w:rPr>
          <w:spacing w:val="-5"/>
        </w:rPr>
        <w:t> </w:t>
      </w:r>
      <w:r>
        <w:rPr/>
        <w:t>victimization)</w:t>
      </w:r>
      <w:r>
        <w:rPr>
          <w:spacing w:val="-5"/>
        </w:rPr>
        <w:t> </w:t>
      </w:r>
      <w:r>
        <w:rPr/>
        <w:t>and</w:t>
      </w:r>
      <w:r>
        <w:rPr>
          <w:spacing w:val="-5"/>
        </w:rPr>
        <w:t> </w:t>
      </w:r>
      <w:r>
        <w:rPr/>
        <w:t>poorer</w:t>
      </w:r>
      <w:r>
        <w:rPr>
          <w:spacing w:val="-5"/>
        </w:rPr>
        <w:t> </w:t>
      </w:r>
      <w:r>
        <w:rPr/>
        <w:t>mental health outcomes.</w:t>
      </w:r>
    </w:p>
    <w:p>
      <w:pPr>
        <w:pStyle w:val="BodyText"/>
        <w:spacing w:before="3"/>
        <w:rPr>
          <w:sz w:val="27"/>
        </w:rPr>
      </w:pPr>
    </w:p>
    <w:p>
      <w:pPr>
        <w:pStyle w:val="BodyText"/>
        <w:ind w:left="280" w:right="502"/>
      </w:pPr>
      <w:r>
        <w:rPr/>
        <w:t>Positive</w:t>
      </w:r>
      <w:r>
        <w:rPr>
          <w:spacing w:val="-7"/>
        </w:rPr>
        <w:t> </w:t>
      </w:r>
      <w:r>
        <w:rPr/>
        <w:t>identity</w:t>
      </w:r>
      <w:r>
        <w:rPr>
          <w:spacing w:val="-6"/>
        </w:rPr>
        <w:t> </w:t>
      </w:r>
      <w:r>
        <w:rPr/>
        <w:t>development,</w:t>
      </w:r>
      <w:r>
        <w:rPr>
          <w:spacing w:val="-6"/>
        </w:rPr>
        <w:t> </w:t>
      </w:r>
      <w:r>
        <w:rPr/>
        <w:t>however,</w:t>
      </w:r>
      <w:r>
        <w:rPr>
          <w:spacing w:val="-6"/>
        </w:rPr>
        <w:t> </w:t>
      </w:r>
      <w:r>
        <w:rPr/>
        <w:t>is</w:t>
      </w:r>
      <w:r>
        <w:rPr>
          <w:spacing w:val="-6"/>
        </w:rPr>
        <w:t> </w:t>
      </w:r>
      <w:r>
        <w:rPr/>
        <w:t>associated</w:t>
      </w:r>
      <w:r>
        <w:rPr>
          <w:spacing w:val="-6"/>
        </w:rPr>
        <w:t> </w:t>
      </w:r>
      <w:r>
        <w:rPr/>
        <w:t>with</w:t>
      </w:r>
      <w:r>
        <w:rPr>
          <w:spacing w:val="-6"/>
        </w:rPr>
        <w:t> </w:t>
      </w:r>
      <w:r>
        <w:rPr/>
        <w:t>better</w:t>
      </w:r>
      <w:r>
        <w:rPr>
          <w:spacing w:val="-6"/>
        </w:rPr>
        <w:t> </w:t>
      </w:r>
      <w:r>
        <w:rPr/>
        <w:t>mental</w:t>
      </w:r>
      <w:r>
        <w:rPr>
          <w:spacing w:val="-6"/>
        </w:rPr>
        <w:t> </w:t>
      </w:r>
      <w:r>
        <w:rPr/>
        <w:t>health among sexual minority adolescents. For example, one study found that for sexual minority college students, those who reported strong religious beliefs also reported lower psychological distress, but only among those students who had high levels of self-acceptance of their sexual orientation.148 Strong religious beliefs on their own were not protective in terms of psychological distress for students who reported lower levels of self-acceptance of their sexual orientation.</w:t>
      </w:r>
    </w:p>
    <w:p>
      <w:pPr>
        <w:pStyle w:val="BodyText"/>
        <w:spacing w:before="2"/>
        <w:rPr>
          <w:sz w:val="42"/>
        </w:rPr>
      </w:pPr>
    </w:p>
    <w:p>
      <w:pPr>
        <w:pStyle w:val="BodyText"/>
        <w:ind w:left="280" w:right="499"/>
      </w:pPr>
      <w:r>
        <w:rPr/>
        <w:t>Important areas of focus for behavioral health providers who work with adolescents</w:t>
      </w:r>
      <w:r>
        <w:rPr>
          <w:spacing w:val="-4"/>
        </w:rPr>
        <w:t> </w:t>
      </w:r>
      <w:r>
        <w:rPr/>
        <w:t>include</w:t>
      </w:r>
      <w:r>
        <w:rPr>
          <w:spacing w:val="-5"/>
        </w:rPr>
        <w:t> </w:t>
      </w:r>
      <w:r>
        <w:rPr/>
        <w:t>helping</w:t>
      </w:r>
      <w:r>
        <w:rPr>
          <w:spacing w:val="-4"/>
        </w:rPr>
        <w:t> </w:t>
      </w:r>
      <w:r>
        <w:rPr/>
        <w:t>them</w:t>
      </w:r>
      <w:r>
        <w:rPr>
          <w:spacing w:val="-4"/>
        </w:rPr>
        <w:t> </w:t>
      </w:r>
      <w:r>
        <w:rPr/>
        <w:t>address</w:t>
      </w:r>
      <w:r>
        <w:rPr>
          <w:spacing w:val="-4"/>
        </w:rPr>
        <w:t> </w:t>
      </w:r>
      <w:r>
        <w:rPr/>
        <w:t>negative</w:t>
      </w:r>
      <w:r>
        <w:rPr>
          <w:spacing w:val="-5"/>
        </w:rPr>
        <w:t> </w:t>
      </w:r>
      <w:r>
        <w:rPr/>
        <w:t>views</w:t>
      </w:r>
      <w:r>
        <w:rPr>
          <w:spacing w:val="-4"/>
        </w:rPr>
        <w:t> </w:t>
      </w:r>
      <w:r>
        <w:rPr/>
        <w:t>about</w:t>
      </w:r>
      <w:r>
        <w:rPr>
          <w:spacing w:val="-4"/>
        </w:rPr>
        <w:t> </w:t>
      </w:r>
      <w:r>
        <w:rPr/>
        <w:t>aspects</w:t>
      </w:r>
      <w:r>
        <w:rPr>
          <w:spacing w:val="-4"/>
        </w:rPr>
        <w:t> </w:t>
      </w:r>
      <w:r>
        <w:rPr/>
        <w:t>of</w:t>
      </w:r>
      <w:r>
        <w:rPr>
          <w:spacing w:val="-4"/>
        </w:rPr>
        <w:t> </w:t>
      </w:r>
      <w:r>
        <w:rPr/>
        <w:t>their identity and supporting positive identity development. For behavioral health providers who work with sexual minority adolescents, this includes reducing the client’s negative views of their own sexual orientation identity and supporting positive identity development.</w:t>
      </w:r>
      <w:r>
        <w:rPr>
          <w:spacing w:val="-2"/>
        </w:rPr>
        <w:t> </w:t>
      </w:r>
      <w:r>
        <w:rPr/>
        <w:t>This encompasses the integration of sexual orientation identity into the adolescent’s larger sense of self, alongside intersecting identities (e.g., cultural, racial/ethnic, and other identities).</w:t>
      </w:r>
    </w:p>
    <w:p>
      <w:pPr>
        <w:pStyle w:val="Heading2"/>
        <w:spacing w:before="164"/>
      </w:pPr>
      <w:r>
        <w:rPr>
          <w:spacing w:val="-2"/>
        </w:rPr>
        <w:t>Gender</w:t>
      </w:r>
    </w:p>
    <w:p>
      <w:pPr>
        <w:pStyle w:val="BodyText"/>
        <w:spacing w:before="65"/>
        <w:ind w:left="280" w:right="502"/>
      </w:pPr>
      <w:r>
        <w:rPr/>
        <w:t>Transgender</w:t>
      </w:r>
      <w:r>
        <w:rPr>
          <w:spacing w:val="-1"/>
        </w:rPr>
        <w:t> </w:t>
      </w:r>
      <w:r>
        <w:rPr/>
        <w:t>is</w:t>
      </w:r>
      <w:r>
        <w:rPr>
          <w:spacing w:val="-1"/>
        </w:rPr>
        <w:t> </w:t>
      </w:r>
      <w:r>
        <w:rPr/>
        <w:t>a</w:t>
      </w:r>
      <w:r>
        <w:rPr>
          <w:spacing w:val="-2"/>
        </w:rPr>
        <w:t> </w:t>
      </w:r>
      <w:r>
        <w:rPr/>
        <w:t>term</w:t>
      </w:r>
      <w:r>
        <w:rPr>
          <w:spacing w:val="-1"/>
        </w:rPr>
        <w:t> </w:t>
      </w:r>
      <w:r>
        <w:rPr/>
        <w:t>that</w:t>
      </w:r>
      <w:r>
        <w:rPr>
          <w:spacing w:val="-1"/>
        </w:rPr>
        <w:t> </w:t>
      </w:r>
      <w:r>
        <w:rPr/>
        <w:t>refers</w:t>
      </w:r>
      <w:r>
        <w:rPr>
          <w:spacing w:val="-1"/>
        </w:rPr>
        <w:t> </w:t>
      </w:r>
      <w:r>
        <w:rPr/>
        <w:t>to</w:t>
      </w:r>
      <w:r>
        <w:rPr>
          <w:spacing w:val="-1"/>
        </w:rPr>
        <w:t> </w:t>
      </w:r>
      <w:r>
        <w:rPr/>
        <w:t>individuals</w:t>
      </w:r>
      <w:r>
        <w:rPr>
          <w:spacing w:val="-1"/>
        </w:rPr>
        <w:t> </w:t>
      </w:r>
      <w:r>
        <w:rPr/>
        <w:t>whose</w:t>
      </w:r>
      <w:r>
        <w:rPr>
          <w:spacing w:val="-2"/>
        </w:rPr>
        <w:t> </w:t>
      </w:r>
      <w:r>
        <w:rPr/>
        <w:t>gender</w:t>
      </w:r>
      <w:r>
        <w:rPr>
          <w:spacing w:val="-1"/>
        </w:rPr>
        <w:t> </w:t>
      </w:r>
      <w:r>
        <w:rPr/>
        <w:t>identities</w:t>
      </w:r>
      <w:r>
        <w:rPr>
          <w:spacing w:val="-1"/>
        </w:rPr>
        <w:t> </w:t>
      </w:r>
      <w:r>
        <w:rPr/>
        <w:t>are incongruent with their sex assigned at birth. The term gender diverse is a broader</w:t>
      </w:r>
      <w:r>
        <w:rPr>
          <w:spacing w:val="-4"/>
        </w:rPr>
        <w:t> </w:t>
      </w:r>
      <w:r>
        <w:rPr/>
        <w:t>term</w:t>
      </w:r>
      <w:r>
        <w:rPr>
          <w:spacing w:val="-4"/>
        </w:rPr>
        <w:t> </w:t>
      </w:r>
      <w:r>
        <w:rPr/>
        <w:t>that</w:t>
      </w:r>
      <w:r>
        <w:rPr>
          <w:spacing w:val="-4"/>
        </w:rPr>
        <w:t> </w:t>
      </w:r>
      <w:r>
        <w:rPr/>
        <w:t>includes</w:t>
      </w:r>
      <w:r>
        <w:rPr>
          <w:spacing w:val="-4"/>
        </w:rPr>
        <w:t> </w:t>
      </w:r>
      <w:r>
        <w:rPr/>
        <w:t>transgender</w:t>
      </w:r>
      <w:r>
        <w:rPr>
          <w:spacing w:val="-4"/>
        </w:rPr>
        <w:t> </w:t>
      </w:r>
      <w:r>
        <w:rPr/>
        <w:t>individuals,</w:t>
      </w:r>
      <w:r>
        <w:rPr>
          <w:spacing w:val="-4"/>
        </w:rPr>
        <w:t> </w:t>
      </w:r>
      <w:r>
        <w:rPr/>
        <w:t>as</w:t>
      </w:r>
      <w:r>
        <w:rPr>
          <w:spacing w:val="-4"/>
        </w:rPr>
        <w:t> </w:t>
      </w:r>
      <w:r>
        <w:rPr/>
        <w:t>well</w:t>
      </w:r>
      <w:r>
        <w:rPr>
          <w:spacing w:val="-4"/>
        </w:rPr>
        <w:t> </w:t>
      </w:r>
      <w:r>
        <w:rPr/>
        <w:t>as</w:t>
      </w:r>
      <w:r>
        <w:rPr>
          <w:spacing w:val="-4"/>
        </w:rPr>
        <w:t> </w:t>
      </w:r>
      <w:r>
        <w:rPr/>
        <w:t>others</w:t>
      </w:r>
      <w:r>
        <w:rPr>
          <w:spacing w:val="-4"/>
        </w:rPr>
        <w:t> </w:t>
      </w:r>
      <w:r>
        <w:rPr/>
        <w:t>whose gender behaviors, appearances, or identities are incongruent with those culturally expected based on sex assigned at birth.</w:t>
      </w:r>
    </w:p>
    <w:p>
      <w:pPr>
        <w:pStyle w:val="BodyText"/>
        <w:rPr>
          <w:sz w:val="30"/>
        </w:rPr>
      </w:pPr>
    </w:p>
    <w:p>
      <w:pPr>
        <w:pStyle w:val="BodyText"/>
        <w:spacing w:before="212"/>
        <w:ind w:left="280" w:right="502"/>
      </w:pPr>
      <w:r>
        <w:rPr/>
        <w:t>Gender</w:t>
      </w:r>
      <w:r>
        <w:rPr>
          <w:spacing w:val="-4"/>
        </w:rPr>
        <w:t> </w:t>
      </w:r>
      <w:r>
        <w:rPr/>
        <w:t>diversity</w:t>
      </w:r>
      <w:r>
        <w:rPr>
          <w:spacing w:val="-4"/>
        </w:rPr>
        <w:t> </w:t>
      </w:r>
      <w:r>
        <w:rPr/>
        <w:t>was</w:t>
      </w:r>
      <w:r>
        <w:rPr>
          <w:spacing w:val="-4"/>
        </w:rPr>
        <w:t> </w:t>
      </w:r>
      <w:r>
        <w:rPr/>
        <w:t>depathologized</w:t>
      </w:r>
      <w:r>
        <w:rPr>
          <w:spacing w:val="-4"/>
        </w:rPr>
        <w:t> </w:t>
      </w:r>
      <w:r>
        <w:rPr/>
        <w:t>with</w:t>
      </w:r>
      <w:r>
        <w:rPr>
          <w:spacing w:val="-4"/>
        </w:rPr>
        <w:t> </w:t>
      </w:r>
      <w:r>
        <w:rPr/>
        <w:t>changes</w:t>
      </w:r>
      <w:r>
        <w:rPr>
          <w:spacing w:val="-4"/>
        </w:rPr>
        <w:t> </w:t>
      </w:r>
      <w:r>
        <w:rPr/>
        <w:t>made</w:t>
      </w:r>
      <w:r>
        <w:rPr>
          <w:spacing w:val="-5"/>
        </w:rPr>
        <w:t> </w:t>
      </w:r>
      <w:r>
        <w:rPr/>
        <w:t>to</w:t>
      </w:r>
      <w:r>
        <w:rPr>
          <w:spacing w:val="-4"/>
        </w:rPr>
        <w:t> </w:t>
      </w:r>
      <w:r>
        <w:rPr/>
        <w:t>the</w:t>
      </w:r>
      <w:r>
        <w:rPr>
          <w:spacing w:val="-5"/>
        </w:rPr>
        <w:t> </w:t>
      </w:r>
      <w:r>
        <w:rPr/>
        <w:t>5th</w:t>
      </w:r>
      <w:r>
        <w:rPr>
          <w:spacing w:val="-4"/>
        </w:rPr>
        <w:t> </w:t>
      </w:r>
      <w:r>
        <w:rPr/>
        <w:t>revision</w:t>
      </w:r>
      <w:r>
        <w:rPr>
          <w:spacing w:val="-4"/>
        </w:rPr>
        <w:t> </w:t>
      </w:r>
      <w:r>
        <w:rPr/>
        <w:t>of the Diagnostic and Statistical Manual of Mental Disorders (DSM-5) and the 11th revision of the International Classification of Diseases (ICD11). These changes make it clear that gender diversity is not a disorder. Instead, current guidelines focus on treating and supporting individuals who may experience feelings of distress (i.e., gender dysphoria) or incongruence between their gender identity and body or sex assigned at birth, as well as any distress associated with stigma and discrimination.Note that throughout this report, “gender dysphoria” (not capitalized) refers to the general concept of distress associated with incongruence between one’s gender identity and body or sex</w:t>
      </w:r>
    </w:p>
    <w:p>
      <w:pPr>
        <w:spacing w:after="0"/>
        <w:sectPr>
          <w:pgSz w:w="12240" w:h="15840"/>
          <w:pgMar w:header="0" w:footer="783" w:top="1260" w:bottom="980" w:left="1400" w:right="1180"/>
        </w:sectPr>
      </w:pPr>
    </w:p>
    <w:p>
      <w:pPr>
        <w:pStyle w:val="BodyText"/>
        <w:spacing w:before="66"/>
        <w:ind w:left="280"/>
      </w:pPr>
      <w:r>
        <w:rPr/>
        <w:t>assigned</w:t>
      </w:r>
      <w:r>
        <w:rPr>
          <w:spacing w:val="-4"/>
        </w:rPr>
        <w:t> </w:t>
      </w:r>
      <w:r>
        <w:rPr/>
        <w:t>at</w:t>
      </w:r>
      <w:r>
        <w:rPr>
          <w:spacing w:val="-4"/>
        </w:rPr>
        <w:t> </w:t>
      </w:r>
      <w:r>
        <w:rPr/>
        <w:t>birth,</w:t>
      </w:r>
      <w:r>
        <w:rPr>
          <w:spacing w:val="-4"/>
        </w:rPr>
        <w:t> </w:t>
      </w:r>
      <w:r>
        <w:rPr/>
        <w:t>while</w:t>
      </w:r>
      <w:r>
        <w:rPr>
          <w:spacing w:val="-5"/>
        </w:rPr>
        <w:t> </w:t>
      </w:r>
      <w:r>
        <w:rPr/>
        <w:t>“Gender</w:t>
      </w:r>
      <w:r>
        <w:rPr>
          <w:spacing w:val="-4"/>
        </w:rPr>
        <w:t> </w:t>
      </w:r>
      <w:r>
        <w:rPr/>
        <w:t>Dysphoria”</w:t>
      </w:r>
      <w:r>
        <w:rPr>
          <w:spacing w:val="-5"/>
        </w:rPr>
        <w:t> </w:t>
      </w:r>
      <w:r>
        <w:rPr/>
        <w:t>(capitalized)</w:t>
      </w:r>
      <w:r>
        <w:rPr>
          <w:spacing w:val="-4"/>
        </w:rPr>
        <w:t> </w:t>
      </w:r>
      <w:r>
        <w:rPr/>
        <w:t>refers</w:t>
      </w:r>
      <w:r>
        <w:rPr>
          <w:spacing w:val="-4"/>
        </w:rPr>
        <w:t> </w:t>
      </w:r>
      <w:r>
        <w:rPr/>
        <w:t>to</w:t>
      </w:r>
      <w:r>
        <w:rPr>
          <w:spacing w:val="-4"/>
        </w:rPr>
        <w:t> </w:t>
      </w:r>
      <w:r>
        <w:rPr/>
        <w:t>the</w:t>
      </w:r>
      <w:r>
        <w:rPr>
          <w:spacing w:val="-5"/>
        </w:rPr>
        <w:t> </w:t>
      </w:r>
      <w:r>
        <w:rPr/>
        <w:t>DSM </w:t>
      </w:r>
      <w:r>
        <w:rPr>
          <w:spacing w:val="-2"/>
        </w:rPr>
        <w:t>diagnosis.</w:t>
      </w:r>
    </w:p>
    <w:p>
      <w:pPr>
        <w:pStyle w:val="BodyText"/>
        <w:spacing w:before="1"/>
        <w:rPr>
          <w:sz w:val="43"/>
        </w:rPr>
      </w:pPr>
    </w:p>
    <w:p>
      <w:pPr>
        <w:pStyle w:val="BodyText"/>
        <w:ind w:left="280" w:right="502"/>
      </w:pPr>
      <w:r>
        <w:rPr/>
        <w:t>Terms</w:t>
      </w:r>
      <w:r>
        <w:rPr>
          <w:spacing w:val="-11"/>
        </w:rPr>
        <w:t> </w:t>
      </w:r>
      <w:r>
        <w:rPr/>
        <w:t>such</w:t>
      </w:r>
      <w:r>
        <w:rPr>
          <w:spacing w:val="-11"/>
        </w:rPr>
        <w:t> </w:t>
      </w:r>
      <w:r>
        <w:rPr/>
        <w:t>as</w:t>
      </w:r>
      <w:r>
        <w:rPr>
          <w:spacing w:val="-11"/>
        </w:rPr>
        <w:t> </w:t>
      </w:r>
      <w:r>
        <w:rPr/>
        <w:t>nonbinary,</w:t>
      </w:r>
      <w:r>
        <w:rPr>
          <w:spacing w:val="-11"/>
        </w:rPr>
        <w:t> </w:t>
      </w:r>
      <w:r>
        <w:rPr/>
        <w:t>gender</w:t>
      </w:r>
      <w:r>
        <w:rPr>
          <w:spacing w:val="-11"/>
        </w:rPr>
        <w:t> </w:t>
      </w:r>
      <w:r>
        <w:rPr/>
        <w:t>queer,</w:t>
      </w:r>
      <w:r>
        <w:rPr>
          <w:spacing w:val="-11"/>
        </w:rPr>
        <w:t> </w:t>
      </w:r>
      <w:r>
        <w:rPr/>
        <w:t>gender</w:t>
      </w:r>
      <w:r>
        <w:rPr>
          <w:spacing w:val="-11"/>
        </w:rPr>
        <w:t> </w:t>
      </w:r>
      <w:r>
        <w:rPr/>
        <w:t>fluid,</w:t>
      </w:r>
      <w:r>
        <w:rPr>
          <w:spacing w:val="-11"/>
        </w:rPr>
        <w:t> </w:t>
      </w:r>
      <w:r>
        <w:rPr/>
        <w:t>agender,</w:t>
      </w:r>
      <w:r>
        <w:rPr>
          <w:spacing w:val="-11"/>
        </w:rPr>
        <w:t> </w:t>
      </w:r>
      <w:r>
        <w:rPr/>
        <w:t>bi-gender,</w:t>
      </w:r>
      <w:r>
        <w:rPr>
          <w:spacing w:val="-11"/>
        </w:rPr>
        <w:t> </w:t>
      </w:r>
      <w:r>
        <w:rPr/>
        <w:t>and others are used by many individuals to express their gender identity.</w:t>
      </w:r>
    </w:p>
    <w:p>
      <w:pPr>
        <w:pStyle w:val="BodyText"/>
        <w:spacing w:line="237" w:lineRule="auto"/>
        <w:ind w:left="280" w:right="498"/>
      </w:pPr>
      <w:r>
        <w:rPr/>
        <w:t>Identifying with more than one identity is also common. There are also many culturally</w:t>
      </w:r>
      <w:r>
        <w:rPr>
          <w:spacing w:val="-3"/>
        </w:rPr>
        <w:t> </w:t>
      </w:r>
      <w:r>
        <w:rPr/>
        <w:t>specific</w:t>
      </w:r>
      <w:r>
        <w:rPr>
          <w:spacing w:val="-4"/>
        </w:rPr>
        <w:t> </w:t>
      </w:r>
      <w:r>
        <w:rPr/>
        <w:t>terms</w:t>
      </w:r>
      <w:r>
        <w:rPr>
          <w:spacing w:val="-3"/>
        </w:rPr>
        <w:t> </w:t>
      </w:r>
      <w:r>
        <w:rPr/>
        <w:t>that</w:t>
      </w:r>
      <w:r>
        <w:rPr>
          <w:spacing w:val="-3"/>
        </w:rPr>
        <w:t> </w:t>
      </w:r>
      <w:r>
        <w:rPr/>
        <w:t>have</w:t>
      </w:r>
      <w:r>
        <w:rPr>
          <w:spacing w:val="-4"/>
        </w:rPr>
        <w:t> </w:t>
      </w:r>
      <w:r>
        <w:rPr/>
        <w:t>long</w:t>
      </w:r>
      <w:r>
        <w:rPr>
          <w:spacing w:val="-3"/>
        </w:rPr>
        <w:t> </w:t>
      </w:r>
      <w:r>
        <w:rPr/>
        <w:t>been</w:t>
      </w:r>
      <w:r>
        <w:rPr>
          <w:spacing w:val="-3"/>
        </w:rPr>
        <w:t> </w:t>
      </w:r>
      <w:r>
        <w:rPr/>
        <w:t>used</w:t>
      </w:r>
      <w:r>
        <w:rPr>
          <w:spacing w:val="-3"/>
        </w:rPr>
        <w:t> </w:t>
      </w:r>
      <w:r>
        <w:rPr/>
        <w:t>for</w:t>
      </w:r>
      <w:r>
        <w:rPr>
          <w:spacing w:val="-3"/>
        </w:rPr>
        <w:t> </w:t>
      </w:r>
      <w:r>
        <w:rPr/>
        <w:t>third</w:t>
      </w:r>
      <w:r>
        <w:rPr>
          <w:spacing w:val="-3"/>
        </w:rPr>
        <w:t> </w:t>
      </w:r>
      <w:r>
        <w:rPr/>
        <w:t>gender</w:t>
      </w:r>
      <w:r>
        <w:rPr>
          <w:spacing w:val="-3"/>
        </w:rPr>
        <w:t> </w:t>
      </w:r>
      <w:r>
        <w:rPr/>
        <w:t>or</w:t>
      </w:r>
      <w:r>
        <w:rPr>
          <w:spacing w:val="-3"/>
        </w:rPr>
        <w:t> </w:t>
      </w:r>
      <w:r>
        <w:rPr/>
        <w:t>nonbinary identities and gender roles, including two-spirit among some</w:t>
      </w:r>
      <w:r>
        <w:rPr>
          <w:spacing w:val="-1"/>
        </w:rPr>
        <w:t> </w:t>
      </w:r>
      <w:r>
        <w:rPr/>
        <w:t>Indigenous North American</w:t>
      </w:r>
      <w:r>
        <w:rPr>
          <w:spacing w:val="-4"/>
        </w:rPr>
        <w:t> </w:t>
      </w:r>
      <w:r>
        <w:rPr/>
        <w:t>cultures,</w:t>
      </w:r>
      <w:r>
        <w:rPr>
          <w:spacing w:val="-4"/>
        </w:rPr>
        <w:t> </w:t>
      </w:r>
      <w:r>
        <w:rPr/>
        <w:t>fa’afafine</w:t>
      </w:r>
      <w:r>
        <w:rPr>
          <w:spacing w:val="-5"/>
        </w:rPr>
        <w:t> </w:t>
      </w:r>
      <w:r>
        <w:rPr/>
        <w:t>in</w:t>
      </w:r>
      <w:r>
        <w:rPr>
          <w:spacing w:val="-4"/>
        </w:rPr>
        <w:t> </w:t>
      </w:r>
      <w:r>
        <w:rPr/>
        <w:t>Samoan</w:t>
      </w:r>
      <w:r>
        <w:rPr>
          <w:spacing w:val="-4"/>
        </w:rPr>
        <w:t> </w:t>
      </w:r>
      <w:r>
        <w:rPr/>
        <w:t>culture,</w:t>
      </w:r>
      <w:r>
        <w:rPr>
          <w:spacing w:val="-4"/>
        </w:rPr>
        <w:t> </w:t>
      </w:r>
      <w:r>
        <w:rPr/>
        <w:t>and</w:t>
      </w:r>
      <w:r>
        <w:rPr>
          <w:spacing w:val="-4"/>
        </w:rPr>
        <w:t> </w:t>
      </w:r>
      <w:r>
        <w:rPr/>
        <w:t>māhū</w:t>
      </w:r>
      <w:r>
        <w:rPr>
          <w:spacing w:val="-4"/>
        </w:rPr>
        <w:t> </w:t>
      </w:r>
      <w:r>
        <w:rPr/>
        <w:t>in</w:t>
      </w:r>
      <w:r>
        <w:rPr>
          <w:spacing w:val="-4"/>
        </w:rPr>
        <w:t> </w:t>
      </w:r>
      <w:r>
        <w:rPr/>
        <w:t>Native</w:t>
      </w:r>
      <w:r>
        <w:rPr>
          <w:spacing w:val="-5"/>
        </w:rPr>
        <w:t> </w:t>
      </w:r>
      <w:r>
        <w:rPr/>
        <w:t>Hawaiian culture. Identifying as nonbinary appears to be more common among younger generations. This may be related to greater visibility and social acceptance of gender</w:t>
      </w:r>
      <w:r>
        <w:rPr>
          <w:spacing w:val="-3"/>
        </w:rPr>
        <w:t> </w:t>
      </w:r>
      <w:r>
        <w:rPr/>
        <w:t>diversity.</w:t>
      </w:r>
      <w:r>
        <w:rPr>
          <w:spacing w:val="-3"/>
        </w:rPr>
        <w:t> </w:t>
      </w:r>
      <w:r>
        <w:rPr/>
        <w:t>One</w:t>
      </w:r>
      <w:r>
        <w:rPr>
          <w:spacing w:val="-4"/>
        </w:rPr>
        <w:t> </w:t>
      </w:r>
      <w:r>
        <w:rPr/>
        <w:t>study</w:t>
      </w:r>
      <w:r>
        <w:rPr>
          <w:spacing w:val="-3"/>
        </w:rPr>
        <w:t> </w:t>
      </w:r>
      <w:r>
        <w:rPr/>
        <w:t>with</w:t>
      </w:r>
      <w:r>
        <w:rPr>
          <w:spacing w:val="-3"/>
        </w:rPr>
        <w:t> </w:t>
      </w:r>
      <w:r>
        <w:rPr/>
        <w:t>a</w:t>
      </w:r>
      <w:r>
        <w:rPr>
          <w:spacing w:val="-4"/>
        </w:rPr>
        <w:t> </w:t>
      </w:r>
      <w:r>
        <w:rPr/>
        <w:t>large</w:t>
      </w:r>
      <w:r>
        <w:rPr>
          <w:spacing w:val="-4"/>
        </w:rPr>
        <w:t> </w:t>
      </w:r>
      <w:r>
        <w:rPr/>
        <w:t>national</w:t>
      </w:r>
      <w:r>
        <w:rPr>
          <w:spacing w:val="-3"/>
        </w:rPr>
        <w:t> </w:t>
      </w:r>
      <w:r>
        <w:rPr/>
        <w:t>sample</w:t>
      </w:r>
      <w:r>
        <w:rPr>
          <w:spacing w:val="-4"/>
        </w:rPr>
        <w:t> </w:t>
      </w:r>
      <w:r>
        <w:rPr/>
        <w:t>found</w:t>
      </w:r>
      <w:r>
        <w:rPr>
          <w:spacing w:val="-3"/>
        </w:rPr>
        <w:t> </w:t>
      </w:r>
      <w:r>
        <w:rPr/>
        <w:t>that</w:t>
      </w:r>
      <w:r>
        <w:rPr>
          <w:spacing w:val="-3"/>
        </w:rPr>
        <w:t> </w:t>
      </w:r>
      <w:r>
        <w:rPr/>
        <w:t>nearly</w:t>
      </w:r>
      <w:r>
        <w:rPr>
          <w:spacing w:val="-3"/>
        </w:rPr>
        <w:t> </w:t>
      </w:r>
      <w:r>
        <w:rPr/>
        <w:t>one- quarter of adolescents of diverse sexual orientation and/or gender identity self- identified as nonbinary. Of note, some people who describe themselves as nonbinary or another gender consider themselves transgender, while others do </w:t>
      </w:r>
      <w:r>
        <w:rPr>
          <w:spacing w:val="-4"/>
        </w:rPr>
        <w:t>not.</w:t>
      </w:r>
    </w:p>
    <w:p>
      <w:pPr>
        <w:pStyle w:val="BodyText"/>
        <w:spacing w:before="190"/>
        <w:ind w:left="280" w:right="502"/>
      </w:pPr>
      <w:r>
        <w:rPr/>
        <w:t>In</w:t>
      </w:r>
      <w:r>
        <w:rPr>
          <w:spacing w:val="-3"/>
        </w:rPr>
        <w:t> </w:t>
      </w:r>
      <w:r>
        <w:rPr/>
        <w:t>this</w:t>
      </w:r>
      <w:r>
        <w:rPr>
          <w:spacing w:val="-3"/>
        </w:rPr>
        <w:t> </w:t>
      </w:r>
      <w:r>
        <w:rPr/>
        <w:t>report,</w:t>
      </w:r>
      <w:r>
        <w:rPr>
          <w:spacing w:val="-3"/>
        </w:rPr>
        <w:t> </w:t>
      </w:r>
      <w:r>
        <w:rPr/>
        <w:t>“transgender</w:t>
      </w:r>
      <w:r>
        <w:rPr>
          <w:spacing w:val="-3"/>
        </w:rPr>
        <w:t> </w:t>
      </w:r>
      <w:r>
        <w:rPr/>
        <w:t>and</w:t>
      </w:r>
      <w:r>
        <w:rPr>
          <w:spacing w:val="-3"/>
        </w:rPr>
        <w:t> </w:t>
      </w:r>
      <w:r>
        <w:rPr/>
        <w:t>gender</w:t>
      </w:r>
      <w:r>
        <w:rPr>
          <w:spacing w:val="-3"/>
        </w:rPr>
        <w:t> </w:t>
      </w:r>
      <w:r>
        <w:rPr/>
        <w:t>diverse”</w:t>
      </w:r>
      <w:r>
        <w:rPr>
          <w:spacing w:val="-4"/>
        </w:rPr>
        <w:t> </w:t>
      </w:r>
      <w:r>
        <w:rPr/>
        <w:t>is</w:t>
      </w:r>
      <w:r>
        <w:rPr>
          <w:spacing w:val="-3"/>
        </w:rPr>
        <w:t> </w:t>
      </w:r>
      <w:r>
        <w:rPr/>
        <w:t>used</w:t>
      </w:r>
      <w:r>
        <w:rPr>
          <w:spacing w:val="-3"/>
        </w:rPr>
        <w:t> </w:t>
      </w:r>
      <w:r>
        <w:rPr/>
        <w:t>as</w:t>
      </w:r>
      <w:r>
        <w:rPr>
          <w:spacing w:val="-3"/>
        </w:rPr>
        <w:t> </w:t>
      </w:r>
      <w:r>
        <w:rPr/>
        <w:t>a</w:t>
      </w:r>
      <w:r>
        <w:rPr>
          <w:spacing w:val="-4"/>
        </w:rPr>
        <w:t> </w:t>
      </w:r>
      <w:r>
        <w:rPr/>
        <w:t>broad</w:t>
      </w:r>
      <w:r>
        <w:rPr>
          <w:spacing w:val="-3"/>
        </w:rPr>
        <w:t> </w:t>
      </w:r>
      <w:r>
        <w:rPr/>
        <w:t>term</w:t>
      </w:r>
      <w:r>
        <w:rPr>
          <w:spacing w:val="-3"/>
        </w:rPr>
        <w:t> </w:t>
      </w:r>
      <w:r>
        <w:rPr/>
        <w:t>that refers to people whose gender identity and/or gender expression are incongruent with their sex assigned at birth, including binary transgender people, nonbinary people, and cisgender people with a diverse gender </w:t>
      </w:r>
      <w:r>
        <w:rPr>
          <w:spacing w:val="-2"/>
        </w:rPr>
        <w:t>expression.</w:t>
      </w:r>
    </w:p>
    <w:p>
      <w:pPr>
        <w:pStyle w:val="BodyText"/>
        <w:spacing w:before="260"/>
        <w:ind w:left="280" w:right="502"/>
      </w:pPr>
      <w:r>
        <w:rPr/>
        <w:t>Estimates of the size of the transgender and gender-diverse population in the United States vary. It is only in recent years that some national, population- based surveys have started to include questions to assess gender identity, and the</w:t>
      </w:r>
      <w:r>
        <w:rPr>
          <w:spacing w:val="-4"/>
        </w:rPr>
        <w:t> </w:t>
      </w:r>
      <w:r>
        <w:rPr/>
        <w:t>practice</w:t>
      </w:r>
      <w:r>
        <w:rPr>
          <w:spacing w:val="-4"/>
        </w:rPr>
        <w:t> </w:t>
      </w:r>
      <w:r>
        <w:rPr/>
        <w:t>remains</w:t>
      </w:r>
      <w:r>
        <w:rPr>
          <w:spacing w:val="-3"/>
        </w:rPr>
        <w:t> </w:t>
      </w:r>
      <w:r>
        <w:rPr/>
        <w:t>far</w:t>
      </w:r>
      <w:r>
        <w:rPr>
          <w:spacing w:val="-3"/>
        </w:rPr>
        <w:t> </w:t>
      </w:r>
      <w:r>
        <w:rPr/>
        <w:t>from</w:t>
      </w:r>
      <w:r>
        <w:rPr>
          <w:spacing w:val="-3"/>
        </w:rPr>
        <w:t> </w:t>
      </w:r>
      <w:r>
        <w:rPr/>
        <w:t>widespread.</w:t>
      </w:r>
      <w:r>
        <w:rPr>
          <w:spacing w:val="-3"/>
        </w:rPr>
        <w:t> </w:t>
      </w:r>
      <w:r>
        <w:rPr/>
        <w:t>It</w:t>
      </w:r>
      <w:r>
        <w:rPr>
          <w:spacing w:val="-3"/>
        </w:rPr>
        <w:t> </w:t>
      </w:r>
      <w:r>
        <w:rPr/>
        <w:t>is</w:t>
      </w:r>
      <w:r>
        <w:rPr>
          <w:spacing w:val="-3"/>
        </w:rPr>
        <w:t> </w:t>
      </w:r>
      <w:r>
        <w:rPr/>
        <w:t>estimated</w:t>
      </w:r>
      <w:r>
        <w:rPr>
          <w:spacing w:val="-3"/>
        </w:rPr>
        <w:t> </w:t>
      </w:r>
      <w:r>
        <w:rPr/>
        <w:t>that</w:t>
      </w:r>
      <w:r>
        <w:rPr>
          <w:spacing w:val="-3"/>
        </w:rPr>
        <w:t> </w:t>
      </w:r>
      <w:r>
        <w:rPr/>
        <w:t>between</w:t>
      </w:r>
      <w:r>
        <w:rPr>
          <w:spacing w:val="-3"/>
        </w:rPr>
        <w:t> </w:t>
      </w:r>
      <w:r>
        <w:rPr/>
        <w:t>0.1</w:t>
      </w:r>
      <w:r>
        <w:rPr>
          <w:spacing w:val="-3"/>
        </w:rPr>
        <w:t> </w:t>
      </w:r>
      <w:r>
        <w:rPr/>
        <w:t>and</w:t>
      </w:r>
    </w:p>
    <w:p>
      <w:pPr>
        <w:pStyle w:val="BodyText"/>
        <w:spacing w:line="237" w:lineRule="auto"/>
        <w:ind w:left="280" w:right="504"/>
      </w:pPr>
      <w:r>
        <w:rPr/>
        <w:t>2.0 percent of adults in the United States identify as transgender.</w:t>
      </w:r>
      <w:r>
        <w:rPr>
          <w:spacing w:val="-6"/>
        </w:rPr>
        <w:t> </w:t>
      </w:r>
      <w:r>
        <w:rPr/>
        <w:t>These figures likely underestimate the size of the transgender and gender-diverse populations, because much of this research has not used current best practices for asking separately about current gender identity and sex assigned at birth and</w:t>
      </w:r>
      <w:r>
        <w:rPr>
          <w:spacing w:val="-5"/>
        </w:rPr>
        <w:t> </w:t>
      </w:r>
      <w:r>
        <w:rPr/>
        <w:t>did</w:t>
      </w:r>
      <w:r>
        <w:rPr>
          <w:spacing w:val="-5"/>
        </w:rPr>
        <w:t> </w:t>
      </w:r>
      <w:r>
        <w:rPr/>
        <w:t>not</w:t>
      </w:r>
      <w:r>
        <w:rPr>
          <w:spacing w:val="-5"/>
        </w:rPr>
        <w:t> </w:t>
      </w:r>
      <w:r>
        <w:rPr/>
        <w:t>consistently</w:t>
      </w:r>
      <w:r>
        <w:rPr>
          <w:spacing w:val="-5"/>
        </w:rPr>
        <w:t> </w:t>
      </w:r>
      <w:r>
        <w:rPr/>
        <w:t>include</w:t>
      </w:r>
      <w:r>
        <w:rPr>
          <w:spacing w:val="-6"/>
        </w:rPr>
        <w:t> </w:t>
      </w:r>
      <w:r>
        <w:rPr/>
        <w:t>gender-diverse</w:t>
      </w:r>
      <w:r>
        <w:rPr>
          <w:spacing w:val="-6"/>
        </w:rPr>
        <w:t> </w:t>
      </w:r>
      <w:r>
        <w:rPr/>
        <w:t>individuals</w:t>
      </w:r>
      <w:r>
        <w:rPr>
          <w:spacing w:val="-5"/>
        </w:rPr>
        <w:t> </w:t>
      </w:r>
      <w:r>
        <w:rPr/>
        <w:t>who</w:t>
      </w:r>
      <w:r>
        <w:rPr>
          <w:spacing w:val="-5"/>
        </w:rPr>
        <w:t> </w:t>
      </w:r>
      <w:r>
        <w:rPr/>
        <w:t>do</w:t>
      </w:r>
      <w:r>
        <w:rPr>
          <w:spacing w:val="-5"/>
        </w:rPr>
        <w:t> </w:t>
      </w:r>
      <w:r>
        <w:rPr/>
        <w:t>not</w:t>
      </w:r>
      <w:r>
        <w:rPr>
          <w:spacing w:val="-5"/>
        </w:rPr>
        <w:t> </w:t>
      </w:r>
      <w:r>
        <w:rPr/>
        <w:t>identify with the term transgender. Recent population-based research with adults of diverse sexual orientation and/or gender identity has found that 1.2 million adults</w:t>
      </w:r>
      <w:r>
        <w:rPr>
          <w:spacing w:val="-3"/>
        </w:rPr>
        <w:t> </w:t>
      </w:r>
      <w:r>
        <w:rPr/>
        <w:t>in</w:t>
      </w:r>
      <w:r>
        <w:rPr>
          <w:spacing w:val="-3"/>
        </w:rPr>
        <w:t> </w:t>
      </w:r>
      <w:r>
        <w:rPr/>
        <w:t>the</w:t>
      </w:r>
      <w:r>
        <w:rPr>
          <w:spacing w:val="-4"/>
        </w:rPr>
        <w:t> </w:t>
      </w:r>
      <w:r>
        <w:rPr/>
        <w:t>United</w:t>
      </w:r>
      <w:r>
        <w:rPr>
          <w:spacing w:val="-3"/>
        </w:rPr>
        <w:t> </w:t>
      </w:r>
      <w:r>
        <w:rPr/>
        <w:t>States</w:t>
      </w:r>
      <w:r>
        <w:rPr>
          <w:spacing w:val="-3"/>
        </w:rPr>
        <w:t> </w:t>
      </w:r>
      <w:r>
        <w:rPr/>
        <w:t>identify</w:t>
      </w:r>
      <w:r>
        <w:rPr>
          <w:spacing w:val="-3"/>
        </w:rPr>
        <w:t> </w:t>
      </w:r>
      <w:r>
        <w:rPr/>
        <w:t>as</w:t>
      </w:r>
      <w:r>
        <w:rPr>
          <w:spacing w:val="-3"/>
        </w:rPr>
        <w:t> </w:t>
      </w:r>
      <w:r>
        <w:rPr/>
        <w:t>nonbinary,</w:t>
      </w:r>
      <w:r>
        <w:rPr>
          <w:spacing w:val="-3"/>
        </w:rPr>
        <w:t> </w:t>
      </w:r>
      <w:r>
        <w:rPr/>
        <w:t>including</w:t>
      </w:r>
      <w:r>
        <w:rPr>
          <w:spacing w:val="-3"/>
        </w:rPr>
        <w:t> </w:t>
      </w:r>
      <w:r>
        <w:rPr/>
        <w:t>people</w:t>
      </w:r>
      <w:r>
        <w:rPr>
          <w:spacing w:val="-4"/>
        </w:rPr>
        <w:t> </w:t>
      </w:r>
      <w:r>
        <w:rPr/>
        <w:t>who</w:t>
      </w:r>
      <w:r>
        <w:rPr>
          <w:spacing w:val="-3"/>
        </w:rPr>
        <w:t> </w:t>
      </w:r>
      <w:r>
        <w:rPr/>
        <w:t>both</w:t>
      </w:r>
      <w:r>
        <w:rPr>
          <w:spacing w:val="-3"/>
        </w:rPr>
        <w:t> </w:t>
      </w:r>
      <w:r>
        <w:rPr/>
        <w:t>do and do not consider themselves transgender.</w:t>
      </w:r>
    </w:p>
    <w:p>
      <w:pPr>
        <w:pStyle w:val="BodyText"/>
        <w:spacing w:before="2"/>
      </w:pPr>
    </w:p>
    <w:p>
      <w:pPr>
        <w:pStyle w:val="BodyText"/>
        <w:ind w:left="280" w:right="549"/>
      </w:pPr>
      <w:r>
        <w:rPr/>
        <w:t>Research</w:t>
      </w:r>
      <w:r>
        <w:rPr>
          <w:spacing w:val="-4"/>
        </w:rPr>
        <w:t> </w:t>
      </w:r>
      <w:r>
        <w:rPr/>
        <w:t>with</w:t>
      </w:r>
      <w:r>
        <w:rPr>
          <w:spacing w:val="-4"/>
        </w:rPr>
        <w:t> </w:t>
      </w:r>
      <w:r>
        <w:rPr/>
        <w:t>high</w:t>
      </w:r>
      <w:r>
        <w:rPr>
          <w:spacing w:val="-4"/>
        </w:rPr>
        <w:t> </w:t>
      </w:r>
      <w:r>
        <w:rPr/>
        <w:t>school</w:t>
      </w:r>
      <w:r>
        <w:rPr>
          <w:spacing w:val="-4"/>
        </w:rPr>
        <w:t> </w:t>
      </w:r>
      <w:r>
        <w:rPr/>
        <w:t>students</w:t>
      </w:r>
      <w:r>
        <w:rPr>
          <w:spacing w:val="-4"/>
        </w:rPr>
        <w:t> </w:t>
      </w:r>
      <w:r>
        <w:rPr/>
        <w:t>has</w:t>
      </w:r>
      <w:r>
        <w:rPr>
          <w:spacing w:val="-4"/>
        </w:rPr>
        <w:t> </w:t>
      </w:r>
      <w:r>
        <w:rPr/>
        <w:t>found</w:t>
      </w:r>
      <w:r>
        <w:rPr>
          <w:spacing w:val="-4"/>
        </w:rPr>
        <w:t> </w:t>
      </w:r>
      <w:r>
        <w:rPr/>
        <w:t>that</w:t>
      </w:r>
      <w:r>
        <w:rPr>
          <w:spacing w:val="-4"/>
        </w:rPr>
        <w:t> </w:t>
      </w:r>
      <w:r>
        <w:rPr/>
        <w:t>between</w:t>
      </w:r>
      <w:r>
        <w:rPr>
          <w:spacing w:val="-4"/>
        </w:rPr>
        <w:t> </w:t>
      </w:r>
      <w:r>
        <w:rPr/>
        <w:t>1.1</w:t>
      </w:r>
      <w:r>
        <w:rPr>
          <w:spacing w:val="-4"/>
        </w:rPr>
        <w:t> </w:t>
      </w:r>
      <w:r>
        <w:rPr/>
        <w:t>and</w:t>
      </w:r>
      <w:r>
        <w:rPr>
          <w:spacing w:val="-4"/>
        </w:rPr>
        <w:t> </w:t>
      </w:r>
      <w:r>
        <w:rPr/>
        <w:t>9.2</w:t>
      </w:r>
      <w:r>
        <w:rPr>
          <w:spacing w:val="-4"/>
        </w:rPr>
        <w:t> </w:t>
      </w:r>
      <w:r>
        <w:rPr/>
        <w:t>percent identify as transgender, nonbinary, or another gender identity that differed from their sex assigned at birth. Studies that specifically asked about identifying as nonbinary and other gender identities in addition to identifying as transgender reported larger proportions of transgender and gender-diverse</w:t>
      </w:r>
    </w:p>
    <w:p>
      <w:pPr>
        <w:spacing w:after="0"/>
        <w:sectPr>
          <w:pgSz w:w="12240" w:h="15840"/>
          <w:pgMar w:header="0" w:footer="783" w:top="1260" w:bottom="980" w:left="1400" w:right="1180"/>
        </w:sectPr>
      </w:pPr>
    </w:p>
    <w:p>
      <w:pPr>
        <w:pStyle w:val="BodyText"/>
        <w:spacing w:before="66"/>
        <w:ind w:left="280" w:right="668"/>
      </w:pPr>
      <w:r>
        <w:rPr/>
        <w:t>youth,</w:t>
      </w:r>
      <w:r>
        <w:rPr>
          <w:spacing w:val="-4"/>
        </w:rPr>
        <w:t> </w:t>
      </w:r>
      <w:r>
        <w:rPr/>
        <w:t>emphasizing</w:t>
      </w:r>
      <w:r>
        <w:rPr>
          <w:spacing w:val="-4"/>
        </w:rPr>
        <w:t> </w:t>
      </w:r>
      <w:r>
        <w:rPr/>
        <w:t>the</w:t>
      </w:r>
      <w:r>
        <w:rPr>
          <w:spacing w:val="-5"/>
        </w:rPr>
        <w:t> </w:t>
      </w:r>
      <w:r>
        <w:rPr/>
        <w:t>importance</w:t>
      </w:r>
      <w:r>
        <w:rPr>
          <w:spacing w:val="-5"/>
        </w:rPr>
        <w:t> </w:t>
      </w:r>
      <w:r>
        <w:rPr/>
        <w:t>of</w:t>
      </w:r>
      <w:r>
        <w:rPr>
          <w:spacing w:val="-4"/>
        </w:rPr>
        <w:t> </w:t>
      </w:r>
      <w:r>
        <w:rPr/>
        <w:t>asking</w:t>
      </w:r>
      <w:r>
        <w:rPr>
          <w:spacing w:val="-4"/>
        </w:rPr>
        <w:t> </w:t>
      </w:r>
      <w:r>
        <w:rPr/>
        <w:t>about</w:t>
      </w:r>
      <w:r>
        <w:rPr>
          <w:spacing w:val="-4"/>
        </w:rPr>
        <w:t> </w:t>
      </w:r>
      <w:r>
        <w:rPr/>
        <w:t>nonbinary</w:t>
      </w:r>
      <w:r>
        <w:rPr>
          <w:spacing w:val="-4"/>
        </w:rPr>
        <w:t> </w:t>
      </w:r>
      <w:r>
        <w:rPr/>
        <w:t>and</w:t>
      </w:r>
      <w:r>
        <w:rPr>
          <w:spacing w:val="-4"/>
        </w:rPr>
        <w:t> </w:t>
      </w:r>
      <w:r>
        <w:rPr/>
        <w:t>other diverse gender identities.</w:t>
      </w:r>
    </w:p>
    <w:p>
      <w:pPr>
        <w:pStyle w:val="Heading3"/>
        <w:spacing w:before="176"/>
        <w:rPr>
          <w:i/>
        </w:rPr>
      </w:pPr>
      <w:r>
        <w:rPr>
          <w:i/>
        </w:rPr>
        <w:t>Gender</w:t>
      </w:r>
      <w:r>
        <w:rPr>
          <w:i/>
          <w:spacing w:val="-5"/>
        </w:rPr>
        <w:t> </w:t>
      </w:r>
      <w:r>
        <w:rPr>
          <w:i/>
        </w:rPr>
        <w:t>Development</w:t>
      </w:r>
      <w:r>
        <w:rPr>
          <w:i/>
          <w:spacing w:val="-2"/>
        </w:rPr>
        <w:t> </w:t>
      </w:r>
      <w:r>
        <w:rPr>
          <w:i/>
        </w:rPr>
        <w:t>in</w:t>
      </w:r>
      <w:r>
        <w:rPr>
          <w:i/>
          <w:spacing w:val="-7"/>
        </w:rPr>
        <w:t> </w:t>
      </w:r>
      <w:r>
        <w:rPr>
          <w:i/>
          <w:spacing w:val="-2"/>
        </w:rPr>
        <w:t>Youth</w:t>
      </w:r>
    </w:p>
    <w:p>
      <w:pPr>
        <w:pStyle w:val="BodyText"/>
        <w:spacing w:before="125"/>
        <w:ind w:left="280" w:right="502"/>
      </w:pPr>
      <w:r>
        <w:rPr/>
        <w:t>Gender-related</w:t>
      </w:r>
      <w:r>
        <w:rPr>
          <w:spacing w:val="-6"/>
        </w:rPr>
        <w:t> </w:t>
      </w:r>
      <w:r>
        <w:rPr/>
        <w:t>development</w:t>
      </w:r>
      <w:r>
        <w:rPr>
          <w:spacing w:val="-6"/>
        </w:rPr>
        <w:t> </w:t>
      </w:r>
      <w:r>
        <w:rPr/>
        <w:t>begins</w:t>
      </w:r>
      <w:r>
        <w:rPr>
          <w:spacing w:val="-6"/>
        </w:rPr>
        <w:t> </w:t>
      </w:r>
      <w:r>
        <w:rPr/>
        <w:t>in</w:t>
      </w:r>
      <w:r>
        <w:rPr>
          <w:spacing w:val="-6"/>
        </w:rPr>
        <w:t> </w:t>
      </w:r>
      <w:r>
        <w:rPr/>
        <w:t>early</w:t>
      </w:r>
      <w:r>
        <w:rPr>
          <w:spacing w:val="-6"/>
        </w:rPr>
        <w:t> </w:t>
      </w:r>
      <w:r>
        <w:rPr/>
        <w:t>childhood</w:t>
      </w:r>
      <w:r>
        <w:rPr>
          <w:spacing w:val="-6"/>
        </w:rPr>
        <w:t> </w:t>
      </w:r>
      <w:r>
        <w:rPr/>
        <w:t>and</w:t>
      </w:r>
      <w:r>
        <w:rPr>
          <w:spacing w:val="-6"/>
        </w:rPr>
        <w:t> </w:t>
      </w:r>
      <w:r>
        <w:rPr/>
        <w:t>progresses</w:t>
      </w:r>
      <w:r>
        <w:rPr>
          <w:spacing w:val="-6"/>
        </w:rPr>
        <w:t> </w:t>
      </w:r>
      <w:r>
        <w:rPr/>
        <w:t>through adolescence. Processes of gender-related identity development among transgender and other gender-diverse populations are varied, non-linear, and not necessarily anchored to specific ages or developmental periods. For some individuals, gender identity appears stable across development, while others experience changes in their gender identity over time.</w:t>
      </w:r>
    </w:p>
    <w:p>
      <w:pPr>
        <w:pStyle w:val="BodyText"/>
        <w:spacing w:before="168"/>
        <w:ind w:left="280" w:right="637"/>
      </w:pPr>
      <w:r>
        <w:rPr/>
        <w:t>Youth who start to think of themselves as transgender or gender diverse may share</w:t>
      </w:r>
      <w:r>
        <w:rPr>
          <w:spacing w:val="-4"/>
        </w:rPr>
        <w:t> </w:t>
      </w:r>
      <w:r>
        <w:rPr/>
        <w:t>this</w:t>
      </w:r>
      <w:r>
        <w:rPr>
          <w:spacing w:val="-3"/>
        </w:rPr>
        <w:t> </w:t>
      </w:r>
      <w:r>
        <w:rPr/>
        <w:t>identity</w:t>
      </w:r>
      <w:r>
        <w:rPr>
          <w:spacing w:val="-3"/>
        </w:rPr>
        <w:t> </w:t>
      </w:r>
      <w:r>
        <w:rPr/>
        <w:t>with</w:t>
      </w:r>
      <w:r>
        <w:rPr>
          <w:spacing w:val="-3"/>
        </w:rPr>
        <w:t> </w:t>
      </w:r>
      <w:r>
        <w:rPr/>
        <w:t>others,</w:t>
      </w:r>
      <w:r>
        <w:rPr>
          <w:spacing w:val="-3"/>
        </w:rPr>
        <w:t> </w:t>
      </w:r>
      <w:r>
        <w:rPr/>
        <w:t>and</w:t>
      </w:r>
      <w:r>
        <w:rPr>
          <w:spacing w:val="-3"/>
        </w:rPr>
        <w:t> </w:t>
      </w:r>
      <w:r>
        <w:rPr/>
        <w:t>take</w:t>
      </w:r>
      <w:r>
        <w:rPr>
          <w:spacing w:val="-4"/>
        </w:rPr>
        <w:t> </w:t>
      </w:r>
      <w:r>
        <w:rPr/>
        <w:t>steps</w:t>
      </w:r>
      <w:r>
        <w:rPr>
          <w:spacing w:val="-3"/>
        </w:rPr>
        <w:t> </w:t>
      </w:r>
      <w:r>
        <w:rPr/>
        <w:t>in</w:t>
      </w:r>
      <w:r>
        <w:rPr>
          <w:spacing w:val="-3"/>
        </w:rPr>
        <w:t> </w:t>
      </w:r>
      <w:r>
        <w:rPr/>
        <w:t>social</w:t>
      </w:r>
      <w:r>
        <w:rPr>
          <w:spacing w:val="-3"/>
        </w:rPr>
        <w:t> </w:t>
      </w:r>
      <w:r>
        <w:rPr/>
        <w:t>transition</w:t>
      </w:r>
      <w:r>
        <w:rPr>
          <w:spacing w:val="-3"/>
        </w:rPr>
        <w:t> </w:t>
      </w:r>
      <w:r>
        <w:rPr/>
        <w:t>across</w:t>
      </w:r>
      <w:r>
        <w:rPr>
          <w:spacing w:val="-3"/>
        </w:rPr>
        <w:t> </w:t>
      </w:r>
      <w:r>
        <w:rPr/>
        <w:t>a</w:t>
      </w:r>
      <w:r>
        <w:rPr>
          <w:spacing w:val="-4"/>
        </w:rPr>
        <w:t> </w:t>
      </w:r>
      <w:r>
        <w:rPr/>
        <w:t>wide range</w:t>
      </w:r>
      <w:r>
        <w:rPr>
          <w:spacing w:val="-4"/>
        </w:rPr>
        <w:t> </w:t>
      </w:r>
      <w:r>
        <w:rPr/>
        <w:t>of</w:t>
      </w:r>
      <w:r>
        <w:rPr>
          <w:spacing w:val="-3"/>
        </w:rPr>
        <w:t> </w:t>
      </w:r>
      <w:r>
        <w:rPr/>
        <w:t>ages.</w:t>
      </w:r>
      <w:r>
        <w:rPr>
          <w:spacing w:val="-9"/>
        </w:rPr>
        <w:t> </w:t>
      </w:r>
      <w:r>
        <w:rPr/>
        <w:t>There</w:t>
      </w:r>
      <w:r>
        <w:rPr>
          <w:spacing w:val="-4"/>
        </w:rPr>
        <w:t> </w:t>
      </w:r>
      <w:r>
        <w:rPr/>
        <w:t>is</w:t>
      </w:r>
      <w:r>
        <w:rPr>
          <w:spacing w:val="-3"/>
        </w:rPr>
        <w:t> </w:t>
      </w:r>
      <w:r>
        <w:rPr/>
        <w:t>no</w:t>
      </w:r>
      <w:r>
        <w:rPr>
          <w:spacing w:val="-3"/>
        </w:rPr>
        <w:t> </w:t>
      </w:r>
      <w:r>
        <w:rPr/>
        <w:t>single</w:t>
      </w:r>
      <w:r>
        <w:rPr>
          <w:spacing w:val="-4"/>
        </w:rPr>
        <w:t> </w:t>
      </w:r>
      <w:r>
        <w:rPr/>
        <w:t>developmental</w:t>
      </w:r>
      <w:r>
        <w:rPr>
          <w:spacing w:val="-3"/>
        </w:rPr>
        <w:t> </w:t>
      </w:r>
      <w:r>
        <w:rPr/>
        <w:t>trajectory</w:t>
      </w:r>
      <w:r>
        <w:rPr>
          <w:spacing w:val="-3"/>
        </w:rPr>
        <w:t> </w:t>
      </w:r>
      <w:r>
        <w:rPr/>
        <w:t>for</w:t>
      </w:r>
      <w:r>
        <w:rPr>
          <w:spacing w:val="-3"/>
        </w:rPr>
        <w:t> </w:t>
      </w:r>
      <w:r>
        <w:rPr/>
        <w:t>transgender</w:t>
      </w:r>
      <w:r>
        <w:rPr>
          <w:spacing w:val="-3"/>
        </w:rPr>
        <w:t> </w:t>
      </w:r>
      <w:r>
        <w:rPr/>
        <w:t>and gender-diverse</w:t>
      </w:r>
      <w:r>
        <w:rPr>
          <w:spacing w:val="-5"/>
        </w:rPr>
        <w:t> </w:t>
      </w:r>
      <w:r>
        <w:rPr/>
        <w:t>youth—that</w:t>
      </w:r>
      <w:r>
        <w:rPr>
          <w:spacing w:val="-4"/>
        </w:rPr>
        <w:t> </w:t>
      </w:r>
      <w:r>
        <w:rPr/>
        <w:t>is,</w:t>
      </w:r>
      <w:r>
        <w:rPr>
          <w:spacing w:val="-4"/>
        </w:rPr>
        <w:t> </w:t>
      </w:r>
      <w:r>
        <w:rPr/>
        <w:t>there</w:t>
      </w:r>
      <w:r>
        <w:rPr>
          <w:spacing w:val="-5"/>
        </w:rPr>
        <w:t> </w:t>
      </w:r>
      <w:r>
        <w:rPr/>
        <w:t>is</w:t>
      </w:r>
      <w:r>
        <w:rPr>
          <w:spacing w:val="-4"/>
        </w:rPr>
        <w:t> </w:t>
      </w:r>
      <w:r>
        <w:rPr/>
        <w:t>healthy</w:t>
      </w:r>
      <w:r>
        <w:rPr>
          <w:spacing w:val="-4"/>
        </w:rPr>
        <w:t> </w:t>
      </w:r>
      <w:r>
        <w:rPr/>
        <w:t>and</w:t>
      </w:r>
      <w:r>
        <w:rPr>
          <w:spacing w:val="-4"/>
        </w:rPr>
        <w:t> </w:t>
      </w:r>
      <w:r>
        <w:rPr/>
        <w:t>normal</w:t>
      </w:r>
      <w:r>
        <w:rPr>
          <w:spacing w:val="-4"/>
        </w:rPr>
        <w:t> </w:t>
      </w:r>
      <w:r>
        <w:rPr/>
        <w:t>variation</w:t>
      </w:r>
      <w:r>
        <w:rPr>
          <w:spacing w:val="-4"/>
        </w:rPr>
        <w:t> </w:t>
      </w:r>
      <w:r>
        <w:rPr/>
        <w:t>in</w:t>
      </w:r>
      <w:r>
        <w:rPr>
          <w:spacing w:val="-4"/>
        </w:rPr>
        <w:t> </w:t>
      </w:r>
      <w:r>
        <w:rPr/>
        <w:t>the</w:t>
      </w:r>
      <w:r>
        <w:rPr>
          <w:spacing w:val="-5"/>
        </w:rPr>
        <w:t> </w:t>
      </w:r>
      <w:r>
        <w:rPr/>
        <w:t>age that youth recognize themselves as gender diverse.</w:t>
      </w:r>
    </w:p>
    <w:p>
      <w:pPr>
        <w:pStyle w:val="BodyText"/>
        <w:rPr>
          <w:sz w:val="27"/>
        </w:rPr>
      </w:pPr>
    </w:p>
    <w:p>
      <w:pPr>
        <w:pStyle w:val="BodyText"/>
        <w:spacing w:line="321" w:lineRule="exact"/>
        <w:ind w:left="280"/>
      </w:pPr>
      <w:r>
        <w:rPr/>
        <w:t>Individuals</w:t>
      </w:r>
      <w:r>
        <w:rPr>
          <w:spacing w:val="-2"/>
        </w:rPr>
        <w:t> </w:t>
      </w:r>
      <w:r>
        <w:rPr/>
        <w:t>who</w:t>
      </w:r>
      <w:r>
        <w:rPr>
          <w:spacing w:val="-1"/>
        </w:rPr>
        <w:t> </w:t>
      </w:r>
      <w:r>
        <w:rPr/>
        <w:t>exhibit</w:t>
      </w:r>
      <w:r>
        <w:rPr>
          <w:spacing w:val="-1"/>
        </w:rPr>
        <w:t> </w:t>
      </w:r>
      <w:r>
        <w:rPr/>
        <w:t>gender</w:t>
      </w:r>
      <w:r>
        <w:rPr>
          <w:spacing w:val="-1"/>
        </w:rPr>
        <w:t> </w:t>
      </w:r>
      <w:r>
        <w:rPr/>
        <w:t>diversity</w:t>
      </w:r>
      <w:r>
        <w:rPr>
          <w:spacing w:val="-1"/>
        </w:rPr>
        <w:t> </w:t>
      </w:r>
      <w:r>
        <w:rPr/>
        <w:t>in</w:t>
      </w:r>
      <w:r>
        <w:rPr>
          <w:spacing w:val="-1"/>
        </w:rPr>
        <w:t> </w:t>
      </w:r>
      <w:r>
        <w:rPr/>
        <w:t>childhood</w:t>
      </w:r>
      <w:r>
        <w:rPr>
          <w:spacing w:val="-1"/>
        </w:rPr>
        <w:t> </w:t>
      </w:r>
      <w:r>
        <w:rPr/>
        <w:t>include</w:t>
      </w:r>
      <w:r>
        <w:rPr>
          <w:spacing w:val="-2"/>
        </w:rPr>
        <w:t> </w:t>
      </w:r>
      <w:r>
        <w:rPr/>
        <w:t>those</w:t>
      </w:r>
      <w:r>
        <w:rPr>
          <w:spacing w:val="-2"/>
        </w:rPr>
        <w:t> </w:t>
      </w:r>
      <w:r>
        <w:rPr>
          <w:spacing w:val="-4"/>
        </w:rPr>
        <w:t>who:</w:t>
      </w:r>
    </w:p>
    <w:p>
      <w:pPr>
        <w:pStyle w:val="ListParagraph"/>
        <w:numPr>
          <w:ilvl w:val="0"/>
          <w:numId w:val="28"/>
        </w:numPr>
        <w:tabs>
          <w:tab w:pos="501" w:val="left" w:leader="none"/>
        </w:tabs>
        <w:spacing w:line="240" w:lineRule="auto" w:before="0" w:after="0"/>
        <w:ind w:left="501" w:right="989" w:hanging="222"/>
        <w:jc w:val="left"/>
        <w:rPr>
          <w:sz w:val="28"/>
        </w:rPr>
      </w:pPr>
      <w:r>
        <w:rPr>
          <w:sz w:val="28"/>
        </w:rPr>
        <w:t>Consistently</w:t>
      </w:r>
      <w:r>
        <w:rPr>
          <w:spacing w:val="-4"/>
          <w:sz w:val="28"/>
        </w:rPr>
        <w:t> </w:t>
      </w:r>
      <w:r>
        <w:rPr>
          <w:sz w:val="28"/>
        </w:rPr>
        <w:t>identify</w:t>
      </w:r>
      <w:r>
        <w:rPr>
          <w:spacing w:val="-4"/>
          <w:sz w:val="28"/>
        </w:rPr>
        <w:t> </w:t>
      </w:r>
      <w:r>
        <w:rPr>
          <w:sz w:val="28"/>
        </w:rPr>
        <w:t>with</w:t>
      </w:r>
      <w:r>
        <w:rPr>
          <w:spacing w:val="-4"/>
          <w:sz w:val="28"/>
        </w:rPr>
        <w:t> </w:t>
      </w:r>
      <w:r>
        <w:rPr>
          <w:sz w:val="28"/>
        </w:rPr>
        <w:t>a</w:t>
      </w:r>
      <w:r>
        <w:rPr>
          <w:spacing w:val="-5"/>
          <w:sz w:val="28"/>
        </w:rPr>
        <w:t> </w:t>
      </w:r>
      <w:r>
        <w:rPr>
          <w:sz w:val="28"/>
        </w:rPr>
        <w:t>gender</w:t>
      </w:r>
      <w:r>
        <w:rPr>
          <w:spacing w:val="-4"/>
          <w:sz w:val="28"/>
        </w:rPr>
        <w:t> </w:t>
      </w:r>
      <w:r>
        <w:rPr>
          <w:sz w:val="28"/>
        </w:rPr>
        <w:t>that</w:t>
      </w:r>
      <w:r>
        <w:rPr>
          <w:spacing w:val="-4"/>
          <w:sz w:val="28"/>
        </w:rPr>
        <w:t> </w:t>
      </w:r>
      <w:r>
        <w:rPr>
          <w:sz w:val="28"/>
        </w:rPr>
        <w:t>differs</w:t>
      </w:r>
      <w:r>
        <w:rPr>
          <w:spacing w:val="-4"/>
          <w:sz w:val="28"/>
        </w:rPr>
        <w:t> </w:t>
      </w:r>
      <w:r>
        <w:rPr>
          <w:sz w:val="28"/>
        </w:rPr>
        <w:t>from</w:t>
      </w:r>
      <w:r>
        <w:rPr>
          <w:spacing w:val="-4"/>
          <w:sz w:val="28"/>
        </w:rPr>
        <w:t> </w:t>
      </w:r>
      <w:r>
        <w:rPr>
          <w:sz w:val="28"/>
        </w:rPr>
        <w:t>their</w:t>
      </w:r>
      <w:r>
        <w:rPr>
          <w:spacing w:val="-4"/>
          <w:sz w:val="28"/>
        </w:rPr>
        <w:t> </w:t>
      </w:r>
      <w:r>
        <w:rPr>
          <w:sz w:val="28"/>
        </w:rPr>
        <w:t>sex</w:t>
      </w:r>
      <w:r>
        <w:rPr>
          <w:spacing w:val="-4"/>
          <w:sz w:val="28"/>
        </w:rPr>
        <w:t> </w:t>
      </w:r>
      <w:r>
        <w:rPr>
          <w:sz w:val="28"/>
        </w:rPr>
        <w:t>assigned</w:t>
      </w:r>
      <w:r>
        <w:rPr>
          <w:spacing w:val="-4"/>
          <w:sz w:val="28"/>
        </w:rPr>
        <w:t> </w:t>
      </w:r>
      <w:r>
        <w:rPr>
          <w:sz w:val="28"/>
        </w:rPr>
        <w:t>at </w:t>
      </w:r>
      <w:r>
        <w:rPr>
          <w:spacing w:val="-2"/>
          <w:sz w:val="28"/>
        </w:rPr>
        <w:t>birth</w:t>
      </w:r>
    </w:p>
    <w:p>
      <w:pPr>
        <w:pStyle w:val="ListParagraph"/>
        <w:numPr>
          <w:ilvl w:val="0"/>
          <w:numId w:val="28"/>
        </w:numPr>
        <w:tabs>
          <w:tab w:pos="501" w:val="left" w:leader="none"/>
        </w:tabs>
        <w:spacing w:line="240" w:lineRule="auto" w:before="78" w:after="0"/>
        <w:ind w:left="501" w:right="657" w:hanging="222"/>
        <w:jc w:val="left"/>
        <w:rPr>
          <w:sz w:val="28"/>
        </w:rPr>
      </w:pPr>
      <w:r>
        <w:rPr>
          <w:sz w:val="28"/>
        </w:rPr>
        <w:t>Identify</w:t>
      </w:r>
      <w:r>
        <w:rPr>
          <w:spacing w:val="-3"/>
          <w:sz w:val="28"/>
        </w:rPr>
        <w:t> </w:t>
      </w:r>
      <w:r>
        <w:rPr>
          <w:sz w:val="28"/>
        </w:rPr>
        <w:t>with</w:t>
      </w:r>
      <w:r>
        <w:rPr>
          <w:spacing w:val="-3"/>
          <w:sz w:val="28"/>
        </w:rPr>
        <w:t> </w:t>
      </w:r>
      <w:r>
        <w:rPr>
          <w:sz w:val="28"/>
        </w:rPr>
        <w:t>the</w:t>
      </w:r>
      <w:r>
        <w:rPr>
          <w:spacing w:val="-4"/>
          <w:sz w:val="28"/>
        </w:rPr>
        <w:t> </w:t>
      </w:r>
      <w:r>
        <w:rPr>
          <w:sz w:val="28"/>
        </w:rPr>
        <w:t>gender</w:t>
      </w:r>
      <w:r>
        <w:rPr>
          <w:spacing w:val="-3"/>
          <w:sz w:val="28"/>
        </w:rPr>
        <w:t> </w:t>
      </w:r>
      <w:r>
        <w:rPr>
          <w:sz w:val="28"/>
        </w:rPr>
        <w:t>that</w:t>
      </w:r>
      <w:r>
        <w:rPr>
          <w:spacing w:val="-3"/>
          <w:sz w:val="28"/>
        </w:rPr>
        <w:t> </w:t>
      </w:r>
      <w:r>
        <w:rPr>
          <w:sz w:val="28"/>
        </w:rPr>
        <w:t>aligns</w:t>
      </w:r>
      <w:r>
        <w:rPr>
          <w:spacing w:val="-3"/>
          <w:sz w:val="28"/>
        </w:rPr>
        <w:t> </w:t>
      </w:r>
      <w:r>
        <w:rPr>
          <w:sz w:val="28"/>
        </w:rPr>
        <w:t>with</w:t>
      </w:r>
      <w:r>
        <w:rPr>
          <w:spacing w:val="-3"/>
          <w:sz w:val="28"/>
        </w:rPr>
        <w:t> </w:t>
      </w:r>
      <w:r>
        <w:rPr>
          <w:sz w:val="28"/>
        </w:rPr>
        <w:t>their</w:t>
      </w:r>
      <w:r>
        <w:rPr>
          <w:spacing w:val="-3"/>
          <w:sz w:val="28"/>
        </w:rPr>
        <w:t> </w:t>
      </w:r>
      <w:r>
        <w:rPr>
          <w:sz w:val="28"/>
        </w:rPr>
        <w:t>sex</w:t>
      </w:r>
      <w:r>
        <w:rPr>
          <w:spacing w:val="-3"/>
          <w:sz w:val="28"/>
        </w:rPr>
        <w:t> </w:t>
      </w:r>
      <w:r>
        <w:rPr>
          <w:sz w:val="28"/>
        </w:rPr>
        <w:t>assigned</w:t>
      </w:r>
      <w:r>
        <w:rPr>
          <w:spacing w:val="-3"/>
          <w:sz w:val="28"/>
        </w:rPr>
        <w:t> </w:t>
      </w:r>
      <w:r>
        <w:rPr>
          <w:sz w:val="28"/>
        </w:rPr>
        <w:t>at</w:t>
      </w:r>
      <w:r>
        <w:rPr>
          <w:spacing w:val="-3"/>
          <w:sz w:val="28"/>
        </w:rPr>
        <w:t> </w:t>
      </w:r>
      <w:r>
        <w:rPr>
          <w:sz w:val="28"/>
        </w:rPr>
        <w:t>birth</w:t>
      </w:r>
      <w:r>
        <w:rPr>
          <w:spacing w:val="-3"/>
          <w:sz w:val="28"/>
        </w:rPr>
        <w:t> </w:t>
      </w:r>
      <w:r>
        <w:rPr>
          <w:sz w:val="28"/>
        </w:rPr>
        <w:t>and</w:t>
      </w:r>
      <w:r>
        <w:rPr>
          <w:spacing w:val="-3"/>
          <w:sz w:val="28"/>
        </w:rPr>
        <w:t> </w:t>
      </w:r>
      <w:r>
        <w:rPr>
          <w:sz w:val="28"/>
        </w:rPr>
        <w:t>have a diverse gender expression</w:t>
      </w:r>
    </w:p>
    <w:p>
      <w:pPr>
        <w:pStyle w:val="ListParagraph"/>
        <w:numPr>
          <w:ilvl w:val="0"/>
          <w:numId w:val="28"/>
        </w:numPr>
        <w:tabs>
          <w:tab w:pos="501" w:val="left" w:leader="none"/>
        </w:tabs>
        <w:spacing w:line="240" w:lineRule="auto" w:before="79" w:after="0"/>
        <w:ind w:left="501" w:right="0" w:hanging="221"/>
        <w:jc w:val="left"/>
        <w:rPr>
          <w:sz w:val="28"/>
        </w:rPr>
      </w:pPr>
      <w:r>
        <w:rPr>
          <w:sz w:val="28"/>
        </w:rPr>
        <w:t>Are</w:t>
      </w:r>
      <w:r>
        <w:rPr>
          <w:spacing w:val="-5"/>
          <w:sz w:val="28"/>
        </w:rPr>
        <w:t> </w:t>
      </w:r>
      <w:r>
        <w:rPr>
          <w:sz w:val="28"/>
        </w:rPr>
        <w:t>exploring</w:t>
      </w:r>
      <w:r>
        <w:rPr>
          <w:spacing w:val="-1"/>
          <w:sz w:val="28"/>
        </w:rPr>
        <w:t> </w:t>
      </w:r>
      <w:r>
        <w:rPr>
          <w:sz w:val="28"/>
        </w:rPr>
        <w:t>their</w:t>
      </w:r>
      <w:r>
        <w:rPr>
          <w:spacing w:val="-1"/>
          <w:sz w:val="28"/>
        </w:rPr>
        <w:t> </w:t>
      </w:r>
      <w:r>
        <w:rPr>
          <w:sz w:val="28"/>
        </w:rPr>
        <w:t>gender</w:t>
      </w:r>
      <w:r>
        <w:rPr>
          <w:spacing w:val="-1"/>
          <w:sz w:val="28"/>
        </w:rPr>
        <w:t> </w:t>
      </w:r>
      <w:r>
        <w:rPr>
          <w:sz w:val="28"/>
        </w:rPr>
        <w:t>identity</w:t>
      </w:r>
      <w:r>
        <w:rPr>
          <w:spacing w:val="-1"/>
          <w:sz w:val="28"/>
        </w:rPr>
        <w:t> </w:t>
      </w:r>
      <w:r>
        <w:rPr>
          <w:sz w:val="28"/>
        </w:rPr>
        <w:t>and/or</w:t>
      </w:r>
      <w:r>
        <w:rPr>
          <w:spacing w:val="-1"/>
          <w:sz w:val="28"/>
        </w:rPr>
        <w:t> </w:t>
      </w:r>
      <w:r>
        <w:rPr>
          <w:sz w:val="28"/>
        </w:rPr>
        <w:t>gender</w:t>
      </w:r>
      <w:r>
        <w:rPr>
          <w:spacing w:val="-1"/>
          <w:sz w:val="28"/>
        </w:rPr>
        <w:t> </w:t>
      </w:r>
      <w:r>
        <w:rPr>
          <w:spacing w:val="-2"/>
          <w:sz w:val="28"/>
        </w:rPr>
        <w:t>expression</w:t>
      </w:r>
    </w:p>
    <w:p>
      <w:pPr>
        <w:pStyle w:val="BodyText"/>
        <w:spacing w:before="10"/>
        <w:rPr>
          <w:sz w:val="34"/>
        </w:rPr>
      </w:pPr>
    </w:p>
    <w:p>
      <w:pPr>
        <w:pStyle w:val="BodyText"/>
        <w:ind w:left="280" w:right="515"/>
      </w:pPr>
      <w:r>
        <w:rPr/>
        <w:t>While earlier research from clinics specializing in childhood gender identity suggested that many individuals who exhibited gender diversity in childhood did</w:t>
      </w:r>
      <w:r>
        <w:rPr>
          <w:spacing w:val="-5"/>
        </w:rPr>
        <w:t> </w:t>
      </w:r>
      <w:r>
        <w:rPr/>
        <w:t>not</w:t>
      </w:r>
      <w:r>
        <w:rPr>
          <w:spacing w:val="-5"/>
        </w:rPr>
        <w:t> </w:t>
      </w:r>
      <w:r>
        <w:rPr/>
        <w:t>later</w:t>
      </w:r>
      <w:r>
        <w:rPr>
          <w:spacing w:val="-5"/>
        </w:rPr>
        <w:t> </w:t>
      </w:r>
      <w:r>
        <w:rPr/>
        <w:t>identify</w:t>
      </w:r>
      <w:r>
        <w:rPr>
          <w:spacing w:val="-5"/>
        </w:rPr>
        <w:t> </w:t>
      </w:r>
      <w:r>
        <w:rPr/>
        <w:t>as</w:t>
      </w:r>
      <w:r>
        <w:rPr>
          <w:spacing w:val="-5"/>
        </w:rPr>
        <w:t> </w:t>
      </w:r>
      <w:r>
        <w:rPr/>
        <w:t>transgender</w:t>
      </w:r>
      <w:r>
        <w:rPr>
          <w:spacing w:val="-5"/>
        </w:rPr>
        <w:t> </w:t>
      </w:r>
      <w:r>
        <w:rPr/>
        <w:t>in</w:t>
      </w:r>
      <w:r>
        <w:rPr>
          <w:spacing w:val="-5"/>
        </w:rPr>
        <w:t> </w:t>
      </w:r>
      <w:r>
        <w:rPr/>
        <w:t>adolescence,</w:t>
      </w:r>
      <w:r>
        <w:rPr>
          <w:spacing w:val="-5"/>
        </w:rPr>
        <w:t> </w:t>
      </w:r>
      <w:r>
        <w:rPr/>
        <w:t>significant</w:t>
      </w:r>
      <w:r>
        <w:rPr>
          <w:spacing w:val="-5"/>
        </w:rPr>
        <w:t> </w:t>
      </w:r>
      <w:r>
        <w:rPr/>
        <w:t>methodological weaknesses preclude use of these findings to identify trajectories of gender identity development and their associated frequencies. However, more recent research and clinical expertise</w:t>
      </w:r>
      <w:r>
        <w:rPr>
          <w:spacing w:val="-1"/>
        </w:rPr>
        <w:t> </w:t>
      </w:r>
      <w:r>
        <w:rPr/>
        <w:t>suggests that children who consistently identify with a gender different from their sex assigned at birth typically express a similar clarity in adolescence. Research also indicates that children whose gender expression differs from social norms, but who do not identify as transgender or nonbinary, are more likely to have a diverse sexual orientation in adulthood.</w:t>
      </w:r>
    </w:p>
    <w:p>
      <w:pPr>
        <w:pStyle w:val="BodyText"/>
        <w:spacing w:before="7"/>
        <w:rPr>
          <w:sz w:val="41"/>
        </w:rPr>
      </w:pPr>
    </w:p>
    <w:p>
      <w:pPr>
        <w:pStyle w:val="BodyText"/>
        <w:ind w:left="280" w:right="515"/>
      </w:pPr>
      <w:r>
        <w:rPr/>
        <w:t>Children who identify as transgender early in their development are increasingly supported and affirmed in their identities by many families at young</w:t>
      </w:r>
      <w:r>
        <w:rPr>
          <w:spacing w:val="-5"/>
        </w:rPr>
        <w:t> </w:t>
      </w:r>
      <w:r>
        <w:rPr/>
        <w:t>ages.</w:t>
      </w:r>
      <w:r>
        <w:rPr>
          <w:spacing w:val="-5"/>
        </w:rPr>
        <w:t> </w:t>
      </w:r>
      <w:r>
        <w:rPr/>
        <w:t>Research</w:t>
      </w:r>
      <w:r>
        <w:rPr>
          <w:spacing w:val="-5"/>
        </w:rPr>
        <w:t> </w:t>
      </w:r>
      <w:r>
        <w:rPr/>
        <w:t>with</w:t>
      </w:r>
      <w:r>
        <w:rPr>
          <w:spacing w:val="-5"/>
        </w:rPr>
        <w:t> </w:t>
      </w:r>
      <w:r>
        <w:rPr/>
        <w:t>transgender</w:t>
      </w:r>
      <w:r>
        <w:rPr>
          <w:spacing w:val="-5"/>
        </w:rPr>
        <w:t> </w:t>
      </w:r>
      <w:r>
        <w:rPr/>
        <w:t>youth</w:t>
      </w:r>
      <w:r>
        <w:rPr>
          <w:spacing w:val="-5"/>
        </w:rPr>
        <w:t> </w:t>
      </w:r>
      <w:r>
        <w:rPr/>
        <w:t>who</w:t>
      </w:r>
      <w:r>
        <w:rPr>
          <w:spacing w:val="-5"/>
        </w:rPr>
        <w:t> </w:t>
      </w:r>
      <w:r>
        <w:rPr/>
        <w:t>have</w:t>
      </w:r>
      <w:r>
        <w:rPr>
          <w:spacing w:val="-5"/>
        </w:rPr>
        <w:t> </w:t>
      </w:r>
      <w:r>
        <w:rPr/>
        <w:t>socially</w:t>
      </w:r>
      <w:r>
        <w:rPr>
          <w:spacing w:val="-5"/>
        </w:rPr>
        <w:t> </w:t>
      </w:r>
      <w:r>
        <w:rPr/>
        <w:t>transitioned— that is, who present as their gender identity in everyday life—provides evidence that early in childhood, gender-related development is similar among</w:t>
      </w:r>
    </w:p>
    <w:p>
      <w:pPr>
        <w:spacing w:after="0"/>
        <w:sectPr>
          <w:pgSz w:w="12240" w:h="15840"/>
          <w:pgMar w:header="0" w:footer="783" w:top="1260" w:bottom="980" w:left="1400" w:right="1180"/>
        </w:sectPr>
      </w:pPr>
    </w:p>
    <w:p>
      <w:pPr>
        <w:pStyle w:val="BodyText"/>
        <w:spacing w:before="66"/>
        <w:ind w:left="5223" w:right="536"/>
      </w:pPr>
      <w:r>
        <w:rPr/>
        <mc:AlternateContent>
          <mc:Choice Requires="wps">
            <w:drawing>
              <wp:anchor distT="0" distB="0" distL="0" distR="0" allowOverlap="1" layoutInCell="1" locked="0" behindDoc="0" simplePos="0" relativeHeight="15822336">
                <wp:simplePos x="0" y="0"/>
                <wp:positionH relativeFrom="page">
                  <wp:posOffset>995362</wp:posOffset>
                </wp:positionH>
                <wp:positionV relativeFrom="paragraph">
                  <wp:posOffset>185014</wp:posOffset>
                </wp:positionV>
                <wp:extent cx="3096895" cy="4424045"/>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3096895" cy="4424045"/>
                          <a:chExt cx="3096895" cy="4424045"/>
                        </a:xfrm>
                      </wpg:grpSpPr>
                      <pic:pic>
                        <pic:nvPicPr>
                          <pic:cNvPr id="388" name="Image 388"/>
                          <pic:cNvPicPr/>
                        </pic:nvPicPr>
                        <pic:blipFill>
                          <a:blip r:embed="rId62" cstate="print"/>
                          <a:stretch>
                            <a:fillRect/>
                          </a:stretch>
                        </pic:blipFill>
                        <pic:spPr>
                          <a:xfrm>
                            <a:off x="0" y="0"/>
                            <a:ext cx="3096516" cy="4424018"/>
                          </a:xfrm>
                          <a:prstGeom prst="rect">
                            <a:avLst/>
                          </a:prstGeom>
                        </pic:spPr>
                      </pic:pic>
                      <pic:pic>
                        <pic:nvPicPr>
                          <pic:cNvPr id="389" name="Image 389"/>
                          <pic:cNvPicPr/>
                        </pic:nvPicPr>
                        <pic:blipFill>
                          <a:blip r:embed="rId63" cstate="print"/>
                          <a:stretch>
                            <a:fillRect/>
                          </a:stretch>
                        </pic:blipFill>
                        <pic:spPr>
                          <a:xfrm>
                            <a:off x="76200" y="56200"/>
                            <a:ext cx="2944116" cy="4271618"/>
                          </a:xfrm>
                          <a:prstGeom prst="rect">
                            <a:avLst/>
                          </a:prstGeom>
                        </pic:spPr>
                      </pic:pic>
                      <pic:pic>
                        <pic:nvPicPr>
                          <pic:cNvPr id="390" name="Image 390"/>
                          <pic:cNvPicPr/>
                        </pic:nvPicPr>
                        <pic:blipFill>
                          <a:blip r:embed="rId64" cstate="print"/>
                          <a:stretch>
                            <a:fillRect/>
                          </a:stretch>
                        </pic:blipFill>
                        <pic:spPr>
                          <a:xfrm>
                            <a:off x="39328" y="33252"/>
                            <a:ext cx="3017907" cy="4330700"/>
                          </a:xfrm>
                          <a:prstGeom prst="rect">
                            <a:avLst/>
                          </a:prstGeom>
                        </pic:spPr>
                      </pic:pic>
                      <wps:wsp>
                        <wps:cNvPr id="391" name="Textbox 391"/>
                        <wps:cNvSpPr txBox="1"/>
                        <wps:spPr>
                          <a:xfrm>
                            <a:off x="0" y="0"/>
                            <a:ext cx="3096895" cy="4424045"/>
                          </a:xfrm>
                          <a:prstGeom prst="rect">
                            <a:avLst/>
                          </a:prstGeom>
                        </wps:spPr>
                        <wps:txbx>
                          <w:txbxContent>
                            <w:p>
                              <w:pPr>
                                <w:spacing w:line="252" w:lineRule="auto" w:before="168"/>
                                <w:ind w:left="251" w:right="269" w:firstLine="0"/>
                                <w:jc w:val="left"/>
                                <w:rPr>
                                  <w:rFonts w:ascii="Calibri"/>
                                  <w:sz w:val="36"/>
                                </w:rPr>
                              </w:pPr>
                              <w:r>
                                <w:rPr>
                                  <w:rFonts w:ascii="Calibri"/>
                                  <w:sz w:val="36"/>
                                </w:rPr>
                                <w:t>Younger generations understand, experience, and communicate their gender- related experiences in different ways than previous generations. These understandings of gender include an increased recognition</w:t>
                              </w:r>
                              <w:r>
                                <w:rPr>
                                  <w:rFonts w:ascii="Calibri"/>
                                  <w:spacing w:val="-18"/>
                                  <w:sz w:val="36"/>
                                </w:rPr>
                                <w:t> </w:t>
                              </w:r>
                              <w:r>
                                <w:rPr>
                                  <w:rFonts w:ascii="Calibri"/>
                                  <w:sz w:val="36"/>
                                </w:rPr>
                                <w:t>of</w:t>
                              </w:r>
                              <w:r>
                                <w:rPr>
                                  <w:rFonts w:ascii="Calibri"/>
                                  <w:spacing w:val="-18"/>
                                  <w:sz w:val="36"/>
                                </w:rPr>
                                <w:t> </w:t>
                              </w:r>
                              <w:r>
                                <w:rPr>
                                  <w:rFonts w:ascii="Calibri"/>
                                  <w:sz w:val="36"/>
                                </w:rPr>
                                <w:t>the</w:t>
                              </w:r>
                              <w:r>
                                <w:rPr>
                                  <w:rFonts w:ascii="Calibri"/>
                                  <w:spacing w:val="-18"/>
                                  <w:sz w:val="36"/>
                                </w:rPr>
                                <w:t> </w:t>
                              </w:r>
                              <w:r>
                                <w:rPr>
                                  <w:rFonts w:ascii="Calibri"/>
                                  <w:sz w:val="36"/>
                                </w:rPr>
                                <w:t>complexity of gender, sexuality, and identity and fewer stereotypes or expectations of what it means to be a certain gender.</w:t>
                              </w:r>
                            </w:p>
                          </w:txbxContent>
                        </wps:txbx>
                        <wps:bodyPr wrap="square" lIns="0" tIns="0" rIns="0" bIns="0" rtlCol="0">
                          <a:noAutofit/>
                        </wps:bodyPr>
                      </wps:wsp>
                    </wpg:wgp>
                  </a:graphicData>
                </a:graphic>
              </wp:anchor>
            </w:drawing>
          </mc:Choice>
          <mc:Fallback>
            <w:pict>
              <v:group style="position:absolute;margin-left:78.375pt;margin-top:14.568098pt;width:243.85pt;height:348.35pt;mso-position-horizontal-relative:page;mso-position-vertical-relative:paragraph;z-index:15822336" id="docshapegroup384" coordorigin="1568,291" coordsize="4877,6967">
                <v:shape style="position:absolute;left:1567;top:291;width:4877;height:6967" type="#_x0000_t75" id="docshape385" stroked="false">
                  <v:imagedata r:id="rId62" o:title=""/>
                </v:shape>
                <v:shape style="position:absolute;left:1687;top:379;width:4637;height:6727" type="#_x0000_t75" id="docshape386" stroked="false">
                  <v:imagedata r:id="rId63" o:title=""/>
                </v:shape>
                <v:shape style="position:absolute;left:1629;top:343;width:4753;height:6820" type="#_x0000_t75" id="docshape387" stroked="false">
                  <v:imagedata r:id="rId64" o:title=""/>
                </v:shape>
                <v:shape style="position:absolute;left:1567;top:291;width:4877;height:6967" type="#_x0000_t202" id="docshape388" filled="false" stroked="false">
                  <v:textbox inset="0,0,0,0">
                    <w:txbxContent>
                      <w:p>
                        <w:pPr>
                          <w:spacing w:line="252" w:lineRule="auto" w:before="168"/>
                          <w:ind w:left="251" w:right="269" w:firstLine="0"/>
                          <w:jc w:val="left"/>
                          <w:rPr>
                            <w:rFonts w:ascii="Calibri"/>
                            <w:sz w:val="36"/>
                          </w:rPr>
                        </w:pPr>
                        <w:r>
                          <w:rPr>
                            <w:rFonts w:ascii="Calibri"/>
                            <w:sz w:val="36"/>
                          </w:rPr>
                          <w:t>Younger generations understand, experience, and communicate their gender- related experiences in different ways than previous generations. These understandings of gender include an increased recognition</w:t>
                        </w:r>
                        <w:r>
                          <w:rPr>
                            <w:rFonts w:ascii="Calibri"/>
                            <w:spacing w:val="-18"/>
                            <w:sz w:val="36"/>
                          </w:rPr>
                          <w:t> </w:t>
                        </w:r>
                        <w:r>
                          <w:rPr>
                            <w:rFonts w:ascii="Calibri"/>
                            <w:sz w:val="36"/>
                          </w:rPr>
                          <w:t>of</w:t>
                        </w:r>
                        <w:r>
                          <w:rPr>
                            <w:rFonts w:ascii="Calibri"/>
                            <w:spacing w:val="-18"/>
                            <w:sz w:val="36"/>
                          </w:rPr>
                          <w:t> </w:t>
                        </w:r>
                        <w:r>
                          <w:rPr>
                            <w:rFonts w:ascii="Calibri"/>
                            <w:sz w:val="36"/>
                          </w:rPr>
                          <w:t>the</w:t>
                        </w:r>
                        <w:r>
                          <w:rPr>
                            <w:rFonts w:ascii="Calibri"/>
                            <w:spacing w:val="-18"/>
                            <w:sz w:val="36"/>
                          </w:rPr>
                          <w:t> </w:t>
                        </w:r>
                        <w:r>
                          <w:rPr>
                            <w:rFonts w:ascii="Calibri"/>
                            <w:sz w:val="36"/>
                          </w:rPr>
                          <w:t>complexity of gender, sexuality, and identity and fewer stereotypes or expectations of what it means to be a certain gender.</w:t>
                        </w:r>
                      </w:p>
                    </w:txbxContent>
                  </v:textbox>
                  <w10:wrap type="none"/>
                </v:shape>
                <w10:wrap type="none"/>
              </v:group>
            </w:pict>
          </mc:Fallback>
        </mc:AlternateContent>
      </w:r>
      <w:r>
        <w:rPr/>
        <w:t>transgender</w:t>
      </w:r>
      <w:r>
        <w:rPr>
          <w:spacing w:val="-13"/>
        </w:rPr>
        <w:t> </w:t>
      </w:r>
      <w:r>
        <w:rPr/>
        <w:t>and</w:t>
      </w:r>
      <w:r>
        <w:rPr>
          <w:spacing w:val="-13"/>
        </w:rPr>
        <w:t> </w:t>
      </w:r>
      <w:r>
        <w:rPr/>
        <w:t>cisgender</w:t>
      </w:r>
      <w:r>
        <w:rPr>
          <w:spacing w:val="-13"/>
        </w:rPr>
        <w:t> </w:t>
      </w:r>
      <w:r>
        <w:rPr/>
        <w:t>children with the same gender identity, regardless of sex assigned at birth. These similar areas of gender- related development between transgender</w:t>
      </w:r>
      <w:r>
        <w:rPr>
          <w:spacing w:val="-13"/>
        </w:rPr>
        <w:t> </w:t>
      </w:r>
      <w:r>
        <w:rPr/>
        <w:t>and</w:t>
      </w:r>
      <w:r>
        <w:rPr>
          <w:spacing w:val="-13"/>
        </w:rPr>
        <w:t> </w:t>
      </w:r>
      <w:r>
        <w:rPr/>
        <w:t>cisgender</w:t>
      </w:r>
      <w:r>
        <w:rPr>
          <w:spacing w:val="-13"/>
        </w:rPr>
        <w:t> </w:t>
      </w:r>
      <w:r>
        <w:rPr/>
        <w:t>children include consistency and strength</w:t>
      </w:r>
      <w:r>
        <w:rPr>
          <w:spacing w:val="40"/>
        </w:rPr>
        <w:t> </w:t>
      </w:r>
      <w:r>
        <w:rPr/>
        <w:t>of identification with their gender and expression of gender preferences, stereotypes, behaviors, and beliefs.</w:t>
      </w:r>
    </w:p>
    <w:p>
      <w:pPr>
        <w:pStyle w:val="BodyText"/>
        <w:spacing w:before="158"/>
        <w:ind w:left="5178" w:right="604" w:firstLine="45"/>
      </w:pPr>
      <w:r>
        <w:rPr/>
        <w:t>Other youth identify as transgender or gender diverse for the first time in adolescence.mPuberty can be a pivotal time when youth become more aware of their gender and experience physical changes that can trigger or exacerbate dysphoria. Some individuals who initially identify as transgender or gender diverse in adolescence do not have a history of gender</w:t>
      </w:r>
    </w:p>
    <w:p>
      <w:pPr>
        <w:pStyle w:val="BodyText"/>
        <w:spacing w:line="297" w:lineRule="exact"/>
        <w:ind w:left="280"/>
      </w:pPr>
      <w:r>
        <w:rPr/>
        <w:t>diversity</w:t>
      </w:r>
      <w:r>
        <w:rPr>
          <w:spacing w:val="-4"/>
        </w:rPr>
        <w:t> </w:t>
      </w:r>
      <w:r>
        <w:rPr/>
        <w:t>or</w:t>
      </w:r>
      <w:r>
        <w:rPr>
          <w:spacing w:val="-2"/>
        </w:rPr>
        <w:t> </w:t>
      </w:r>
      <w:r>
        <w:rPr/>
        <w:t>gender</w:t>
      </w:r>
      <w:r>
        <w:rPr>
          <w:spacing w:val="-2"/>
        </w:rPr>
        <w:t> </w:t>
      </w:r>
      <w:r>
        <w:rPr/>
        <w:t>“non-conforming”</w:t>
      </w:r>
      <w:r>
        <w:rPr>
          <w:spacing w:val="-3"/>
        </w:rPr>
        <w:t> </w:t>
      </w:r>
      <w:r>
        <w:rPr/>
        <w:t>behaviors</w:t>
      </w:r>
      <w:r>
        <w:rPr>
          <w:spacing w:val="-2"/>
        </w:rPr>
        <w:t> </w:t>
      </w:r>
      <w:r>
        <w:rPr/>
        <w:t>or</w:t>
      </w:r>
      <w:r>
        <w:rPr>
          <w:spacing w:val="-2"/>
        </w:rPr>
        <w:t> </w:t>
      </w:r>
      <w:r>
        <w:rPr/>
        <w:t>preferences</w:t>
      </w:r>
      <w:r>
        <w:rPr>
          <w:spacing w:val="-2"/>
        </w:rPr>
        <w:t> </w:t>
      </w:r>
      <w:r>
        <w:rPr/>
        <w:t>in</w:t>
      </w:r>
      <w:r>
        <w:rPr>
          <w:spacing w:val="-1"/>
        </w:rPr>
        <w:t> </w:t>
      </w:r>
      <w:r>
        <w:rPr>
          <w:spacing w:val="-2"/>
        </w:rPr>
        <w:t>childhood.</w:t>
      </w:r>
    </w:p>
    <w:p>
      <w:pPr>
        <w:pStyle w:val="BodyText"/>
        <w:ind w:left="280" w:right="502"/>
      </w:pPr>
      <w:r>
        <w:rPr/>
        <w:t>This</w:t>
      </w:r>
      <w:r>
        <w:rPr>
          <w:spacing w:val="-4"/>
        </w:rPr>
        <w:t> </w:t>
      </w:r>
      <w:r>
        <w:rPr/>
        <w:t>can</w:t>
      </w:r>
      <w:r>
        <w:rPr>
          <w:spacing w:val="-4"/>
        </w:rPr>
        <w:t> </w:t>
      </w:r>
      <w:r>
        <w:rPr/>
        <w:t>make</w:t>
      </w:r>
      <w:r>
        <w:rPr>
          <w:spacing w:val="-4"/>
        </w:rPr>
        <w:t> </w:t>
      </w:r>
      <w:r>
        <w:rPr/>
        <w:t>disclosure</w:t>
      </w:r>
      <w:r>
        <w:rPr>
          <w:spacing w:val="-4"/>
        </w:rPr>
        <w:t> </w:t>
      </w:r>
      <w:r>
        <w:rPr/>
        <w:t>of</w:t>
      </w:r>
      <w:r>
        <w:rPr>
          <w:spacing w:val="-4"/>
        </w:rPr>
        <w:t> </w:t>
      </w:r>
      <w:r>
        <w:rPr/>
        <w:t>a</w:t>
      </w:r>
      <w:r>
        <w:rPr>
          <w:spacing w:val="-4"/>
        </w:rPr>
        <w:t> </w:t>
      </w:r>
      <w:r>
        <w:rPr/>
        <w:t>gender</w:t>
      </w:r>
      <w:r>
        <w:rPr>
          <w:spacing w:val="-4"/>
        </w:rPr>
        <w:t> </w:t>
      </w:r>
      <w:r>
        <w:rPr/>
        <w:t>identity</w:t>
      </w:r>
      <w:r>
        <w:rPr>
          <w:spacing w:val="-4"/>
        </w:rPr>
        <w:t> </w:t>
      </w:r>
      <w:r>
        <w:rPr/>
        <w:t>that</w:t>
      </w:r>
      <w:r>
        <w:rPr>
          <w:spacing w:val="-4"/>
        </w:rPr>
        <w:t> </w:t>
      </w:r>
      <w:r>
        <w:rPr/>
        <w:t>differs</w:t>
      </w:r>
      <w:r>
        <w:rPr>
          <w:spacing w:val="-4"/>
        </w:rPr>
        <w:t> </w:t>
      </w:r>
      <w:r>
        <w:rPr/>
        <w:t>from</w:t>
      </w:r>
      <w:r>
        <w:rPr>
          <w:spacing w:val="-4"/>
        </w:rPr>
        <w:t> </w:t>
      </w:r>
      <w:r>
        <w:rPr/>
        <w:t>sex</w:t>
      </w:r>
      <w:r>
        <w:rPr>
          <w:spacing w:val="-4"/>
        </w:rPr>
        <w:t> </w:t>
      </w:r>
      <w:r>
        <w:rPr/>
        <w:t>assigned</w:t>
      </w:r>
      <w:r>
        <w:rPr>
          <w:spacing w:val="-4"/>
        </w:rPr>
        <w:t> </w:t>
      </w:r>
      <w:r>
        <w:rPr/>
        <w:t>at birth in adolescence surprising to parents, guardians, and others.</w:t>
      </w:r>
    </w:p>
    <w:p>
      <w:pPr>
        <w:pStyle w:val="BodyText"/>
        <w:spacing w:before="5"/>
        <w:rPr>
          <w:sz w:val="27"/>
        </w:rPr>
      </w:pPr>
    </w:p>
    <w:p>
      <w:pPr>
        <w:pStyle w:val="BodyText"/>
        <w:ind w:left="280" w:right="544"/>
      </w:pPr>
      <w:r>
        <w:rPr/>
        <w:t>Some adolescents who identify as transgender or gender diverse report that they felt different at a young age but expressed or engaged in behaviors that were stereotypical for their sex assigned at birth earlier in life, while others do not</w:t>
      </w:r>
      <w:r>
        <w:rPr>
          <w:spacing w:val="-4"/>
        </w:rPr>
        <w:t> </w:t>
      </w:r>
      <w:r>
        <w:rPr/>
        <w:t>feel</w:t>
      </w:r>
      <w:r>
        <w:rPr>
          <w:spacing w:val="-4"/>
        </w:rPr>
        <w:t> </w:t>
      </w:r>
      <w:r>
        <w:rPr/>
        <w:t>differently</w:t>
      </w:r>
      <w:r>
        <w:rPr>
          <w:spacing w:val="-4"/>
        </w:rPr>
        <w:t> </w:t>
      </w:r>
      <w:r>
        <w:rPr/>
        <w:t>about</w:t>
      </w:r>
      <w:r>
        <w:rPr>
          <w:spacing w:val="-4"/>
        </w:rPr>
        <w:t> </w:t>
      </w:r>
      <w:r>
        <w:rPr/>
        <w:t>their</w:t>
      </w:r>
      <w:r>
        <w:rPr>
          <w:spacing w:val="-4"/>
        </w:rPr>
        <w:t> </w:t>
      </w:r>
      <w:r>
        <w:rPr/>
        <w:t>gender</w:t>
      </w:r>
      <w:r>
        <w:rPr>
          <w:spacing w:val="-4"/>
        </w:rPr>
        <w:t> </w:t>
      </w:r>
      <w:r>
        <w:rPr/>
        <w:t>until</w:t>
      </w:r>
      <w:r>
        <w:rPr>
          <w:spacing w:val="-4"/>
        </w:rPr>
        <w:t> </w:t>
      </w:r>
      <w:r>
        <w:rPr/>
        <w:t>adolescence.</w:t>
      </w:r>
      <w:r>
        <w:rPr>
          <w:spacing w:val="-4"/>
        </w:rPr>
        <w:t> </w:t>
      </w:r>
      <w:r>
        <w:rPr/>
        <w:t>Given</w:t>
      </w:r>
      <w:r>
        <w:rPr>
          <w:spacing w:val="-4"/>
        </w:rPr>
        <w:t> </w:t>
      </w:r>
      <w:r>
        <w:rPr/>
        <w:t>the</w:t>
      </w:r>
      <w:r>
        <w:rPr>
          <w:spacing w:val="-5"/>
        </w:rPr>
        <w:t> </w:t>
      </w:r>
      <w:r>
        <w:rPr/>
        <w:t>advances</w:t>
      </w:r>
      <w:r>
        <w:rPr>
          <w:spacing w:val="-4"/>
        </w:rPr>
        <w:t> </w:t>
      </w:r>
      <w:r>
        <w:rPr/>
        <w:t>in scientific understanding of the normal and healthy diversity of gender identities, understanding the current experiences of youth whose gender incongruence presents in adolescence is an important area of study. No singular narrative can describe the totality of transgender and gender-diverse youth experiences.</w:t>
      </w:r>
    </w:p>
    <w:p>
      <w:pPr>
        <w:pStyle w:val="BodyText"/>
        <w:spacing w:before="162"/>
        <w:ind w:left="280" w:right="581"/>
      </w:pPr>
      <w:r>
        <w:rPr/>
        <w:t>Identity development is among the key tasks of adolescence for all adolescents, including those who are transgender and gender diverse. Self- acceptance</w:t>
      </w:r>
      <w:r>
        <w:rPr>
          <w:spacing w:val="-8"/>
        </w:rPr>
        <w:t> </w:t>
      </w:r>
      <w:r>
        <w:rPr/>
        <w:t>of</w:t>
      </w:r>
      <w:r>
        <w:rPr>
          <w:spacing w:val="-7"/>
        </w:rPr>
        <w:t> </w:t>
      </w:r>
      <w:r>
        <w:rPr/>
        <w:t>one’s</w:t>
      </w:r>
      <w:r>
        <w:rPr>
          <w:spacing w:val="-7"/>
        </w:rPr>
        <w:t> </w:t>
      </w:r>
      <w:r>
        <w:rPr/>
        <w:t>gender</w:t>
      </w:r>
      <w:r>
        <w:rPr>
          <w:spacing w:val="-7"/>
        </w:rPr>
        <w:t> </w:t>
      </w:r>
      <w:r>
        <w:rPr/>
        <w:t>identity,</w:t>
      </w:r>
      <w:r>
        <w:rPr>
          <w:spacing w:val="-7"/>
        </w:rPr>
        <w:t> </w:t>
      </w:r>
      <w:r>
        <w:rPr/>
        <w:t>identity</w:t>
      </w:r>
      <w:r>
        <w:rPr>
          <w:spacing w:val="-7"/>
        </w:rPr>
        <w:t> </w:t>
      </w:r>
      <w:r>
        <w:rPr/>
        <w:t>pride,</w:t>
      </w:r>
      <w:r>
        <w:rPr>
          <w:spacing w:val="-7"/>
        </w:rPr>
        <w:t> </w:t>
      </w:r>
      <w:r>
        <w:rPr/>
        <w:t>and</w:t>
      </w:r>
      <w:r>
        <w:rPr>
          <w:spacing w:val="-7"/>
        </w:rPr>
        <w:t> </w:t>
      </w:r>
      <w:r>
        <w:rPr/>
        <w:t>valuing</w:t>
      </w:r>
      <w:r>
        <w:rPr>
          <w:spacing w:val="-7"/>
        </w:rPr>
        <w:t> </w:t>
      </w:r>
      <w:r>
        <w:rPr/>
        <w:t>self</w:t>
      </w:r>
      <w:r>
        <w:rPr>
          <w:spacing w:val="-7"/>
        </w:rPr>
        <w:t> </w:t>
      </w:r>
      <w:r>
        <w:rPr/>
        <w:t>are</w:t>
      </w:r>
      <w:r>
        <w:rPr>
          <w:spacing w:val="-8"/>
        </w:rPr>
        <w:t> </w:t>
      </w:r>
      <w:r>
        <w:rPr/>
        <w:t>factors that promote resilience among transgender and gender-diverse adolescents.</w:t>
      </w:r>
    </w:p>
    <w:p>
      <w:pPr>
        <w:spacing w:after="0"/>
        <w:sectPr>
          <w:pgSz w:w="12240" w:h="15840"/>
          <w:pgMar w:header="0" w:footer="783" w:top="1260" w:bottom="980" w:left="1400" w:right="1180"/>
        </w:sectPr>
      </w:pPr>
    </w:p>
    <w:p>
      <w:pPr>
        <w:pStyle w:val="BodyText"/>
        <w:spacing w:before="66"/>
        <w:ind w:left="280" w:right="502"/>
      </w:pPr>
      <w:r>
        <w:rPr/>
        <w:t>However,</w:t>
      </w:r>
      <w:r>
        <w:rPr>
          <w:spacing w:val="-8"/>
        </w:rPr>
        <w:t> </w:t>
      </w:r>
      <w:r>
        <w:rPr/>
        <w:t>transgender</w:t>
      </w:r>
      <w:r>
        <w:rPr>
          <w:spacing w:val="-8"/>
        </w:rPr>
        <w:t> </w:t>
      </w:r>
      <w:r>
        <w:rPr/>
        <w:t>and</w:t>
      </w:r>
      <w:r>
        <w:rPr>
          <w:spacing w:val="-8"/>
        </w:rPr>
        <w:t> </w:t>
      </w:r>
      <w:r>
        <w:rPr/>
        <w:t>gender-diverse</w:t>
      </w:r>
      <w:r>
        <w:rPr>
          <w:spacing w:val="-9"/>
        </w:rPr>
        <w:t> </w:t>
      </w:r>
      <w:r>
        <w:rPr/>
        <w:t>adolescents</w:t>
      </w:r>
      <w:r>
        <w:rPr>
          <w:spacing w:val="-8"/>
        </w:rPr>
        <w:t> </w:t>
      </w:r>
      <w:r>
        <w:rPr/>
        <w:t>may</w:t>
      </w:r>
      <w:r>
        <w:rPr>
          <w:spacing w:val="-8"/>
        </w:rPr>
        <w:t> </w:t>
      </w:r>
      <w:r>
        <w:rPr/>
        <w:t>experience</w:t>
      </w:r>
      <w:r>
        <w:rPr>
          <w:spacing w:val="-9"/>
        </w:rPr>
        <w:t> </w:t>
      </w:r>
      <w:r>
        <w:rPr/>
        <w:t>identity conflict when reconciling a gender identity that may diverge from the expectations of their family, peers, and community. This can be particularly pertinent for transgender and gender-diverse adolescents of color, who often experience multiple forms of discrimination (e.g., racial discrimination when seeking out supportive services, or antitransgender stigma in one’s racial/ ethnic</w:t>
      </w:r>
      <w:r>
        <w:rPr>
          <w:spacing w:val="-3"/>
        </w:rPr>
        <w:t> </w:t>
      </w:r>
      <w:r>
        <w:rPr/>
        <w:t>or</w:t>
      </w:r>
      <w:r>
        <w:rPr>
          <w:spacing w:val="-2"/>
        </w:rPr>
        <w:t> </w:t>
      </w:r>
      <w:r>
        <w:rPr/>
        <w:t>cultural</w:t>
      </w:r>
      <w:r>
        <w:rPr>
          <w:spacing w:val="-2"/>
        </w:rPr>
        <w:t> </w:t>
      </w:r>
      <w:r>
        <w:rPr/>
        <w:t>community)</w:t>
      </w:r>
      <w:r>
        <w:rPr>
          <w:spacing w:val="-2"/>
        </w:rPr>
        <w:t> </w:t>
      </w:r>
      <w:r>
        <w:rPr/>
        <w:t>and</w:t>
      </w:r>
      <w:r>
        <w:rPr>
          <w:spacing w:val="-2"/>
        </w:rPr>
        <w:t> </w:t>
      </w:r>
      <w:r>
        <w:rPr/>
        <w:t>may</w:t>
      </w:r>
      <w:r>
        <w:rPr>
          <w:spacing w:val="-2"/>
        </w:rPr>
        <w:t> </w:t>
      </w:r>
      <w:r>
        <w:rPr/>
        <w:t>perceive</w:t>
      </w:r>
      <w:r>
        <w:rPr>
          <w:spacing w:val="-3"/>
        </w:rPr>
        <w:t> </w:t>
      </w:r>
      <w:r>
        <w:rPr/>
        <w:t>incompatibility</w:t>
      </w:r>
      <w:r>
        <w:rPr>
          <w:spacing w:val="-2"/>
        </w:rPr>
        <w:t> </w:t>
      </w:r>
      <w:r>
        <w:rPr/>
        <w:t>between</w:t>
      </w:r>
      <w:r>
        <w:rPr>
          <w:spacing w:val="-2"/>
        </w:rPr>
        <w:t> </w:t>
      </w:r>
      <w:r>
        <w:rPr/>
        <w:t>their gender identity and racial/ethnic identities.</w:t>
      </w:r>
    </w:p>
    <w:p>
      <w:pPr>
        <w:pStyle w:val="BodyText"/>
        <w:spacing w:before="5"/>
        <w:rPr>
          <w:sz w:val="26"/>
        </w:rPr>
      </w:pPr>
    </w:p>
    <w:p>
      <w:pPr>
        <w:pStyle w:val="BodyText"/>
        <w:ind w:left="280" w:right="502"/>
      </w:pPr>
      <w:r>
        <w:rPr/>
        <w:t>Conversely, racial/ethnic identity development processes may beneficially impact</w:t>
      </w:r>
      <w:r>
        <w:rPr>
          <w:spacing w:val="-4"/>
        </w:rPr>
        <w:t> </w:t>
      </w:r>
      <w:r>
        <w:rPr/>
        <w:t>how</w:t>
      </w:r>
      <w:r>
        <w:rPr>
          <w:spacing w:val="-4"/>
        </w:rPr>
        <w:t> </w:t>
      </w:r>
      <w:r>
        <w:rPr/>
        <w:t>youth</w:t>
      </w:r>
      <w:r>
        <w:rPr>
          <w:spacing w:val="-4"/>
        </w:rPr>
        <w:t> </w:t>
      </w:r>
      <w:r>
        <w:rPr/>
        <w:t>navigate</w:t>
      </w:r>
      <w:r>
        <w:rPr>
          <w:spacing w:val="-5"/>
        </w:rPr>
        <w:t> </w:t>
      </w:r>
      <w:r>
        <w:rPr/>
        <w:t>gender</w:t>
      </w:r>
      <w:r>
        <w:rPr>
          <w:spacing w:val="-4"/>
        </w:rPr>
        <w:t> </w:t>
      </w:r>
      <w:r>
        <w:rPr/>
        <w:t>identity</w:t>
      </w:r>
      <w:r>
        <w:rPr>
          <w:spacing w:val="-4"/>
        </w:rPr>
        <w:t> </w:t>
      </w:r>
      <w:r>
        <w:rPr/>
        <w:t>development,</w:t>
      </w:r>
      <w:r>
        <w:rPr>
          <w:spacing w:val="-4"/>
        </w:rPr>
        <w:t> </w:t>
      </w:r>
      <w:r>
        <w:rPr/>
        <w:t>such</w:t>
      </w:r>
      <w:r>
        <w:rPr>
          <w:spacing w:val="-4"/>
        </w:rPr>
        <w:t> </w:t>
      </w:r>
      <w:r>
        <w:rPr/>
        <w:t>as</w:t>
      </w:r>
      <w:r>
        <w:rPr>
          <w:spacing w:val="-4"/>
        </w:rPr>
        <w:t> </w:t>
      </w:r>
      <w:r>
        <w:rPr/>
        <w:t>experience coping with adversity and developing a sense of pride in one’s identity.195 While self-acceptance and identity pride are associated with well-being, adopting negative societal attitudes and beliefs about being transgender or</w:t>
      </w:r>
    </w:p>
    <w:p>
      <w:pPr>
        <w:pStyle w:val="BodyText"/>
        <w:rPr>
          <w:sz w:val="20"/>
        </w:rPr>
      </w:pPr>
    </w:p>
    <w:p>
      <w:pPr>
        <w:pStyle w:val="BodyText"/>
        <w:spacing w:before="4"/>
        <w:rPr>
          <w:sz w:val="22"/>
        </w:rPr>
      </w:pPr>
      <w:r>
        <w:rPr/>
        <mc:AlternateContent>
          <mc:Choice Requires="wps">
            <w:drawing>
              <wp:anchor distT="0" distB="0" distL="0" distR="0" allowOverlap="1" layoutInCell="1" locked="0" behindDoc="1" simplePos="0" relativeHeight="487682048">
                <wp:simplePos x="0" y="0"/>
                <wp:positionH relativeFrom="page">
                  <wp:posOffset>954752</wp:posOffset>
                </wp:positionH>
                <wp:positionV relativeFrom="paragraph">
                  <wp:posOffset>178881</wp:posOffset>
                </wp:positionV>
                <wp:extent cx="5632450" cy="2778125"/>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5632450" cy="2778125"/>
                          <a:chExt cx="5632450" cy="2778125"/>
                        </a:xfrm>
                      </wpg:grpSpPr>
                      <pic:pic>
                        <pic:nvPicPr>
                          <pic:cNvPr id="393" name="Image 393"/>
                          <pic:cNvPicPr/>
                        </pic:nvPicPr>
                        <pic:blipFill>
                          <a:blip r:embed="rId65" cstate="print"/>
                          <a:stretch>
                            <a:fillRect/>
                          </a:stretch>
                        </pic:blipFill>
                        <pic:spPr>
                          <a:xfrm>
                            <a:off x="0" y="0"/>
                            <a:ext cx="5632046" cy="2777737"/>
                          </a:xfrm>
                          <a:prstGeom prst="rect">
                            <a:avLst/>
                          </a:prstGeom>
                        </pic:spPr>
                      </pic:pic>
                      <pic:pic>
                        <pic:nvPicPr>
                          <pic:cNvPr id="394" name="Image 394"/>
                          <pic:cNvPicPr/>
                        </pic:nvPicPr>
                        <pic:blipFill>
                          <a:blip r:embed="rId66" cstate="print"/>
                          <a:stretch>
                            <a:fillRect/>
                          </a:stretch>
                        </pic:blipFill>
                        <pic:spPr>
                          <a:xfrm>
                            <a:off x="76200" y="56200"/>
                            <a:ext cx="5479646" cy="2625337"/>
                          </a:xfrm>
                          <a:prstGeom prst="rect">
                            <a:avLst/>
                          </a:prstGeom>
                        </pic:spPr>
                      </pic:pic>
                      <pic:pic>
                        <pic:nvPicPr>
                          <pic:cNvPr id="395" name="Image 395"/>
                          <pic:cNvPicPr/>
                        </pic:nvPicPr>
                        <pic:blipFill>
                          <a:blip r:embed="rId67" cstate="print"/>
                          <a:stretch>
                            <a:fillRect/>
                          </a:stretch>
                        </pic:blipFill>
                        <pic:spPr>
                          <a:xfrm>
                            <a:off x="42501" y="38708"/>
                            <a:ext cx="5550264" cy="2679700"/>
                          </a:xfrm>
                          <a:prstGeom prst="rect">
                            <a:avLst/>
                          </a:prstGeom>
                        </pic:spPr>
                      </pic:pic>
                      <wps:wsp>
                        <wps:cNvPr id="396" name="Textbox 396"/>
                        <wps:cNvSpPr txBox="1"/>
                        <wps:spPr>
                          <a:xfrm>
                            <a:off x="0" y="0"/>
                            <a:ext cx="5632450" cy="2778125"/>
                          </a:xfrm>
                          <a:prstGeom prst="rect">
                            <a:avLst/>
                          </a:prstGeom>
                        </wps:spPr>
                        <wps:txbx>
                          <w:txbxContent>
                            <w:p>
                              <w:pPr>
                                <w:spacing w:line="252" w:lineRule="auto" w:before="168"/>
                                <w:ind w:left="251" w:right="179" w:firstLine="0"/>
                                <w:jc w:val="left"/>
                                <w:rPr>
                                  <w:rFonts w:ascii="Calibri" w:hAnsi="Calibri"/>
                                  <w:sz w:val="36"/>
                                </w:rPr>
                              </w:pPr>
                              <w:r>
                                <w:rPr>
                                  <w:rFonts w:ascii="Calibri" w:hAnsi="Calibri"/>
                                  <w:sz w:val="36"/>
                                </w:rPr>
                                <w:t>Minority stressors experienced due to anti-LGBTQ+ stigma</w:t>
                              </w:r>
                              <w:r>
                                <w:rPr>
                                  <w:rFonts w:ascii="Calibri" w:hAnsi="Calibri"/>
                                  <w:spacing w:val="-8"/>
                                  <w:sz w:val="36"/>
                                </w:rPr>
                                <w:t> </w:t>
                              </w:r>
                              <w:r>
                                <w:rPr>
                                  <w:rFonts w:ascii="Calibri" w:hAnsi="Calibri"/>
                                  <w:sz w:val="36"/>
                                </w:rPr>
                                <w:t>include</w:t>
                              </w:r>
                              <w:r>
                                <w:rPr>
                                  <w:rFonts w:ascii="Calibri" w:hAnsi="Calibri"/>
                                  <w:spacing w:val="-8"/>
                                  <w:sz w:val="36"/>
                                </w:rPr>
                                <w:t> </w:t>
                              </w:r>
                              <w:r>
                                <w:rPr>
                                  <w:rFonts w:ascii="Calibri" w:hAnsi="Calibri"/>
                                  <w:sz w:val="36"/>
                                </w:rPr>
                                <w:t>major</w:t>
                              </w:r>
                              <w:r>
                                <w:rPr>
                                  <w:rFonts w:ascii="Calibri" w:hAnsi="Calibri"/>
                                  <w:spacing w:val="-8"/>
                                  <w:sz w:val="36"/>
                                </w:rPr>
                                <w:t> </w:t>
                              </w:r>
                              <w:r>
                                <w:rPr>
                                  <w:rFonts w:ascii="Calibri" w:hAnsi="Calibri"/>
                                  <w:sz w:val="36"/>
                                </w:rPr>
                                <w:t>life</w:t>
                              </w:r>
                              <w:r>
                                <w:rPr>
                                  <w:rFonts w:ascii="Calibri" w:hAnsi="Calibri"/>
                                  <w:spacing w:val="-8"/>
                                  <w:sz w:val="36"/>
                                </w:rPr>
                                <w:t> </w:t>
                              </w:r>
                              <w:r>
                                <w:rPr>
                                  <w:rFonts w:ascii="Calibri" w:hAnsi="Calibri"/>
                                  <w:sz w:val="36"/>
                                </w:rPr>
                                <w:t>events,</w:t>
                              </w:r>
                              <w:r>
                                <w:rPr>
                                  <w:rFonts w:ascii="Calibri" w:hAnsi="Calibri"/>
                                  <w:spacing w:val="-8"/>
                                  <w:sz w:val="36"/>
                                </w:rPr>
                                <w:t> </w:t>
                              </w:r>
                              <w:r>
                                <w:rPr>
                                  <w:rFonts w:ascii="Calibri" w:hAnsi="Calibri"/>
                                  <w:sz w:val="36"/>
                                </w:rPr>
                                <w:t>such</w:t>
                              </w:r>
                              <w:r>
                                <w:rPr>
                                  <w:rFonts w:ascii="Calibri" w:hAnsi="Calibri"/>
                                  <w:spacing w:val="-8"/>
                                  <w:sz w:val="36"/>
                                </w:rPr>
                                <w:t> </w:t>
                              </w:r>
                              <w:r>
                                <w:rPr>
                                  <w:rFonts w:ascii="Calibri" w:hAnsi="Calibri"/>
                                  <w:sz w:val="36"/>
                                </w:rPr>
                                <w:t>as</w:t>
                              </w:r>
                              <w:r>
                                <w:rPr>
                                  <w:rFonts w:ascii="Calibri" w:hAnsi="Calibri"/>
                                  <w:spacing w:val="-8"/>
                                  <w:sz w:val="36"/>
                                </w:rPr>
                                <w:t> </w:t>
                              </w:r>
                              <w:r>
                                <w:rPr>
                                  <w:rFonts w:ascii="Calibri" w:hAnsi="Calibri"/>
                                  <w:sz w:val="36"/>
                                </w:rPr>
                                <w:t>assault</w:t>
                              </w:r>
                              <w:r>
                                <w:rPr>
                                  <w:rFonts w:ascii="Calibri" w:hAnsi="Calibri"/>
                                  <w:spacing w:val="-8"/>
                                  <w:sz w:val="36"/>
                                </w:rPr>
                                <w:t> </w:t>
                              </w:r>
                              <w:r>
                                <w:rPr>
                                  <w:rFonts w:ascii="Calibri" w:hAnsi="Calibri"/>
                                  <w:sz w:val="36"/>
                                </w:rPr>
                                <w:t>because of one’s sexual orientation, gender identity, or gender expression, as well as everyday forms of discrimination and non-affirmation, such as receiving poor services, being assumed to be straight, or being misgendered.</w:t>
                              </w:r>
                            </w:p>
                            <w:p>
                              <w:pPr>
                                <w:spacing w:line="252" w:lineRule="auto" w:before="0"/>
                                <w:ind w:left="251" w:right="179" w:firstLine="0"/>
                                <w:jc w:val="left"/>
                                <w:rPr>
                                  <w:rFonts w:ascii="Calibri"/>
                                  <w:sz w:val="36"/>
                                </w:rPr>
                              </w:pPr>
                              <w:r>
                                <w:rPr>
                                  <w:rFonts w:ascii="Calibri"/>
                                  <w:sz w:val="36"/>
                                </w:rPr>
                                <w:t>Minority</w:t>
                              </w:r>
                              <w:r>
                                <w:rPr>
                                  <w:rFonts w:ascii="Calibri"/>
                                  <w:spacing w:val="-6"/>
                                  <w:sz w:val="36"/>
                                </w:rPr>
                                <w:t> </w:t>
                              </w:r>
                              <w:r>
                                <w:rPr>
                                  <w:rFonts w:ascii="Calibri"/>
                                  <w:sz w:val="36"/>
                                </w:rPr>
                                <w:t>stress</w:t>
                              </w:r>
                              <w:r>
                                <w:rPr>
                                  <w:rFonts w:ascii="Calibri"/>
                                  <w:spacing w:val="-6"/>
                                  <w:sz w:val="36"/>
                                </w:rPr>
                                <w:t> </w:t>
                              </w:r>
                              <w:r>
                                <w:rPr>
                                  <w:rFonts w:ascii="Calibri"/>
                                  <w:sz w:val="36"/>
                                </w:rPr>
                                <w:t>is</w:t>
                              </w:r>
                              <w:r>
                                <w:rPr>
                                  <w:rFonts w:ascii="Calibri"/>
                                  <w:spacing w:val="-6"/>
                                  <w:sz w:val="36"/>
                                </w:rPr>
                                <w:t> </w:t>
                              </w:r>
                              <w:r>
                                <w:rPr>
                                  <w:rFonts w:ascii="Calibri"/>
                                  <w:sz w:val="36"/>
                                </w:rPr>
                                <w:t>also</w:t>
                              </w:r>
                              <w:r>
                                <w:rPr>
                                  <w:rFonts w:ascii="Calibri"/>
                                  <w:spacing w:val="-6"/>
                                  <w:sz w:val="36"/>
                                </w:rPr>
                                <w:t> </w:t>
                              </w:r>
                              <w:r>
                                <w:rPr>
                                  <w:rFonts w:ascii="Calibri"/>
                                  <w:sz w:val="36"/>
                                </w:rPr>
                                <w:t>caused</w:t>
                              </w:r>
                              <w:r>
                                <w:rPr>
                                  <w:rFonts w:ascii="Calibri"/>
                                  <w:spacing w:val="-6"/>
                                  <w:sz w:val="36"/>
                                </w:rPr>
                                <w:t> </w:t>
                              </w:r>
                              <w:r>
                                <w:rPr>
                                  <w:rFonts w:ascii="Calibri"/>
                                  <w:sz w:val="36"/>
                                </w:rPr>
                                <w:t>by</w:t>
                              </w:r>
                              <w:r>
                                <w:rPr>
                                  <w:rFonts w:ascii="Calibri"/>
                                  <w:spacing w:val="-6"/>
                                  <w:sz w:val="36"/>
                                </w:rPr>
                                <w:t> </w:t>
                              </w:r>
                              <w:r>
                                <w:rPr>
                                  <w:rFonts w:ascii="Calibri"/>
                                  <w:sz w:val="36"/>
                                </w:rPr>
                                <w:t>policies</w:t>
                              </w:r>
                              <w:r>
                                <w:rPr>
                                  <w:rFonts w:ascii="Calibri"/>
                                  <w:spacing w:val="-6"/>
                                  <w:sz w:val="36"/>
                                </w:rPr>
                                <w:t> </w:t>
                              </w:r>
                              <w:r>
                                <w:rPr>
                                  <w:rFonts w:ascii="Calibri"/>
                                  <w:sz w:val="36"/>
                                </w:rPr>
                                <w:t>that</w:t>
                              </w:r>
                              <w:r>
                                <w:rPr>
                                  <w:rFonts w:ascii="Calibri"/>
                                  <w:spacing w:val="-6"/>
                                  <w:sz w:val="36"/>
                                </w:rPr>
                                <w:t> </w:t>
                              </w:r>
                              <w:r>
                                <w:rPr>
                                  <w:rFonts w:ascii="Calibri"/>
                                  <w:sz w:val="36"/>
                                </w:rPr>
                                <w:t>limit</w:t>
                              </w:r>
                              <w:r>
                                <w:rPr>
                                  <w:rFonts w:ascii="Calibri"/>
                                  <w:spacing w:val="-6"/>
                                  <w:sz w:val="36"/>
                                </w:rPr>
                                <w:t> </w:t>
                              </w:r>
                              <w:r>
                                <w:rPr>
                                  <w:rFonts w:ascii="Calibri"/>
                                  <w:sz w:val="36"/>
                                </w:rPr>
                                <w:t>the opportunities, resources, and well-being of LGBTQI+</w:t>
                              </w:r>
                            </w:p>
                          </w:txbxContent>
                        </wps:txbx>
                        <wps:bodyPr wrap="square" lIns="0" tIns="0" rIns="0" bIns="0" rtlCol="0">
                          <a:noAutofit/>
                        </wps:bodyPr>
                      </wps:wsp>
                    </wpg:wgp>
                  </a:graphicData>
                </a:graphic>
              </wp:anchor>
            </w:drawing>
          </mc:Choice>
          <mc:Fallback>
            <w:pict>
              <v:group style="position:absolute;margin-left:75.177399pt;margin-top:14.085119pt;width:443.5pt;height:218.75pt;mso-position-horizontal-relative:page;mso-position-vertical-relative:paragraph;z-index:-15634432;mso-wrap-distance-left:0;mso-wrap-distance-right:0" id="docshapegroup389" coordorigin="1504,282" coordsize="8870,4375">
                <v:shape style="position:absolute;left:1503;top:281;width:8870;height:4375" type="#_x0000_t75" id="docshape390" stroked="false">
                  <v:imagedata r:id="rId65" o:title=""/>
                </v:shape>
                <v:shape style="position:absolute;left:1623;top:370;width:8630;height:4135" type="#_x0000_t75" id="docshape391" stroked="false">
                  <v:imagedata r:id="rId66" o:title=""/>
                </v:shape>
                <v:shape style="position:absolute;left:1570;top:342;width:8741;height:4220" type="#_x0000_t75" id="docshape392" stroked="false">
                  <v:imagedata r:id="rId67" o:title=""/>
                </v:shape>
                <v:shape style="position:absolute;left:1503;top:281;width:8870;height:4375" type="#_x0000_t202" id="docshape393" filled="false" stroked="false">
                  <v:textbox inset="0,0,0,0">
                    <w:txbxContent>
                      <w:p>
                        <w:pPr>
                          <w:spacing w:line="252" w:lineRule="auto" w:before="168"/>
                          <w:ind w:left="251" w:right="179" w:firstLine="0"/>
                          <w:jc w:val="left"/>
                          <w:rPr>
                            <w:rFonts w:ascii="Calibri" w:hAnsi="Calibri"/>
                            <w:sz w:val="36"/>
                          </w:rPr>
                        </w:pPr>
                        <w:r>
                          <w:rPr>
                            <w:rFonts w:ascii="Calibri" w:hAnsi="Calibri"/>
                            <w:sz w:val="36"/>
                          </w:rPr>
                          <w:t>Minority stressors experienced due to anti-LGBTQ+ stigma</w:t>
                        </w:r>
                        <w:r>
                          <w:rPr>
                            <w:rFonts w:ascii="Calibri" w:hAnsi="Calibri"/>
                            <w:spacing w:val="-8"/>
                            <w:sz w:val="36"/>
                          </w:rPr>
                          <w:t> </w:t>
                        </w:r>
                        <w:r>
                          <w:rPr>
                            <w:rFonts w:ascii="Calibri" w:hAnsi="Calibri"/>
                            <w:sz w:val="36"/>
                          </w:rPr>
                          <w:t>include</w:t>
                        </w:r>
                        <w:r>
                          <w:rPr>
                            <w:rFonts w:ascii="Calibri" w:hAnsi="Calibri"/>
                            <w:spacing w:val="-8"/>
                            <w:sz w:val="36"/>
                          </w:rPr>
                          <w:t> </w:t>
                        </w:r>
                        <w:r>
                          <w:rPr>
                            <w:rFonts w:ascii="Calibri" w:hAnsi="Calibri"/>
                            <w:sz w:val="36"/>
                          </w:rPr>
                          <w:t>major</w:t>
                        </w:r>
                        <w:r>
                          <w:rPr>
                            <w:rFonts w:ascii="Calibri" w:hAnsi="Calibri"/>
                            <w:spacing w:val="-8"/>
                            <w:sz w:val="36"/>
                          </w:rPr>
                          <w:t> </w:t>
                        </w:r>
                        <w:r>
                          <w:rPr>
                            <w:rFonts w:ascii="Calibri" w:hAnsi="Calibri"/>
                            <w:sz w:val="36"/>
                          </w:rPr>
                          <w:t>life</w:t>
                        </w:r>
                        <w:r>
                          <w:rPr>
                            <w:rFonts w:ascii="Calibri" w:hAnsi="Calibri"/>
                            <w:spacing w:val="-8"/>
                            <w:sz w:val="36"/>
                          </w:rPr>
                          <w:t> </w:t>
                        </w:r>
                        <w:r>
                          <w:rPr>
                            <w:rFonts w:ascii="Calibri" w:hAnsi="Calibri"/>
                            <w:sz w:val="36"/>
                          </w:rPr>
                          <w:t>events,</w:t>
                        </w:r>
                        <w:r>
                          <w:rPr>
                            <w:rFonts w:ascii="Calibri" w:hAnsi="Calibri"/>
                            <w:spacing w:val="-8"/>
                            <w:sz w:val="36"/>
                          </w:rPr>
                          <w:t> </w:t>
                        </w:r>
                        <w:r>
                          <w:rPr>
                            <w:rFonts w:ascii="Calibri" w:hAnsi="Calibri"/>
                            <w:sz w:val="36"/>
                          </w:rPr>
                          <w:t>such</w:t>
                        </w:r>
                        <w:r>
                          <w:rPr>
                            <w:rFonts w:ascii="Calibri" w:hAnsi="Calibri"/>
                            <w:spacing w:val="-8"/>
                            <w:sz w:val="36"/>
                          </w:rPr>
                          <w:t> </w:t>
                        </w:r>
                        <w:r>
                          <w:rPr>
                            <w:rFonts w:ascii="Calibri" w:hAnsi="Calibri"/>
                            <w:sz w:val="36"/>
                          </w:rPr>
                          <w:t>as</w:t>
                        </w:r>
                        <w:r>
                          <w:rPr>
                            <w:rFonts w:ascii="Calibri" w:hAnsi="Calibri"/>
                            <w:spacing w:val="-8"/>
                            <w:sz w:val="36"/>
                          </w:rPr>
                          <w:t> </w:t>
                        </w:r>
                        <w:r>
                          <w:rPr>
                            <w:rFonts w:ascii="Calibri" w:hAnsi="Calibri"/>
                            <w:sz w:val="36"/>
                          </w:rPr>
                          <w:t>assault</w:t>
                        </w:r>
                        <w:r>
                          <w:rPr>
                            <w:rFonts w:ascii="Calibri" w:hAnsi="Calibri"/>
                            <w:spacing w:val="-8"/>
                            <w:sz w:val="36"/>
                          </w:rPr>
                          <w:t> </w:t>
                        </w:r>
                        <w:r>
                          <w:rPr>
                            <w:rFonts w:ascii="Calibri" w:hAnsi="Calibri"/>
                            <w:sz w:val="36"/>
                          </w:rPr>
                          <w:t>because of one’s sexual orientation, gender identity, or gender expression, as well as everyday forms of discrimination and non-affirmation, such as receiving poor services, being assumed to be straight, or being misgendered.</w:t>
                        </w:r>
                      </w:p>
                      <w:p>
                        <w:pPr>
                          <w:spacing w:line="252" w:lineRule="auto" w:before="0"/>
                          <w:ind w:left="251" w:right="179" w:firstLine="0"/>
                          <w:jc w:val="left"/>
                          <w:rPr>
                            <w:rFonts w:ascii="Calibri"/>
                            <w:sz w:val="36"/>
                          </w:rPr>
                        </w:pPr>
                        <w:r>
                          <w:rPr>
                            <w:rFonts w:ascii="Calibri"/>
                            <w:sz w:val="36"/>
                          </w:rPr>
                          <w:t>Minority</w:t>
                        </w:r>
                        <w:r>
                          <w:rPr>
                            <w:rFonts w:ascii="Calibri"/>
                            <w:spacing w:val="-6"/>
                            <w:sz w:val="36"/>
                          </w:rPr>
                          <w:t> </w:t>
                        </w:r>
                        <w:r>
                          <w:rPr>
                            <w:rFonts w:ascii="Calibri"/>
                            <w:sz w:val="36"/>
                          </w:rPr>
                          <w:t>stress</w:t>
                        </w:r>
                        <w:r>
                          <w:rPr>
                            <w:rFonts w:ascii="Calibri"/>
                            <w:spacing w:val="-6"/>
                            <w:sz w:val="36"/>
                          </w:rPr>
                          <w:t> </w:t>
                        </w:r>
                        <w:r>
                          <w:rPr>
                            <w:rFonts w:ascii="Calibri"/>
                            <w:sz w:val="36"/>
                          </w:rPr>
                          <w:t>is</w:t>
                        </w:r>
                        <w:r>
                          <w:rPr>
                            <w:rFonts w:ascii="Calibri"/>
                            <w:spacing w:val="-6"/>
                            <w:sz w:val="36"/>
                          </w:rPr>
                          <w:t> </w:t>
                        </w:r>
                        <w:r>
                          <w:rPr>
                            <w:rFonts w:ascii="Calibri"/>
                            <w:sz w:val="36"/>
                          </w:rPr>
                          <w:t>also</w:t>
                        </w:r>
                        <w:r>
                          <w:rPr>
                            <w:rFonts w:ascii="Calibri"/>
                            <w:spacing w:val="-6"/>
                            <w:sz w:val="36"/>
                          </w:rPr>
                          <w:t> </w:t>
                        </w:r>
                        <w:r>
                          <w:rPr>
                            <w:rFonts w:ascii="Calibri"/>
                            <w:sz w:val="36"/>
                          </w:rPr>
                          <w:t>caused</w:t>
                        </w:r>
                        <w:r>
                          <w:rPr>
                            <w:rFonts w:ascii="Calibri"/>
                            <w:spacing w:val="-6"/>
                            <w:sz w:val="36"/>
                          </w:rPr>
                          <w:t> </w:t>
                        </w:r>
                        <w:r>
                          <w:rPr>
                            <w:rFonts w:ascii="Calibri"/>
                            <w:sz w:val="36"/>
                          </w:rPr>
                          <w:t>by</w:t>
                        </w:r>
                        <w:r>
                          <w:rPr>
                            <w:rFonts w:ascii="Calibri"/>
                            <w:spacing w:val="-6"/>
                            <w:sz w:val="36"/>
                          </w:rPr>
                          <w:t> </w:t>
                        </w:r>
                        <w:r>
                          <w:rPr>
                            <w:rFonts w:ascii="Calibri"/>
                            <w:sz w:val="36"/>
                          </w:rPr>
                          <w:t>policies</w:t>
                        </w:r>
                        <w:r>
                          <w:rPr>
                            <w:rFonts w:ascii="Calibri"/>
                            <w:spacing w:val="-6"/>
                            <w:sz w:val="36"/>
                          </w:rPr>
                          <w:t> </w:t>
                        </w:r>
                        <w:r>
                          <w:rPr>
                            <w:rFonts w:ascii="Calibri"/>
                            <w:sz w:val="36"/>
                          </w:rPr>
                          <w:t>that</w:t>
                        </w:r>
                        <w:r>
                          <w:rPr>
                            <w:rFonts w:ascii="Calibri"/>
                            <w:spacing w:val="-6"/>
                            <w:sz w:val="36"/>
                          </w:rPr>
                          <w:t> </w:t>
                        </w:r>
                        <w:r>
                          <w:rPr>
                            <w:rFonts w:ascii="Calibri"/>
                            <w:sz w:val="36"/>
                          </w:rPr>
                          <w:t>limit</w:t>
                        </w:r>
                        <w:r>
                          <w:rPr>
                            <w:rFonts w:ascii="Calibri"/>
                            <w:spacing w:val="-6"/>
                            <w:sz w:val="36"/>
                          </w:rPr>
                          <w:t> </w:t>
                        </w:r>
                        <w:r>
                          <w:rPr>
                            <w:rFonts w:ascii="Calibri"/>
                            <w:sz w:val="36"/>
                          </w:rPr>
                          <w:t>the opportunities, resources, and well-being of LGBTQI+</w:t>
                        </w:r>
                      </w:p>
                    </w:txbxContent>
                  </v:textbox>
                  <w10:wrap type="none"/>
                </v:shape>
                <w10:wrap type="topAndBottom"/>
              </v:group>
            </w:pict>
          </mc:Fallback>
        </mc:AlternateContent>
      </w:r>
    </w:p>
    <w:p>
      <w:pPr>
        <w:pStyle w:val="BodyText"/>
        <w:spacing w:before="144"/>
        <w:ind w:left="280" w:right="502"/>
      </w:pPr>
      <w:r>
        <w:rPr/>
        <w:t>gender</w:t>
      </w:r>
      <w:r>
        <w:rPr>
          <w:spacing w:val="-5"/>
        </w:rPr>
        <w:t> </w:t>
      </w:r>
      <w:r>
        <w:rPr/>
        <w:t>diverse</w:t>
      </w:r>
      <w:r>
        <w:rPr>
          <w:spacing w:val="-6"/>
        </w:rPr>
        <w:t> </w:t>
      </w:r>
      <w:r>
        <w:rPr/>
        <w:t>and</w:t>
      </w:r>
      <w:r>
        <w:rPr>
          <w:spacing w:val="-5"/>
        </w:rPr>
        <w:t> </w:t>
      </w:r>
      <w:r>
        <w:rPr/>
        <w:t>having</w:t>
      </w:r>
      <w:r>
        <w:rPr>
          <w:spacing w:val="-5"/>
        </w:rPr>
        <w:t> </w:t>
      </w:r>
      <w:r>
        <w:rPr/>
        <w:t>a</w:t>
      </w:r>
      <w:r>
        <w:rPr>
          <w:spacing w:val="-6"/>
        </w:rPr>
        <w:t> </w:t>
      </w:r>
      <w:r>
        <w:rPr/>
        <w:t>negative</w:t>
      </w:r>
      <w:r>
        <w:rPr>
          <w:spacing w:val="-6"/>
        </w:rPr>
        <w:t> </w:t>
      </w:r>
      <w:r>
        <w:rPr/>
        <w:t>gender-related</w:t>
      </w:r>
      <w:r>
        <w:rPr>
          <w:spacing w:val="-5"/>
        </w:rPr>
        <w:t> </w:t>
      </w:r>
      <w:r>
        <w:rPr/>
        <w:t>self-concept</w:t>
      </w:r>
      <w:r>
        <w:rPr>
          <w:spacing w:val="-5"/>
        </w:rPr>
        <w:t> </w:t>
      </w:r>
      <w:r>
        <w:rPr/>
        <w:t>have</w:t>
      </w:r>
      <w:r>
        <w:rPr>
          <w:spacing w:val="-6"/>
        </w:rPr>
        <w:t> </w:t>
      </w:r>
      <w:r>
        <w:rPr/>
        <w:t>been connected to mental health challenges and greater substance use among transgender and gender-diverse adolescents.</w:t>
      </w:r>
    </w:p>
    <w:p>
      <w:pPr>
        <w:pStyle w:val="BodyText"/>
        <w:spacing w:before="4"/>
        <w:rPr>
          <w:sz w:val="27"/>
        </w:rPr>
      </w:pPr>
    </w:p>
    <w:p>
      <w:pPr>
        <w:pStyle w:val="BodyText"/>
        <w:ind w:left="280" w:right="668"/>
      </w:pPr>
      <w:r>
        <w:rPr/>
        <w:t>Important areas of focus for behavioral health providers who work with adolescents includes helping them address negative</w:t>
      </w:r>
      <w:r>
        <w:rPr>
          <w:spacing w:val="-1"/>
        </w:rPr>
        <w:t> </w:t>
      </w:r>
      <w:r>
        <w:rPr/>
        <w:t>views about aspects of their identity and supporting positive identity development. Therefore, important areas of focus for behavioral health providers who work with transgender</w:t>
      </w:r>
      <w:r>
        <w:rPr>
          <w:spacing w:val="-3"/>
        </w:rPr>
        <w:t> </w:t>
      </w:r>
      <w:r>
        <w:rPr/>
        <w:t>and</w:t>
      </w:r>
      <w:r>
        <w:rPr>
          <w:spacing w:val="-3"/>
        </w:rPr>
        <w:t> </w:t>
      </w:r>
      <w:r>
        <w:rPr/>
        <w:t>gender-diverse</w:t>
      </w:r>
      <w:r>
        <w:rPr>
          <w:spacing w:val="-3"/>
        </w:rPr>
        <w:t> </w:t>
      </w:r>
      <w:r>
        <w:rPr/>
        <w:t>adolescents</w:t>
      </w:r>
      <w:r>
        <w:rPr>
          <w:spacing w:val="-3"/>
        </w:rPr>
        <w:t> </w:t>
      </w:r>
      <w:r>
        <w:rPr/>
        <w:t>are</w:t>
      </w:r>
      <w:r>
        <w:rPr>
          <w:spacing w:val="-3"/>
        </w:rPr>
        <w:t> </w:t>
      </w:r>
      <w:r>
        <w:rPr/>
        <w:t>reducing</w:t>
      </w:r>
      <w:r>
        <w:rPr>
          <w:spacing w:val="-3"/>
        </w:rPr>
        <w:t> </w:t>
      </w:r>
      <w:r>
        <w:rPr/>
        <w:t>negative</w:t>
      </w:r>
      <w:r>
        <w:rPr>
          <w:spacing w:val="-3"/>
        </w:rPr>
        <w:t> </w:t>
      </w:r>
      <w:r>
        <w:rPr/>
        <w:t>views</w:t>
      </w:r>
      <w:r>
        <w:rPr>
          <w:spacing w:val="-3"/>
        </w:rPr>
        <w:t> </w:t>
      </w:r>
      <w:r>
        <w:rPr/>
        <w:t>of their</w:t>
      </w:r>
      <w:r>
        <w:rPr>
          <w:spacing w:val="-6"/>
        </w:rPr>
        <w:t> </w:t>
      </w:r>
      <w:r>
        <w:rPr/>
        <w:t>own</w:t>
      </w:r>
      <w:r>
        <w:rPr>
          <w:spacing w:val="-5"/>
        </w:rPr>
        <w:t> </w:t>
      </w:r>
      <w:r>
        <w:rPr/>
        <w:t>gender</w:t>
      </w:r>
      <w:r>
        <w:rPr>
          <w:spacing w:val="-5"/>
        </w:rPr>
        <w:t> </w:t>
      </w:r>
      <w:r>
        <w:rPr/>
        <w:t>identity</w:t>
      </w:r>
      <w:r>
        <w:rPr>
          <w:spacing w:val="-5"/>
        </w:rPr>
        <w:t> </w:t>
      </w:r>
      <w:r>
        <w:rPr/>
        <w:t>and</w:t>
      </w:r>
      <w:r>
        <w:rPr>
          <w:spacing w:val="-5"/>
        </w:rPr>
        <w:t> </w:t>
      </w:r>
      <w:r>
        <w:rPr/>
        <w:t>supporting</w:t>
      </w:r>
      <w:r>
        <w:rPr>
          <w:spacing w:val="-5"/>
        </w:rPr>
        <w:t> </w:t>
      </w:r>
      <w:r>
        <w:rPr/>
        <w:t>positive</w:t>
      </w:r>
      <w:r>
        <w:rPr>
          <w:spacing w:val="-5"/>
        </w:rPr>
        <w:t> </w:t>
      </w:r>
      <w:r>
        <w:rPr/>
        <w:t>identity</w:t>
      </w:r>
      <w:r>
        <w:rPr>
          <w:spacing w:val="-5"/>
        </w:rPr>
        <w:t> </w:t>
      </w:r>
      <w:r>
        <w:rPr/>
        <w:t>development.</w:t>
      </w:r>
      <w:r>
        <w:rPr>
          <w:spacing w:val="-18"/>
        </w:rPr>
        <w:t> </w:t>
      </w:r>
      <w:r>
        <w:rPr/>
        <w:t>As with adolescents of diverse sexual orientations, this includes integration of</w:t>
      </w:r>
    </w:p>
    <w:p>
      <w:pPr>
        <w:spacing w:after="0"/>
        <w:sectPr>
          <w:pgSz w:w="12240" w:h="15840"/>
          <w:pgMar w:header="0" w:footer="783" w:top="1260" w:bottom="980" w:left="1400" w:right="1180"/>
        </w:sectPr>
      </w:pPr>
    </w:p>
    <w:p>
      <w:pPr>
        <w:pStyle w:val="BodyText"/>
        <w:spacing w:before="66"/>
        <w:ind w:left="280" w:right="668"/>
      </w:pPr>
      <w:r>
        <w:rPr/>
        <w:t>gender</w:t>
      </w:r>
      <w:r>
        <w:rPr>
          <w:spacing w:val="-5"/>
        </w:rPr>
        <w:t> </w:t>
      </w:r>
      <w:r>
        <w:rPr/>
        <w:t>identity</w:t>
      </w:r>
      <w:r>
        <w:rPr>
          <w:spacing w:val="-5"/>
        </w:rPr>
        <w:t> </w:t>
      </w:r>
      <w:r>
        <w:rPr/>
        <w:t>and</w:t>
      </w:r>
      <w:r>
        <w:rPr>
          <w:spacing w:val="-5"/>
        </w:rPr>
        <w:t> </w:t>
      </w:r>
      <w:r>
        <w:rPr/>
        <w:t>gender</w:t>
      </w:r>
      <w:r>
        <w:rPr>
          <w:spacing w:val="-5"/>
        </w:rPr>
        <w:t> </w:t>
      </w:r>
      <w:r>
        <w:rPr/>
        <w:t>self-concept</w:t>
      </w:r>
      <w:r>
        <w:rPr>
          <w:spacing w:val="-5"/>
        </w:rPr>
        <w:t> </w:t>
      </w:r>
      <w:r>
        <w:rPr/>
        <w:t>into</w:t>
      </w:r>
      <w:r>
        <w:rPr>
          <w:spacing w:val="-5"/>
        </w:rPr>
        <w:t> </w:t>
      </w:r>
      <w:r>
        <w:rPr/>
        <w:t>their</w:t>
      </w:r>
      <w:r>
        <w:rPr>
          <w:spacing w:val="-5"/>
        </w:rPr>
        <w:t> </w:t>
      </w:r>
      <w:r>
        <w:rPr/>
        <w:t>larger</w:t>
      </w:r>
      <w:r>
        <w:rPr>
          <w:spacing w:val="-5"/>
        </w:rPr>
        <w:t> </w:t>
      </w:r>
      <w:r>
        <w:rPr/>
        <w:t>sense</w:t>
      </w:r>
      <w:r>
        <w:rPr>
          <w:spacing w:val="-6"/>
        </w:rPr>
        <w:t> </w:t>
      </w:r>
      <w:r>
        <w:rPr/>
        <w:t>of</w:t>
      </w:r>
      <w:r>
        <w:rPr>
          <w:spacing w:val="-5"/>
        </w:rPr>
        <w:t> </w:t>
      </w:r>
      <w:r>
        <w:rPr/>
        <w:t>self, alongside cultural, racial/ethnic, and other identities.</w:t>
      </w:r>
    </w:p>
    <w:p>
      <w:pPr>
        <w:pStyle w:val="BodyText"/>
        <w:spacing w:before="5"/>
        <w:rPr>
          <w:sz w:val="27"/>
        </w:rPr>
      </w:pPr>
    </w:p>
    <w:p>
      <w:pPr>
        <w:pStyle w:val="BodyText"/>
        <w:ind w:left="280" w:right="502"/>
      </w:pPr>
      <w:r>
        <w:rPr/>
        <w:t>Research on how gender identity development varies by gender, race and ethnicity, and other cultural, social, and environmental factors remains in its early stages. Some studies have identified potential differences in developmental</w:t>
      </w:r>
      <w:r>
        <w:rPr>
          <w:spacing w:val="-7"/>
        </w:rPr>
        <w:t> </w:t>
      </w:r>
      <w:r>
        <w:rPr/>
        <w:t>trajectory</w:t>
      </w:r>
      <w:r>
        <w:rPr>
          <w:spacing w:val="-7"/>
        </w:rPr>
        <w:t> </w:t>
      </w:r>
      <w:r>
        <w:rPr/>
        <w:t>by</w:t>
      </w:r>
      <w:r>
        <w:rPr>
          <w:spacing w:val="-7"/>
        </w:rPr>
        <w:t> </w:t>
      </w:r>
      <w:r>
        <w:rPr/>
        <w:t>gender.</w:t>
      </w:r>
      <w:r>
        <w:rPr>
          <w:spacing w:val="-7"/>
        </w:rPr>
        <w:t> </w:t>
      </w:r>
      <w:r>
        <w:rPr/>
        <w:t>Many</w:t>
      </w:r>
      <w:r>
        <w:rPr>
          <w:spacing w:val="-7"/>
        </w:rPr>
        <w:t> </w:t>
      </w:r>
      <w:r>
        <w:rPr/>
        <w:t>studies</w:t>
      </w:r>
      <w:r>
        <w:rPr>
          <w:spacing w:val="-7"/>
        </w:rPr>
        <w:t> </w:t>
      </w:r>
      <w:r>
        <w:rPr/>
        <w:t>have</w:t>
      </w:r>
      <w:r>
        <w:rPr>
          <w:spacing w:val="-8"/>
        </w:rPr>
        <w:t> </w:t>
      </w:r>
      <w:r>
        <w:rPr/>
        <w:t>disproportionately</w:t>
      </w:r>
      <w:r>
        <w:rPr>
          <w:spacing w:val="-7"/>
        </w:rPr>
        <w:t> </w:t>
      </w:r>
      <w:r>
        <w:rPr/>
        <w:t>low representation of transgender girls and other gender-diverse youth assigned male at birth, suggesting that transgender girls and women are coming out at later ages.</w:t>
      </w:r>
    </w:p>
    <w:p>
      <w:pPr>
        <w:pStyle w:val="BodyText"/>
        <w:spacing w:before="54"/>
        <w:ind w:left="280" w:right="502"/>
      </w:pPr>
      <w:r>
        <w:rPr/>
        <w:t>One study investigating age upon accessing gender-affirming medical care found that it was influenced by contextual factors, such as family religion, having a helpful caregiver, as well as developmental milestones reached upon recognition</w:t>
      </w:r>
      <w:r>
        <w:rPr>
          <w:spacing w:val="-4"/>
        </w:rPr>
        <w:t> </w:t>
      </w:r>
      <w:r>
        <w:rPr/>
        <w:t>of</w:t>
      </w:r>
      <w:r>
        <w:rPr>
          <w:spacing w:val="-4"/>
        </w:rPr>
        <w:t> </w:t>
      </w:r>
      <w:r>
        <w:rPr/>
        <w:t>gender</w:t>
      </w:r>
      <w:r>
        <w:rPr>
          <w:spacing w:val="-4"/>
        </w:rPr>
        <w:t> </w:t>
      </w:r>
      <w:r>
        <w:rPr/>
        <w:t>incongruence</w:t>
      </w:r>
      <w:r>
        <w:rPr>
          <w:spacing w:val="-5"/>
        </w:rPr>
        <w:t> </w:t>
      </w:r>
      <w:r>
        <w:rPr/>
        <w:t>and</w:t>
      </w:r>
      <w:r>
        <w:rPr>
          <w:spacing w:val="-4"/>
        </w:rPr>
        <w:t> </w:t>
      </w:r>
      <w:r>
        <w:rPr/>
        <w:t>age</w:t>
      </w:r>
      <w:r>
        <w:rPr>
          <w:spacing w:val="-5"/>
        </w:rPr>
        <w:t> </w:t>
      </w:r>
      <w:r>
        <w:rPr/>
        <w:t>at</w:t>
      </w:r>
      <w:r>
        <w:rPr>
          <w:spacing w:val="-4"/>
        </w:rPr>
        <w:t> </w:t>
      </w:r>
      <w:r>
        <w:rPr/>
        <w:t>coming</w:t>
      </w:r>
      <w:r>
        <w:rPr>
          <w:spacing w:val="-4"/>
        </w:rPr>
        <w:t> </w:t>
      </w:r>
      <w:r>
        <w:rPr/>
        <w:t>out</w:t>
      </w:r>
      <w:r>
        <w:rPr>
          <w:spacing w:val="-4"/>
        </w:rPr>
        <w:t> </w:t>
      </w:r>
      <w:r>
        <w:rPr/>
        <w:t>or</w:t>
      </w:r>
      <w:r>
        <w:rPr>
          <w:spacing w:val="-4"/>
        </w:rPr>
        <w:t> </w:t>
      </w:r>
      <w:r>
        <w:rPr/>
        <w:t>disclosing</w:t>
      </w:r>
      <w:r>
        <w:rPr>
          <w:spacing w:val="-4"/>
        </w:rPr>
        <w:t> </w:t>
      </w:r>
      <w:r>
        <w:rPr/>
        <w:t>gender identity.</w:t>
      </w:r>
      <w:r>
        <w:rPr>
          <w:spacing w:val="-6"/>
        </w:rPr>
        <w:t> </w:t>
      </w:r>
      <w:r>
        <w:rPr/>
        <w:t>Another study of young transgender women found differences by racial/ethnic group, suggesting that youth of color may achieve some social milestones (e.g., disclosure of gender identity) at younger ages than white </w:t>
      </w:r>
      <w:r>
        <w:rPr>
          <w:spacing w:val="-2"/>
        </w:rPr>
        <w:t>youth.</w:t>
      </w:r>
    </w:p>
    <w:p>
      <w:pPr>
        <w:pStyle w:val="BodyText"/>
        <w:spacing w:before="164"/>
        <w:ind w:left="280" w:right="529"/>
      </w:pPr>
      <w:r>
        <w:rPr/>
        <w:t>Most research with transgender and gender-diverse youth has been conducted with mostly white, higher income families living in urban areas who have access to specialized pediatric gender clinics. In recent years, more research has been conducted with nonclinical populations of children. Given the tremendous</w:t>
      </w:r>
      <w:r>
        <w:rPr>
          <w:spacing w:val="-4"/>
        </w:rPr>
        <w:t> </w:t>
      </w:r>
      <w:r>
        <w:rPr/>
        <w:t>variation</w:t>
      </w:r>
      <w:r>
        <w:rPr>
          <w:spacing w:val="-4"/>
        </w:rPr>
        <w:t> </w:t>
      </w:r>
      <w:r>
        <w:rPr/>
        <w:t>in</w:t>
      </w:r>
      <w:r>
        <w:rPr>
          <w:spacing w:val="-4"/>
        </w:rPr>
        <w:t> </w:t>
      </w:r>
      <w:r>
        <w:rPr/>
        <w:t>attitudes</w:t>
      </w:r>
      <w:r>
        <w:rPr>
          <w:spacing w:val="-4"/>
        </w:rPr>
        <w:t> </w:t>
      </w:r>
      <w:r>
        <w:rPr/>
        <w:t>and</w:t>
      </w:r>
      <w:r>
        <w:rPr>
          <w:spacing w:val="-4"/>
        </w:rPr>
        <w:t> </w:t>
      </w:r>
      <w:r>
        <w:rPr/>
        <w:t>expectations</w:t>
      </w:r>
      <w:r>
        <w:rPr>
          <w:spacing w:val="-4"/>
        </w:rPr>
        <w:t> </w:t>
      </w:r>
      <w:r>
        <w:rPr/>
        <w:t>related</w:t>
      </w:r>
      <w:r>
        <w:rPr>
          <w:spacing w:val="-4"/>
        </w:rPr>
        <w:t> </w:t>
      </w:r>
      <w:r>
        <w:rPr/>
        <w:t>to</w:t>
      </w:r>
      <w:r>
        <w:rPr>
          <w:spacing w:val="-4"/>
        </w:rPr>
        <w:t> </w:t>
      </w:r>
      <w:r>
        <w:rPr/>
        <w:t>gender</w:t>
      </w:r>
      <w:r>
        <w:rPr>
          <w:spacing w:val="-4"/>
        </w:rPr>
        <w:t> </w:t>
      </w:r>
      <w:r>
        <w:rPr/>
        <w:t>by</w:t>
      </w:r>
      <w:r>
        <w:rPr>
          <w:spacing w:val="-4"/>
        </w:rPr>
        <w:t> </w:t>
      </w:r>
      <w:r>
        <w:rPr/>
        <w:t>cultural group and family background, more research is needed with racially and ethnically diverse children and families, lower income families, and families from different cultural and religious backgrounds to better understand the experiences</w:t>
      </w:r>
      <w:r>
        <w:rPr>
          <w:spacing w:val="-4"/>
        </w:rPr>
        <w:t> </w:t>
      </w:r>
      <w:r>
        <w:rPr/>
        <w:t>and</w:t>
      </w:r>
      <w:r>
        <w:rPr>
          <w:spacing w:val="-4"/>
        </w:rPr>
        <w:t> </w:t>
      </w:r>
      <w:r>
        <w:rPr/>
        <w:t>needs</w:t>
      </w:r>
      <w:r>
        <w:rPr>
          <w:spacing w:val="-4"/>
        </w:rPr>
        <w:t> </w:t>
      </w:r>
      <w:r>
        <w:rPr/>
        <w:t>of</w:t>
      </w:r>
      <w:r>
        <w:rPr>
          <w:spacing w:val="-4"/>
        </w:rPr>
        <w:t> </w:t>
      </w:r>
      <w:r>
        <w:rPr/>
        <w:t>diverse</w:t>
      </w:r>
      <w:r>
        <w:rPr>
          <w:spacing w:val="-5"/>
        </w:rPr>
        <w:t> </w:t>
      </w:r>
      <w:r>
        <w:rPr/>
        <w:t>gender</w:t>
      </w:r>
      <w:r>
        <w:rPr>
          <w:spacing w:val="-4"/>
        </w:rPr>
        <w:t> </w:t>
      </w:r>
      <w:r>
        <w:rPr/>
        <w:t>minority</w:t>
      </w:r>
      <w:r>
        <w:rPr>
          <w:spacing w:val="-4"/>
        </w:rPr>
        <w:t> </w:t>
      </w:r>
      <w:r>
        <w:rPr/>
        <w:t>children</w:t>
      </w:r>
      <w:r>
        <w:rPr>
          <w:spacing w:val="-4"/>
        </w:rPr>
        <w:t> </w:t>
      </w:r>
      <w:r>
        <w:rPr/>
        <w:t>and</w:t>
      </w:r>
      <w:r>
        <w:rPr>
          <w:spacing w:val="-4"/>
        </w:rPr>
        <w:t> </w:t>
      </w:r>
      <w:r>
        <w:rPr/>
        <w:t>adolescents</w:t>
      </w:r>
      <w:r>
        <w:rPr>
          <w:spacing w:val="-4"/>
        </w:rPr>
        <w:t> </w:t>
      </w:r>
      <w:r>
        <w:rPr/>
        <w:t>and to ensure access to evidence-based care.</w:t>
      </w:r>
    </w:p>
    <w:p>
      <w:pPr>
        <w:pStyle w:val="BodyText"/>
        <w:spacing w:before="10"/>
        <w:rPr>
          <w:sz w:val="31"/>
        </w:rPr>
      </w:pPr>
    </w:p>
    <w:p>
      <w:pPr>
        <w:pStyle w:val="Heading2"/>
        <w:spacing w:before="1"/>
      </w:pPr>
      <w:r>
        <w:rPr/>
        <w:t>Health</w:t>
      </w:r>
      <w:r>
        <w:rPr>
          <w:spacing w:val="-5"/>
        </w:rPr>
        <w:t> </w:t>
      </w:r>
      <w:r>
        <w:rPr/>
        <w:t>and</w:t>
      </w:r>
      <w:r>
        <w:rPr>
          <w:spacing w:val="-10"/>
        </w:rPr>
        <w:t> </w:t>
      </w:r>
      <w:r>
        <w:rPr/>
        <w:t>Well-Being</w:t>
      </w:r>
      <w:r>
        <w:rPr>
          <w:spacing w:val="-4"/>
        </w:rPr>
        <w:t> </w:t>
      </w:r>
      <w:r>
        <w:rPr/>
        <w:t>of</w:t>
      </w:r>
      <w:r>
        <w:rPr>
          <w:spacing w:val="-5"/>
        </w:rPr>
        <w:t> </w:t>
      </w:r>
      <w:r>
        <w:rPr/>
        <w:t>LGBTQI+</w:t>
      </w:r>
      <w:r>
        <w:rPr>
          <w:spacing w:val="-14"/>
        </w:rPr>
        <w:t> </w:t>
      </w:r>
      <w:r>
        <w:rPr>
          <w:spacing w:val="-2"/>
        </w:rPr>
        <w:t>Youth</w:t>
      </w:r>
    </w:p>
    <w:p>
      <w:pPr>
        <w:pStyle w:val="BodyText"/>
        <w:spacing w:before="65"/>
        <w:ind w:left="280" w:right="502"/>
      </w:pPr>
      <w:r>
        <w:rPr/>
        <w:t>In the United States and worldwide, sexual-and gender-diverse populations experience</w:t>
      </w:r>
      <w:r>
        <w:rPr>
          <w:spacing w:val="-5"/>
        </w:rPr>
        <w:t> </w:t>
      </w:r>
      <w:r>
        <w:rPr/>
        <w:t>inequities</w:t>
      </w:r>
      <w:r>
        <w:rPr>
          <w:spacing w:val="-4"/>
        </w:rPr>
        <w:t> </w:t>
      </w:r>
      <w:r>
        <w:rPr/>
        <w:t>in</w:t>
      </w:r>
      <w:r>
        <w:rPr>
          <w:spacing w:val="-4"/>
        </w:rPr>
        <w:t> </w:t>
      </w:r>
      <w:r>
        <w:rPr/>
        <w:t>many</w:t>
      </w:r>
      <w:r>
        <w:rPr>
          <w:spacing w:val="-4"/>
        </w:rPr>
        <w:t> </w:t>
      </w:r>
      <w:r>
        <w:rPr/>
        <w:t>behavioral</w:t>
      </w:r>
      <w:r>
        <w:rPr>
          <w:spacing w:val="-4"/>
        </w:rPr>
        <w:t> </w:t>
      </w:r>
      <w:r>
        <w:rPr/>
        <w:t>health</w:t>
      </w:r>
      <w:r>
        <w:rPr>
          <w:spacing w:val="-4"/>
        </w:rPr>
        <w:t> </w:t>
      </w:r>
      <w:r>
        <w:rPr/>
        <w:t>outcomes.</w:t>
      </w:r>
      <w:r>
        <w:rPr>
          <w:spacing w:val="-10"/>
        </w:rPr>
        <w:t> </w:t>
      </w:r>
      <w:r>
        <w:rPr/>
        <w:t>This</w:t>
      </w:r>
      <w:r>
        <w:rPr>
          <w:spacing w:val="-4"/>
        </w:rPr>
        <w:t> </w:t>
      </w:r>
      <w:r>
        <w:rPr/>
        <w:t>report</w:t>
      </w:r>
      <w:r>
        <w:rPr>
          <w:spacing w:val="-4"/>
        </w:rPr>
        <w:t> </w:t>
      </w:r>
      <w:r>
        <w:rPr/>
        <w:t>uses</w:t>
      </w:r>
      <w:r>
        <w:rPr>
          <w:spacing w:val="-4"/>
        </w:rPr>
        <w:t> </w:t>
      </w:r>
      <w:r>
        <w:rPr/>
        <w:t>the phrase “health inequities” as opposed to “health disparities” to refer to unnecessary and avoidable health differences. These health inequities are not caused by one’s sexual orientation, gender identity, or gender expression, but rather by anti-LGBTQI+ stigma that is embedded in proposed and enacted laws, policies, and societal attitudes.</w:t>
      </w:r>
    </w:p>
    <w:p>
      <w:pPr>
        <w:pStyle w:val="BodyText"/>
        <w:spacing w:before="9"/>
        <w:rPr>
          <w:sz w:val="39"/>
        </w:rPr>
      </w:pPr>
    </w:p>
    <w:p>
      <w:pPr>
        <w:pStyle w:val="BodyText"/>
        <w:ind w:left="280" w:right="668"/>
      </w:pPr>
      <w:r>
        <w:rPr/>
        <w:t>The Minority Stress Model provides an empirically validated conceptual model</w:t>
      </w:r>
      <w:r>
        <w:rPr>
          <w:spacing w:val="-4"/>
        </w:rPr>
        <w:t> </w:t>
      </w:r>
      <w:r>
        <w:rPr/>
        <w:t>for</w:t>
      </w:r>
      <w:r>
        <w:rPr>
          <w:spacing w:val="-4"/>
        </w:rPr>
        <w:t> </w:t>
      </w:r>
      <w:r>
        <w:rPr/>
        <w:t>understanding</w:t>
      </w:r>
      <w:r>
        <w:rPr>
          <w:spacing w:val="-4"/>
        </w:rPr>
        <w:t> </w:t>
      </w:r>
      <w:r>
        <w:rPr/>
        <w:t>how</w:t>
      </w:r>
      <w:r>
        <w:rPr>
          <w:spacing w:val="-4"/>
        </w:rPr>
        <w:t> </w:t>
      </w:r>
      <w:r>
        <w:rPr/>
        <w:t>stress</w:t>
      </w:r>
      <w:r>
        <w:rPr>
          <w:spacing w:val="-4"/>
        </w:rPr>
        <w:t> </w:t>
      </w:r>
      <w:r>
        <w:rPr/>
        <w:t>due</w:t>
      </w:r>
      <w:r>
        <w:rPr>
          <w:spacing w:val="-5"/>
        </w:rPr>
        <w:t> </w:t>
      </w:r>
      <w:r>
        <w:rPr/>
        <w:t>to</w:t>
      </w:r>
      <w:r>
        <w:rPr>
          <w:spacing w:val="-4"/>
        </w:rPr>
        <w:t> </w:t>
      </w:r>
      <w:r>
        <w:rPr/>
        <w:t>anti-LGBTQI+</w:t>
      </w:r>
      <w:r>
        <w:rPr>
          <w:spacing w:val="-4"/>
        </w:rPr>
        <w:t> </w:t>
      </w:r>
      <w:r>
        <w:rPr/>
        <w:t>stigma,</w:t>
      </w:r>
      <w:r>
        <w:rPr>
          <w:spacing w:val="-4"/>
        </w:rPr>
        <w:t> </w:t>
      </w:r>
      <w:r>
        <w:rPr/>
        <w:t>coupled</w:t>
      </w:r>
    </w:p>
    <w:p>
      <w:pPr>
        <w:spacing w:after="0"/>
        <w:sectPr>
          <w:pgSz w:w="12240" w:h="15840"/>
          <w:pgMar w:header="0" w:footer="783" w:top="1260" w:bottom="980" w:left="1400" w:right="1180"/>
        </w:sectPr>
      </w:pPr>
    </w:p>
    <w:p>
      <w:pPr>
        <w:pStyle w:val="BodyText"/>
        <w:spacing w:before="66"/>
        <w:ind w:left="280" w:right="551"/>
        <w:jc w:val="both"/>
      </w:pPr>
      <w:r>
        <w:rPr/>
        <w:t>with</w:t>
      </w:r>
      <w:r>
        <w:rPr>
          <w:spacing w:val="-4"/>
        </w:rPr>
        <w:t> </w:t>
      </w:r>
      <w:r>
        <w:rPr/>
        <w:t>general</w:t>
      </w:r>
      <w:r>
        <w:rPr>
          <w:spacing w:val="-4"/>
        </w:rPr>
        <w:t> </w:t>
      </w:r>
      <w:r>
        <w:rPr/>
        <w:t>life</w:t>
      </w:r>
      <w:r>
        <w:rPr>
          <w:spacing w:val="-5"/>
        </w:rPr>
        <w:t> </w:t>
      </w:r>
      <w:r>
        <w:rPr/>
        <w:t>stressors,</w:t>
      </w:r>
      <w:r>
        <w:rPr>
          <w:spacing w:val="-4"/>
        </w:rPr>
        <w:t> </w:t>
      </w:r>
      <w:r>
        <w:rPr/>
        <w:t>puts</w:t>
      </w:r>
      <w:r>
        <w:rPr>
          <w:spacing w:val="-4"/>
        </w:rPr>
        <w:t> </w:t>
      </w:r>
      <w:r>
        <w:rPr/>
        <w:t>individuals</w:t>
      </w:r>
      <w:r>
        <w:rPr>
          <w:spacing w:val="-4"/>
        </w:rPr>
        <w:t> </w:t>
      </w:r>
      <w:r>
        <w:rPr/>
        <w:t>of</w:t>
      </w:r>
      <w:r>
        <w:rPr>
          <w:spacing w:val="-4"/>
        </w:rPr>
        <w:t> </w:t>
      </w:r>
      <w:r>
        <w:rPr/>
        <w:t>diverse</w:t>
      </w:r>
      <w:r>
        <w:rPr>
          <w:spacing w:val="-5"/>
        </w:rPr>
        <w:t> </w:t>
      </w:r>
      <w:r>
        <w:rPr/>
        <w:t>sexual</w:t>
      </w:r>
      <w:r>
        <w:rPr>
          <w:spacing w:val="-4"/>
        </w:rPr>
        <w:t> </w:t>
      </w:r>
      <w:r>
        <w:rPr/>
        <w:t>orientation</w:t>
      </w:r>
      <w:r>
        <w:rPr>
          <w:spacing w:val="-4"/>
        </w:rPr>
        <w:t> </w:t>
      </w:r>
      <w:r>
        <w:rPr/>
        <w:t>and/or gender identity at increased risk for negative behavioral health outcomes.</w:t>
      </w:r>
    </w:p>
    <w:p>
      <w:pPr>
        <w:pStyle w:val="BodyText"/>
        <w:spacing w:line="237" w:lineRule="auto"/>
        <w:ind w:left="280" w:right="854"/>
        <w:jc w:val="both"/>
      </w:pPr>
      <w:r>
        <w:rPr/>
        <w:t>These</w:t>
      </w:r>
      <w:r>
        <w:rPr>
          <w:spacing w:val="-6"/>
        </w:rPr>
        <w:t> </w:t>
      </w:r>
      <w:r>
        <w:rPr/>
        <w:t>external</w:t>
      </w:r>
      <w:r>
        <w:rPr>
          <w:spacing w:val="-5"/>
        </w:rPr>
        <w:t> </w:t>
      </w:r>
      <w:r>
        <w:rPr/>
        <w:t>experiences</w:t>
      </w:r>
      <w:r>
        <w:rPr>
          <w:spacing w:val="-5"/>
        </w:rPr>
        <w:t> </w:t>
      </w:r>
      <w:r>
        <w:rPr/>
        <w:t>of</w:t>
      </w:r>
      <w:r>
        <w:rPr>
          <w:spacing w:val="-5"/>
        </w:rPr>
        <w:t> </w:t>
      </w:r>
      <w:r>
        <w:rPr/>
        <w:t>minority</w:t>
      </w:r>
      <w:r>
        <w:rPr>
          <w:spacing w:val="-5"/>
        </w:rPr>
        <w:t> </w:t>
      </w:r>
      <w:r>
        <w:rPr/>
        <w:t>stress</w:t>
      </w:r>
      <w:r>
        <w:rPr>
          <w:spacing w:val="-5"/>
        </w:rPr>
        <w:t> </w:t>
      </w:r>
      <w:r>
        <w:rPr/>
        <w:t>cause</w:t>
      </w:r>
      <w:r>
        <w:rPr>
          <w:spacing w:val="-6"/>
        </w:rPr>
        <w:t> </w:t>
      </w:r>
      <w:r>
        <w:rPr/>
        <w:t>cognitive,</w:t>
      </w:r>
      <w:r>
        <w:rPr>
          <w:spacing w:val="-5"/>
        </w:rPr>
        <w:t> </w:t>
      </w:r>
      <w:r>
        <w:rPr/>
        <w:t>affective,</w:t>
      </w:r>
      <w:r>
        <w:rPr>
          <w:spacing w:val="-5"/>
        </w:rPr>
        <w:t> </w:t>
      </w:r>
      <w:r>
        <w:rPr/>
        <w:t>and behavioral reactions, such as internalized stigma, identity concealment, and social isolation, all of which are associated with poorer mental health.</w:t>
      </w:r>
    </w:p>
    <w:p>
      <w:pPr>
        <w:pStyle w:val="BodyText"/>
        <w:spacing w:before="127"/>
        <w:ind w:left="280" w:right="526"/>
      </w:pPr>
      <w:r>
        <w:rPr/>
        <w:t>Despite</w:t>
      </w:r>
      <w:r>
        <w:rPr>
          <w:spacing w:val="-5"/>
        </w:rPr>
        <w:t> </w:t>
      </w:r>
      <w:r>
        <w:rPr/>
        <w:t>the</w:t>
      </w:r>
      <w:r>
        <w:rPr>
          <w:spacing w:val="-5"/>
        </w:rPr>
        <w:t> </w:t>
      </w:r>
      <w:r>
        <w:rPr/>
        <w:t>impact</w:t>
      </w:r>
      <w:r>
        <w:rPr>
          <w:spacing w:val="-4"/>
        </w:rPr>
        <w:t> </w:t>
      </w:r>
      <w:r>
        <w:rPr/>
        <w:t>of</w:t>
      </w:r>
      <w:r>
        <w:rPr>
          <w:spacing w:val="-4"/>
        </w:rPr>
        <w:t> </w:t>
      </w:r>
      <w:r>
        <w:rPr/>
        <w:t>anti-LGBTQI+</w:t>
      </w:r>
      <w:r>
        <w:rPr>
          <w:spacing w:val="-4"/>
        </w:rPr>
        <w:t> </w:t>
      </w:r>
      <w:r>
        <w:rPr/>
        <w:t>stigma,</w:t>
      </w:r>
      <w:r>
        <w:rPr>
          <w:spacing w:val="-4"/>
        </w:rPr>
        <w:t> </w:t>
      </w:r>
      <w:r>
        <w:rPr/>
        <w:t>which</w:t>
      </w:r>
      <w:r>
        <w:rPr>
          <w:spacing w:val="-4"/>
        </w:rPr>
        <w:t> </w:t>
      </w:r>
      <w:r>
        <w:rPr/>
        <w:t>individuals</w:t>
      </w:r>
      <w:r>
        <w:rPr>
          <w:spacing w:val="-4"/>
        </w:rPr>
        <w:t> </w:t>
      </w:r>
      <w:r>
        <w:rPr/>
        <w:t>can</w:t>
      </w:r>
      <w:r>
        <w:rPr>
          <w:spacing w:val="-4"/>
        </w:rPr>
        <w:t> </w:t>
      </w:r>
      <w:r>
        <w:rPr/>
        <w:t>experience in tandem with other forms of discrimination, many youth and adults of</w:t>
      </w:r>
      <w:r>
        <w:rPr>
          <w:spacing w:val="40"/>
        </w:rPr>
        <w:t> </w:t>
      </w:r>
      <w:r>
        <w:rPr/>
        <w:t>diverse sexual orientation and/or gender identity can adapt, thrive, and demonstrate resilience despite risk exposure, high levels of stress, and other forms of adversity. Resilience refers to a dynamic process of adapting positively</w:t>
      </w:r>
      <w:r>
        <w:rPr>
          <w:spacing w:val="-4"/>
        </w:rPr>
        <w:t> </w:t>
      </w:r>
      <w:r>
        <w:rPr/>
        <w:t>within</w:t>
      </w:r>
      <w:r>
        <w:rPr>
          <w:spacing w:val="-4"/>
        </w:rPr>
        <w:t> </w:t>
      </w:r>
      <w:r>
        <w:rPr/>
        <w:t>the</w:t>
      </w:r>
      <w:r>
        <w:rPr>
          <w:spacing w:val="-5"/>
        </w:rPr>
        <w:t> </w:t>
      </w:r>
      <w:r>
        <w:rPr/>
        <w:t>context</w:t>
      </w:r>
      <w:r>
        <w:rPr>
          <w:spacing w:val="-4"/>
        </w:rPr>
        <w:t> </w:t>
      </w:r>
      <w:r>
        <w:rPr/>
        <w:t>of</w:t>
      </w:r>
      <w:r>
        <w:rPr>
          <w:spacing w:val="-4"/>
        </w:rPr>
        <w:t> </w:t>
      </w:r>
      <w:r>
        <w:rPr/>
        <w:t>significant</w:t>
      </w:r>
      <w:r>
        <w:rPr>
          <w:spacing w:val="-4"/>
        </w:rPr>
        <w:t> </w:t>
      </w:r>
      <w:r>
        <w:rPr/>
        <w:t>adversity.</w:t>
      </w:r>
      <w:r>
        <w:rPr>
          <w:spacing w:val="-4"/>
        </w:rPr>
        <w:t> </w:t>
      </w:r>
      <w:r>
        <w:rPr/>
        <w:t>Resilience</w:t>
      </w:r>
      <w:r>
        <w:rPr>
          <w:spacing w:val="-5"/>
        </w:rPr>
        <w:t> </w:t>
      </w:r>
      <w:r>
        <w:rPr/>
        <w:t>among</w:t>
      </w:r>
      <w:r>
        <w:rPr>
          <w:spacing w:val="-4"/>
        </w:rPr>
        <w:t> </w:t>
      </w:r>
      <w:r>
        <w:rPr/>
        <w:t>sexual- and gender-diverse populations is promoted through:</w:t>
      </w:r>
    </w:p>
    <w:p>
      <w:pPr>
        <w:pStyle w:val="ListParagraph"/>
        <w:numPr>
          <w:ilvl w:val="0"/>
          <w:numId w:val="29"/>
        </w:numPr>
        <w:tabs>
          <w:tab w:pos="640" w:val="left" w:leader="none"/>
        </w:tabs>
        <w:spacing w:line="240" w:lineRule="auto" w:before="166" w:after="0"/>
        <w:ind w:left="640" w:right="701" w:hanging="360"/>
        <w:jc w:val="left"/>
        <w:rPr>
          <w:sz w:val="28"/>
        </w:rPr>
      </w:pPr>
      <w:r>
        <w:rPr>
          <w:sz w:val="28"/>
        </w:rPr>
        <w:t>Self-acceptance</w:t>
      </w:r>
      <w:r>
        <w:rPr>
          <w:spacing w:val="-8"/>
          <w:sz w:val="28"/>
        </w:rPr>
        <w:t> </w:t>
      </w:r>
      <w:r>
        <w:rPr>
          <w:sz w:val="28"/>
        </w:rPr>
        <w:t>of</w:t>
      </w:r>
      <w:r>
        <w:rPr>
          <w:spacing w:val="-7"/>
          <w:sz w:val="28"/>
        </w:rPr>
        <w:t> </w:t>
      </w:r>
      <w:r>
        <w:rPr>
          <w:sz w:val="28"/>
        </w:rPr>
        <w:t>sexual</w:t>
      </w:r>
      <w:r>
        <w:rPr>
          <w:spacing w:val="-7"/>
          <w:sz w:val="28"/>
        </w:rPr>
        <w:t> </w:t>
      </w:r>
      <w:r>
        <w:rPr>
          <w:sz w:val="28"/>
        </w:rPr>
        <w:t>orientation</w:t>
      </w:r>
      <w:r>
        <w:rPr>
          <w:spacing w:val="-7"/>
          <w:sz w:val="28"/>
        </w:rPr>
        <w:t> </w:t>
      </w:r>
      <w:r>
        <w:rPr>
          <w:sz w:val="28"/>
        </w:rPr>
        <w:t>and</w:t>
      </w:r>
      <w:r>
        <w:rPr>
          <w:spacing w:val="-7"/>
          <w:sz w:val="28"/>
        </w:rPr>
        <w:t> </w:t>
      </w:r>
      <w:r>
        <w:rPr>
          <w:sz w:val="28"/>
        </w:rPr>
        <w:t>gender</w:t>
      </w:r>
      <w:r>
        <w:rPr>
          <w:spacing w:val="-7"/>
          <w:sz w:val="28"/>
        </w:rPr>
        <w:t> </w:t>
      </w:r>
      <w:r>
        <w:rPr>
          <w:sz w:val="28"/>
        </w:rPr>
        <w:t>identity,</w:t>
      </w:r>
      <w:r>
        <w:rPr>
          <w:spacing w:val="-7"/>
          <w:sz w:val="28"/>
        </w:rPr>
        <w:t> </w:t>
      </w:r>
      <w:r>
        <w:rPr>
          <w:sz w:val="28"/>
        </w:rPr>
        <w:t>self-esteem,</w:t>
      </w:r>
      <w:r>
        <w:rPr>
          <w:spacing w:val="-7"/>
          <w:sz w:val="28"/>
        </w:rPr>
        <w:t> </w:t>
      </w:r>
      <w:r>
        <w:rPr>
          <w:sz w:val="28"/>
        </w:rPr>
        <w:t>and identity pride</w:t>
      </w:r>
    </w:p>
    <w:p>
      <w:pPr>
        <w:pStyle w:val="ListParagraph"/>
        <w:numPr>
          <w:ilvl w:val="0"/>
          <w:numId w:val="29"/>
        </w:numPr>
        <w:tabs>
          <w:tab w:pos="640" w:val="left" w:leader="none"/>
        </w:tabs>
        <w:spacing w:line="240" w:lineRule="auto" w:before="80" w:after="0"/>
        <w:ind w:left="640" w:right="1187" w:hanging="360"/>
        <w:jc w:val="left"/>
        <w:rPr>
          <w:sz w:val="28"/>
        </w:rPr>
      </w:pPr>
      <w:r>
        <w:rPr>
          <w:sz w:val="28"/>
        </w:rPr>
        <w:t>Social</w:t>
      </w:r>
      <w:r>
        <w:rPr>
          <w:spacing w:val="-9"/>
          <w:sz w:val="28"/>
        </w:rPr>
        <w:t> </w:t>
      </w:r>
      <w:r>
        <w:rPr>
          <w:sz w:val="28"/>
        </w:rPr>
        <w:t>support</w:t>
      </w:r>
      <w:r>
        <w:rPr>
          <w:spacing w:val="-9"/>
          <w:sz w:val="28"/>
        </w:rPr>
        <w:t> </w:t>
      </w:r>
      <w:r>
        <w:rPr>
          <w:sz w:val="28"/>
        </w:rPr>
        <w:t>and</w:t>
      </w:r>
      <w:r>
        <w:rPr>
          <w:spacing w:val="-9"/>
          <w:sz w:val="28"/>
        </w:rPr>
        <w:t> </w:t>
      </w:r>
      <w:r>
        <w:rPr>
          <w:sz w:val="28"/>
        </w:rPr>
        <w:t>sexuality-and</w:t>
      </w:r>
      <w:r>
        <w:rPr>
          <w:spacing w:val="-9"/>
          <w:sz w:val="28"/>
        </w:rPr>
        <w:t> </w:t>
      </w:r>
      <w:r>
        <w:rPr>
          <w:sz w:val="28"/>
        </w:rPr>
        <w:t>gender-specific</w:t>
      </w:r>
      <w:r>
        <w:rPr>
          <w:spacing w:val="-10"/>
          <w:sz w:val="28"/>
        </w:rPr>
        <w:t> </w:t>
      </w:r>
      <w:r>
        <w:rPr>
          <w:sz w:val="28"/>
        </w:rPr>
        <w:t>support</w:t>
      </w:r>
      <w:r>
        <w:rPr>
          <w:spacing w:val="-9"/>
          <w:sz w:val="28"/>
        </w:rPr>
        <w:t> </w:t>
      </w:r>
      <w:r>
        <w:rPr>
          <w:sz w:val="28"/>
        </w:rPr>
        <w:t>from</w:t>
      </w:r>
      <w:r>
        <w:rPr>
          <w:spacing w:val="-9"/>
          <w:sz w:val="28"/>
        </w:rPr>
        <w:t> </w:t>
      </w:r>
      <w:r>
        <w:rPr>
          <w:sz w:val="28"/>
        </w:rPr>
        <w:t>family, peers, schools, and community organizations</w:t>
      </w:r>
    </w:p>
    <w:p>
      <w:pPr>
        <w:pStyle w:val="ListParagraph"/>
        <w:numPr>
          <w:ilvl w:val="0"/>
          <w:numId w:val="29"/>
        </w:numPr>
        <w:tabs>
          <w:tab w:pos="639" w:val="left" w:leader="none"/>
        </w:tabs>
        <w:spacing w:line="240" w:lineRule="auto" w:before="80" w:after="0"/>
        <w:ind w:left="639" w:right="0" w:hanging="359"/>
        <w:jc w:val="left"/>
        <w:rPr>
          <w:sz w:val="28"/>
        </w:rPr>
      </w:pPr>
      <w:r>
        <w:rPr>
          <w:sz w:val="28"/>
        </w:rPr>
        <w:t>School</w:t>
      </w:r>
      <w:r>
        <w:rPr>
          <w:spacing w:val="-1"/>
          <w:sz w:val="28"/>
        </w:rPr>
        <w:t> </w:t>
      </w:r>
      <w:r>
        <w:rPr>
          <w:sz w:val="28"/>
        </w:rPr>
        <w:t>and</w:t>
      </w:r>
      <w:r>
        <w:rPr>
          <w:spacing w:val="-1"/>
          <w:sz w:val="28"/>
        </w:rPr>
        <w:t> </w:t>
      </w:r>
      <w:r>
        <w:rPr>
          <w:sz w:val="28"/>
        </w:rPr>
        <w:t>community</w:t>
      </w:r>
      <w:r>
        <w:rPr>
          <w:spacing w:val="-1"/>
          <w:sz w:val="28"/>
        </w:rPr>
        <w:t> </w:t>
      </w:r>
      <w:r>
        <w:rPr>
          <w:spacing w:val="-2"/>
          <w:sz w:val="28"/>
        </w:rPr>
        <w:t>connectedness</w:t>
      </w:r>
    </w:p>
    <w:p>
      <w:pPr>
        <w:pStyle w:val="ListParagraph"/>
        <w:numPr>
          <w:ilvl w:val="0"/>
          <w:numId w:val="29"/>
        </w:numPr>
        <w:tabs>
          <w:tab w:pos="639" w:val="left" w:leader="none"/>
        </w:tabs>
        <w:spacing w:line="240" w:lineRule="auto" w:before="82" w:after="0"/>
        <w:ind w:left="639" w:right="0" w:hanging="359"/>
        <w:jc w:val="left"/>
        <w:rPr>
          <w:sz w:val="28"/>
        </w:rPr>
      </w:pPr>
      <w:r>
        <w:rPr>
          <w:sz w:val="28"/>
        </w:rPr>
        <w:t>Inclusive</w:t>
      </w:r>
      <w:r>
        <w:rPr>
          <w:spacing w:val="-5"/>
          <w:sz w:val="28"/>
        </w:rPr>
        <w:t> </w:t>
      </w:r>
      <w:r>
        <w:rPr>
          <w:sz w:val="28"/>
        </w:rPr>
        <w:t>and</w:t>
      </w:r>
      <w:r>
        <w:rPr>
          <w:spacing w:val="-1"/>
          <w:sz w:val="28"/>
        </w:rPr>
        <w:t> </w:t>
      </w:r>
      <w:r>
        <w:rPr>
          <w:sz w:val="28"/>
        </w:rPr>
        <w:t>supportive</w:t>
      </w:r>
      <w:r>
        <w:rPr>
          <w:spacing w:val="-2"/>
          <w:sz w:val="28"/>
        </w:rPr>
        <w:t> </w:t>
      </w:r>
      <w:r>
        <w:rPr>
          <w:sz w:val="28"/>
        </w:rPr>
        <w:t>federal</w:t>
      </w:r>
      <w:r>
        <w:rPr>
          <w:spacing w:val="-2"/>
          <w:sz w:val="28"/>
        </w:rPr>
        <w:t> </w:t>
      </w:r>
      <w:r>
        <w:rPr>
          <w:sz w:val="28"/>
        </w:rPr>
        <w:t>and</w:t>
      </w:r>
      <w:r>
        <w:rPr>
          <w:spacing w:val="-1"/>
          <w:sz w:val="28"/>
        </w:rPr>
        <w:t> </w:t>
      </w:r>
      <w:r>
        <w:rPr>
          <w:sz w:val="28"/>
        </w:rPr>
        <w:t>state</w:t>
      </w:r>
      <w:r>
        <w:rPr>
          <w:spacing w:val="-2"/>
          <w:sz w:val="28"/>
        </w:rPr>
        <w:t> policies</w:t>
      </w:r>
    </w:p>
    <w:p>
      <w:pPr>
        <w:pStyle w:val="BodyText"/>
        <w:spacing w:before="11"/>
        <w:rPr>
          <w:sz w:val="34"/>
        </w:rPr>
      </w:pPr>
    </w:p>
    <w:p>
      <w:pPr>
        <w:pStyle w:val="BodyText"/>
        <w:ind w:left="280" w:right="502"/>
      </w:pPr>
      <w:r>
        <w:rPr/>
        <w:t>It is important to recognize that sexual and gender minorities are not a single, homogeneous population. In addition to including individuals with many distinct sexual orientations, gender identities, and gender expressions, LGBTQI+ populations are also diverse with respect to other identities, including age, race, ethnicity, immigration status, language, national origin, religion, spirituality, ability, and socioeconomic status. Individuals with multiple</w:t>
      </w:r>
      <w:r>
        <w:rPr>
          <w:spacing w:val="-5"/>
        </w:rPr>
        <w:t> </w:t>
      </w:r>
      <w:r>
        <w:rPr/>
        <w:t>minority</w:t>
      </w:r>
      <w:r>
        <w:rPr>
          <w:spacing w:val="-4"/>
        </w:rPr>
        <w:t> </w:t>
      </w:r>
      <w:r>
        <w:rPr/>
        <w:t>identities</w:t>
      </w:r>
      <w:r>
        <w:rPr>
          <w:spacing w:val="-4"/>
        </w:rPr>
        <w:t> </w:t>
      </w:r>
      <w:r>
        <w:rPr/>
        <w:t>experience</w:t>
      </w:r>
      <w:r>
        <w:rPr>
          <w:spacing w:val="-5"/>
        </w:rPr>
        <w:t> </w:t>
      </w:r>
      <w:r>
        <w:rPr/>
        <w:t>unique</w:t>
      </w:r>
      <w:r>
        <w:rPr>
          <w:spacing w:val="-5"/>
        </w:rPr>
        <w:t> </w:t>
      </w:r>
      <w:r>
        <w:rPr/>
        <w:t>stigma</w:t>
      </w:r>
      <w:r>
        <w:rPr>
          <w:spacing w:val="-5"/>
        </w:rPr>
        <w:t> </w:t>
      </w:r>
      <w:r>
        <w:rPr/>
        <w:t>and</w:t>
      </w:r>
      <w:r>
        <w:rPr>
          <w:spacing w:val="-4"/>
        </w:rPr>
        <w:t> </w:t>
      </w:r>
      <w:r>
        <w:rPr/>
        <w:t>stressors,</w:t>
      </w:r>
      <w:r>
        <w:rPr>
          <w:spacing w:val="-4"/>
        </w:rPr>
        <w:t> </w:t>
      </w:r>
      <w:r>
        <w:rPr/>
        <w:t>as</w:t>
      </w:r>
      <w:r>
        <w:rPr>
          <w:spacing w:val="-4"/>
        </w:rPr>
        <w:t> </w:t>
      </w:r>
      <w:r>
        <w:rPr/>
        <w:t>well</w:t>
      </w:r>
      <w:r>
        <w:rPr>
          <w:spacing w:val="-4"/>
        </w:rPr>
        <w:t> </w:t>
      </w:r>
      <w:r>
        <w:rPr/>
        <w:t>as unique opportunities for resilience.</w:t>
      </w:r>
    </w:p>
    <w:p>
      <w:pPr>
        <w:pStyle w:val="BodyText"/>
        <w:spacing w:before="5"/>
        <w:rPr>
          <w:sz w:val="26"/>
        </w:rPr>
      </w:pPr>
    </w:p>
    <w:p>
      <w:pPr>
        <w:pStyle w:val="BodyText"/>
        <w:ind w:left="280" w:right="655"/>
      </w:pPr>
      <w:r>
        <w:rPr/>
        <w:t>To support individual LGBTQI+ youth in achieving their optimal health and well-being, and to take action to address health inequities among LGBTQI+ populations, behavioral and other healthcare providers, families, school administrators, boards, and educators, community leaders, and policymakers must understand the health concerns that may affect LGBTQI+ youth and be knowledgeable about the factors that lead to risk and resilience among LGBTQI+ youth. The following sections provide an overview of behavioral health concerns among LGBTQI+ youth, as well as what is known about the influence</w:t>
      </w:r>
      <w:r>
        <w:rPr>
          <w:spacing w:val="-7"/>
        </w:rPr>
        <w:t> </w:t>
      </w:r>
      <w:r>
        <w:rPr/>
        <w:t>of</w:t>
      </w:r>
      <w:r>
        <w:rPr>
          <w:spacing w:val="-6"/>
        </w:rPr>
        <w:t> </w:t>
      </w:r>
      <w:r>
        <w:rPr/>
        <w:t>families,</w:t>
      </w:r>
      <w:r>
        <w:rPr>
          <w:spacing w:val="-6"/>
        </w:rPr>
        <w:t> </w:t>
      </w:r>
      <w:r>
        <w:rPr/>
        <w:t>school,</w:t>
      </w:r>
      <w:r>
        <w:rPr>
          <w:spacing w:val="-6"/>
        </w:rPr>
        <w:t> </w:t>
      </w:r>
      <w:r>
        <w:rPr/>
        <w:t>religion</w:t>
      </w:r>
      <w:r>
        <w:rPr>
          <w:spacing w:val="-6"/>
        </w:rPr>
        <w:t> </w:t>
      </w:r>
      <w:r>
        <w:rPr/>
        <w:t>and</w:t>
      </w:r>
      <w:r>
        <w:rPr>
          <w:spacing w:val="-6"/>
        </w:rPr>
        <w:t> </w:t>
      </w:r>
      <w:r>
        <w:rPr/>
        <w:t>spirituality,</w:t>
      </w:r>
      <w:r>
        <w:rPr>
          <w:spacing w:val="-6"/>
        </w:rPr>
        <w:t> </w:t>
      </w:r>
      <w:r>
        <w:rPr/>
        <w:t>community</w:t>
      </w:r>
      <w:r>
        <w:rPr>
          <w:spacing w:val="-6"/>
        </w:rPr>
        <w:t> </w:t>
      </w:r>
      <w:r>
        <w:rPr/>
        <w:t>climate</w:t>
      </w:r>
      <w:r>
        <w:rPr>
          <w:spacing w:val="-7"/>
        </w:rPr>
        <w:t> </w:t>
      </w:r>
      <w:r>
        <w:rPr/>
        <w:t>and policies, and gender affirmation on the</w:t>
      </w:r>
      <w:r>
        <w:rPr>
          <w:spacing w:val="-1"/>
        </w:rPr>
        <w:t> </w:t>
      </w:r>
      <w:r>
        <w:rPr/>
        <w:t>behavioral health of LGBTQI+ youth.</w:t>
      </w:r>
    </w:p>
    <w:p>
      <w:pPr>
        <w:spacing w:after="0"/>
        <w:sectPr>
          <w:pgSz w:w="12240" w:h="15840"/>
          <w:pgMar w:header="0" w:footer="783" w:top="1260" w:bottom="980" w:left="1400" w:right="1180"/>
        </w:sectPr>
      </w:pPr>
    </w:p>
    <w:p>
      <w:pPr>
        <w:pStyle w:val="Heading2"/>
        <w:spacing w:before="66"/>
      </w:pPr>
      <w:r>
        <w:rPr/>
        <w:t>Behavioral</w:t>
      </w:r>
      <w:r>
        <w:rPr>
          <w:spacing w:val="-5"/>
        </w:rPr>
        <w:t> </w:t>
      </w:r>
      <w:r>
        <w:rPr/>
        <w:t>Health</w:t>
      </w:r>
      <w:r>
        <w:rPr>
          <w:spacing w:val="-2"/>
        </w:rPr>
        <w:t> </w:t>
      </w:r>
      <w:r>
        <w:rPr/>
        <w:t>Concerns</w:t>
      </w:r>
      <w:r>
        <w:rPr>
          <w:spacing w:val="-17"/>
        </w:rPr>
        <w:t> </w:t>
      </w:r>
      <w:r>
        <w:rPr/>
        <w:t>Among</w:t>
      </w:r>
      <w:r>
        <w:rPr>
          <w:spacing w:val="-3"/>
        </w:rPr>
        <w:t> </w:t>
      </w:r>
      <w:r>
        <w:rPr/>
        <w:t>LGBTQI+</w:t>
      </w:r>
      <w:r>
        <w:rPr>
          <w:spacing w:val="-12"/>
        </w:rPr>
        <w:t> </w:t>
      </w:r>
      <w:r>
        <w:rPr>
          <w:spacing w:val="-2"/>
        </w:rPr>
        <w:t>Youth</w:t>
      </w:r>
    </w:p>
    <w:p>
      <w:pPr>
        <w:pStyle w:val="BodyText"/>
        <w:spacing w:before="268"/>
        <w:ind w:left="280" w:right="512"/>
      </w:pPr>
      <w:r>
        <w:rPr/>
        <w:t>Youth of diverse sexual orientation and/or gender identity are at elevated risk for mental illness and substance use due to experiences of discrimination related to sexual orientation, gender identity, rejection, trauma, violence, and a lack of support from families, school systems, and communities. Transgender and gender-diverse children and adolescents may also experience psychological</w:t>
      </w:r>
      <w:r>
        <w:rPr>
          <w:spacing w:val="-3"/>
        </w:rPr>
        <w:t> </w:t>
      </w:r>
      <w:r>
        <w:rPr/>
        <w:t>distress</w:t>
      </w:r>
      <w:r>
        <w:rPr>
          <w:spacing w:val="-3"/>
        </w:rPr>
        <w:t> </w:t>
      </w:r>
      <w:r>
        <w:rPr/>
        <w:t>related</w:t>
      </w:r>
      <w:r>
        <w:rPr>
          <w:spacing w:val="-3"/>
        </w:rPr>
        <w:t> </w:t>
      </w:r>
      <w:r>
        <w:rPr/>
        <w:t>to</w:t>
      </w:r>
      <w:r>
        <w:rPr>
          <w:spacing w:val="-3"/>
        </w:rPr>
        <w:t> </w:t>
      </w:r>
      <w:r>
        <w:rPr/>
        <w:t>gender</w:t>
      </w:r>
      <w:r>
        <w:rPr>
          <w:spacing w:val="-3"/>
        </w:rPr>
        <w:t> </w:t>
      </w:r>
      <w:r>
        <w:rPr/>
        <w:t>dysphoria.</w:t>
      </w:r>
      <w:r>
        <w:rPr>
          <w:spacing w:val="-3"/>
        </w:rPr>
        <w:t> </w:t>
      </w:r>
      <w:r>
        <w:rPr/>
        <w:t>It</w:t>
      </w:r>
      <w:r>
        <w:rPr>
          <w:spacing w:val="-3"/>
        </w:rPr>
        <w:t> </w:t>
      </w:r>
      <w:r>
        <w:rPr/>
        <w:t>is</w:t>
      </w:r>
      <w:r>
        <w:rPr>
          <w:spacing w:val="-3"/>
        </w:rPr>
        <w:t> </w:t>
      </w:r>
      <w:r>
        <w:rPr/>
        <w:t>important</w:t>
      </w:r>
      <w:r>
        <w:rPr>
          <w:spacing w:val="-3"/>
        </w:rPr>
        <w:t> </w:t>
      </w:r>
      <w:r>
        <w:rPr/>
        <w:t>to</w:t>
      </w:r>
      <w:r>
        <w:rPr>
          <w:spacing w:val="-3"/>
        </w:rPr>
        <w:t> </w:t>
      </w:r>
      <w:r>
        <w:rPr/>
        <w:t>emphasize that</w:t>
      </w:r>
      <w:r>
        <w:rPr>
          <w:spacing w:val="-2"/>
        </w:rPr>
        <w:t> </w:t>
      </w:r>
      <w:r>
        <w:rPr/>
        <w:t>youth</w:t>
      </w:r>
      <w:r>
        <w:rPr>
          <w:spacing w:val="-2"/>
        </w:rPr>
        <w:t> </w:t>
      </w:r>
      <w:r>
        <w:rPr/>
        <w:t>of</w:t>
      </w:r>
      <w:r>
        <w:rPr>
          <w:spacing w:val="-2"/>
        </w:rPr>
        <w:t> </w:t>
      </w:r>
      <w:r>
        <w:rPr/>
        <w:t>diverse</w:t>
      </w:r>
      <w:r>
        <w:rPr>
          <w:spacing w:val="-3"/>
        </w:rPr>
        <w:t> </w:t>
      </w:r>
      <w:r>
        <w:rPr/>
        <w:t>sexual</w:t>
      </w:r>
      <w:r>
        <w:rPr>
          <w:spacing w:val="-2"/>
        </w:rPr>
        <w:t> </w:t>
      </w:r>
      <w:r>
        <w:rPr/>
        <w:t>orientation</w:t>
      </w:r>
      <w:r>
        <w:rPr>
          <w:spacing w:val="-2"/>
        </w:rPr>
        <w:t> </w:t>
      </w:r>
      <w:r>
        <w:rPr/>
        <w:t>and/or</w:t>
      </w:r>
      <w:r>
        <w:rPr>
          <w:spacing w:val="-2"/>
        </w:rPr>
        <w:t> </w:t>
      </w:r>
      <w:r>
        <w:rPr/>
        <w:t>gender</w:t>
      </w:r>
      <w:r>
        <w:rPr>
          <w:spacing w:val="-2"/>
        </w:rPr>
        <w:t> </w:t>
      </w:r>
      <w:r>
        <w:rPr/>
        <w:t>identity</w:t>
      </w:r>
      <w:r>
        <w:rPr>
          <w:spacing w:val="-2"/>
        </w:rPr>
        <w:t> </w:t>
      </w:r>
      <w:r>
        <w:rPr/>
        <w:t>are</w:t>
      </w:r>
      <w:r>
        <w:rPr>
          <w:spacing w:val="-3"/>
        </w:rPr>
        <w:t> </w:t>
      </w:r>
      <w:r>
        <w:rPr/>
        <w:t>resilient,</w:t>
      </w:r>
      <w:r>
        <w:rPr>
          <w:spacing w:val="-2"/>
        </w:rPr>
        <w:t> </w:t>
      </w:r>
      <w:r>
        <w:rPr/>
        <w:t>and that</w:t>
      </w:r>
      <w:r>
        <w:rPr>
          <w:spacing w:val="-4"/>
        </w:rPr>
        <w:t> </w:t>
      </w:r>
      <w:r>
        <w:rPr/>
        <w:t>with</w:t>
      </w:r>
      <w:r>
        <w:rPr>
          <w:spacing w:val="-4"/>
        </w:rPr>
        <w:t> </w:t>
      </w:r>
      <w:r>
        <w:rPr/>
        <w:t>sufficient</w:t>
      </w:r>
      <w:r>
        <w:rPr>
          <w:spacing w:val="-4"/>
        </w:rPr>
        <w:t> </w:t>
      </w:r>
      <w:r>
        <w:rPr/>
        <w:t>support</w:t>
      </w:r>
      <w:r>
        <w:rPr>
          <w:spacing w:val="-4"/>
        </w:rPr>
        <w:t> </w:t>
      </w:r>
      <w:r>
        <w:rPr/>
        <w:t>and</w:t>
      </w:r>
      <w:r>
        <w:rPr>
          <w:spacing w:val="-4"/>
        </w:rPr>
        <w:t> </w:t>
      </w:r>
      <w:r>
        <w:rPr/>
        <w:t>access</w:t>
      </w:r>
      <w:r>
        <w:rPr>
          <w:spacing w:val="-4"/>
        </w:rPr>
        <w:t> </w:t>
      </w:r>
      <w:r>
        <w:rPr/>
        <w:t>to</w:t>
      </w:r>
      <w:r>
        <w:rPr>
          <w:spacing w:val="-4"/>
        </w:rPr>
        <w:t> </w:t>
      </w:r>
      <w:r>
        <w:rPr/>
        <w:t>resources,</w:t>
      </w:r>
      <w:r>
        <w:rPr>
          <w:spacing w:val="-4"/>
        </w:rPr>
        <w:t> </w:t>
      </w:r>
      <w:r>
        <w:rPr/>
        <w:t>they</w:t>
      </w:r>
      <w:r>
        <w:rPr>
          <w:spacing w:val="-4"/>
        </w:rPr>
        <w:t> </w:t>
      </w:r>
      <w:r>
        <w:rPr/>
        <w:t>can</w:t>
      </w:r>
      <w:r>
        <w:rPr>
          <w:spacing w:val="-4"/>
        </w:rPr>
        <w:t> </w:t>
      </w:r>
      <w:r>
        <w:rPr/>
        <w:t>thrive.</w:t>
      </w:r>
      <w:r>
        <w:rPr>
          <w:spacing w:val="-4"/>
        </w:rPr>
        <w:t> </w:t>
      </w:r>
      <w:r>
        <w:rPr/>
        <w:t>Behavioral health concerns that behavioral health providers can be aware of and attend to among sexual-and gender-diverse youth are summarized below.</w:t>
      </w:r>
    </w:p>
    <w:p>
      <w:pPr>
        <w:pStyle w:val="BodyText"/>
        <w:spacing w:before="1"/>
        <w:rPr>
          <w:sz w:val="37"/>
        </w:rPr>
      </w:pPr>
    </w:p>
    <w:p>
      <w:pPr>
        <w:pStyle w:val="Heading2"/>
        <w:spacing w:before="1"/>
      </w:pPr>
      <w:r>
        <w:rPr/>
        <w:t>Behavioral</w:t>
      </w:r>
      <w:r>
        <w:rPr>
          <w:spacing w:val="-5"/>
        </w:rPr>
        <w:t> </w:t>
      </w:r>
      <w:r>
        <w:rPr/>
        <w:t>Health</w:t>
      </w:r>
      <w:r>
        <w:rPr>
          <w:spacing w:val="-2"/>
        </w:rPr>
        <w:t> </w:t>
      </w:r>
      <w:r>
        <w:rPr/>
        <w:t>Concerns</w:t>
      </w:r>
      <w:r>
        <w:rPr>
          <w:spacing w:val="-17"/>
        </w:rPr>
        <w:t> </w:t>
      </w:r>
      <w:r>
        <w:rPr/>
        <w:t>Among</w:t>
      </w:r>
      <w:r>
        <w:rPr>
          <w:spacing w:val="-2"/>
        </w:rPr>
        <w:t> </w:t>
      </w:r>
      <w:r>
        <w:rPr/>
        <w:t>LGBTQI+</w:t>
      </w:r>
      <w:r>
        <w:rPr>
          <w:spacing w:val="-2"/>
        </w:rPr>
        <w:t> Children</w:t>
      </w:r>
    </w:p>
    <w:p>
      <w:pPr>
        <w:pStyle w:val="BodyText"/>
        <w:spacing w:before="125"/>
        <w:ind w:left="280" w:right="597"/>
      </w:pPr>
      <w:r>
        <w:rPr/>
        <w:t>Recent research has begun to investigate behavioral health among sexual-and gender-diverse</w:t>
      </w:r>
      <w:r>
        <w:rPr>
          <w:spacing w:val="-6"/>
        </w:rPr>
        <w:t> </w:t>
      </w:r>
      <w:r>
        <w:rPr/>
        <w:t>children</w:t>
      </w:r>
      <w:r>
        <w:rPr>
          <w:spacing w:val="-5"/>
        </w:rPr>
        <w:t> </w:t>
      </w:r>
      <w:r>
        <w:rPr/>
        <w:t>and</w:t>
      </w:r>
      <w:r>
        <w:rPr>
          <w:spacing w:val="-5"/>
        </w:rPr>
        <w:t> </w:t>
      </w:r>
      <w:r>
        <w:rPr/>
        <w:t>has</w:t>
      </w:r>
      <w:r>
        <w:rPr>
          <w:spacing w:val="-5"/>
        </w:rPr>
        <w:t> </w:t>
      </w:r>
      <w:r>
        <w:rPr/>
        <w:t>found</w:t>
      </w:r>
      <w:r>
        <w:rPr>
          <w:spacing w:val="-5"/>
        </w:rPr>
        <w:t> </w:t>
      </w:r>
      <w:r>
        <w:rPr/>
        <w:t>that</w:t>
      </w:r>
      <w:r>
        <w:rPr>
          <w:spacing w:val="-5"/>
        </w:rPr>
        <w:t> </w:t>
      </w:r>
      <w:r>
        <w:rPr/>
        <w:t>inequities</w:t>
      </w:r>
      <w:r>
        <w:rPr>
          <w:spacing w:val="-5"/>
        </w:rPr>
        <w:t> </w:t>
      </w:r>
      <w:r>
        <w:rPr/>
        <w:t>in</w:t>
      </w:r>
      <w:r>
        <w:rPr>
          <w:spacing w:val="-5"/>
        </w:rPr>
        <w:t> </w:t>
      </w:r>
      <w:r>
        <w:rPr/>
        <w:t>behavioral</w:t>
      </w:r>
      <w:r>
        <w:rPr>
          <w:spacing w:val="-5"/>
        </w:rPr>
        <w:t> </w:t>
      </w:r>
      <w:r>
        <w:rPr/>
        <w:t>health</w:t>
      </w:r>
      <w:r>
        <w:rPr>
          <w:spacing w:val="-5"/>
        </w:rPr>
        <w:t> </w:t>
      </w:r>
      <w:r>
        <w:rPr/>
        <w:t>may begin in childhood. While some sexual-and gender-diverse children are distressed, others are not.</w:t>
      </w:r>
      <w:r>
        <w:rPr>
          <w:spacing w:val="-6"/>
        </w:rPr>
        <w:t> </w:t>
      </w:r>
      <w:r>
        <w:rPr/>
        <w:t>Among those who are distressed, the source of distress varies.</w:t>
      </w:r>
    </w:p>
    <w:p>
      <w:pPr>
        <w:pStyle w:val="BodyText"/>
        <w:spacing w:before="170"/>
        <w:ind w:left="280" w:right="566"/>
      </w:pPr>
      <w:r>
        <w:rPr/>
        <w:t>Several studies found that more children who self-identify as gay, bisexual, or questioning reported distress, including mood disorders, non-suicidal self- injury, suicide ideation, and suicide attempts than did children who do not identify</w:t>
      </w:r>
      <w:r>
        <w:rPr>
          <w:spacing w:val="-14"/>
        </w:rPr>
        <w:t> </w:t>
      </w:r>
      <w:r>
        <w:rPr/>
        <w:t>as</w:t>
      </w:r>
      <w:r>
        <w:rPr>
          <w:spacing w:val="-9"/>
        </w:rPr>
        <w:t> </w:t>
      </w:r>
      <w:r>
        <w:rPr/>
        <w:t>gay,</w:t>
      </w:r>
      <w:r>
        <w:rPr>
          <w:spacing w:val="-9"/>
        </w:rPr>
        <w:t> </w:t>
      </w:r>
      <w:r>
        <w:rPr/>
        <w:t>bisexual,</w:t>
      </w:r>
      <w:r>
        <w:rPr>
          <w:spacing w:val="-9"/>
        </w:rPr>
        <w:t> </w:t>
      </w:r>
      <w:r>
        <w:rPr/>
        <w:t>or</w:t>
      </w:r>
      <w:r>
        <w:rPr>
          <w:spacing w:val="-9"/>
        </w:rPr>
        <w:t> </w:t>
      </w:r>
      <w:r>
        <w:rPr/>
        <w:t>questioning.</w:t>
      </w:r>
      <w:r>
        <w:rPr>
          <w:spacing w:val="-18"/>
        </w:rPr>
        <w:t> </w:t>
      </w:r>
      <w:r>
        <w:rPr/>
        <w:t>Additionally,</w:t>
      </w:r>
      <w:r>
        <w:rPr>
          <w:spacing w:val="-8"/>
        </w:rPr>
        <w:t> </w:t>
      </w:r>
      <w:r>
        <w:rPr/>
        <w:t>two</w:t>
      </w:r>
      <w:r>
        <w:rPr>
          <w:spacing w:val="-9"/>
        </w:rPr>
        <w:t> </w:t>
      </w:r>
      <w:r>
        <w:rPr/>
        <w:t>longitudinal</w:t>
      </w:r>
      <w:r>
        <w:rPr>
          <w:spacing w:val="-9"/>
        </w:rPr>
        <w:t> </w:t>
      </w:r>
      <w:r>
        <w:rPr/>
        <w:t>studies found that children who later identified as a sexual minority began experiencing mental health challenges as early as age 11. Other studies indicate that mental health concerns among sexual minority children may be linked to experiences of victimization, such as bullying behaviors perpetrated by peers.</w:t>
      </w:r>
    </w:p>
    <w:p>
      <w:pPr>
        <w:pStyle w:val="BodyText"/>
        <w:spacing w:before="49"/>
        <w:ind w:left="280" w:right="499"/>
      </w:pPr>
      <w:r>
        <w:rPr/>
        <w:t>Gender-diverse children appear to have elevated rates of mental health concerns,</w:t>
      </w:r>
      <w:r>
        <w:rPr>
          <w:spacing w:val="-3"/>
        </w:rPr>
        <w:t> </w:t>
      </w:r>
      <w:r>
        <w:rPr/>
        <w:t>including</w:t>
      </w:r>
      <w:r>
        <w:rPr>
          <w:spacing w:val="-3"/>
        </w:rPr>
        <w:t> </w:t>
      </w:r>
      <w:r>
        <w:rPr/>
        <w:t>symptoms</w:t>
      </w:r>
      <w:r>
        <w:rPr>
          <w:spacing w:val="-3"/>
        </w:rPr>
        <w:t> </w:t>
      </w:r>
      <w:r>
        <w:rPr/>
        <w:t>of</w:t>
      </w:r>
      <w:r>
        <w:rPr>
          <w:spacing w:val="-3"/>
        </w:rPr>
        <w:t> </w:t>
      </w:r>
      <w:r>
        <w:rPr/>
        <w:t>anxiety</w:t>
      </w:r>
      <w:r>
        <w:rPr>
          <w:spacing w:val="-3"/>
        </w:rPr>
        <w:t> </w:t>
      </w:r>
      <w:r>
        <w:rPr/>
        <w:t>and</w:t>
      </w:r>
      <w:r>
        <w:rPr>
          <w:spacing w:val="-3"/>
        </w:rPr>
        <w:t> </w:t>
      </w:r>
      <w:r>
        <w:rPr/>
        <w:t>depression,</w:t>
      </w:r>
      <w:r>
        <w:rPr>
          <w:spacing w:val="-3"/>
        </w:rPr>
        <w:t> </w:t>
      </w:r>
      <w:r>
        <w:rPr/>
        <w:t>history</w:t>
      </w:r>
      <w:r>
        <w:rPr>
          <w:spacing w:val="-3"/>
        </w:rPr>
        <w:t> </w:t>
      </w:r>
      <w:r>
        <w:rPr/>
        <w:t>of</w:t>
      </w:r>
      <w:r>
        <w:rPr>
          <w:spacing w:val="-3"/>
        </w:rPr>
        <w:t> </w:t>
      </w:r>
      <w:r>
        <w:rPr/>
        <w:t>self-harm, and</w:t>
      </w:r>
      <w:r>
        <w:rPr>
          <w:spacing w:val="-8"/>
        </w:rPr>
        <w:t> </w:t>
      </w:r>
      <w:r>
        <w:rPr/>
        <w:t>suicidality,</w:t>
      </w:r>
      <w:r>
        <w:rPr>
          <w:spacing w:val="-8"/>
        </w:rPr>
        <w:t> </w:t>
      </w:r>
      <w:r>
        <w:rPr/>
        <w:t>compared</w:t>
      </w:r>
      <w:r>
        <w:rPr>
          <w:spacing w:val="-8"/>
        </w:rPr>
        <w:t> </w:t>
      </w:r>
      <w:r>
        <w:rPr/>
        <w:t>to</w:t>
      </w:r>
      <w:r>
        <w:rPr>
          <w:spacing w:val="-8"/>
        </w:rPr>
        <w:t> </w:t>
      </w:r>
      <w:r>
        <w:rPr/>
        <w:t>cisgender</w:t>
      </w:r>
      <w:r>
        <w:rPr>
          <w:spacing w:val="-8"/>
        </w:rPr>
        <w:t> </w:t>
      </w:r>
      <w:r>
        <w:rPr/>
        <w:t>children.</w:t>
      </w:r>
      <w:r>
        <w:rPr>
          <w:spacing w:val="-13"/>
        </w:rPr>
        <w:t> </w:t>
      </w:r>
      <w:r>
        <w:rPr/>
        <w:t>When</w:t>
      </w:r>
      <w:r>
        <w:rPr>
          <w:spacing w:val="-8"/>
        </w:rPr>
        <w:t> </w:t>
      </w:r>
      <w:r>
        <w:rPr/>
        <w:t>gender-diverse</w:t>
      </w:r>
      <w:r>
        <w:rPr>
          <w:spacing w:val="-9"/>
        </w:rPr>
        <w:t> </w:t>
      </w:r>
      <w:r>
        <w:rPr/>
        <w:t>children have behavioral health concerns, these may be related to invalidation or rejection of their gender diversity, or distress related to current anatomical dysphoria</w:t>
      </w:r>
      <w:r>
        <w:rPr>
          <w:spacing w:val="-6"/>
        </w:rPr>
        <w:t> </w:t>
      </w:r>
      <w:r>
        <w:rPr/>
        <w:t>and/or</w:t>
      </w:r>
      <w:r>
        <w:rPr>
          <w:spacing w:val="-5"/>
        </w:rPr>
        <w:t> </w:t>
      </w:r>
      <w:r>
        <w:rPr/>
        <w:t>anticipation</w:t>
      </w:r>
      <w:r>
        <w:rPr>
          <w:spacing w:val="-5"/>
        </w:rPr>
        <w:t> </w:t>
      </w:r>
      <w:r>
        <w:rPr/>
        <w:t>of</w:t>
      </w:r>
      <w:r>
        <w:rPr>
          <w:spacing w:val="-5"/>
        </w:rPr>
        <w:t> </w:t>
      </w:r>
      <w:r>
        <w:rPr/>
        <w:t>future</w:t>
      </w:r>
      <w:r>
        <w:rPr>
          <w:spacing w:val="-6"/>
        </w:rPr>
        <w:t> </w:t>
      </w:r>
      <w:r>
        <w:rPr/>
        <w:t>pubertal</w:t>
      </w:r>
      <w:r>
        <w:rPr>
          <w:spacing w:val="-5"/>
        </w:rPr>
        <w:t> </w:t>
      </w:r>
      <w:r>
        <w:rPr/>
        <w:t>development</w:t>
      </w:r>
      <w:r>
        <w:rPr>
          <w:spacing w:val="-5"/>
        </w:rPr>
        <w:t> </w:t>
      </w:r>
      <w:r>
        <w:rPr/>
        <w:t>incongruent</w:t>
      </w:r>
      <w:r>
        <w:rPr>
          <w:spacing w:val="-5"/>
        </w:rPr>
        <w:t> </w:t>
      </w:r>
      <w:r>
        <w:rPr/>
        <w:t>with their current gender.</w:t>
      </w:r>
      <w:r>
        <w:rPr>
          <w:spacing w:val="40"/>
        </w:rPr>
        <w:t> </w:t>
      </w:r>
      <w:r>
        <w:rPr/>
        <w:t>Alternatively, their mental health concerns may be entirely unrelated to their gender.</w:t>
      </w:r>
    </w:p>
    <w:p>
      <w:pPr>
        <w:pStyle w:val="BodyText"/>
        <w:spacing w:before="3"/>
        <w:rPr>
          <w:sz w:val="32"/>
        </w:rPr>
      </w:pPr>
    </w:p>
    <w:p>
      <w:pPr>
        <w:pStyle w:val="BodyText"/>
        <w:ind w:left="280" w:right="502"/>
      </w:pPr>
      <w:r>
        <w:rPr/>
        <w:t>At the same time, research also suggests that gender-diverse children who receive meaningful gender identity support do not necessarily experience elevated</w:t>
      </w:r>
      <w:r>
        <w:rPr>
          <w:spacing w:val="-5"/>
        </w:rPr>
        <w:t> </w:t>
      </w:r>
      <w:r>
        <w:rPr/>
        <w:t>rates</w:t>
      </w:r>
      <w:r>
        <w:rPr>
          <w:spacing w:val="-5"/>
        </w:rPr>
        <w:t> </w:t>
      </w:r>
      <w:r>
        <w:rPr/>
        <w:t>of</w:t>
      </w:r>
      <w:r>
        <w:rPr>
          <w:spacing w:val="-5"/>
        </w:rPr>
        <w:t> </w:t>
      </w:r>
      <w:r>
        <w:rPr/>
        <w:t>depression</w:t>
      </w:r>
      <w:r>
        <w:rPr>
          <w:spacing w:val="-5"/>
        </w:rPr>
        <w:t> </w:t>
      </w:r>
      <w:r>
        <w:rPr/>
        <w:t>and</w:t>
      </w:r>
      <w:r>
        <w:rPr>
          <w:spacing w:val="-5"/>
        </w:rPr>
        <w:t> </w:t>
      </w:r>
      <w:r>
        <w:rPr/>
        <w:t>anxiety.</w:t>
      </w:r>
      <w:r>
        <w:rPr>
          <w:spacing w:val="-5"/>
        </w:rPr>
        <w:t> </w:t>
      </w:r>
      <w:r>
        <w:rPr/>
        <w:t>Research</w:t>
      </w:r>
      <w:r>
        <w:rPr>
          <w:spacing w:val="-5"/>
        </w:rPr>
        <w:t> </w:t>
      </w:r>
      <w:r>
        <w:rPr/>
        <w:t>with</w:t>
      </w:r>
      <w:r>
        <w:rPr>
          <w:spacing w:val="-5"/>
        </w:rPr>
        <w:t> </w:t>
      </w:r>
      <w:r>
        <w:rPr/>
        <w:t>a</w:t>
      </w:r>
      <w:r>
        <w:rPr>
          <w:spacing w:val="-6"/>
        </w:rPr>
        <w:t> </w:t>
      </w:r>
      <w:r>
        <w:rPr/>
        <w:t>national</w:t>
      </w:r>
      <w:r>
        <w:rPr>
          <w:spacing w:val="-5"/>
        </w:rPr>
        <w:t> </w:t>
      </w:r>
      <w:r>
        <w:rPr/>
        <w:t>sample</w:t>
      </w:r>
      <w:r>
        <w:rPr>
          <w:spacing w:val="-6"/>
        </w:rPr>
        <w:t> </w:t>
      </w:r>
      <w:r>
        <w:rPr/>
        <w:t>of</w:t>
      </w:r>
    </w:p>
    <w:p>
      <w:pPr>
        <w:spacing w:after="0"/>
        <w:sectPr>
          <w:pgSz w:w="12240" w:h="15840"/>
          <w:pgMar w:header="0" w:footer="783" w:top="1260" w:bottom="980" w:left="1400" w:right="1180"/>
        </w:sectPr>
      </w:pPr>
    </w:p>
    <w:p>
      <w:pPr>
        <w:pStyle w:val="BodyText"/>
        <w:spacing w:before="66"/>
        <w:ind w:left="280" w:right="502"/>
      </w:pPr>
      <w:r>
        <w:rPr/>
        <w:t>socially transitioned prepubescent transgender children found this group to have</w:t>
      </w:r>
      <w:r>
        <w:rPr>
          <w:spacing w:val="-6"/>
        </w:rPr>
        <w:t> </w:t>
      </w:r>
      <w:r>
        <w:rPr/>
        <w:t>developmentally</w:t>
      </w:r>
      <w:r>
        <w:rPr>
          <w:spacing w:val="-5"/>
        </w:rPr>
        <w:t> </w:t>
      </w:r>
      <w:r>
        <w:rPr/>
        <w:t>normative</w:t>
      </w:r>
      <w:r>
        <w:rPr>
          <w:spacing w:val="-6"/>
        </w:rPr>
        <w:t> </w:t>
      </w:r>
      <w:r>
        <w:rPr/>
        <w:t>levels</w:t>
      </w:r>
      <w:r>
        <w:rPr>
          <w:spacing w:val="-5"/>
        </w:rPr>
        <w:t> </w:t>
      </w:r>
      <w:r>
        <w:rPr/>
        <w:t>of</w:t>
      </w:r>
      <w:r>
        <w:rPr>
          <w:spacing w:val="-5"/>
        </w:rPr>
        <w:t> </w:t>
      </w:r>
      <w:r>
        <w:rPr/>
        <w:t>depression,</w:t>
      </w:r>
      <w:r>
        <w:rPr>
          <w:spacing w:val="-5"/>
        </w:rPr>
        <w:t> </w:t>
      </w:r>
      <w:r>
        <w:rPr/>
        <w:t>only</w:t>
      </w:r>
      <w:r>
        <w:rPr>
          <w:spacing w:val="-5"/>
        </w:rPr>
        <w:t> </w:t>
      </w:r>
      <w:r>
        <w:rPr/>
        <w:t>minimal</w:t>
      </w:r>
      <w:r>
        <w:rPr>
          <w:spacing w:val="-5"/>
        </w:rPr>
        <w:t> </w:t>
      </w:r>
      <w:r>
        <w:rPr/>
        <w:t>elevations in anxiety, and comparable levels of self-worth, suggesting that behavioral health concerns are not inevitable among this group.</w:t>
      </w:r>
    </w:p>
    <w:p>
      <w:pPr>
        <w:pStyle w:val="BodyText"/>
        <w:spacing w:before="9"/>
        <w:rPr>
          <w:sz w:val="38"/>
        </w:rPr>
      </w:pPr>
    </w:p>
    <w:p>
      <w:pPr>
        <w:pStyle w:val="Heading2"/>
      </w:pPr>
      <w:r>
        <w:rPr/>
        <w:t>Behavioral</w:t>
      </w:r>
      <w:r>
        <w:rPr>
          <w:spacing w:val="-3"/>
        </w:rPr>
        <w:t> </w:t>
      </w:r>
      <w:r>
        <w:rPr/>
        <w:t>Health</w:t>
      </w:r>
      <w:r>
        <w:rPr>
          <w:spacing w:val="-2"/>
        </w:rPr>
        <w:t> </w:t>
      </w:r>
      <w:r>
        <w:rPr/>
        <w:t>Concerns</w:t>
      </w:r>
      <w:r>
        <w:rPr>
          <w:spacing w:val="-18"/>
        </w:rPr>
        <w:t> </w:t>
      </w:r>
      <w:r>
        <w:rPr/>
        <w:t>Among</w:t>
      </w:r>
      <w:r>
        <w:rPr>
          <w:spacing w:val="-2"/>
        </w:rPr>
        <w:t> </w:t>
      </w:r>
      <w:r>
        <w:rPr/>
        <w:t>LGBTQI+</w:t>
      </w:r>
      <w:r>
        <w:rPr>
          <w:spacing w:val="-17"/>
        </w:rPr>
        <w:t> </w:t>
      </w:r>
      <w:r>
        <w:rPr>
          <w:spacing w:val="-2"/>
        </w:rPr>
        <w:t>Adolescents</w:t>
      </w:r>
    </w:p>
    <w:p>
      <w:pPr>
        <w:pStyle w:val="BodyText"/>
        <w:spacing w:before="3"/>
        <w:rPr>
          <w:b/>
          <w:sz w:val="39"/>
        </w:rPr>
      </w:pPr>
    </w:p>
    <w:p>
      <w:pPr>
        <w:pStyle w:val="BodyText"/>
        <w:spacing w:before="1"/>
        <w:ind w:left="280" w:right="604"/>
      </w:pPr>
      <w:r>
        <w:rPr/>
        <w:t>As LGBTQI+ adolescents navigate the challenges of adolescence, some experience a variety of behavioral health concerns and psychosocial challenges. Compared to their heterosexual and cisgender counterparts, some adolescents of diverse sexual orientation and/or gender identity are at disproportionate risk of behavioral health symptoms, driven by increased exposure to stigma, rejection, and victimization. It is also important to note that behavioral health concerns may be unrelated to sexual and gender diversity. Exposure to SOGI change efforts is a key risk factor that has been shown</w:t>
      </w:r>
      <w:r>
        <w:rPr>
          <w:spacing w:val="-4"/>
        </w:rPr>
        <w:t> </w:t>
      </w:r>
      <w:r>
        <w:rPr/>
        <w:t>to</w:t>
      </w:r>
      <w:r>
        <w:rPr>
          <w:spacing w:val="-4"/>
        </w:rPr>
        <w:t> </w:t>
      </w:r>
      <w:r>
        <w:rPr/>
        <w:t>increase</w:t>
      </w:r>
      <w:r>
        <w:rPr>
          <w:spacing w:val="-5"/>
        </w:rPr>
        <w:t> </w:t>
      </w:r>
      <w:r>
        <w:rPr/>
        <w:t>risk</w:t>
      </w:r>
      <w:r>
        <w:rPr>
          <w:spacing w:val="-4"/>
        </w:rPr>
        <w:t> </w:t>
      </w:r>
      <w:r>
        <w:rPr/>
        <w:t>of</w:t>
      </w:r>
      <w:r>
        <w:rPr>
          <w:spacing w:val="-4"/>
        </w:rPr>
        <w:t> </w:t>
      </w:r>
      <w:r>
        <w:rPr/>
        <w:t>suicide</w:t>
      </w:r>
      <w:r>
        <w:rPr>
          <w:spacing w:val="-5"/>
        </w:rPr>
        <w:t> </w:t>
      </w:r>
      <w:r>
        <w:rPr/>
        <w:t>attempt</w:t>
      </w:r>
      <w:r>
        <w:rPr>
          <w:spacing w:val="-4"/>
        </w:rPr>
        <w:t> </w:t>
      </w:r>
      <w:r>
        <w:rPr/>
        <w:t>among</w:t>
      </w:r>
      <w:r>
        <w:rPr>
          <w:spacing w:val="-4"/>
        </w:rPr>
        <w:t> </w:t>
      </w:r>
      <w:r>
        <w:rPr/>
        <w:t>adolescents</w:t>
      </w:r>
      <w:r>
        <w:rPr>
          <w:spacing w:val="-4"/>
        </w:rPr>
        <w:t> </w:t>
      </w:r>
      <w:r>
        <w:rPr/>
        <w:t>and</w:t>
      </w:r>
      <w:r>
        <w:rPr>
          <w:spacing w:val="-4"/>
        </w:rPr>
        <w:t> </w:t>
      </w:r>
      <w:r>
        <w:rPr/>
        <w:t>young</w:t>
      </w:r>
      <w:r>
        <w:rPr>
          <w:spacing w:val="-4"/>
        </w:rPr>
        <w:t> </w:t>
      </w:r>
      <w:r>
        <w:rPr/>
        <w:t>adults of diverse sexual orientation and/or gender identity.</w:t>
      </w:r>
    </w:p>
    <w:p>
      <w:pPr>
        <w:pStyle w:val="BodyText"/>
        <w:spacing w:before="8"/>
        <w:rPr>
          <w:sz w:val="41"/>
        </w:rPr>
      </w:pPr>
    </w:p>
    <w:p>
      <w:pPr>
        <w:pStyle w:val="BodyText"/>
        <w:ind w:left="280" w:right="515"/>
      </w:pPr>
      <w:r>
        <w:rPr/>
        <w:t>Compared to heterosexual and cisgender peers, adolescents of diverse sexual orientation and/or gender identity are more likely to experience psychological distress, symptoms of depression, and symptoms of anxiety. Studies indicate large differences in rates of suicidal ideation and attempts among adolescents in the United States by sexual orientation and gender identity.</w:t>
      </w:r>
      <w:r>
        <w:rPr>
          <w:spacing w:val="-1"/>
        </w:rPr>
        <w:t> </w:t>
      </w:r>
      <w:r>
        <w:rPr/>
        <w:t>The</w:t>
      </w:r>
      <w:r>
        <w:rPr>
          <w:spacing w:val="-7"/>
        </w:rPr>
        <w:t> </w:t>
      </w:r>
      <w:r>
        <w:rPr/>
        <w:t>Youth Risk Behavior</w:t>
      </w:r>
      <w:r>
        <w:rPr>
          <w:spacing w:val="-5"/>
        </w:rPr>
        <w:t> </w:t>
      </w:r>
      <w:r>
        <w:rPr/>
        <w:t>Surveillance</w:t>
      </w:r>
      <w:r>
        <w:rPr>
          <w:spacing w:val="-6"/>
        </w:rPr>
        <w:t> </w:t>
      </w:r>
      <w:r>
        <w:rPr/>
        <w:t>System</w:t>
      </w:r>
      <w:r>
        <w:rPr>
          <w:spacing w:val="-5"/>
        </w:rPr>
        <w:t> </w:t>
      </w:r>
      <w:r>
        <w:rPr/>
        <w:t>(YRBSS)</w:t>
      </w:r>
      <w:r>
        <w:rPr>
          <w:spacing w:val="-5"/>
        </w:rPr>
        <w:t> </w:t>
      </w:r>
      <w:r>
        <w:rPr/>
        <w:t>documented</w:t>
      </w:r>
      <w:r>
        <w:rPr>
          <w:spacing w:val="-5"/>
        </w:rPr>
        <w:t> </w:t>
      </w:r>
      <w:r>
        <w:rPr/>
        <w:t>increased</w:t>
      </w:r>
      <w:r>
        <w:rPr>
          <w:spacing w:val="-5"/>
        </w:rPr>
        <w:t> </w:t>
      </w:r>
      <w:r>
        <w:rPr/>
        <w:t>odds</w:t>
      </w:r>
      <w:r>
        <w:rPr>
          <w:spacing w:val="-5"/>
        </w:rPr>
        <w:t> </w:t>
      </w:r>
      <w:r>
        <w:rPr/>
        <w:t>of</w:t>
      </w:r>
      <w:r>
        <w:rPr>
          <w:spacing w:val="-5"/>
        </w:rPr>
        <w:t> </w:t>
      </w:r>
      <w:r>
        <w:rPr/>
        <w:t>suicide risk among both sexual minority and gender minority high school students compared to heterosexual and cisgender students, including suicide attempt requiring medical treatment.</w:t>
      </w:r>
      <w:r>
        <w:rPr>
          <w:spacing w:val="-6"/>
        </w:rPr>
        <w:t> </w:t>
      </w:r>
      <w:r>
        <w:rPr/>
        <w:t>A</w:t>
      </w:r>
      <w:r>
        <w:rPr>
          <w:spacing w:val="-6"/>
        </w:rPr>
        <w:t> </w:t>
      </w:r>
      <w:r>
        <w:rPr/>
        <w:t>recent public health study with data from six states found that while suicide rates are dropping, sexual minority adolescents in this study were three times as likely to attempt suicide relative to heterosexual adolescents. Research with gender minority adolescents has documented that between 25 percent and 51 percent of transgender and</w:t>
      </w:r>
    </w:p>
    <w:p>
      <w:pPr>
        <w:pStyle w:val="BodyText"/>
        <w:spacing w:line="295" w:lineRule="exact"/>
        <w:ind w:left="280"/>
      </w:pPr>
      <w:r>
        <w:rPr/>
        <w:t>gender-diverse</w:t>
      </w:r>
      <w:r>
        <w:rPr>
          <w:spacing w:val="-6"/>
        </w:rPr>
        <w:t> </w:t>
      </w:r>
      <w:r>
        <w:rPr/>
        <w:t>adolescents</w:t>
      </w:r>
      <w:r>
        <w:rPr>
          <w:spacing w:val="-3"/>
        </w:rPr>
        <w:t> </w:t>
      </w:r>
      <w:r>
        <w:rPr/>
        <w:t>have</w:t>
      </w:r>
      <w:r>
        <w:rPr>
          <w:spacing w:val="-3"/>
        </w:rPr>
        <w:t> </w:t>
      </w:r>
      <w:r>
        <w:rPr/>
        <w:t>attempted</w:t>
      </w:r>
      <w:r>
        <w:rPr>
          <w:spacing w:val="-3"/>
        </w:rPr>
        <w:t> </w:t>
      </w:r>
      <w:r>
        <w:rPr/>
        <w:t>suicide,</w:t>
      </w:r>
      <w:r>
        <w:rPr>
          <w:spacing w:val="-3"/>
        </w:rPr>
        <w:t> </w:t>
      </w:r>
      <w:r>
        <w:rPr/>
        <w:t>with</w:t>
      </w:r>
      <w:r>
        <w:rPr>
          <w:spacing w:val="-2"/>
        </w:rPr>
        <w:t> </w:t>
      </w:r>
      <w:r>
        <w:rPr/>
        <w:t>the</w:t>
      </w:r>
      <w:r>
        <w:rPr>
          <w:spacing w:val="-4"/>
        </w:rPr>
        <w:t> </w:t>
      </w:r>
      <w:r>
        <w:rPr/>
        <w:t>highest</w:t>
      </w:r>
      <w:r>
        <w:rPr>
          <w:spacing w:val="-2"/>
        </w:rPr>
        <w:t> rates</w:t>
      </w:r>
    </w:p>
    <w:p>
      <w:pPr>
        <w:pStyle w:val="BodyText"/>
        <w:spacing w:line="321" w:lineRule="exact"/>
        <w:ind w:left="280"/>
      </w:pPr>
      <w:r>
        <w:rPr/>
        <w:t>among</w:t>
      </w:r>
      <w:r>
        <w:rPr>
          <w:spacing w:val="-4"/>
        </w:rPr>
        <w:t> </w:t>
      </w:r>
      <w:r>
        <w:rPr/>
        <w:t>transgender</w:t>
      </w:r>
      <w:r>
        <w:rPr>
          <w:spacing w:val="-2"/>
        </w:rPr>
        <w:t> </w:t>
      </w:r>
      <w:r>
        <w:rPr/>
        <w:t>boys</w:t>
      </w:r>
      <w:r>
        <w:rPr>
          <w:spacing w:val="-2"/>
        </w:rPr>
        <w:t> </w:t>
      </w:r>
      <w:r>
        <w:rPr/>
        <w:t>and</w:t>
      </w:r>
      <w:r>
        <w:rPr>
          <w:spacing w:val="-2"/>
        </w:rPr>
        <w:t> </w:t>
      </w:r>
      <w:r>
        <w:rPr/>
        <w:t>nonbinary</w:t>
      </w:r>
      <w:r>
        <w:rPr>
          <w:spacing w:val="-2"/>
        </w:rPr>
        <w:t> youth.</w:t>
      </w:r>
    </w:p>
    <w:p>
      <w:pPr>
        <w:pStyle w:val="BodyText"/>
        <w:spacing w:before="178"/>
        <w:ind w:left="280" w:right="628"/>
      </w:pPr>
      <w:r>
        <w:rPr/>
        <w:t>Research</w:t>
      </w:r>
      <w:r>
        <w:rPr>
          <w:spacing w:val="-4"/>
        </w:rPr>
        <w:t> </w:t>
      </w:r>
      <w:r>
        <w:rPr/>
        <w:t>using</w:t>
      </w:r>
      <w:r>
        <w:rPr>
          <w:spacing w:val="-14"/>
        </w:rPr>
        <w:t> </w:t>
      </w:r>
      <w:r>
        <w:rPr/>
        <w:t>YRBSS</w:t>
      </w:r>
      <w:r>
        <w:rPr>
          <w:spacing w:val="-4"/>
        </w:rPr>
        <w:t> </w:t>
      </w:r>
      <w:r>
        <w:rPr/>
        <w:t>data</w:t>
      </w:r>
      <w:r>
        <w:rPr>
          <w:spacing w:val="-5"/>
        </w:rPr>
        <w:t> </w:t>
      </w:r>
      <w:r>
        <w:rPr/>
        <w:t>indicates</w:t>
      </w:r>
      <w:r>
        <w:rPr>
          <w:spacing w:val="-4"/>
        </w:rPr>
        <w:t> </w:t>
      </w:r>
      <w:r>
        <w:rPr/>
        <w:t>that</w:t>
      </w:r>
      <w:r>
        <w:rPr>
          <w:spacing w:val="-4"/>
        </w:rPr>
        <w:t> </w:t>
      </w:r>
      <w:r>
        <w:rPr/>
        <w:t>some</w:t>
      </w:r>
      <w:r>
        <w:rPr>
          <w:spacing w:val="-5"/>
        </w:rPr>
        <w:t> </w:t>
      </w:r>
      <w:r>
        <w:rPr/>
        <w:t>adolescents</w:t>
      </w:r>
      <w:r>
        <w:rPr>
          <w:spacing w:val="-4"/>
        </w:rPr>
        <w:t> </w:t>
      </w:r>
      <w:r>
        <w:rPr/>
        <w:t>of</w:t>
      </w:r>
      <w:r>
        <w:rPr>
          <w:spacing w:val="-4"/>
        </w:rPr>
        <w:t> </w:t>
      </w:r>
      <w:r>
        <w:rPr/>
        <w:t>diverse</w:t>
      </w:r>
      <w:r>
        <w:rPr>
          <w:spacing w:val="-5"/>
        </w:rPr>
        <w:t> </w:t>
      </w:r>
      <w:r>
        <w:rPr/>
        <w:t>sexual orientation and/or gender identity are more likely than heterosexual and cisgender adolescents to engage in substance use. Research found that adolescents of diverse sexual orientation and/or gender identity also experience greater incidence of eating disorders and disordered eating behaviors than their heterosexual and cisgender counterparts.</w:t>
      </w:r>
    </w:p>
    <w:p>
      <w:pPr>
        <w:spacing w:after="0"/>
        <w:sectPr>
          <w:pgSz w:w="12240" w:h="15840"/>
          <w:pgMar w:header="0" w:footer="783" w:top="1260" w:bottom="980" w:left="1400" w:right="1180"/>
        </w:sectPr>
      </w:pPr>
    </w:p>
    <w:p>
      <w:pPr>
        <w:pStyle w:val="BodyText"/>
        <w:spacing w:before="66"/>
        <w:ind w:left="280" w:right="519"/>
      </w:pPr>
      <w:r>
        <w:rPr/>
        <w:t>Adverse mental health outcomes tend to be more prevalent among gender minority youth compared to sexual minority youth due to specific stigma and discrimination</w:t>
      </w:r>
      <w:r>
        <w:rPr>
          <w:spacing w:val="-5"/>
        </w:rPr>
        <w:t> </w:t>
      </w:r>
      <w:r>
        <w:rPr/>
        <w:t>against</w:t>
      </w:r>
      <w:r>
        <w:rPr>
          <w:spacing w:val="-5"/>
        </w:rPr>
        <w:t> </w:t>
      </w:r>
      <w:r>
        <w:rPr/>
        <w:t>transgender</w:t>
      </w:r>
      <w:r>
        <w:rPr>
          <w:spacing w:val="-5"/>
        </w:rPr>
        <w:t> </w:t>
      </w:r>
      <w:r>
        <w:rPr/>
        <w:t>individuals.61</w:t>
      </w:r>
      <w:r>
        <w:rPr>
          <w:spacing w:val="-11"/>
        </w:rPr>
        <w:t> </w:t>
      </w:r>
      <w:r>
        <w:rPr/>
        <w:t>The</w:t>
      </w:r>
      <w:r>
        <w:rPr>
          <w:spacing w:val="-6"/>
        </w:rPr>
        <w:t> </w:t>
      </w:r>
      <w:r>
        <w:rPr/>
        <w:t>higher</w:t>
      </w:r>
      <w:r>
        <w:rPr>
          <w:spacing w:val="-5"/>
        </w:rPr>
        <w:t> </w:t>
      </w:r>
      <w:r>
        <w:rPr/>
        <w:t>rates</w:t>
      </w:r>
      <w:r>
        <w:rPr>
          <w:spacing w:val="-5"/>
        </w:rPr>
        <w:t> </w:t>
      </w:r>
      <w:r>
        <w:rPr/>
        <w:t>of</w:t>
      </w:r>
      <w:r>
        <w:rPr>
          <w:spacing w:val="-5"/>
        </w:rPr>
        <w:t> </w:t>
      </w:r>
      <w:r>
        <w:rPr/>
        <w:t>substance use and suicidality are partly explained by experiences of discrimination, victimization, and higher rates of depressive symptoms reported by transgender and gender-diverse adolescents as compared to cisgender </w:t>
      </w:r>
      <w:r>
        <w:rPr>
          <w:spacing w:val="-2"/>
        </w:rPr>
        <w:t>adolescents.</w:t>
      </w:r>
    </w:p>
    <w:p>
      <w:pPr>
        <w:pStyle w:val="BodyText"/>
        <w:spacing w:before="3"/>
        <w:rPr>
          <w:sz w:val="42"/>
        </w:rPr>
      </w:pPr>
    </w:p>
    <w:p>
      <w:pPr>
        <w:pStyle w:val="BodyText"/>
        <w:ind w:left="280" w:right="502"/>
      </w:pPr>
      <w:r>
        <w:rPr/>
        <w:t>Among transgender and gender-diverse adolescents, some research suggests that mental health outcomes may be worse among nonbinary adolescents and transgender boys. Gender dysphoria, which can initiate or intensify in adolescence,</w:t>
      </w:r>
      <w:r>
        <w:rPr>
          <w:spacing w:val="-6"/>
        </w:rPr>
        <w:t> </w:t>
      </w:r>
      <w:r>
        <w:rPr/>
        <w:t>can</w:t>
      </w:r>
      <w:r>
        <w:rPr>
          <w:spacing w:val="-6"/>
        </w:rPr>
        <w:t> </w:t>
      </w:r>
      <w:r>
        <w:rPr/>
        <w:t>cause</w:t>
      </w:r>
      <w:r>
        <w:rPr>
          <w:spacing w:val="-7"/>
        </w:rPr>
        <w:t> </w:t>
      </w:r>
      <w:r>
        <w:rPr/>
        <w:t>psychological</w:t>
      </w:r>
      <w:r>
        <w:rPr>
          <w:spacing w:val="-6"/>
        </w:rPr>
        <w:t> </w:t>
      </w:r>
      <w:r>
        <w:rPr/>
        <w:t>distress</w:t>
      </w:r>
      <w:r>
        <w:rPr>
          <w:spacing w:val="-6"/>
        </w:rPr>
        <w:t> </w:t>
      </w:r>
      <w:r>
        <w:rPr/>
        <w:t>among</w:t>
      </w:r>
      <w:r>
        <w:rPr>
          <w:spacing w:val="-6"/>
        </w:rPr>
        <w:t> </w:t>
      </w:r>
      <w:r>
        <w:rPr/>
        <w:t>transgender</w:t>
      </w:r>
      <w:r>
        <w:rPr>
          <w:spacing w:val="-6"/>
        </w:rPr>
        <w:t> </w:t>
      </w:r>
      <w:r>
        <w:rPr/>
        <w:t>and</w:t>
      </w:r>
      <w:r>
        <w:rPr>
          <w:spacing w:val="-6"/>
        </w:rPr>
        <w:t> </w:t>
      </w:r>
      <w:r>
        <w:rPr/>
        <w:t>gender- diverse adolescents. Increased experiences of victimization, rejection, and exposure</w:t>
      </w:r>
      <w:r>
        <w:rPr>
          <w:spacing w:val="-2"/>
        </w:rPr>
        <w:t> </w:t>
      </w:r>
      <w:r>
        <w:rPr/>
        <w:t>to</w:t>
      </w:r>
      <w:r>
        <w:rPr>
          <w:spacing w:val="-1"/>
        </w:rPr>
        <w:t> </w:t>
      </w:r>
      <w:r>
        <w:rPr/>
        <w:t>discriminatory</w:t>
      </w:r>
      <w:r>
        <w:rPr>
          <w:spacing w:val="-1"/>
        </w:rPr>
        <w:t> </w:t>
      </w:r>
      <w:r>
        <w:rPr/>
        <w:t>policies</w:t>
      </w:r>
      <w:r>
        <w:rPr>
          <w:spacing w:val="-1"/>
        </w:rPr>
        <w:t> </w:t>
      </w:r>
      <w:r>
        <w:rPr/>
        <w:t>may</w:t>
      </w:r>
      <w:r>
        <w:rPr>
          <w:spacing w:val="-1"/>
        </w:rPr>
        <w:t> </w:t>
      </w:r>
      <w:r>
        <w:rPr/>
        <w:t>also</w:t>
      </w:r>
      <w:r>
        <w:rPr>
          <w:spacing w:val="-1"/>
        </w:rPr>
        <w:t> </w:t>
      </w:r>
      <w:r>
        <w:rPr/>
        <w:t>drive</w:t>
      </w:r>
      <w:r>
        <w:rPr>
          <w:spacing w:val="-2"/>
        </w:rPr>
        <w:t> </w:t>
      </w:r>
      <w:r>
        <w:rPr/>
        <w:t>the</w:t>
      </w:r>
      <w:r>
        <w:rPr>
          <w:spacing w:val="-2"/>
        </w:rPr>
        <w:t> </w:t>
      </w:r>
      <w:r>
        <w:rPr/>
        <w:t>higher</w:t>
      </w:r>
      <w:r>
        <w:rPr>
          <w:spacing w:val="-1"/>
        </w:rPr>
        <w:t> </w:t>
      </w:r>
      <w:r>
        <w:rPr/>
        <w:t>rates</w:t>
      </w:r>
      <w:r>
        <w:rPr>
          <w:spacing w:val="-1"/>
        </w:rPr>
        <w:t> </w:t>
      </w:r>
      <w:r>
        <w:rPr/>
        <w:t>of</w:t>
      </w:r>
      <w:r>
        <w:rPr>
          <w:spacing w:val="-1"/>
        </w:rPr>
        <w:t> </w:t>
      </w:r>
      <w:r>
        <w:rPr/>
        <w:t>adverse mental health seen among transgender and gender-diverse adolescents compared to sexual minority adolescents.</w:t>
      </w:r>
    </w:p>
    <w:p>
      <w:pPr>
        <w:pStyle w:val="BodyText"/>
        <w:spacing w:before="164"/>
        <w:ind w:left="280" w:right="502"/>
      </w:pPr>
      <w:r>
        <w:rPr/>
        <w:t>Trauma</w:t>
      </w:r>
      <w:r>
        <w:rPr>
          <w:spacing w:val="-5"/>
        </w:rPr>
        <w:t> </w:t>
      </w:r>
      <w:r>
        <w:rPr/>
        <w:t>is</w:t>
      </w:r>
      <w:r>
        <w:rPr>
          <w:spacing w:val="-4"/>
        </w:rPr>
        <w:t> </w:t>
      </w:r>
      <w:r>
        <w:rPr/>
        <w:t>also</w:t>
      </w:r>
      <w:r>
        <w:rPr>
          <w:spacing w:val="-4"/>
        </w:rPr>
        <w:t> </w:t>
      </w:r>
      <w:r>
        <w:rPr/>
        <w:t>a</w:t>
      </w:r>
      <w:r>
        <w:rPr>
          <w:spacing w:val="-5"/>
        </w:rPr>
        <w:t> </w:t>
      </w:r>
      <w:r>
        <w:rPr/>
        <w:t>common</w:t>
      </w:r>
      <w:r>
        <w:rPr>
          <w:spacing w:val="-4"/>
        </w:rPr>
        <w:t> </w:t>
      </w:r>
      <w:r>
        <w:rPr/>
        <w:t>behavioral</w:t>
      </w:r>
      <w:r>
        <w:rPr>
          <w:spacing w:val="-4"/>
        </w:rPr>
        <w:t> </w:t>
      </w:r>
      <w:r>
        <w:rPr/>
        <w:t>health</w:t>
      </w:r>
      <w:r>
        <w:rPr>
          <w:spacing w:val="-4"/>
        </w:rPr>
        <w:t> </w:t>
      </w:r>
      <w:r>
        <w:rPr/>
        <w:t>concern</w:t>
      </w:r>
      <w:r>
        <w:rPr>
          <w:spacing w:val="-4"/>
        </w:rPr>
        <w:t> </w:t>
      </w:r>
      <w:r>
        <w:rPr/>
        <w:t>among</w:t>
      </w:r>
      <w:r>
        <w:rPr>
          <w:spacing w:val="-4"/>
        </w:rPr>
        <w:t> </w:t>
      </w:r>
      <w:r>
        <w:rPr/>
        <w:t>adolescents</w:t>
      </w:r>
      <w:r>
        <w:rPr>
          <w:spacing w:val="-4"/>
        </w:rPr>
        <w:t> </w:t>
      </w:r>
      <w:r>
        <w:rPr/>
        <w:t>of diverse sexual orientation and/or gender identity, who have an increased likelihood</w:t>
      </w:r>
      <w:r>
        <w:rPr>
          <w:spacing w:val="-7"/>
        </w:rPr>
        <w:t> </w:t>
      </w:r>
      <w:r>
        <w:rPr/>
        <w:t>of</w:t>
      </w:r>
      <w:r>
        <w:rPr>
          <w:spacing w:val="-7"/>
        </w:rPr>
        <w:t> </w:t>
      </w:r>
      <w:r>
        <w:rPr/>
        <w:t>experiencing</w:t>
      </w:r>
      <w:r>
        <w:rPr>
          <w:spacing w:val="-7"/>
        </w:rPr>
        <w:t> </w:t>
      </w:r>
      <w:r>
        <w:rPr/>
        <w:t>child</w:t>
      </w:r>
      <w:r>
        <w:rPr>
          <w:spacing w:val="-7"/>
        </w:rPr>
        <w:t> </w:t>
      </w:r>
      <w:r>
        <w:rPr/>
        <w:t>maltreatment,</w:t>
      </w:r>
      <w:r>
        <w:rPr>
          <w:spacing w:val="-7"/>
        </w:rPr>
        <w:t> </w:t>
      </w:r>
      <w:r>
        <w:rPr/>
        <w:t>school-based</w:t>
      </w:r>
      <w:r>
        <w:rPr>
          <w:spacing w:val="-7"/>
        </w:rPr>
        <w:t> </w:t>
      </w:r>
      <w:r>
        <w:rPr/>
        <w:t>victimization, violence,</w:t>
      </w:r>
      <w:r>
        <w:rPr>
          <w:spacing w:val="-4"/>
        </w:rPr>
        <w:t> </w:t>
      </w:r>
      <w:r>
        <w:rPr/>
        <w:t>and</w:t>
      </w:r>
      <w:r>
        <w:rPr>
          <w:spacing w:val="-4"/>
        </w:rPr>
        <w:t> </w:t>
      </w:r>
      <w:r>
        <w:rPr/>
        <w:t>homelessness,</w:t>
      </w:r>
      <w:r>
        <w:rPr>
          <w:spacing w:val="-4"/>
        </w:rPr>
        <w:t> </w:t>
      </w:r>
      <w:r>
        <w:rPr/>
        <w:t>and</w:t>
      </w:r>
      <w:r>
        <w:rPr>
          <w:spacing w:val="-4"/>
        </w:rPr>
        <w:t> </w:t>
      </w:r>
      <w:r>
        <w:rPr/>
        <w:t>who</w:t>
      </w:r>
      <w:r>
        <w:rPr>
          <w:spacing w:val="-4"/>
        </w:rPr>
        <w:t> </w:t>
      </w:r>
      <w:r>
        <w:rPr/>
        <w:t>are</w:t>
      </w:r>
      <w:r>
        <w:rPr>
          <w:spacing w:val="-5"/>
        </w:rPr>
        <w:t> </w:t>
      </w:r>
      <w:r>
        <w:rPr/>
        <w:t>overrepresented</w:t>
      </w:r>
      <w:r>
        <w:rPr>
          <w:spacing w:val="-4"/>
        </w:rPr>
        <w:t> </w:t>
      </w:r>
      <w:r>
        <w:rPr/>
        <w:t>in</w:t>
      </w:r>
      <w:r>
        <w:rPr>
          <w:spacing w:val="-4"/>
        </w:rPr>
        <w:t> </w:t>
      </w:r>
      <w:r>
        <w:rPr/>
        <w:t>both</w:t>
      </w:r>
      <w:r>
        <w:rPr>
          <w:spacing w:val="-4"/>
        </w:rPr>
        <w:t> </w:t>
      </w:r>
      <w:r>
        <w:rPr/>
        <w:t>the</w:t>
      </w:r>
      <w:r>
        <w:rPr>
          <w:spacing w:val="-5"/>
        </w:rPr>
        <w:t> </w:t>
      </w:r>
      <w:r>
        <w:rPr/>
        <w:t>child welfare system and the juvenile correctional system.</w:t>
      </w:r>
    </w:p>
    <w:p>
      <w:pPr>
        <w:pStyle w:val="BodyText"/>
        <w:spacing w:before="117"/>
        <w:ind w:left="280" w:right="502"/>
      </w:pPr>
      <w:r>
        <w:rPr/>
        <w:t>A</w:t>
      </w:r>
      <w:r>
        <w:rPr>
          <w:spacing w:val="-18"/>
        </w:rPr>
        <w:t> </w:t>
      </w:r>
      <w:r>
        <w:rPr/>
        <w:t>number</w:t>
      </w:r>
      <w:r>
        <w:rPr>
          <w:spacing w:val="-4"/>
        </w:rPr>
        <w:t> </w:t>
      </w:r>
      <w:r>
        <w:rPr/>
        <w:t>of</w:t>
      </w:r>
      <w:r>
        <w:rPr>
          <w:spacing w:val="-4"/>
        </w:rPr>
        <w:t> </w:t>
      </w:r>
      <w:r>
        <w:rPr/>
        <w:t>studies</w:t>
      </w:r>
      <w:r>
        <w:rPr>
          <w:spacing w:val="-4"/>
        </w:rPr>
        <w:t> </w:t>
      </w:r>
      <w:r>
        <w:rPr/>
        <w:t>suggest</w:t>
      </w:r>
      <w:r>
        <w:rPr>
          <w:spacing w:val="-4"/>
        </w:rPr>
        <w:t> </w:t>
      </w:r>
      <w:r>
        <w:rPr/>
        <w:t>that</w:t>
      </w:r>
      <w:r>
        <w:rPr>
          <w:spacing w:val="-4"/>
        </w:rPr>
        <w:t> </w:t>
      </w:r>
      <w:r>
        <w:rPr/>
        <w:t>some</w:t>
      </w:r>
      <w:r>
        <w:rPr>
          <w:spacing w:val="-5"/>
        </w:rPr>
        <w:t> </w:t>
      </w:r>
      <w:r>
        <w:rPr/>
        <w:t>neurodiverse</w:t>
      </w:r>
      <w:r>
        <w:rPr>
          <w:spacing w:val="-5"/>
        </w:rPr>
        <w:t> </w:t>
      </w:r>
      <w:r>
        <w:rPr/>
        <w:t>youth</w:t>
      </w:r>
      <w:r>
        <w:rPr>
          <w:spacing w:val="-4"/>
        </w:rPr>
        <w:t> </w:t>
      </w:r>
      <w:r>
        <w:rPr/>
        <w:t>are</w:t>
      </w:r>
      <w:r>
        <w:rPr>
          <w:spacing w:val="-5"/>
        </w:rPr>
        <w:t> </w:t>
      </w:r>
      <w:r>
        <w:rPr/>
        <w:t>gender</w:t>
      </w:r>
      <w:r>
        <w:rPr>
          <w:spacing w:val="-4"/>
        </w:rPr>
        <w:t> </w:t>
      </w:r>
      <w:r>
        <w:rPr/>
        <w:t>diverse. The most recent clinical guidelines suggest that such youth benefit from an individualized approach to treatment.</w:t>
      </w:r>
    </w:p>
    <w:p>
      <w:pPr>
        <w:pStyle w:val="BodyText"/>
        <w:spacing w:before="175"/>
        <w:ind w:left="280" w:right="502"/>
      </w:pPr>
      <w:r>
        <w:rPr/>
        <w:t>The</w:t>
      </w:r>
      <w:r>
        <w:rPr>
          <w:spacing w:val="-6"/>
        </w:rPr>
        <w:t> </w:t>
      </w:r>
      <w:r>
        <w:rPr/>
        <w:t>fact</w:t>
      </w:r>
      <w:r>
        <w:rPr>
          <w:spacing w:val="-5"/>
        </w:rPr>
        <w:t> </w:t>
      </w:r>
      <w:r>
        <w:rPr/>
        <w:t>that</w:t>
      </w:r>
      <w:r>
        <w:rPr>
          <w:spacing w:val="-5"/>
        </w:rPr>
        <w:t> </w:t>
      </w:r>
      <w:r>
        <w:rPr/>
        <w:t>research</w:t>
      </w:r>
      <w:r>
        <w:rPr>
          <w:spacing w:val="-5"/>
        </w:rPr>
        <w:t> </w:t>
      </w:r>
      <w:r>
        <w:rPr/>
        <w:t>consistently</w:t>
      </w:r>
      <w:r>
        <w:rPr>
          <w:spacing w:val="-5"/>
        </w:rPr>
        <w:t> </w:t>
      </w:r>
      <w:r>
        <w:rPr/>
        <w:t>demonstrates</w:t>
      </w:r>
      <w:r>
        <w:rPr>
          <w:spacing w:val="-5"/>
        </w:rPr>
        <w:t> </w:t>
      </w:r>
      <w:r>
        <w:rPr/>
        <w:t>large</w:t>
      </w:r>
      <w:r>
        <w:rPr>
          <w:spacing w:val="-6"/>
        </w:rPr>
        <w:t> </w:t>
      </w:r>
      <w:r>
        <w:rPr/>
        <w:t>inequities</w:t>
      </w:r>
      <w:r>
        <w:rPr>
          <w:spacing w:val="-5"/>
        </w:rPr>
        <w:t> </w:t>
      </w:r>
      <w:r>
        <w:rPr/>
        <w:t>in</w:t>
      </w:r>
      <w:r>
        <w:rPr>
          <w:spacing w:val="-5"/>
        </w:rPr>
        <w:t> </w:t>
      </w:r>
      <w:r>
        <w:rPr/>
        <w:t>behavioral health among LGBTQI+ adolescents indicates that this is a vulnerable population that needs psychosocial support, equitable social conditions, and access to affirming mental health care.</w:t>
      </w:r>
      <w:r>
        <w:rPr>
          <w:spacing w:val="-8"/>
        </w:rPr>
        <w:t> </w:t>
      </w:r>
      <w:r>
        <w:rPr/>
        <w:t>At the same time, it is important to emphasize that many LGBTQI+ adolescents are resilient and although experiencing discrimination and behavioral health challenges can thrive.</w:t>
      </w:r>
    </w:p>
    <w:p>
      <w:pPr>
        <w:pStyle w:val="BodyText"/>
        <w:spacing w:before="3"/>
        <w:rPr>
          <w:sz w:val="30"/>
        </w:rPr>
      </w:pPr>
    </w:p>
    <w:p>
      <w:pPr>
        <w:pStyle w:val="Heading3"/>
        <w:rPr>
          <w:i/>
        </w:rPr>
      </w:pPr>
      <w:r>
        <w:rPr>
          <w:i/>
        </w:rPr>
        <w:t>Influences</w:t>
      </w:r>
      <w:r>
        <w:rPr>
          <w:i/>
          <w:spacing w:val="-10"/>
        </w:rPr>
        <w:t> </w:t>
      </w:r>
      <w:r>
        <w:rPr>
          <w:i/>
        </w:rPr>
        <w:t>on</w:t>
      </w:r>
      <w:r>
        <w:rPr>
          <w:i/>
          <w:spacing w:val="-7"/>
        </w:rPr>
        <w:t> </w:t>
      </w:r>
      <w:r>
        <w:rPr>
          <w:i/>
        </w:rPr>
        <w:t>Health</w:t>
      </w:r>
      <w:r>
        <w:rPr>
          <w:i/>
          <w:spacing w:val="-7"/>
        </w:rPr>
        <w:t> </w:t>
      </w:r>
      <w:r>
        <w:rPr>
          <w:i/>
        </w:rPr>
        <w:t>and</w:t>
      </w:r>
      <w:r>
        <w:rPr>
          <w:i/>
          <w:spacing w:val="-12"/>
        </w:rPr>
        <w:t> </w:t>
      </w:r>
      <w:r>
        <w:rPr>
          <w:i/>
        </w:rPr>
        <w:t>Well-</w:t>
      </w:r>
      <w:r>
        <w:rPr>
          <w:i/>
          <w:spacing w:val="-2"/>
        </w:rPr>
        <w:t>Being</w:t>
      </w:r>
    </w:p>
    <w:p>
      <w:pPr>
        <w:pStyle w:val="BodyText"/>
        <w:spacing w:before="1"/>
        <w:rPr>
          <w:b/>
          <w:i/>
          <w:sz w:val="31"/>
        </w:rPr>
      </w:pPr>
    </w:p>
    <w:p>
      <w:pPr>
        <w:pStyle w:val="BodyText"/>
        <w:ind w:left="280" w:right="597"/>
      </w:pPr>
      <w:r>
        <w:rPr/>
        <w:t>The</w:t>
      </w:r>
      <w:r>
        <w:rPr>
          <w:spacing w:val="-5"/>
        </w:rPr>
        <w:t> </w:t>
      </w:r>
      <w:r>
        <w:rPr/>
        <w:t>increased</w:t>
      </w:r>
      <w:r>
        <w:rPr>
          <w:spacing w:val="-4"/>
        </w:rPr>
        <w:t> </w:t>
      </w:r>
      <w:r>
        <w:rPr/>
        <w:t>risks</w:t>
      </w:r>
      <w:r>
        <w:rPr>
          <w:spacing w:val="-4"/>
        </w:rPr>
        <w:t> </w:t>
      </w:r>
      <w:r>
        <w:rPr/>
        <w:t>of</w:t>
      </w:r>
      <w:r>
        <w:rPr>
          <w:spacing w:val="-4"/>
        </w:rPr>
        <w:t> </w:t>
      </w:r>
      <w:r>
        <w:rPr/>
        <w:t>behavioral</w:t>
      </w:r>
      <w:r>
        <w:rPr>
          <w:spacing w:val="-4"/>
        </w:rPr>
        <w:t> </w:t>
      </w:r>
      <w:r>
        <w:rPr/>
        <w:t>health</w:t>
      </w:r>
      <w:r>
        <w:rPr>
          <w:spacing w:val="-4"/>
        </w:rPr>
        <w:t> </w:t>
      </w:r>
      <w:r>
        <w:rPr/>
        <w:t>distress</w:t>
      </w:r>
      <w:r>
        <w:rPr>
          <w:spacing w:val="-4"/>
        </w:rPr>
        <w:t> </w:t>
      </w:r>
      <w:r>
        <w:rPr/>
        <w:t>that</w:t>
      </w:r>
      <w:r>
        <w:rPr>
          <w:spacing w:val="-4"/>
        </w:rPr>
        <w:t> </w:t>
      </w:r>
      <w:r>
        <w:rPr/>
        <w:t>LGBTQI+</w:t>
      </w:r>
      <w:r>
        <w:rPr>
          <w:spacing w:val="-4"/>
        </w:rPr>
        <w:t> </w:t>
      </w:r>
      <w:r>
        <w:rPr/>
        <w:t>youth</w:t>
      </w:r>
      <w:r>
        <w:rPr>
          <w:spacing w:val="-4"/>
        </w:rPr>
        <w:t> </w:t>
      </w:r>
      <w:r>
        <w:rPr/>
        <w:t>face</w:t>
      </w:r>
      <w:r>
        <w:rPr>
          <w:spacing w:val="-5"/>
        </w:rPr>
        <w:t> </w:t>
      </w:r>
      <w:r>
        <w:rPr/>
        <w:t>are not a function of their identities. Rather, these risks stem from the stresses of stigma, discrimination, rejection, and violence. The presence of sexual orientation-and gender-related stressors—and opportunities for emotional support</w:t>
      </w:r>
      <w:r>
        <w:rPr>
          <w:spacing w:val="-4"/>
        </w:rPr>
        <w:t> </w:t>
      </w:r>
      <w:r>
        <w:rPr/>
        <w:t>and</w:t>
      </w:r>
      <w:r>
        <w:rPr>
          <w:spacing w:val="-4"/>
        </w:rPr>
        <w:t> </w:t>
      </w:r>
      <w:r>
        <w:rPr/>
        <w:t>connection—</w:t>
      </w:r>
      <w:r>
        <w:rPr>
          <w:spacing w:val="-4"/>
        </w:rPr>
        <w:t> </w:t>
      </w:r>
      <w:r>
        <w:rPr/>
        <w:t>encompasses</w:t>
      </w:r>
      <w:r>
        <w:rPr>
          <w:spacing w:val="-4"/>
        </w:rPr>
        <w:t> </w:t>
      </w:r>
      <w:r>
        <w:rPr/>
        <w:t>multiple</w:t>
      </w:r>
      <w:r>
        <w:rPr>
          <w:spacing w:val="-5"/>
        </w:rPr>
        <w:t> </w:t>
      </w:r>
      <w:r>
        <w:rPr/>
        <w:t>social</w:t>
      </w:r>
      <w:r>
        <w:rPr>
          <w:spacing w:val="-4"/>
        </w:rPr>
        <w:t> </w:t>
      </w:r>
      <w:r>
        <w:rPr/>
        <w:t>systems,</w:t>
      </w:r>
      <w:r>
        <w:rPr>
          <w:spacing w:val="-4"/>
        </w:rPr>
        <w:t> </w:t>
      </w:r>
      <w:r>
        <w:rPr/>
        <w:t>including,</w:t>
      </w:r>
      <w:r>
        <w:rPr>
          <w:spacing w:val="-4"/>
        </w:rPr>
        <w:t> </w:t>
      </w:r>
      <w:r>
        <w:rPr/>
        <w:t>for instance, family, culture, values, school, and community networks.</w:t>
      </w:r>
      <w:r>
        <w:rPr>
          <w:spacing w:val="-5"/>
        </w:rPr>
        <w:t> </w:t>
      </w:r>
      <w:r>
        <w:rPr/>
        <w:t>Therefore,</w:t>
      </w:r>
    </w:p>
    <w:p>
      <w:pPr>
        <w:spacing w:after="0"/>
        <w:sectPr>
          <w:pgSz w:w="12240" w:h="15840"/>
          <w:pgMar w:header="0" w:footer="783" w:top="1260" w:bottom="980" w:left="1400" w:right="1180"/>
        </w:sectPr>
      </w:pPr>
    </w:p>
    <w:p>
      <w:pPr>
        <w:pStyle w:val="BodyText"/>
        <w:spacing w:before="66"/>
        <w:ind w:left="280" w:right="553"/>
      </w:pPr>
      <w:r>
        <w:rPr/>
        <w:t>when LGBTQI+ youth are evaluated by a behavioral health provider, assessment</w:t>
      </w:r>
      <w:r>
        <w:rPr>
          <w:spacing w:val="-7"/>
        </w:rPr>
        <w:t> </w:t>
      </w:r>
      <w:r>
        <w:rPr/>
        <w:t>should</w:t>
      </w:r>
      <w:r>
        <w:rPr>
          <w:spacing w:val="-7"/>
        </w:rPr>
        <w:t> </w:t>
      </w:r>
      <w:r>
        <w:rPr/>
        <w:t>routinely</w:t>
      </w:r>
      <w:r>
        <w:rPr>
          <w:spacing w:val="-7"/>
        </w:rPr>
        <w:t> </w:t>
      </w:r>
      <w:r>
        <w:rPr/>
        <w:t>include</w:t>
      </w:r>
      <w:r>
        <w:rPr>
          <w:spacing w:val="-7"/>
        </w:rPr>
        <w:t> </w:t>
      </w:r>
      <w:r>
        <w:rPr/>
        <w:t>family,</w:t>
      </w:r>
      <w:r>
        <w:rPr>
          <w:spacing w:val="-7"/>
        </w:rPr>
        <w:t> </w:t>
      </w:r>
      <w:r>
        <w:rPr/>
        <w:t>school,</w:t>
      </w:r>
      <w:r>
        <w:rPr>
          <w:spacing w:val="-7"/>
        </w:rPr>
        <w:t> </w:t>
      </w:r>
      <w:r>
        <w:rPr/>
        <w:t>and</w:t>
      </w:r>
      <w:r>
        <w:rPr>
          <w:spacing w:val="-7"/>
        </w:rPr>
        <w:t> </w:t>
      </w:r>
      <w:r>
        <w:rPr/>
        <w:t>community</w:t>
      </w:r>
      <w:r>
        <w:rPr>
          <w:spacing w:val="-7"/>
        </w:rPr>
        <w:t> </w:t>
      </w:r>
      <w:r>
        <w:rPr/>
        <w:t>systems</w:t>
      </w:r>
      <w:r>
        <w:rPr>
          <w:spacing w:val="-7"/>
        </w:rPr>
        <w:t> </w:t>
      </w:r>
      <w:r>
        <w:rPr/>
        <w:t>in which they live to identify both sources of distress and sources of support and connection as protective factors. By increasing LGBTQI+ youth’s access to support and resilience-promoting resources across their daily environments, and decreasing exposure to stigma and discrimination in communities and healthcare systems, more LGBTQI+ youth can achieve optimal health and </w:t>
      </w:r>
      <w:r>
        <w:rPr>
          <w:spacing w:val="-2"/>
        </w:rPr>
        <w:t>well-being.</w:t>
      </w:r>
    </w:p>
    <w:p>
      <w:pPr>
        <w:pStyle w:val="BodyText"/>
        <w:spacing w:before="2"/>
        <w:rPr>
          <w:sz w:val="39"/>
        </w:rPr>
      </w:pPr>
    </w:p>
    <w:p>
      <w:pPr>
        <w:pStyle w:val="Heading2"/>
        <w:spacing w:before="1"/>
      </w:pPr>
      <w:r>
        <w:rPr>
          <w:spacing w:val="-2"/>
        </w:rPr>
        <w:t>Family</w:t>
      </w:r>
    </w:p>
    <w:p>
      <w:pPr>
        <w:pStyle w:val="BodyText"/>
        <w:spacing w:before="125"/>
        <w:ind w:left="280" w:right="500"/>
      </w:pPr>
      <w:r>
        <w:rPr/>
        <w:t>Family response to youth’s sexual orientation, gender identity, or gender expression has a significant impact on the youth’s well-being, with effects that appear to extend into young adulthood. Parents, caregivers, and families can serve as both a source of stress and a source of support for youth of diverse sexual</w:t>
      </w:r>
      <w:r>
        <w:rPr>
          <w:spacing w:val="-7"/>
        </w:rPr>
        <w:t> </w:t>
      </w:r>
      <w:r>
        <w:rPr/>
        <w:t>orientation</w:t>
      </w:r>
      <w:r>
        <w:rPr>
          <w:spacing w:val="-7"/>
        </w:rPr>
        <w:t> </w:t>
      </w:r>
      <w:r>
        <w:rPr/>
        <w:t>and/or</w:t>
      </w:r>
      <w:r>
        <w:rPr>
          <w:spacing w:val="-7"/>
        </w:rPr>
        <w:t> </w:t>
      </w:r>
      <w:r>
        <w:rPr/>
        <w:t>gender</w:t>
      </w:r>
      <w:r>
        <w:rPr>
          <w:spacing w:val="-7"/>
        </w:rPr>
        <w:t> </w:t>
      </w:r>
      <w:r>
        <w:rPr/>
        <w:t>identity.</w:t>
      </w:r>
      <w:r>
        <w:rPr>
          <w:spacing w:val="-7"/>
        </w:rPr>
        <w:t> </w:t>
      </w:r>
      <w:r>
        <w:rPr/>
        <w:t>Negative</w:t>
      </w:r>
      <w:r>
        <w:rPr>
          <w:spacing w:val="-7"/>
        </w:rPr>
        <w:t> </w:t>
      </w:r>
      <w:r>
        <w:rPr/>
        <w:t>parental</w:t>
      </w:r>
      <w:r>
        <w:rPr>
          <w:spacing w:val="-7"/>
        </w:rPr>
        <w:t> </w:t>
      </w:r>
      <w:r>
        <w:rPr/>
        <w:t>responses</w:t>
      </w:r>
      <w:r>
        <w:rPr>
          <w:spacing w:val="-7"/>
        </w:rPr>
        <w:t> </w:t>
      </w:r>
      <w:r>
        <w:rPr/>
        <w:t>to</w:t>
      </w:r>
      <w:r>
        <w:rPr>
          <w:spacing w:val="-7"/>
        </w:rPr>
        <w:t> </w:t>
      </w:r>
      <w:r>
        <w:rPr/>
        <w:t>sexual orientation, gender identity, and/or gender expression are associated with mental health concerns including psychological distress, depression, suicidality, and substance use.</w:t>
      </w:r>
      <w:r>
        <w:rPr>
          <w:spacing w:val="-3"/>
        </w:rPr>
        <w:t> </w:t>
      </w:r>
      <w:r>
        <w:rPr/>
        <w:t>Alternatively, parent-child relationships characterized by closeness and support are an important correlate of mental </w:t>
      </w:r>
      <w:r>
        <w:rPr>
          <w:spacing w:val="-2"/>
        </w:rPr>
        <w:t>well-being.</w:t>
      </w:r>
    </w:p>
    <w:p>
      <w:pPr>
        <w:pStyle w:val="BodyText"/>
        <w:spacing w:before="160"/>
        <w:ind w:left="280" w:right="502"/>
      </w:pPr>
      <w:r>
        <w:rPr/>
        <w:t>Strong parental support for a child’s gender identity may offset the mental health</w:t>
      </w:r>
      <w:r>
        <w:rPr>
          <w:spacing w:val="-6"/>
        </w:rPr>
        <w:t> </w:t>
      </w:r>
      <w:r>
        <w:rPr/>
        <w:t>challenges</w:t>
      </w:r>
      <w:r>
        <w:rPr>
          <w:spacing w:val="-6"/>
        </w:rPr>
        <w:t> </w:t>
      </w:r>
      <w:r>
        <w:rPr/>
        <w:t>commonly</w:t>
      </w:r>
      <w:r>
        <w:rPr>
          <w:spacing w:val="-6"/>
        </w:rPr>
        <w:t> </w:t>
      </w:r>
      <w:r>
        <w:rPr/>
        <w:t>documented</w:t>
      </w:r>
      <w:r>
        <w:rPr>
          <w:spacing w:val="-6"/>
        </w:rPr>
        <w:t> </w:t>
      </w:r>
      <w:r>
        <w:rPr/>
        <w:t>among</w:t>
      </w:r>
      <w:r>
        <w:rPr>
          <w:spacing w:val="-6"/>
        </w:rPr>
        <w:t> </w:t>
      </w:r>
      <w:r>
        <w:rPr/>
        <w:t>gender-diverse</w:t>
      </w:r>
      <w:r>
        <w:rPr>
          <w:spacing w:val="-7"/>
        </w:rPr>
        <w:t> </w:t>
      </w:r>
      <w:r>
        <w:rPr/>
        <w:t>children.</w:t>
      </w:r>
      <w:r>
        <w:rPr>
          <w:spacing w:val="-12"/>
        </w:rPr>
        <w:t> </w:t>
      </w:r>
      <w:r>
        <w:rPr/>
        <w:t>The use</w:t>
      </w:r>
      <w:r>
        <w:rPr>
          <w:spacing w:val="-8"/>
        </w:rPr>
        <w:t> </w:t>
      </w:r>
      <w:r>
        <w:rPr/>
        <w:t>of</w:t>
      </w:r>
      <w:r>
        <w:rPr>
          <w:spacing w:val="-5"/>
        </w:rPr>
        <w:t> </w:t>
      </w:r>
      <w:r>
        <w:rPr/>
        <w:t>a</w:t>
      </w:r>
      <w:r>
        <w:rPr>
          <w:spacing w:val="-5"/>
        </w:rPr>
        <w:t> </w:t>
      </w:r>
      <w:r>
        <w:rPr/>
        <w:t>transgender</w:t>
      </w:r>
      <w:r>
        <w:rPr>
          <w:spacing w:val="-5"/>
        </w:rPr>
        <w:t> </w:t>
      </w:r>
      <w:r>
        <w:rPr/>
        <w:t>or</w:t>
      </w:r>
      <w:r>
        <w:rPr>
          <w:spacing w:val="-5"/>
        </w:rPr>
        <w:t> </w:t>
      </w:r>
      <w:r>
        <w:rPr/>
        <w:t>gender-diverse</w:t>
      </w:r>
      <w:r>
        <w:rPr>
          <w:spacing w:val="-5"/>
        </w:rPr>
        <w:t> </w:t>
      </w:r>
      <w:r>
        <w:rPr/>
        <w:t>adolescent’s</w:t>
      </w:r>
      <w:r>
        <w:rPr>
          <w:spacing w:val="-5"/>
        </w:rPr>
        <w:t> </w:t>
      </w:r>
      <w:r>
        <w:rPr/>
        <w:t>chosen—rather</w:t>
      </w:r>
      <w:r>
        <w:rPr>
          <w:spacing w:val="-5"/>
        </w:rPr>
        <w:t> </w:t>
      </w:r>
      <w:r>
        <w:rPr/>
        <w:t>than</w:t>
      </w:r>
      <w:r>
        <w:rPr>
          <w:spacing w:val="-4"/>
        </w:rPr>
        <w:t> </w:t>
      </w:r>
      <w:r>
        <w:rPr>
          <w:spacing w:val="-2"/>
        </w:rPr>
        <w:t>given</w:t>
      </w:r>
    </w:p>
    <w:p>
      <w:pPr>
        <w:pStyle w:val="BodyText"/>
        <w:spacing w:line="237" w:lineRule="auto"/>
        <w:ind w:left="280" w:right="549"/>
      </w:pPr>
      <w:r>
        <w:rPr/>
        <w:t>—name has been linked to decreased depressive symptoms, suicidal ideation, and suicidal behavior.</w:t>
      </w:r>
      <w:r>
        <w:rPr>
          <w:spacing w:val="-14"/>
        </w:rPr>
        <w:t> </w:t>
      </w:r>
      <w:r>
        <w:rPr/>
        <w:t>Among adolescents of diverse sexual orientation and/or gender identity, high levels of sexual orientation and gender identity acceptance from parents and other relatives has been associated with reduced suicidality. Further, the behavioral health benefits from high levels of family acceptance of youth’s diverse sexual orientation and/or gender identity appear to last through young adulthood. The limited research that has focused on family members outside of parents and primary caregivers suggests that siblings</w:t>
      </w:r>
      <w:r>
        <w:rPr>
          <w:spacing w:val="-3"/>
        </w:rPr>
        <w:t> </w:t>
      </w:r>
      <w:r>
        <w:rPr/>
        <w:t>and</w:t>
      </w:r>
      <w:r>
        <w:rPr>
          <w:spacing w:val="-3"/>
        </w:rPr>
        <w:t> </w:t>
      </w:r>
      <w:r>
        <w:rPr/>
        <w:t>extended</w:t>
      </w:r>
      <w:r>
        <w:rPr>
          <w:spacing w:val="-4"/>
        </w:rPr>
        <w:t> </w:t>
      </w:r>
      <w:r>
        <w:rPr/>
        <w:t>family</w:t>
      </w:r>
      <w:r>
        <w:rPr>
          <w:spacing w:val="-3"/>
        </w:rPr>
        <w:t> </w:t>
      </w:r>
      <w:r>
        <w:rPr/>
        <w:t>members</w:t>
      </w:r>
      <w:r>
        <w:rPr>
          <w:spacing w:val="-3"/>
        </w:rPr>
        <w:t> </w:t>
      </w:r>
      <w:r>
        <w:rPr/>
        <w:t>can</w:t>
      </w:r>
      <w:r>
        <w:rPr>
          <w:spacing w:val="-4"/>
        </w:rPr>
        <w:t> </w:t>
      </w:r>
      <w:r>
        <w:rPr/>
        <w:t>be</w:t>
      </w:r>
      <w:r>
        <w:rPr>
          <w:spacing w:val="-4"/>
        </w:rPr>
        <w:t> </w:t>
      </w:r>
      <w:r>
        <w:rPr/>
        <w:t>key</w:t>
      </w:r>
      <w:r>
        <w:rPr>
          <w:spacing w:val="-3"/>
        </w:rPr>
        <w:t> </w:t>
      </w:r>
      <w:r>
        <w:rPr/>
        <w:t>sources</w:t>
      </w:r>
      <w:r>
        <w:rPr>
          <w:spacing w:val="-3"/>
        </w:rPr>
        <w:t> </w:t>
      </w:r>
      <w:r>
        <w:rPr/>
        <w:t>of</w:t>
      </w:r>
      <w:r>
        <w:rPr>
          <w:spacing w:val="-4"/>
        </w:rPr>
        <w:t> </w:t>
      </w:r>
      <w:r>
        <w:rPr/>
        <w:t>support</w:t>
      </w:r>
      <w:r>
        <w:rPr>
          <w:spacing w:val="-3"/>
        </w:rPr>
        <w:t> </w:t>
      </w:r>
      <w:r>
        <w:rPr/>
        <w:t>for</w:t>
      </w:r>
      <w:r>
        <w:rPr>
          <w:spacing w:val="-3"/>
        </w:rPr>
        <w:t> </w:t>
      </w:r>
      <w:r>
        <w:rPr/>
        <w:t>youth of diverse sexual orientation and/or gender identity.</w:t>
      </w:r>
    </w:p>
    <w:p>
      <w:pPr>
        <w:pStyle w:val="BodyText"/>
        <w:spacing w:before="186"/>
        <w:ind w:left="280" w:right="502"/>
      </w:pPr>
      <w:r>
        <w:rPr/>
        <w:t>Studies have found that some adolescents of diverse sexual orientation and/or gender identity report strikingly high rates of adverse childhood experiences (ACEs). High</w:t>
      </w:r>
      <w:r>
        <w:rPr>
          <w:spacing w:val="-5"/>
        </w:rPr>
        <w:t> </w:t>
      </w:r>
      <w:r>
        <w:rPr/>
        <w:t>ACE scores and parental rejection have been associated with suicidality</w:t>
      </w:r>
      <w:r>
        <w:rPr>
          <w:spacing w:val="-4"/>
        </w:rPr>
        <w:t> </w:t>
      </w:r>
      <w:r>
        <w:rPr/>
        <w:t>in</w:t>
      </w:r>
      <w:r>
        <w:rPr>
          <w:spacing w:val="-4"/>
        </w:rPr>
        <w:t> </w:t>
      </w:r>
      <w:r>
        <w:rPr/>
        <w:t>youth</w:t>
      </w:r>
      <w:r>
        <w:rPr>
          <w:spacing w:val="-4"/>
        </w:rPr>
        <w:t> </w:t>
      </w:r>
      <w:r>
        <w:rPr/>
        <w:t>of</w:t>
      </w:r>
      <w:r>
        <w:rPr>
          <w:spacing w:val="-4"/>
        </w:rPr>
        <w:t> </w:t>
      </w:r>
      <w:r>
        <w:rPr/>
        <w:t>diverse</w:t>
      </w:r>
      <w:r>
        <w:rPr>
          <w:spacing w:val="-5"/>
        </w:rPr>
        <w:t> </w:t>
      </w:r>
      <w:r>
        <w:rPr/>
        <w:t>sexual</w:t>
      </w:r>
      <w:r>
        <w:rPr>
          <w:spacing w:val="-4"/>
        </w:rPr>
        <w:t> </w:t>
      </w:r>
      <w:r>
        <w:rPr/>
        <w:t>orientation</w:t>
      </w:r>
      <w:r>
        <w:rPr>
          <w:spacing w:val="-4"/>
        </w:rPr>
        <w:t> </w:t>
      </w:r>
      <w:r>
        <w:rPr/>
        <w:t>and/or</w:t>
      </w:r>
      <w:r>
        <w:rPr>
          <w:spacing w:val="-4"/>
        </w:rPr>
        <w:t> </w:t>
      </w:r>
      <w:r>
        <w:rPr/>
        <w:t>gender</w:t>
      </w:r>
      <w:r>
        <w:rPr>
          <w:spacing w:val="-4"/>
        </w:rPr>
        <w:t> </w:t>
      </w:r>
      <w:r>
        <w:rPr/>
        <w:t>identity261</w:t>
      </w:r>
      <w:r>
        <w:rPr>
          <w:spacing w:val="-4"/>
        </w:rPr>
        <w:t> </w:t>
      </w:r>
      <w:r>
        <w:rPr/>
        <w:t>and may put these adolescents at greater risk for being victimized in other settings.262 Notably, though some scholars and practitioners consider SOGI</w:t>
      </w:r>
    </w:p>
    <w:p>
      <w:pPr>
        <w:spacing w:after="0"/>
        <w:sectPr>
          <w:pgSz w:w="12240" w:h="15840"/>
          <w:pgMar w:header="0" w:footer="783" w:top="1260" w:bottom="980" w:left="1400" w:right="1180"/>
        </w:sectPr>
      </w:pPr>
    </w:p>
    <w:p>
      <w:pPr>
        <w:pStyle w:val="BodyText"/>
        <w:spacing w:before="6"/>
        <w:rPr>
          <w:sz w:val="11"/>
        </w:rPr>
      </w:pPr>
    </w:p>
    <w:p>
      <w:pPr>
        <w:spacing w:line="252" w:lineRule="auto" w:before="27"/>
        <w:ind w:left="419" w:right="1697" w:firstLine="0"/>
        <w:jc w:val="left"/>
        <w:rPr>
          <w:rFonts w:ascii="Calibri" w:hAnsi="Calibri"/>
          <w:sz w:val="13"/>
        </w:rPr>
      </w:pPr>
      <w:r>
        <w:rPr/>
        <mc:AlternateContent>
          <mc:Choice Requires="wps">
            <w:drawing>
              <wp:anchor distT="0" distB="0" distL="0" distR="0" allowOverlap="1" layoutInCell="1" locked="0" behindDoc="1" simplePos="0" relativeHeight="485167616">
                <wp:simplePos x="0" y="0"/>
                <wp:positionH relativeFrom="page">
                  <wp:posOffset>995362</wp:posOffset>
                </wp:positionH>
                <wp:positionV relativeFrom="paragraph">
                  <wp:posOffset>-89710</wp:posOffset>
                </wp:positionV>
                <wp:extent cx="5184775" cy="640905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5184775" cy="6409055"/>
                          <a:chExt cx="5184775" cy="6409055"/>
                        </a:xfrm>
                      </wpg:grpSpPr>
                      <pic:pic>
                        <pic:nvPicPr>
                          <pic:cNvPr id="398" name="Image 398"/>
                          <pic:cNvPicPr/>
                        </pic:nvPicPr>
                        <pic:blipFill>
                          <a:blip r:embed="rId68" cstate="print"/>
                          <a:stretch>
                            <a:fillRect/>
                          </a:stretch>
                        </pic:blipFill>
                        <pic:spPr>
                          <a:xfrm>
                            <a:off x="0" y="0"/>
                            <a:ext cx="5184465" cy="6408708"/>
                          </a:xfrm>
                          <a:prstGeom prst="rect">
                            <a:avLst/>
                          </a:prstGeom>
                        </pic:spPr>
                      </pic:pic>
                      <pic:pic>
                        <pic:nvPicPr>
                          <pic:cNvPr id="399" name="Image 399"/>
                          <pic:cNvPicPr/>
                        </pic:nvPicPr>
                        <pic:blipFill>
                          <a:blip r:embed="rId69" cstate="print"/>
                          <a:stretch>
                            <a:fillRect/>
                          </a:stretch>
                        </pic:blipFill>
                        <pic:spPr>
                          <a:xfrm>
                            <a:off x="76200" y="56200"/>
                            <a:ext cx="5032065" cy="6256308"/>
                          </a:xfrm>
                          <a:prstGeom prst="rect">
                            <a:avLst/>
                          </a:prstGeom>
                        </pic:spPr>
                      </pic:pic>
                      <pic:pic>
                        <pic:nvPicPr>
                          <pic:cNvPr id="400" name="Image 400"/>
                          <pic:cNvPicPr/>
                        </pic:nvPicPr>
                        <pic:blipFill>
                          <a:blip r:embed="rId70" cstate="print"/>
                          <a:stretch>
                            <a:fillRect/>
                          </a:stretch>
                        </pic:blipFill>
                        <pic:spPr>
                          <a:xfrm>
                            <a:off x="39328" y="36741"/>
                            <a:ext cx="5105856" cy="6311900"/>
                          </a:xfrm>
                          <a:prstGeom prst="rect">
                            <a:avLst/>
                          </a:prstGeom>
                        </pic:spPr>
                      </pic:pic>
                    </wpg:wgp>
                  </a:graphicData>
                </a:graphic>
              </wp:anchor>
            </w:drawing>
          </mc:Choice>
          <mc:Fallback>
            <w:pict>
              <v:group style="position:absolute;margin-left:78.375pt;margin-top:-7.063848pt;width:408.25pt;height:504.65pt;mso-position-horizontal-relative:page;mso-position-vertical-relative:paragraph;z-index:-18148864" id="docshapegroup394" coordorigin="1568,-141" coordsize="8165,10093">
                <v:shape style="position:absolute;left:1567;top:-142;width:8165;height:10093" type="#_x0000_t75" id="docshape395" stroked="false">
                  <v:imagedata r:id="rId68" o:title=""/>
                </v:shape>
                <v:shape style="position:absolute;left:1687;top:-53;width:7925;height:9853" type="#_x0000_t75" id="docshape396" stroked="false">
                  <v:imagedata r:id="rId69" o:title=""/>
                </v:shape>
                <v:shape style="position:absolute;left:1629;top:-84;width:8041;height:9940" type="#_x0000_t75" id="docshape397" stroked="false">
                  <v:imagedata r:id="rId70" o:title=""/>
                </v:shape>
                <w10:wrap type="none"/>
              </v:group>
            </w:pict>
          </mc:Fallback>
        </mc:AlternateContent>
      </w:r>
      <w:r>
        <w:rPr>
          <w:rFonts w:ascii="Calibri" w:hAnsi="Calibri"/>
          <w:sz w:val="36"/>
        </w:rPr>
        <w:t>Youth</w:t>
      </w:r>
      <w:r>
        <w:rPr>
          <w:rFonts w:ascii="Calibri" w:hAnsi="Calibri"/>
          <w:spacing w:val="-17"/>
          <w:sz w:val="36"/>
        </w:rPr>
        <w:t> </w:t>
      </w:r>
      <w:r>
        <w:rPr>
          <w:rFonts w:ascii="Calibri" w:hAnsi="Calibri"/>
          <w:sz w:val="36"/>
        </w:rPr>
        <w:t>of</w:t>
      </w:r>
      <w:r>
        <w:rPr>
          <w:rFonts w:ascii="Calibri" w:hAnsi="Calibri"/>
          <w:spacing w:val="-17"/>
          <w:sz w:val="36"/>
        </w:rPr>
        <w:t> </w:t>
      </w:r>
      <w:r>
        <w:rPr>
          <w:rFonts w:ascii="Calibri" w:hAnsi="Calibri"/>
          <w:sz w:val="36"/>
        </w:rPr>
        <w:t>diverse</w:t>
      </w:r>
      <w:r>
        <w:rPr>
          <w:rFonts w:ascii="Calibri" w:hAnsi="Calibri"/>
          <w:spacing w:val="-17"/>
          <w:sz w:val="36"/>
        </w:rPr>
        <w:t> </w:t>
      </w:r>
      <w:r>
        <w:rPr>
          <w:rFonts w:ascii="Calibri" w:hAnsi="Calibri"/>
          <w:sz w:val="36"/>
        </w:rPr>
        <w:t>sexual</w:t>
      </w:r>
      <w:r>
        <w:rPr>
          <w:rFonts w:ascii="Calibri" w:hAnsi="Calibri"/>
          <w:spacing w:val="-17"/>
          <w:sz w:val="36"/>
        </w:rPr>
        <w:t> </w:t>
      </w:r>
      <w:r>
        <w:rPr>
          <w:rFonts w:ascii="Calibri" w:hAnsi="Calibri"/>
          <w:sz w:val="36"/>
        </w:rPr>
        <w:t>orientation</w:t>
      </w:r>
      <w:r>
        <w:rPr>
          <w:rFonts w:ascii="Calibri" w:hAnsi="Calibri"/>
          <w:spacing w:val="-17"/>
          <w:sz w:val="36"/>
        </w:rPr>
        <w:t> </w:t>
      </w:r>
      <w:r>
        <w:rPr>
          <w:rFonts w:ascii="Calibri" w:hAnsi="Calibri"/>
          <w:sz w:val="36"/>
        </w:rPr>
        <w:t>and</w:t>
      </w:r>
      <w:r>
        <w:rPr>
          <w:rFonts w:ascii="Calibri" w:hAnsi="Calibri"/>
          <w:spacing w:val="-17"/>
          <w:sz w:val="36"/>
        </w:rPr>
        <w:t> </w:t>
      </w:r>
      <w:r>
        <w:rPr>
          <w:rFonts w:ascii="Calibri" w:hAnsi="Calibri"/>
          <w:sz w:val="36"/>
        </w:rPr>
        <w:t>gender— and particularly those youth of color—are overrepresented among youth experiencing homelessness, as well as across multiple state- based systems </w:t>
      </w:r>
      <w:r>
        <w:rPr>
          <w:rFonts w:ascii="Calibri" w:hAnsi="Calibri"/>
          <w:sz w:val="13"/>
        </w:rPr>
        <w:t>213, 263, 264</w:t>
      </w:r>
    </w:p>
    <w:p>
      <w:pPr>
        <w:spacing w:line="252" w:lineRule="auto" w:before="0"/>
        <w:ind w:left="419" w:right="1928" w:firstLine="0"/>
        <w:jc w:val="both"/>
        <w:rPr>
          <w:rFonts w:ascii="Calibri"/>
          <w:sz w:val="36"/>
        </w:rPr>
      </w:pPr>
      <w:r>
        <w:rPr>
          <w:rFonts w:ascii="Calibri"/>
          <w:sz w:val="36"/>
        </w:rPr>
        <w:t>Up</w:t>
      </w:r>
      <w:r>
        <w:rPr>
          <w:rFonts w:ascii="Calibri"/>
          <w:spacing w:val="-8"/>
          <w:sz w:val="36"/>
        </w:rPr>
        <w:t> </w:t>
      </w:r>
      <w:r>
        <w:rPr>
          <w:rFonts w:ascii="Calibri"/>
          <w:sz w:val="36"/>
        </w:rPr>
        <w:t>to</w:t>
      </w:r>
      <w:r>
        <w:rPr>
          <w:rFonts w:ascii="Calibri"/>
          <w:spacing w:val="-8"/>
          <w:sz w:val="36"/>
        </w:rPr>
        <w:t> </w:t>
      </w:r>
      <w:r>
        <w:rPr>
          <w:rFonts w:ascii="Calibri"/>
          <w:sz w:val="36"/>
        </w:rPr>
        <w:t>40%</w:t>
      </w:r>
      <w:r>
        <w:rPr>
          <w:rFonts w:ascii="Calibri"/>
          <w:spacing w:val="-8"/>
          <w:sz w:val="36"/>
        </w:rPr>
        <w:t> </w:t>
      </w:r>
      <w:r>
        <w:rPr>
          <w:rFonts w:ascii="Calibri"/>
          <w:sz w:val="36"/>
        </w:rPr>
        <w:t>of</w:t>
      </w:r>
      <w:r>
        <w:rPr>
          <w:rFonts w:ascii="Calibri"/>
          <w:spacing w:val="-8"/>
          <w:sz w:val="36"/>
        </w:rPr>
        <w:t> </w:t>
      </w:r>
      <w:r>
        <w:rPr>
          <w:rFonts w:ascii="Calibri"/>
          <w:sz w:val="36"/>
        </w:rPr>
        <w:t>all</w:t>
      </w:r>
      <w:r>
        <w:rPr>
          <w:rFonts w:ascii="Calibri"/>
          <w:spacing w:val="-8"/>
          <w:sz w:val="36"/>
        </w:rPr>
        <w:t> </w:t>
      </w:r>
      <w:r>
        <w:rPr>
          <w:rFonts w:ascii="Calibri"/>
          <w:sz w:val="36"/>
        </w:rPr>
        <w:t>youth</w:t>
      </w:r>
      <w:r>
        <w:rPr>
          <w:rFonts w:ascii="Calibri"/>
          <w:spacing w:val="-8"/>
          <w:sz w:val="36"/>
        </w:rPr>
        <w:t> </w:t>
      </w:r>
      <w:r>
        <w:rPr>
          <w:rFonts w:ascii="Calibri"/>
          <w:sz w:val="36"/>
        </w:rPr>
        <w:t>experiencing</w:t>
      </w:r>
      <w:r>
        <w:rPr>
          <w:rFonts w:ascii="Calibri"/>
          <w:spacing w:val="-8"/>
          <w:sz w:val="36"/>
        </w:rPr>
        <w:t> </w:t>
      </w:r>
      <w:r>
        <w:rPr>
          <w:rFonts w:ascii="Calibri"/>
          <w:sz w:val="36"/>
        </w:rPr>
        <w:t>homelessness and</w:t>
      </w:r>
      <w:r>
        <w:rPr>
          <w:rFonts w:ascii="Calibri"/>
          <w:spacing w:val="-5"/>
          <w:sz w:val="36"/>
        </w:rPr>
        <w:t> </w:t>
      </w:r>
      <w:r>
        <w:rPr>
          <w:rFonts w:ascii="Calibri"/>
          <w:sz w:val="36"/>
        </w:rPr>
        <w:t>housing</w:t>
      </w:r>
      <w:r>
        <w:rPr>
          <w:rFonts w:ascii="Calibri"/>
          <w:spacing w:val="-5"/>
          <w:sz w:val="36"/>
        </w:rPr>
        <w:t> </w:t>
      </w:r>
      <w:r>
        <w:rPr>
          <w:rFonts w:ascii="Calibri"/>
          <w:sz w:val="36"/>
        </w:rPr>
        <w:t>instability</w:t>
      </w:r>
      <w:r>
        <w:rPr>
          <w:rFonts w:ascii="Calibri"/>
          <w:spacing w:val="-5"/>
          <w:sz w:val="36"/>
        </w:rPr>
        <w:t> </w:t>
      </w:r>
      <w:r>
        <w:rPr>
          <w:rFonts w:ascii="Calibri"/>
          <w:sz w:val="36"/>
        </w:rPr>
        <w:t>are</w:t>
      </w:r>
      <w:r>
        <w:rPr>
          <w:rFonts w:ascii="Calibri"/>
          <w:spacing w:val="-5"/>
          <w:sz w:val="36"/>
        </w:rPr>
        <w:t> </w:t>
      </w:r>
      <w:r>
        <w:rPr>
          <w:rFonts w:ascii="Calibri"/>
          <w:sz w:val="36"/>
        </w:rPr>
        <w:t>youth</w:t>
      </w:r>
      <w:r>
        <w:rPr>
          <w:rFonts w:ascii="Calibri"/>
          <w:spacing w:val="-5"/>
          <w:sz w:val="36"/>
        </w:rPr>
        <w:t> </w:t>
      </w:r>
      <w:r>
        <w:rPr>
          <w:rFonts w:ascii="Calibri"/>
          <w:sz w:val="36"/>
        </w:rPr>
        <w:t>of</w:t>
      </w:r>
      <w:r>
        <w:rPr>
          <w:rFonts w:ascii="Calibri"/>
          <w:spacing w:val="-5"/>
          <w:sz w:val="36"/>
        </w:rPr>
        <w:t> </w:t>
      </w:r>
      <w:r>
        <w:rPr>
          <w:rFonts w:ascii="Calibri"/>
          <w:sz w:val="36"/>
        </w:rPr>
        <w:t>diverse</w:t>
      </w:r>
      <w:r>
        <w:rPr>
          <w:rFonts w:ascii="Calibri"/>
          <w:spacing w:val="-5"/>
          <w:sz w:val="36"/>
        </w:rPr>
        <w:t> </w:t>
      </w:r>
      <w:r>
        <w:rPr>
          <w:rFonts w:ascii="Calibri"/>
          <w:sz w:val="36"/>
        </w:rPr>
        <w:t>sexual orientation and gender.</w:t>
      </w:r>
    </w:p>
    <w:p>
      <w:pPr>
        <w:spacing w:line="252" w:lineRule="auto" w:before="0"/>
        <w:ind w:left="419" w:right="1890" w:firstLine="0"/>
        <w:jc w:val="both"/>
        <w:rPr>
          <w:rFonts w:ascii="Calibri"/>
          <w:sz w:val="36"/>
        </w:rPr>
      </w:pPr>
      <w:r>
        <w:rPr>
          <w:rFonts w:ascii="Calibri"/>
          <w:sz w:val="36"/>
        </w:rPr>
        <w:t>Up</w:t>
      </w:r>
      <w:r>
        <w:rPr>
          <w:rFonts w:ascii="Calibri"/>
          <w:spacing w:val="-11"/>
          <w:sz w:val="36"/>
        </w:rPr>
        <w:t> </w:t>
      </w:r>
      <w:r>
        <w:rPr>
          <w:rFonts w:ascii="Calibri"/>
          <w:sz w:val="36"/>
        </w:rPr>
        <w:t>to</w:t>
      </w:r>
      <w:r>
        <w:rPr>
          <w:rFonts w:ascii="Calibri"/>
          <w:spacing w:val="-11"/>
          <w:sz w:val="36"/>
        </w:rPr>
        <w:t> </w:t>
      </w:r>
      <w:r>
        <w:rPr>
          <w:rFonts w:ascii="Calibri"/>
          <w:sz w:val="36"/>
        </w:rPr>
        <w:t>one-third</w:t>
      </w:r>
      <w:r>
        <w:rPr>
          <w:rFonts w:ascii="Calibri"/>
          <w:spacing w:val="-11"/>
          <w:sz w:val="36"/>
        </w:rPr>
        <w:t> </w:t>
      </w:r>
      <w:r>
        <w:rPr>
          <w:rFonts w:ascii="Calibri"/>
          <w:sz w:val="36"/>
        </w:rPr>
        <w:t>of</w:t>
      </w:r>
      <w:r>
        <w:rPr>
          <w:rFonts w:ascii="Calibri"/>
          <w:spacing w:val="-11"/>
          <w:sz w:val="36"/>
        </w:rPr>
        <w:t> </w:t>
      </w:r>
      <w:r>
        <w:rPr>
          <w:rFonts w:ascii="Calibri"/>
          <w:sz w:val="36"/>
        </w:rPr>
        <w:t>youth</w:t>
      </w:r>
      <w:r>
        <w:rPr>
          <w:rFonts w:ascii="Calibri"/>
          <w:spacing w:val="-11"/>
          <w:sz w:val="36"/>
        </w:rPr>
        <w:t> </w:t>
      </w:r>
      <w:r>
        <w:rPr>
          <w:rFonts w:ascii="Calibri"/>
          <w:sz w:val="36"/>
        </w:rPr>
        <w:t>in</w:t>
      </w:r>
      <w:r>
        <w:rPr>
          <w:rFonts w:ascii="Calibri"/>
          <w:spacing w:val="-11"/>
          <w:sz w:val="36"/>
        </w:rPr>
        <w:t> </w:t>
      </w:r>
      <w:r>
        <w:rPr>
          <w:rFonts w:ascii="Calibri"/>
          <w:sz w:val="36"/>
        </w:rPr>
        <w:t>foster</w:t>
      </w:r>
      <w:r>
        <w:rPr>
          <w:rFonts w:ascii="Calibri"/>
          <w:spacing w:val="-11"/>
          <w:sz w:val="36"/>
        </w:rPr>
        <w:t> </w:t>
      </w:r>
      <w:r>
        <w:rPr>
          <w:rFonts w:ascii="Calibri"/>
          <w:sz w:val="36"/>
        </w:rPr>
        <w:t>care</w:t>
      </w:r>
      <w:r>
        <w:rPr>
          <w:rFonts w:ascii="Calibri"/>
          <w:spacing w:val="-11"/>
          <w:sz w:val="36"/>
        </w:rPr>
        <w:t> </w:t>
      </w:r>
      <w:r>
        <w:rPr>
          <w:rFonts w:ascii="Calibri"/>
          <w:sz w:val="36"/>
        </w:rPr>
        <w:t>systems</w:t>
      </w:r>
      <w:r>
        <w:rPr>
          <w:rFonts w:ascii="Calibri"/>
          <w:spacing w:val="-11"/>
          <w:sz w:val="36"/>
        </w:rPr>
        <w:t> </w:t>
      </w:r>
      <w:r>
        <w:rPr>
          <w:rFonts w:ascii="Calibri"/>
          <w:sz w:val="36"/>
        </w:rPr>
        <w:t>are youth of diverse sexual orientation and gender.</w:t>
      </w:r>
    </w:p>
    <w:p>
      <w:pPr>
        <w:spacing w:line="252" w:lineRule="auto" w:before="0"/>
        <w:ind w:left="419" w:right="1697" w:firstLine="0"/>
        <w:jc w:val="left"/>
        <w:rPr>
          <w:rFonts w:ascii="Calibri"/>
          <w:sz w:val="36"/>
        </w:rPr>
      </w:pPr>
      <w:r>
        <w:rPr>
          <w:rFonts w:ascii="Calibri"/>
          <w:sz w:val="36"/>
        </w:rPr>
        <w:t>Up to one-fifth of youth in the juvenile justice system</w:t>
      </w:r>
      <w:r>
        <w:rPr>
          <w:rFonts w:ascii="Calibri"/>
          <w:spacing w:val="-14"/>
          <w:sz w:val="36"/>
        </w:rPr>
        <w:t> </w:t>
      </w:r>
      <w:r>
        <w:rPr>
          <w:rFonts w:ascii="Calibri"/>
          <w:sz w:val="36"/>
        </w:rPr>
        <w:t>are</w:t>
      </w:r>
      <w:r>
        <w:rPr>
          <w:rFonts w:ascii="Calibri"/>
          <w:spacing w:val="-14"/>
          <w:sz w:val="36"/>
        </w:rPr>
        <w:t> </w:t>
      </w:r>
      <w:r>
        <w:rPr>
          <w:rFonts w:ascii="Calibri"/>
          <w:sz w:val="36"/>
        </w:rPr>
        <w:t>youth</w:t>
      </w:r>
      <w:r>
        <w:rPr>
          <w:rFonts w:ascii="Calibri"/>
          <w:spacing w:val="-14"/>
          <w:sz w:val="36"/>
        </w:rPr>
        <w:t> </w:t>
      </w:r>
      <w:r>
        <w:rPr>
          <w:rFonts w:ascii="Calibri"/>
          <w:sz w:val="36"/>
        </w:rPr>
        <w:t>of</w:t>
      </w:r>
      <w:r>
        <w:rPr>
          <w:rFonts w:ascii="Calibri"/>
          <w:spacing w:val="-14"/>
          <w:sz w:val="36"/>
        </w:rPr>
        <w:t> </w:t>
      </w:r>
      <w:r>
        <w:rPr>
          <w:rFonts w:ascii="Calibri"/>
          <w:sz w:val="36"/>
        </w:rPr>
        <w:t>diverse</w:t>
      </w:r>
      <w:r>
        <w:rPr>
          <w:rFonts w:ascii="Calibri"/>
          <w:spacing w:val="-14"/>
          <w:sz w:val="36"/>
        </w:rPr>
        <w:t> </w:t>
      </w:r>
      <w:r>
        <w:rPr>
          <w:rFonts w:ascii="Calibri"/>
          <w:sz w:val="36"/>
        </w:rPr>
        <w:t>sexual</w:t>
      </w:r>
      <w:r>
        <w:rPr>
          <w:rFonts w:ascii="Calibri"/>
          <w:spacing w:val="-14"/>
          <w:sz w:val="36"/>
        </w:rPr>
        <w:t> </w:t>
      </w:r>
      <w:r>
        <w:rPr>
          <w:rFonts w:ascii="Calibri"/>
          <w:sz w:val="36"/>
        </w:rPr>
        <w:t>orientation</w:t>
      </w:r>
      <w:r>
        <w:rPr>
          <w:rFonts w:ascii="Calibri"/>
          <w:spacing w:val="-14"/>
          <w:sz w:val="36"/>
        </w:rPr>
        <w:t> </w:t>
      </w:r>
      <w:r>
        <w:rPr>
          <w:rFonts w:ascii="Calibri"/>
          <w:sz w:val="36"/>
        </w:rPr>
        <w:t>and </w:t>
      </w:r>
      <w:r>
        <w:rPr>
          <w:rFonts w:ascii="Calibri"/>
          <w:spacing w:val="-2"/>
          <w:sz w:val="36"/>
        </w:rPr>
        <w:t>gender.</w:t>
      </w:r>
    </w:p>
    <w:p>
      <w:pPr>
        <w:pStyle w:val="BodyText"/>
        <w:spacing w:before="2"/>
        <w:rPr>
          <w:rFonts w:ascii="Calibri"/>
          <w:sz w:val="36"/>
        </w:rPr>
      </w:pPr>
    </w:p>
    <w:p>
      <w:pPr>
        <w:spacing w:line="252" w:lineRule="auto" w:before="0"/>
        <w:ind w:left="419" w:right="1697" w:firstLine="0"/>
        <w:jc w:val="left"/>
        <w:rPr>
          <w:rFonts w:ascii="Calibri"/>
          <w:sz w:val="36"/>
        </w:rPr>
      </w:pPr>
      <w:r>
        <w:rPr>
          <w:rFonts w:ascii="Calibri"/>
          <w:sz w:val="36"/>
        </w:rPr>
        <w:t>Parent or caregiver rejection due to sexual orientation</w:t>
      </w:r>
      <w:r>
        <w:rPr>
          <w:rFonts w:ascii="Calibri"/>
          <w:spacing w:val="-9"/>
          <w:sz w:val="36"/>
        </w:rPr>
        <w:t> </w:t>
      </w:r>
      <w:r>
        <w:rPr>
          <w:rFonts w:ascii="Calibri"/>
          <w:sz w:val="36"/>
        </w:rPr>
        <w:t>and</w:t>
      </w:r>
      <w:r>
        <w:rPr>
          <w:rFonts w:ascii="Calibri"/>
          <w:spacing w:val="-9"/>
          <w:sz w:val="36"/>
        </w:rPr>
        <w:t> </w:t>
      </w:r>
      <w:r>
        <w:rPr>
          <w:rFonts w:ascii="Calibri"/>
          <w:sz w:val="36"/>
        </w:rPr>
        <w:t>gender</w:t>
      </w:r>
      <w:r>
        <w:rPr>
          <w:rFonts w:ascii="Calibri"/>
          <w:spacing w:val="-9"/>
          <w:sz w:val="36"/>
        </w:rPr>
        <w:t> </w:t>
      </w:r>
      <w:r>
        <w:rPr>
          <w:rFonts w:ascii="Calibri"/>
          <w:sz w:val="36"/>
        </w:rPr>
        <w:t>diversity</w:t>
      </w:r>
      <w:r>
        <w:rPr>
          <w:rFonts w:ascii="Calibri"/>
          <w:spacing w:val="-9"/>
          <w:sz w:val="36"/>
        </w:rPr>
        <w:t> </w:t>
      </w:r>
      <w:r>
        <w:rPr>
          <w:rFonts w:ascii="Calibri"/>
          <w:sz w:val="36"/>
        </w:rPr>
        <w:t>is</w:t>
      </w:r>
      <w:r>
        <w:rPr>
          <w:rFonts w:ascii="Calibri"/>
          <w:spacing w:val="-9"/>
          <w:sz w:val="36"/>
        </w:rPr>
        <w:t> </w:t>
      </w:r>
      <w:r>
        <w:rPr>
          <w:rFonts w:ascii="Calibri"/>
          <w:sz w:val="36"/>
        </w:rPr>
        <w:t>just</w:t>
      </w:r>
      <w:r>
        <w:rPr>
          <w:rFonts w:ascii="Calibri"/>
          <w:spacing w:val="-9"/>
          <w:sz w:val="36"/>
        </w:rPr>
        <w:t> </w:t>
      </w:r>
      <w:r>
        <w:rPr>
          <w:rFonts w:ascii="Calibri"/>
          <w:sz w:val="36"/>
        </w:rPr>
        <w:t>one</w:t>
      </w:r>
      <w:r>
        <w:rPr>
          <w:rFonts w:ascii="Calibri"/>
          <w:spacing w:val="-9"/>
          <w:sz w:val="36"/>
        </w:rPr>
        <w:t> </w:t>
      </w:r>
      <w:r>
        <w:rPr>
          <w:rFonts w:ascii="Calibri"/>
          <w:sz w:val="36"/>
        </w:rPr>
        <w:t>of</w:t>
      </w:r>
      <w:r>
        <w:rPr>
          <w:rFonts w:ascii="Calibri"/>
          <w:spacing w:val="-9"/>
          <w:sz w:val="36"/>
        </w:rPr>
        <w:t> </w:t>
      </w:r>
      <w:r>
        <w:rPr>
          <w:rFonts w:ascii="Calibri"/>
          <w:sz w:val="36"/>
        </w:rPr>
        <w:t>many reasons for these inequities; other factors such as parental</w:t>
      </w:r>
      <w:r>
        <w:rPr>
          <w:rFonts w:ascii="Calibri"/>
          <w:spacing w:val="-8"/>
          <w:sz w:val="36"/>
        </w:rPr>
        <w:t> </w:t>
      </w:r>
      <w:r>
        <w:rPr>
          <w:rFonts w:ascii="Calibri"/>
          <w:sz w:val="36"/>
        </w:rPr>
        <w:t>mental</w:t>
      </w:r>
      <w:r>
        <w:rPr>
          <w:rFonts w:ascii="Calibri"/>
          <w:spacing w:val="-8"/>
          <w:sz w:val="36"/>
        </w:rPr>
        <w:t> </w:t>
      </w:r>
      <w:r>
        <w:rPr>
          <w:rFonts w:ascii="Calibri"/>
          <w:sz w:val="36"/>
        </w:rPr>
        <w:t>health</w:t>
      </w:r>
      <w:r>
        <w:rPr>
          <w:rFonts w:ascii="Calibri"/>
          <w:spacing w:val="-8"/>
          <w:sz w:val="36"/>
        </w:rPr>
        <w:t> </w:t>
      </w:r>
      <w:r>
        <w:rPr>
          <w:rFonts w:ascii="Calibri"/>
          <w:sz w:val="36"/>
        </w:rPr>
        <w:t>and</w:t>
      </w:r>
      <w:r>
        <w:rPr>
          <w:rFonts w:ascii="Calibri"/>
          <w:spacing w:val="-8"/>
          <w:sz w:val="36"/>
        </w:rPr>
        <w:t> </w:t>
      </w:r>
      <w:r>
        <w:rPr>
          <w:rFonts w:ascii="Calibri"/>
          <w:sz w:val="36"/>
        </w:rPr>
        <w:t>substance</w:t>
      </w:r>
      <w:r>
        <w:rPr>
          <w:rFonts w:ascii="Calibri"/>
          <w:spacing w:val="-8"/>
          <w:sz w:val="36"/>
        </w:rPr>
        <w:t> </w:t>
      </w:r>
      <w:r>
        <w:rPr>
          <w:rFonts w:ascii="Calibri"/>
          <w:sz w:val="36"/>
        </w:rPr>
        <w:t>use,</w:t>
      </w:r>
      <w:r>
        <w:rPr>
          <w:rFonts w:ascii="Calibri"/>
          <w:spacing w:val="-8"/>
          <w:sz w:val="36"/>
        </w:rPr>
        <w:t> </w:t>
      </w:r>
      <w:r>
        <w:rPr>
          <w:rFonts w:ascii="Calibri"/>
          <w:sz w:val="36"/>
        </w:rPr>
        <w:t>poverty, and racism are common drivers of housing instability</w:t>
      </w:r>
      <w:r>
        <w:rPr>
          <w:rFonts w:ascii="Calibri"/>
          <w:spacing w:val="-1"/>
          <w:sz w:val="36"/>
        </w:rPr>
        <w:t> </w:t>
      </w:r>
      <w:r>
        <w:rPr>
          <w:rFonts w:ascii="Calibri"/>
          <w:sz w:val="36"/>
        </w:rPr>
        <w:t>and</w:t>
      </w:r>
      <w:r>
        <w:rPr>
          <w:rFonts w:ascii="Calibri"/>
          <w:spacing w:val="-1"/>
          <w:sz w:val="36"/>
        </w:rPr>
        <w:t> </w:t>
      </w:r>
      <w:r>
        <w:rPr>
          <w:rFonts w:ascii="Calibri"/>
          <w:sz w:val="36"/>
        </w:rPr>
        <w:t>system</w:t>
      </w:r>
      <w:r>
        <w:rPr>
          <w:rFonts w:ascii="Calibri"/>
          <w:spacing w:val="-1"/>
          <w:sz w:val="36"/>
        </w:rPr>
        <w:t> </w:t>
      </w:r>
      <w:r>
        <w:rPr>
          <w:rFonts w:ascii="Calibri"/>
          <w:sz w:val="36"/>
        </w:rPr>
        <w:t>involvement</w:t>
      </w:r>
      <w:r>
        <w:rPr>
          <w:rFonts w:ascii="Calibri"/>
          <w:spacing w:val="-1"/>
          <w:sz w:val="36"/>
        </w:rPr>
        <w:t> </w:t>
      </w:r>
      <w:r>
        <w:rPr>
          <w:rFonts w:ascii="Calibri"/>
          <w:sz w:val="36"/>
        </w:rPr>
        <w:t>among</w:t>
      </w:r>
      <w:r>
        <w:rPr>
          <w:rFonts w:ascii="Calibri"/>
          <w:spacing w:val="-1"/>
          <w:sz w:val="36"/>
        </w:rPr>
        <w:t> </w:t>
      </w:r>
      <w:r>
        <w:rPr>
          <w:rFonts w:ascii="Calibri"/>
          <w:sz w:val="36"/>
        </w:rPr>
        <w:t>youth</w:t>
      </w:r>
      <w:r>
        <w:rPr>
          <w:rFonts w:ascii="Calibri"/>
          <w:spacing w:val="-1"/>
          <w:sz w:val="36"/>
        </w:rPr>
        <w:t> </w:t>
      </w:r>
      <w:r>
        <w:rPr>
          <w:rFonts w:ascii="Calibri"/>
          <w:sz w:val="36"/>
        </w:rPr>
        <w:t>of diverse sexual orientation and gender.</w:t>
      </w:r>
    </w:p>
    <w:p>
      <w:pPr>
        <w:pStyle w:val="BodyText"/>
        <w:spacing w:before="3"/>
        <w:rPr>
          <w:rFonts w:ascii="Calibri"/>
          <w:sz w:val="25"/>
        </w:rPr>
      </w:pPr>
    </w:p>
    <w:p>
      <w:pPr>
        <w:pStyle w:val="BodyText"/>
        <w:spacing w:before="88"/>
        <w:ind w:left="280" w:right="502"/>
      </w:pPr>
      <w:r>
        <w:rPr/>
        <w:t>change</w:t>
      </w:r>
      <w:r>
        <w:rPr>
          <w:spacing w:val="-9"/>
        </w:rPr>
        <w:t> </w:t>
      </w:r>
      <w:r>
        <w:rPr/>
        <w:t>efforts</w:t>
      </w:r>
      <w:r>
        <w:rPr>
          <w:spacing w:val="-6"/>
        </w:rPr>
        <w:t> </w:t>
      </w:r>
      <w:r>
        <w:rPr/>
        <w:t>from</w:t>
      </w:r>
      <w:r>
        <w:rPr>
          <w:spacing w:val="-6"/>
        </w:rPr>
        <w:t> </w:t>
      </w:r>
      <w:r>
        <w:rPr/>
        <w:t>family</w:t>
      </w:r>
      <w:r>
        <w:rPr>
          <w:spacing w:val="-6"/>
        </w:rPr>
        <w:t> </w:t>
      </w:r>
      <w:r>
        <w:rPr/>
        <w:t>members</w:t>
      </w:r>
      <w:r>
        <w:rPr>
          <w:spacing w:val="-6"/>
        </w:rPr>
        <w:t> </w:t>
      </w:r>
      <w:r>
        <w:rPr/>
        <w:t>potentially</w:t>
      </w:r>
      <w:r>
        <w:rPr>
          <w:spacing w:val="-6"/>
        </w:rPr>
        <w:t> </w:t>
      </w:r>
      <w:r>
        <w:rPr/>
        <w:t>traumatic</w:t>
      </w:r>
      <w:r>
        <w:rPr>
          <w:spacing w:val="-7"/>
        </w:rPr>
        <w:t> </w:t>
      </w:r>
      <w:r>
        <w:rPr/>
        <w:t>events,</w:t>
      </w:r>
      <w:r>
        <w:rPr>
          <w:spacing w:val="-18"/>
        </w:rPr>
        <w:t> </w:t>
      </w:r>
      <w:r>
        <w:rPr/>
        <w:t>ACE measures do not capture youth’s experiences of SOGI change efforts.</w:t>
      </w:r>
    </w:p>
    <w:p>
      <w:pPr>
        <w:pStyle w:val="BodyText"/>
        <w:spacing w:line="237" w:lineRule="auto"/>
        <w:ind w:left="280" w:right="502"/>
      </w:pPr>
      <w:r>
        <w:rPr/>
        <w:t>It is important to note that some LGBTQI+ youth who lack family and/or parental support find resilient ways to access needed support and guidance. Many people of diverse sexual orientation and/or gender identity, including those with and without supportive families of origin, form “chosen families” with sexual-and gender-diverse friends who provide social support and resources.265</w:t>
      </w:r>
      <w:r>
        <w:rPr>
          <w:spacing w:val="-4"/>
        </w:rPr>
        <w:t> </w:t>
      </w:r>
      <w:r>
        <w:rPr/>
        <w:t>In</w:t>
      </w:r>
      <w:r>
        <w:rPr>
          <w:spacing w:val="-4"/>
        </w:rPr>
        <w:t> </w:t>
      </w:r>
      <w:r>
        <w:rPr/>
        <w:t>urban</w:t>
      </w:r>
      <w:r>
        <w:rPr>
          <w:spacing w:val="-4"/>
        </w:rPr>
        <w:t> </w:t>
      </w:r>
      <w:r>
        <w:rPr/>
        <w:t>areas</w:t>
      </w:r>
      <w:r>
        <w:rPr>
          <w:spacing w:val="-4"/>
        </w:rPr>
        <w:t> </w:t>
      </w:r>
      <w:r>
        <w:rPr/>
        <w:t>across</w:t>
      </w:r>
      <w:r>
        <w:rPr>
          <w:spacing w:val="-5"/>
        </w:rPr>
        <w:t> </w:t>
      </w:r>
      <w:r>
        <w:rPr/>
        <w:t>the</w:t>
      </w:r>
      <w:r>
        <w:rPr>
          <w:spacing w:val="-5"/>
        </w:rPr>
        <w:t> </w:t>
      </w:r>
      <w:r>
        <w:rPr/>
        <w:t>United</w:t>
      </w:r>
      <w:r>
        <w:rPr>
          <w:spacing w:val="-4"/>
        </w:rPr>
        <w:t> </w:t>
      </w:r>
      <w:r>
        <w:rPr/>
        <w:t>States,</w:t>
      </w:r>
      <w:r>
        <w:rPr>
          <w:spacing w:val="-4"/>
        </w:rPr>
        <w:t> </w:t>
      </w:r>
      <w:r>
        <w:rPr/>
        <w:t>LGBTQI+</w:t>
      </w:r>
      <w:r>
        <w:rPr>
          <w:spacing w:val="-4"/>
        </w:rPr>
        <w:t> </w:t>
      </w:r>
      <w:r>
        <w:rPr/>
        <w:t>adolescents and young adults of color—particularly Black and Latino youth—may join informal communities and LGBTQI+ family structures.</w:t>
      </w:r>
    </w:p>
    <w:p>
      <w:pPr>
        <w:spacing w:after="0" w:line="237" w:lineRule="auto"/>
        <w:sectPr>
          <w:pgSz w:w="12240" w:h="15840"/>
          <w:pgMar w:header="0" w:footer="783" w:top="1320" w:bottom="980" w:left="1400" w:right="1180"/>
        </w:sectPr>
      </w:pPr>
    </w:p>
    <w:p>
      <w:pPr>
        <w:pStyle w:val="Heading2"/>
        <w:spacing w:before="66"/>
      </w:pPr>
      <w:r>
        <w:rPr/>
        <w:t>Religion</w:t>
      </w:r>
      <w:r>
        <w:rPr>
          <w:spacing w:val="-1"/>
        </w:rPr>
        <w:t> </w:t>
      </w:r>
      <w:r>
        <w:rPr/>
        <w:t>&amp;</w:t>
      </w:r>
      <w:r>
        <w:rPr>
          <w:spacing w:val="-1"/>
        </w:rPr>
        <w:t> </w:t>
      </w:r>
      <w:r>
        <w:rPr>
          <w:spacing w:val="-2"/>
        </w:rPr>
        <w:t>Spirituality</w:t>
      </w:r>
    </w:p>
    <w:p>
      <w:pPr>
        <w:pStyle w:val="BodyText"/>
        <w:spacing w:before="125"/>
        <w:ind w:left="280" w:right="502"/>
      </w:pPr>
      <w:r>
        <w:rPr/>
        <w:t>When</w:t>
      </w:r>
      <w:r>
        <w:rPr>
          <w:spacing w:val="-6"/>
        </w:rPr>
        <w:t> </w:t>
      </w:r>
      <w:r>
        <w:rPr/>
        <w:t>considering</w:t>
      </w:r>
      <w:r>
        <w:rPr>
          <w:spacing w:val="-6"/>
        </w:rPr>
        <w:t> </w:t>
      </w:r>
      <w:r>
        <w:rPr/>
        <w:t>family</w:t>
      </w:r>
      <w:r>
        <w:rPr>
          <w:spacing w:val="-6"/>
        </w:rPr>
        <w:t> </w:t>
      </w:r>
      <w:r>
        <w:rPr/>
        <w:t>and</w:t>
      </w:r>
      <w:r>
        <w:rPr>
          <w:spacing w:val="-6"/>
        </w:rPr>
        <w:t> </w:t>
      </w:r>
      <w:r>
        <w:rPr/>
        <w:t>community</w:t>
      </w:r>
      <w:r>
        <w:rPr>
          <w:spacing w:val="-6"/>
        </w:rPr>
        <w:t> </w:t>
      </w:r>
      <w:r>
        <w:rPr/>
        <w:t>influences,</w:t>
      </w:r>
      <w:r>
        <w:rPr>
          <w:spacing w:val="-6"/>
        </w:rPr>
        <w:t> </w:t>
      </w:r>
      <w:r>
        <w:rPr/>
        <w:t>a</w:t>
      </w:r>
      <w:r>
        <w:rPr>
          <w:spacing w:val="-7"/>
        </w:rPr>
        <w:t> </w:t>
      </w:r>
      <w:r>
        <w:rPr/>
        <w:t>child’s</w:t>
      </w:r>
      <w:r>
        <w:rPr>
          <w:spacing w:val="-6"/>
        </w:rPr>
        <w:t> </w:t>
      </w:r>
      <w:r>
        <w:rPr/>
        <w:t>or</w:t>
      </w:r>
      <w:r>
        <w:rPr>
          <w:spacing w:val="-6"/>
        </w:rPr>
        <w:t> </w:t>
      </w:r>
      <w:r>
        <w:rPr/>
        <w:t>adolescent’s religious</w:t>
      </w:r>
      <w:r>
        <w:rPr>
          <w:spacing w:val="-6"/>
        </w:rPr>
        <w:t> </w:t>
      </w:r>
      <w:r>
        <w:rPr/>
        <w:t>background</w:t>
      </w:r>
      <w:r>
        <w:rPr>
          <w:spacing w:val="-6"/>
        </w:rPr>
        <w:t> </w:t>
      </w:r>
      <w:r>
        <w:rPr/>
        <w:t>is</w:t>
      </w:r>
      <w:r>
        <w:rPr>
          <w:spacing w:val="-6"/>
        </w:rPr>
        <w:t> </w:t>
      </w:r>
      <w:r>
        <w:rPr/>
        <w:t>an</w:t>
      </w:r>
      <w:r>
        <w:rPr>
          <w:spacing w:val="-6"/>
        </w:rPr>
        <w:t> </w:t>
      </w:r>
      <w:r>
        <w:rPr/>
        <w:t>important</w:t>
      </w:r>
      <w:r>
        <w:rPr>
          <w:spacing w:val="-6"/>
        </w:rPr>
        <w:t> </w:t>
      </w:r>
      <w:r>
        <w:rPr/>
        <w:t>factor.</w:t>
      </w:r>
      <w:r>
        <w:rPr>
          <w:spacing w:val="-6"/>
        </w:rPr>
        <w:t> </w:t>
      </w:r>
      <w:r>
        <w:rPr/>
        <w:t>Religious</w:t>
      </w:r>
      <w:r>
        <w:rPr>
          <w:spacing w:val="-6"/>
        </w:rPr>
        <w:t> </w:t>
      </w:r>
      <w:r>
        <w:rPr/>
        <w:t>beliefs</w:t>
      </w:r>
      <w:r>
        <w:rPr>
          <w:spacing w:val="-6"/>
        </w:rPr>
        <w:t> </w:t>
      </w:r>
      <w:r>
        <w:rPr/>
        <w:t>and</w:t>
      </w:r>
      <w:r>
        <w:rPr>
          <w:spacing w:val="-6"/>
        </w:rPr>
        <w:t> </w:t>
      </w:r>
      <w:r>
        <w:rPr/>
        <w:t>background are far-reaching influences that encompass multiple arenas of one’s life, including personal and family religious identity, beliefs, and coping; family attitudes, beliefs, and relationships; and community character and support.</w:t>
      </w:r>
    </w:p>
    <w:p>
      <w:pPr>
        <w:pStyle w:val="BodyText"/>
        <w:spacing w:line="237" w:lineRule="auto"/>
        <w:ind w:left="280" w:right="547"/>
      </w:pPr>
      <w:r>
        <w:rPr/>
        <w:t>Religious views of sexual and gender diversity in the United States vary widely and can have a large influence on sexual-and gender-diverse adolescents’</w:t>
      </w:r>
      <w:r>
        <w:rPr>
          <w:spacing w:val="-8"/>
        </w:rPr>
        <w:t> </w:t>
      </w:r>
      <w:r>
        <w:rPr/>
        <w:t>mental health and well-being.When working with youth of diverse</w:t>
      </w:r>
      <w:r>
        <w:rPr>
          <w:spacing w:val="-6"/>
        </w:rPr>
        <w:t> </w:t>
      </w:r>
      <w:r>
        <w:rPr/>
        <w:t>sexual</w:t>
      </w:r>
      <w:r>
        <w:rPr>
          <w:spacing w:val="-5"/>
        </w:rPr>
        <w:t> </w:t>
      </w:r>
      <w:r>
        <w:rPr/>
        <w:t>orientation</w:t>
      </w:r>
      <w:r>
        <w:rPr>
          <w:spacing w:val="-5"/>
        </w:rPr>
        <w:t> </w:t>
      </w:r>
      <w:r>
        <w:rPr/>
        <w:t>and/or</w:t>
      </w:r>
      <w:r>
        <w:rPr>
          <w:spacing w:val="-5"/>
        </w:rPr>
        <w:t> </w:t>
      </w:r>
      <w:r>
        <w:rPr/>
        <w:t>gender</w:t>
      </w:r>
      <w:r>
        <w:rPr>
          <w:spacing w:val="-5"/>
        </w:rPr>
        <w:t> </w:t>
      </w:r>
      <w:r>
        <w:rPr/>
        <w:t>identity,</w:t>
      </w:r>
      <w:r>
        <w:rPr>
          <w:spacing w:val="-5"/>
        </w:rPr>
        <w:t> </w:t>
      </w:r>
      <w:r>
        <w:rPr/>
        <w:t>it</w:t>
      </w:r>
      <w:r>
        <w:rPr>
          <w:spacing w:val="-5"/>
        </w:rPr>
        <w:t> </w:t>
      </w:r>
      <w:r>
        <w:rPr/>
        <w:t>is</w:t>
      </w:r>
      <w:r>
        <w:rPr>
          <w:spacing w:val="-5"/>
        </w:rPr>
        <w:t> </w:t>
      </w:r>
      <w:r>
        <w:rPr/>
        <w:t>important</w:t>
      </w:r>
      <w:r>
        <w:rPr>
          <w:spacing w:val="-5"/>
        </w:rPr>
        <w:t> </w:t>
      </w:r>
      <w:r>
        <w:rPr/>
        <w:t>to</w:t>
      </w:r>
      <w:r>
        <w:rPr>
          <w:spacing w:val="-5"/>
        </w:rPr>
        <w:t> </w:t>
      </w:r>
      <w:r>
        <w:rPr/>
        <w:t>consider</w:t>
      </w:r>
      <w:r>
        <w:rPr>
          <w:spacing w:val="-5"/>
        </w:rPr>
        <w:t> </w:t>
      </w:r>
      <w:r>
        <w:rPr/>
        <w:t>the intersection of religion with youth’s racial and ethnic identity and cultural </w:t>
      </w:r>
      <w:r>
        <w:rPr>
          <w:spacing w:val="-2"/>
        </w:rPr>
        <w:t>background.</w:t>
      </w:r>
    </w:p>
    <w:p>
      <w:pPr>
        <w:pStyle w:val="BodyText"/>
        <w:spacing w:before="177"/>
        <w:ind w:left="280" w:right="499"/>
      </w:pPr>
      <w:r>
        <w:rPr/>
        <w:t>Religion and spirituality are complex, nuanced aspects of human diversity. Parents from all backgrounds have a full range of reactions to their child’s sexual</w:t>
      </w:r>
      <w:r>
        <w:rPr>
          <w:spacing w:val="-4"/>
        </w:rPr>
        <w:t> </w:t>
      </w:r>
      <w:r>
        <w:rPr/>
        <w:t>orientation</w:t>
      </w:r>
      <w:r>
        <w:rPr>
          <w:spacing w:val="-4"/>
        </w:rPr>
        <w:t> </w:t>
      </w:r>
      <w:r>
        <w:rPr/>
        <w:t>and</w:t>
      </w:r>
      <w:r>
        <w:rPr>
          <w:spacing w:val="-4"/>
        </w:rPr>
        <w:t> </w:t>
      </w:r>
      <w:r>
        <w:rPr/>
        <w:t>gender</w:t>
      </w:r>
      <w:r>
        <w:rPr>
          <w:spacing w:val="-4"/>
        </w:rPr>
        <w:t> </w:t>
      </w:r>
      <w:r>
        <w:rPr/>
        <w:t>identity</w:t>
      </w:r>
      <w:r>
        <w:rPr>
          <w:spacing w:val="-4"/>
        </w:rPr>
        <w:t> </w:t>
      </w:r>
      <w:r>
        <w:rPr/>
        <w:t>and</w:t>
      </w:r>
      <w:r>
        <w:rPr>
          <w:spacing w:val="-4"/>
        </w:rPr>
        <w:t> </w:t>
      </w:r>
      <w:r>
        <w:rPr/>
        <w:t>expression</w:t>
      </w:r>
      <w:r>
        <w:rPr>
          <w:spacing w:val="-4"/>
        </w:rPr>
        <w:t> </w:t>
      </w:r>
      <w:r>
        <w:rPr/>
        <w:t>regardless</w:t>
      </w:r>
      <w:r>
        <w:rPr>
          <w:spacing w:val="-4"/>
        </w:rPr>
        <w:t> </w:t>
      </w:r>
      <w:r>
        <w:rPr/>
        <w:t>of</w:t>
      </w:r>
      <w:r>
        <w:rPr>
          <w:spacing w:val="-4"/>
        </w:rPr>
        <w:t> </w:t>
      </w:r>
      <w:r>
        <w:rPr/>
        <w:t>religious</w:t>
      </w:r>
      <w:r>
        <w:rPr>
          <w:spacing w:val="-4"/>
        </w:rPr>
        <w:t> </w:t>
      </w:r>
      <w:r>
        <w:rPr/>
        <w:t>or spiritual traditions (e.g., confusion, desire for information, questions about social</w:t>
      </w:r>
      <w:r>
        <w:rPr>
          <w:spacing w:val="-3"/>
        </w:rPr>
        <w:t> </w:t>
      </w:r>
      <w:r>
        <w:rPr/>
        <w:t>implications,</w:t>
      </w:r>
      <w:r>
        <w:rPr>
          <w:spacing w:val="-3"/>
        </w:rPr>
        <w:t> </w:t>
      </w:r>
      <w:r>
        <w:rPr/>
        <w:t>love</w:t>
      </w:r>
      <w:r>
        <w:rPr>
          <w:spacing w:val="-4"/>
        </w:rPr>
        <w:t> </w:t>
      </w:r>
      <w:r>
        <w:rPr/>
        <w:t>and</w:t>
      </w:r>
      <w:r>
        <w:rPr>
          <w:spacing w:val="-3"/>
        </w:rPr>
        <w:t> </w:t>
      </w:r>
      <w:r>
        <w:rPr/>
        <w:t>loyalty,</w:t>
      </w:r>
      <w:r>
        <w:rPr>
          <w:spacing w:val="-3"/>
        </w:rPr>
        <w:t> </w:t>
      </w:r>
      <w:r>
        <w:rPr/>
        <w:t>coming</w:t>
      </w:r>
      <w:r>
        <w:rPr>
          <w:spacing w:val="-3"/>
        </w:rPr>
        <w:t> </w:t>
      </w:r>
      <w:r>
        <w:rPr/>
        <w:t>to</w:t>
      </w:r>
      <w:r>
        <w:rPr>
          <w:spacing w:val="-3"/>
        </w:rPr>
        <w:t> </w:t>
      </w:r>
      <w:r>
        <w:rPr/>
        <w:t>terms</w:t>
      </w:r>
      <w:r>
        <w:rPr>
          <w:spacing w:val="-3"/>
        </w:rPr>
        <w:t> </w:t>
      </w:r>
      <w:r>
        <w:rPr/>
        <w:t>with</w:t>
      </w:r>
      <w:r>
        <w:rPr>
          <w:spacing w:val="-3"/>
        </w:rPr>
        <w:t> </w:t>
      </w:r>
      <w:r>
        <w:rPr/>
        <w:t>differences,</w:t>
      </w:r>
      <w:r>
        <w:rPr>
          <w:spacing w:val="-3"/>
        </w:rPr>
        <w:t> </w:t>
      </w:r>
      <w:r>
        <w:rPr/>
        <w:t>growth and</w:t>
      </w:r>
      <w:r>
        <w:rPr>
          <w:spacing w:val="-2"/>
        </w:rPr>
        <w:t> </w:t>
      </w:r>
      <w:r>
        <w:rPr/>
        <w:t>expansion</w:t>
      </w:r>
      <w:r>
        <w:rPr>
          <w:spacing w:val="-2"/>
        </w:rPr>
        <w:t> </w:t>
      </w:r>
      <w:r>
        <w:rPr/>
        <w:t>of</w:t>
      </w:r>
      <w:r>
        <w:rPr>
          <w:spacing w:val="-2"/>
        </w:rPr>
        <w:t> </w:t>
      </w:r>
      <w:r>
        <w:rPr/>
        <w:t>spiritual</w:t>
      </w:r>
      <w:r>
        <w:rPr>
          <w:spacing w:val="-2"/>
        </w:rPr>
        <w:t> </w:t>
      </w:r>
      <w:r>
        <w:rPr/>
        <w:t>understanding,</w:t>
      </w:r>
      <w:r>
        <w:rPr>
          <w:spacing w:val="-2"/>
        </w:rPr>
        <w:t> </w:t>
      </w:r>
      <w:r>
        <w:rPr/>
        <w:t>and</w:t>
      </w:r>
      <w:r>
        <w:rPr>
          <w:spacing w:val="-2"/>
        </w:rPr>
        <w:t> </w:t>
      </w:r>
      <w:r>
        <w:rPr/>
        <w:t>for</w:t>
      </w:r>
      <w:r>
        <w:rPr>
          <w:spacing w:val="-2"/>
        </w:rPr>
        <w:t> </w:t>
      </w:r>
      <w:r>
        <w:rPr/>
        <w:t>some</w:t>
      </w:r>
      <w:r>
        <w:rPr>
          <w:spacing w:val="-3"/>
        </w:rPr>
        <w:t> </w:t>
      </w:r>
      <w:r>
        <w:rPr/>
        <w:t>a</w:t>
      </w:r>
      <w:r>
        <w:rPr>
          <w:spacing w:val="-3"/>
        </w:rPr>
        <w:t> </w:t>
      </w:r>
      <w:r>
        <w:rPr/>
        <w:t>sense</w:t>
      </w:r>
      <w:r>
        <w:rPr>
          <w:spacing w:val="-3"/>
        </w:rPr>
        <w:t> </w:t>
      </w:r>
      <w:r>
        <w:rPr/>
        <w:t>of</w:t>
      </w:r>
      <w:r>
        <w:rPr>
          <w:spacing w:val="-2"/>
        </w:rPr>
        <w:t> </w:t>
      </w:r>
      <w:r>
        <w:rPr/>
        <w:t>loss).</w:t>
      </w:r>
      <w:r>
        <w:rPr>
          <w:spacing w:val="-2"/>
        </w:rPr>
        <w:t> </w:t>
      </w:r>
      <w:r>
        <w:rPr/>
        <w:t>Rather than focus on faith beliefs, where they might lack expertise, behavioral health providers can focus on encouraging key measurable behaviors among families and caregivers that have been found to be supportive and protective for children, as well as informing families how some of their behaviors and interactions might lead to negative behavioral health outcomes.</w:t>
      </w:r>
    </w:p>
    <w:p>
      <w:pPr>
        <w:pStyle w:val="BodyText"/>
        <w:spacing w:before="4"/>
        <w:rPr>
          <w:sz w:val="27"/>
        </w:rPr>
      </w:pPr>
    </w:p>
    <w:p>
      <w:pPr>
        <w:pStyle w:val="BodyText"/>
        <w:ind w:left="280" w:right="500"/>
      </w:pPr>
      <w:r>
        <w:rPr/>
        <w:t>LGBTQI+ adolescents may experience a myriad of sexual orientation-and gender-related stressors in the school environment, where they spend a large portion of their time. Despite increasing cultural visibility and acceptance of people</w:t>
      </w:r>
      <w:r>
        <w:rPr>
          <w:spacing w:val="-6"/>
        </w:rPr>
        <w:t> </w:t>
      </w:r>
      <w:r>
        <w:rPr/>
        <w:t>of</w:t>
      </w:r>
      <w:r>
        <w:rPr>
          <w:spacing w:val="-5"/>
        </w:rPr>
        <w:t> </w:t>
      </w:r>
      <w:r>
        <w:rPr/>
        <w:t>diverse</w:t>
      </w:r>
      <w:r>
        <w:rPr>
          <w:spacing w:val="-6"/>
        </w:rPr>
        <w:t> </w:t>
      </w:r>
      <w:r>
        <w:rPr/>
        <w:t>sexual</w:t>
      </w:r>
      <w:r>
        <w:rPr>
          <w:spacing w:val="-5"/>
        </w:rPr>
        <w:t> </w:t>
      </w:r>
      <w:r>
        <w:rPr/>
        <w:t>orientation</w:t>
      </w:r>
      <w:r>
        <w:rPr>
          <w:spacing w:val="-5"/>
        </w:rPr>
        <w:t> </w:t>
      </w:r>
      <w:r>
        <w:rPr/>
        <w:t>and/or</w:t>
      </w:r>
      <w:r>
        <w:rPr>
          <w:spacing w:val="-5"/>
        </w:rPr>
        <w:t> </w:t>
      </w:r>
      <w:r>
        <w:rPr/>
        <w:t>gender</w:t>
      </w:r>
      <w:r>
        <w:rPr>
          <w:spacing w:val="-5"/>
        </w:rPr>
        <w:t> </w:t>
      </w:r>
      <w:r>
        <w:rPr/>
        <w:t>identity,</w:t>
      </w:r>
      <w:r>
        <w:rPr>
          <w:spacing w:val="-5"/>
        </w:rPr>
        <w:t> </w:t>
      </w:r>
      <w:r>
        <w:rPr/>
        <w:t>the</w:t>
      </w:r>
      <w:r>
        <w:rPr>
          <w:spacing w:val="-6"/>
        </w:rPr>
        <w:t> </w:t>
      </w:r>
      <w:r>
        <w:rPr/>
        <w:t>climates</w:t>
      </w:r>
      <w:r>
        <w:rPr>
          <w:spacing w:val="-5"/>
        </w:rPr>
        <w:t> </w:t>
      </w:r>
      <w:r>
        <w:rPr/>
        <w:t>of</w:t>
      </w:r>
      <w:r>
        <w:rPr>
          <w:spacing w:val="-5"/>
        </w:rPr>
        <w:t> </w:t>
      </w:r>
      <w:r>
        <w:rPr/>
        <w:t>U.S. secondary schools remain generally unsupportive and unsafe for many sexual- and gender-diverse youth, who experience high levels of verbal and physical harassment and assault, sexual harassment, social exclusion and isolation, and other interpersonal problems with peers. School bullying and victimization is often linked to nonconformity to gender norms.</w:t>
      </w:r>
      <w:r>
        <w:rPr>
          <w:spacing w:val="-4"/>
        </w:rPr>
        <w:t> </w:t>
      </w:r>
      <w:r>
        <w:rPr/>
        <w:t>Across racial/ethnic groups, approximately half of all sexual-and gender-diverse students of color were bullied or harassed based on their racial/ethnic identity. Further, sexual-and gender-diverse students of color were at greater risk of experiencing multiple forms of victimization and were more likely to feel unsafe at school than their white sexual-and gender-diverse peers. This mistreatment has a significant effect on sexual-and gender-diverse</w:t>
      </w:r>
      <w:r>
        <w:rPr>
          <w:spacing w:val="-1"/>
        </w:rPr>
        <w:t> </w:t>
      </w:r>
      <w:r>
        <w:rPr/>
        <w:t>adolescents’</w:t>
      </w:r>
      <w:r>
        <w:rPr>
          <w:spacing w:val="-21"/>
        </w:rPr>
        <w:t> </w:t>
      </w:r>
      <w:r>
        <w:rPr/>
        <w:t>mental health and well-being. Victimization due to sexual orientation or gender expression is associated with depressive symptoms, low self-esteem, and suicidality, as is not having access</w:t>
      </w:r>
    </w:p>
    <w:p>
      <w:pPr>
        <w:spacing w:after="0"/>
        <w:sectPr>
          <w:pgSz w:w="12240" w:h="15840"/>
          <w:pgMar w:header="0" w:footer="783" w:top="1260" w:bottom="980" w:left="1400" w:right="1180"/>
        </w:sectPr>
      </w:pPr>
    </w:p>
    <w:p>
      <w:pPr>
        <w:pStyle w:val="BodyText"/>
        <w:spacing w:before="66"/>
        <w:ind w:left="280" w:right="502"/>
      </w:pPr>
      <w:r>
        <w:rPr/>
        <w:t>to</w:t>
      </w:r>
      <w:r>
        <w:rPr>
          <w:spacing w:val="-4"/>
        </w:rPr>
        <w:t> </w:t>
      </w:r>
      <w:r>
        <w:rPr/>
        <w:t>appropriate</w:t>
      </w:r>
      <w:r>
        <w:rPr>
          <w:spacing w:val="-5"/>
        </w:rPr>
        <w:t> </w:t>
      </w:r>
      <w:r>
        <w:rPr/>
        <w:t>bathrooms</w:t>
      </w:r>
      <w:r>
        <w:rPr>
          <w:spacing w:val="-4"/>
        </w:rPr>
        <w:t> </w:t>
      </w:r>
      <w:r>
        <w:rPr/>
        <w:t>and</w:t>
      </w:r>
      <w:r>
        <w:rPr>
          <w:spacing w:val="-4"/>
        </w:rPr>
        <w:t> </w:t>
      </w:r>
      <w:r>
        <w:rPr/>
        <w:t>feeling</w:t>
      </w:r>
      <w:r>
        <w:rPr>
          <w:spacing w:val="-4"/>
        </w:rPr>
        <w:t> </w:t>
      </w:r>
      <w:r>
        <w:rPr/>
        <w:t>unsafe</w:t>
      </w:r>
      <w:r>
        <w:rPr>
          <w:spacing w:val="-5"/>
        </w:rPr>
        <w:t> </w:t>
      </w:r>
      <w:r>
        <w:rPr/>
        <w:t>in</w:t>
      </w:r>
      <w:r>
        <w:rPr>
          <w:spacing w:val="-4"/>
        </w:rPr>
        <w:t> </w:t>
      </w:r>
      <w:r>
        <w:rPr/>
        <w:t>bathrooms</w:t>
      </w:r>
      <w:r>
        <w:rPr>
          <w:spacing w:val="-4"/>
        </w:rPr>
        <w:t> </w:t>
      </w:r>
      <w:r>
        <w:rPr/>
        <w:t>and</w:t>
      </w:r>
      <w:r>
        <w:rPr>
          <w:spacing w:val="-4"/>
        </w:rPr>
        <w:t> </w:t>
      </w:r>
      <w:r>
        <w:rPr/>
        <w:t>other</w:t>
      </w:r>
      <w:r>
        <w:rPr>
          <w:spacing w:val="-4"/>
        </w:rPr>
        <w:t> </w:t>
      </w:r>
      <w:r>
        <w:rPr/>
        <w:t>school </w:t>
      </w:r>
      <w:r>
        <w:rPr>
          <w:spacing w:val="-2"/>
        </w:rPr>
        <w:t>facilities.</w:t>
      </w:r>
    </w:p>
    <w:p>
      <w:pPr>
        <w:pStyle w:val="BodyText"/>
        <w:spacing w:before="2"/>
        <w:rPr>
          <w:sz w:val="29"/>
        </w:rPr>
      </w:pPr>
    </w:p>
    <w:p>
      <w:pPr>
        <w:pStyle w:val="BodyText"/>
        <w:ind w:left="280" w:right="507"/>
      </w:pPr>
      <w:r>
        <w:rPr/>
        <w:t>Experiences of victimization and discrimination are also linked to negative academic outcomes among sexual-and gender-diverse youth. Victimization from peers and school staff, combined with discriminatory policies, likely contributes to the over-representation of sexual and gender minorities in the juvenile justice system. Sexual-and gender-diverse youth of color, particularly girls, are extremely overrepresented among incarcerated youth. Research shows that youth of diverse sexual orientation and/or gender identity are not only more likely to experience exclusionary discipline at school, but also appear</w:t>
      </w:r>
      <w:r>
        <w:rPr>
          <w:spacing w:val="-4"/>
        </w:rPr>
        <w:t> </w:t>
      </w:r>
      <w:r>
        <w:rPr/>
        <w:t>to</w:t>
      </w:r>
      <w:r>
        <w:rPr>
          <w:spacing w:val="-4"/>
        </w:rPr>
        <w:t> </w:t>
      </w:r>
      <w:r>
        <w:rPr/>
        <w:t>be</w:t>
      </w:r>
      <w:r>
        <w:rPr>
          <w:spacing w:val="-5"/>
        </w:rPr>
        <w:t> </w:t>
      </w:r>
      <w:r>
        <w:rPr/>
        <w:t>sanctioned</w:t>
      </w:r>
      <w:r>
        <w:rPr>
          <w:spacing w:val="-4"/>
        </w:rPr>
        <w:t> </w:t>
      </w:r>
      <w:r>
        <w:rPr/>
        <w:t>more</w:t>
      </w:r>
      <w:r>
        <w:rPr>
          <w:spacing w:val="-5"/>
        </w:rPr>
        <w:t> </w:t>
      </w:r>
      <w:r>
        <w:rPr/>
        <w:t>harshly</w:t>
      </w:r>
      <w:r>
        <w:rPr>
          <w:spacing w:val="-4"/>
        </w:rPr>
        <w:t> </w:t>
      </w:r>
      <w:r>
        <w:rPr/>
        <w:t>than</w:t>
      </w:r>
      <w:r>
        <w:rPr>
          <w:spacing w:val="-4"/>
        </w:rPr>
        <w:t> </w:t>
      </w:r>
      <w:r>
        <w:rPr/>
        <w:t>heterosexual,</w:t>
      </w:r>
      <w:r>
        <w:rPr>
          <w:spacing w:val="-4"/>
        </w:rPr>
        <w:t> </w:t>
      </w:r>
      <w:r>
        <w:rPr/>
        <w:t>cisgender</w:t>
      </w:r>
      <w:r>
        <w:rPr>
          <w:spacing w:val="-4"/>
        </w:rPr>
        <w:t> </w:t>
      </w:r>
      <w:r>
        <w:rPr/>
        <w:t>teens</w:t>
      </w:r>
      <w:r>
        <w:rPr>
          <w:spacing w:val="-4"/>
        </w:rPr>
        <w:t> </w:t>
      </w:r>
      <w:r>
        <w:rPr/>
        <w:t>for</w:t>
      </w:r>
      <w:r>
        <w:rPr>
          <w:spacing w:val="-4"/>
        </w:rPr>
        <w:t> </w:t>
      </w:r>
      <w:r>
        <w:rPr/>
        <w:t>the same behavior and are at an increased risk for juvenile justice involvement.</w:t>
      </w:r>
    </w:p>
    <w:p>
      <w:pPr>
        <w:pStyle w:val="BodyText"/>
        <w:spacing w:before="2"/>
        <w:rPr>
          <w:sz w:val="26"/>
        </w:rPr>
      </w:pPr>
    </w:p>
    <w:p>
      <w:pPr>
        <w:pStyle w:val="BodyText"/>
        <w:ind w:left="280" w:right="530"/>
      </w:pPr>
      <w:r>
        <w:rPr/>
        <w:t>School and peer networks can also be a place where youth of diverse sexual orientation and/or gender identity find support. High levels of support from friends, classmates, and school professionals is associated with better mental health and lower suicidality among youth of diverse sexual orientation and/or gender identity.49</w:t>
      </w:r>
      <w:r>
        <w:rPr>
          <w:spacing w:val="-13"/>
        </w:rPr>
        <w:t> </w:t>
      </w:r>
      <w:r>
        <w:rPr/>
        <w:t>Additionally, when youth have access to high levels of peer or school support, this may reduce the negative impact that experiencing victimization has on their mental health. Friends of diverse sexual orientation and/or gender identity may be of particular importance, because they are more likely to provide support for sexuality-and gender-related stress. Many youth of diverse sexual orientation and/or gender identity connect with peers and access</w:t>
      </w:r>
      <w:r>
        <w:rPr>
          <w:spacing w:val="-4"/>
        </w:rPr>
        <w:t> </w:t>
      </w:r>
      <w:r>
        <w:rPr/>
        <w:t>social</w:t>
      </w:r>
      <w:r>
        <w:rPr>
          <w:spacing w:val="-4"/>
        </w:rPr>
        <w:t> </w:t>
      </w:r>
      <w:r>
        <w:rPr/>
        <w:t>support</w:t>
      </w:r>
      <w:r>
        <w:rPr>
          <w:spacing w:val="-4"/>
        </w:rPr>
        <w:t> </w:t>
      </w:r>
      <w:r>
        <w:rPr/>
        <w:t>online</w:t>
      </w:r>
      <w:r>
        <w:rPr>
          <w:spacing w:val="-5"/>
        </w:rPr>
        <w:t> </w:t>
      </w:r>
      <w:r>
        <w:rPr/>
        <w:t>that</w:t>
      </w:r>
      <w:r>
        <w:rPr>
          <w:spacing w:val="-4"/>
        </w:rPr>
        <w:t> </w:t>
      </w:r>
      <w:r>
        <w:rPr/>
        <w:t>may</w:t>
      </w:r>
      <w:r>
        <w:rPr>
          <w:spacing w:val="-4"/>
        </w:rPr>
        <w:t> </w:t>
      </w:r>
      <w:r>
        <w:rPr/>
        <w:t>be</w:t>
      </w:r>
      <w:r>
        <w:rPr>
          <w:spacing w:val="-5"/>
        </w:rPr>
        <w:t> </w:t>
      </w:r>
      <w:r>
        <w:rPr/>
        <w:t>unavailable</w:t>
      </w:r>
      <w:r>
        <w:rPr>
          <w:spacing w:val="-5"/>
        </w:rPr>
        <w:t> </w:t>
      </w:r>
      <w:r>
        <w:rPr/>
        <w:t>to</w:t>
      </w:r>
      <w:r>
        <w:rPr>
          <w:spacing w:val="-4"/>
        </w:rPr>
        <w:t> </w:t>
      </w:r>
      <w:r>
        <w:rPr/>
        <w:t>them</w:t>
      </w:r>
      <w:r>
        <w:rPr>
          <w:spacing w:val="-4"/>
        </w:rPr>
        <w:t> </w:t>
      </w:r>
      <w:r>
        <w:rPr/>
        <w:t>in</w:t>
      </w:r>
      <w:r>
        <w:rPr>
          <w:spacing w:val="-4"/>
        </w:rPr>
        <w:t> </w:t>
      </w:r>
      <w:r>
        <w:rPr/>
        <w:t>person.283,284 Online sources of support have become increasingly important for youth of diverse sexual orientation and/or gender identity during the COVID-19 </w:t>
      </w:r>
      <w:r>
        <w:rPr>
          <w:spacing w:val="-2"/>
        </w:rPr>
        <w:t>pandemic.</w:t>
      </w:r>
    </w:p>
    <w:p>
      <w:pPr>
        <w:pStyle w:val="BodyText"/>
        <w:spacing w:before="4"/>
        <w:rPr>
          <w:sz w:val="25"/>
        </w:rPr>
      </w:pPr>
    </w:p>
    <w:p>
      <w:pPr>
        <w:pStyle w:val="BodyText"/>
        <w:spacing w:before="1"/>
        <w:ind w:left="280" w:right="499"/>
      </w:pPr>
      <w:r>
        <w:rPr/>
        <w:t>School policies and resources that create an inclusive, safe environment positively influence student behavioral health and well-being. Specifically, these school policies reduce substance use and planned suicide and suicide attempts. GSA</w:t>
      </w:r>
      <w:r>
        <w:rPr>
          <w:spacing w:val="-7"/>
        </w:rPr>
        <w:t> </w:t>
      </w:r>
      <w:r>
        <w:rPr/>
        <w:t>is a student-led, school-based club that aims to provide a safe space for LGBTQI+ students. “GSA” originally referred to “Gay-Straight Alliance,” but many GSAs now use the acronym to refer to “Gender and Sexuality</w:t>
      </w:r>
      <w:r>
        <w:rPr>
          <w:spacing w:val="-18"/>
        </w:rPr>
        <w:t> </w:t>
      </w:r>
      <w:r>
        <w:rPr/>
        <w:t>Alliance”</w:t>
      </w:r>
      <w:r>
        <w:rPr>
          <w:spacing w:val="-6"/>
        </w:rPr>
        <w:t> </w:t>
      </w:r>
      <w:r>
        <w:rPr/>
        <w:t>to</w:t>
      </w:r>
      <w:r>
        <w:rPr>
          <w:spacing w:val="-4"/>
        </w:rPr>
        <w:t> </w:t>
      </w:r>
      <w:r>
        <w:rPr/>
        <w:t>acknowledge</w:t>
      </w:r>
      <w:r>
        <w:rPr>
          <w:spacing w:val="-5"/>
        </w:rPr>
        <w:t> </w:t>
      </w:r>
      <w:r>
        <w:rPr/>
        <w:t>the</w:t>
      </w:r>
      <w:r>
        <w:rPr>
          <w:spacing w:val="-5"/>
        </w:rPr>
        <w:t> </w:t>
      </w:r>
      <w:r>
        <w:rPr/>
        <w:t>full</w:t>
      </w:r>
      <w:r>
        <w:rPr>
          <w:spacing w:val="-4"/>
        </w:rPr>
        <w:t> </w:t>
      </w:r>
      <w:r>
        <w:rPr/>
        <w:t>spectrum</w:t>
      </w:r>
      <w:r>
        <w:rPr>
          <w:spacing w:val="-4"/>
        </w:rPr>
        <w:t> </w:t>
      </w:r>
      <w:r>
        <w:rPr/>
        <w:t>of</w:t>
      </w:r>
      <w:r>
        <w:rPr>
          <w:spacing w:val="-4"/>
        </w:rPr>
        <w:t> </w:t>
      </w:r>
      <w:r>
        <w:rPr/>
        <w:t>sexual</w:t>
      </w:r>
      <w:r>
        <w:rPr>
          <w:spacing w:val="-4"/>
        </w:rPr>
        <w:t> </w:t>
      </w:r>
      <w:r>
        <w:rPr/>
        <w:t>orientation</w:t>
      </w:r>
      <w:r>
        <w:rPr>
          <w:spacing w:val="-4"/>
        </w:rPr>
        <w:t> </w:t>
      </w:r>
      <w:r>
        <w:rPr/>
        <w:t>and gender diversity.</w:t>
      </w:r>
    </w:p>
    <w:p>
      <w:pPr>
        <w:pStyle w:val="BodyText"/>
        <w:spacing w:before="164"/>
        <w:ind w:left="280" w:right="636"/>
      </w:pPr>
      <w:r>
        <w:rPr/>
        <w:t>Both the presence of and participation in a GSA</w:t>
      </w:r>
      <w:r>
        <w:rPr>
          <w:spacing w:val="-7"/>
        </w:rPr>
        <w:t> </w:t>
      </w:r>
      <w:r>
        <w:rPr/>
        <w:t>has beneficial outcomes for sexual-and</w:t>
      </w:r>
      <w:r>
        <w:rPr>
          <w:spacing w:val="-6"/>
        </w:rPr>
        <w:t> </w:t>
      </w:r>
      <w:r>
        <w:rPr/>
        <w:t>gender-diverse</w:t>
      </w:r>
      <w:r>
        <w:rPr>
          <w:spacing w:val="-7"/>
        </w:rPr>
        <w:t> </w:t>
      </w:r>
      <w:r>
        <w:rPr/>
        <w:t>students</w:t>
      </w:r>
      <w:r>
        <w:rPr>
          <w:spacing w:val="-6"/>
        </w:rPr>
        <w:t> </w:t>
      </w:r>
      <w:r>
        <w:rPr/>
        <w:t>and</w:t>
      </w:r>
      <w:r>
        <w:rPr>
          <w:spacing w:val="-6"/>
        </w:rPr>
        <w:t> </w:t>
      </w:r>
      <w:r>
        <w:rPr/>
        <w:t>others,</w:t>
      </w:r>
      <w:r>
        <w:rPr>
          <w:spacing w:val="-6"/>
        </w:rPr>
        <w:t> </w:t>
      </w:r>
      <w:r>
        <w:rPr/>
        <w:t>including</w:t>
      </w:r>
      <w:r>
        <w:rPr>
          <w:spacing w:val="-6"/>
        </w:rPr>
        <w:t> </w:t>
      </w:r>
      <w:r>
        <w:rPr/>
        <w:t>increased</w:t>
      </w:r>
      <w:r>
        <w:rPr>
          <w:spacing w:val="-6"/>
        </w:rPr>
        <w:t> </w:t>
      </w:r>
      <w:r>
        <w:rPr/>
        <w:t>feelings</w:t>
      </w:r>
      <w:r>
        <w:rPr>
          <w:spacing w:val="-6"/>
        </w:rPr>
        <w:t> </w:t>
      </w:r>
      <w:r>
        <w:rPr/>
        <w:t>of safety, lower truancy, and decreased threats of violence in school. School</w:t>
      </w:r>
    </w:p>
    <w:p>
      <w:pPr>
        <w:spacing w:after="0"/>
        <w:sectPr>
          <w:pgSz w:w="12240" w:h="15840"/>
          <w:pgMar w:header="0" w:footer="783" w:top="1260" w:bottom="980" w:left="1400" w:right="1180"/>
        </w:sectPr>
      </w:pPr>
    </w:p>
    <w:p>
      <w:pPr>
        <w:pStyle w:val="BodyText"/>
        <w:spacing w:before="66"/>
        <w:ind w:left="280"/>
      </w:pPr>
      <w:r>
        <w:rPr/>
        <w:t>policies</w:t>
      </w:r>
      <w:r>
        <w:rPr>
          <w:spacing w:val="-4"/>
        </w:rPr>
        <w:t> </w:t>
      </w:r>
      <w:r>
        <w:rPr/>
        <w:t>associated</w:t>
      </w:r>
      <w:r>
        <w:rPr>
          <w:spacing w:val="-4"/>
        </w:rPr>
        <w:t> </w:t>
      </w:r>
      <w:r>
        <w:rPr/>
        <w:t>with</w:t>
      </w:r>
      <w:r>
        <w:rPr>
          <w:spacing w:val="-4"/>
        </w:rPr>
        <w:t> </w:t>
      </w:r>
      <w:r>
        <w:rPr/>
        <w:t>improved</w:t>
      </w:r>
      <w:r>
        <w:rPr>
          <w:spacing w:val="-4"/>
        </w:rPr>
        <w:t> </w:t>
      </w:r>
      <w:r>
        <w:rPr/>
        <w:t>health</w:t>
      </w:r>
      <w:r>
        <w:rPr>
          <w:spacing w:val="-4"/>
        </w:rPr>
        <w:t> </w:t>
      </w:r>
      <w:r>
        <w:rPr/>
        <w:t>and</w:t>
      </w:r>
      <w:r>
        <w:rPr>
          <w:spacing w:val="-4"/>
        </w:rPr>
        <w:t> </w:t>
      </w:r>
      <w:r>
        <w:rPr/>
        <w:t>well-being</w:t>
      </w:r>
      <w:r>
        <w:rPr>
          <w:spacing w:val="-4"/>
        </w:rPr>
        <w:t> </w:t>
      </w:r>
      <w:r>
        <w:rPr/>
        <w:t>of</w:t>
      </w:r>
      <w:r>
        <w:rPr>
          <w:spacing w:val="-4"/>
        </w:rPr>
        <w:t> </w:t>
      </w:r>
      <w:r>
        <w:rPr/>
        <w:t>students</w:t>
      </w:r>
      <w:r>
        <w:rPr>
          <w:spacing w:val="-4"/>
        </w:rPr>
        <w:t> </w:t>
      </w:r>
      <w:r>
        <w:rPr/>
        <w:t>of</w:t>
      </w:r>
      <w:r>
        <w:rPr>
          <w:spacing w:val="-4"/>
        </w:rPr>
        <w:t> </w:t>
      </w:r>
      <w:r>
        <w:rPr/>
        <w:t>diverse sexual orientation and/or gender identity include:</w:t>
      </w:r>
    </w:p>
    <w:p>
      <w:pPr>
        <w:pStyle w:val="ListParagraph"/>
        <w:numPr>
          <w:ilvl w:val="0"/>
          <w:numId w:val="30"/>
        </w:numPr>
        <w:tabs>
          <w:tab w:pos="640" w:val="left" w:leader="none"/>
        </w:tabs>
        <w:spacing w:line="240" w:lineRule="auto" w:before="176" w:after="0"/>
        <w:ind w:left="640" w:right="1552" w:hanging="360"/>
        <w:jc w:val="left"/>
        <w:rPr>
          <w:sz w:val="28"/>
        </w:rPr>
      </w:pPr>
      <w:r>
        <w:rPr>
          <w:sz w:val="28"/>
        </w:rPr>
        <w:t>Antidiscrimination</w:t>
      </w:r>
      <w:r>
        <w:rPr>
          <w:spacing w:val="-7"/>
          <w:sz w:val="28"/>
        </w:rPr>
        <w:t> </w:t>
      </w:r>
      <w:r>
        <w:rPr>
          <w:sz w:val="28"/>
        </w:rPr>
        <w:t>and</w:t>
      </w:r>
      <w:r>
        <w:rPr>
          <w:spacing w:val="-7"/>
          <w:sz w:val="28"/>
        </w:rPr>
        <w:t> </w:t>
      </w:r>
      <w:r>
        <w:rPr>
          <w:sz w:val="28"/>
        </w:rPr>
        <w:t>antibullying</w:t>
      </w:r>
      <w:r>
        <w:rPr>
          <w:spacing w:val="-7"/>
          <w:sz w:val="28"/>
        </w:rPr>
        <w:t> </w:t>
      </w:r>
      <w:r>
        <w:rPr>
          <w:sz w:val="28"/>
        </w:rPr>
        <w:t>policies</w:t>
      </w:r>
      <w:r>
        <w:rPr>
          <w:spacing w:val="-7"/>
          <w:sz w:val="28"/>
        </w:rPr>
        <w:t> </w:t>
      </w:r>
      <w:r>
        <w:rPr>
          <w:sz w:val="28"/>
        </w:rPr>
        <w:t>that</w:t>
      </w:r>
      <w:r>
        <w:rPr>
          <w:spacing w:val="-7"/>
          <w:sz w:val="28"/>
        </w:rPr>
        <w:t> </w:t>
      </w:r>
      <w:r>
        <w:rPr>
          <w:sz w:val="28"/>
        </w:rPr>
        <w:t>enumerate</w:t>
      </w:r>
      <w:r>
        <w:rPr>
          <w:spacing w:val="-7"/>
          <w:sz w:val="28"/>
        </w:rPr>
        <w:t> </w:t>
      </w:r>
      <w:r>
        <w:rPr>
          <w:sz w:val="28"/>
        </w:rPr>
        <w:t>sexual orientation, gender identity, and gender expression</w:t>
      </w:r>
    </w:p>
    <w:p>
      <w:pPr>
        <w:pStyle w:val="ListParagraph"/>
        <w:numPr>
          <w:ilvl w:val="0"/>
          <w:numId w:val="30"/>
        </w:numPr>
        <w:tabs>
          <w:tab w:pos="640" w:val="left" w:leader="none"/>
        </w:tabs>
        <w:spacing w:line="237" w:lineRule="auto" w:before="0" w:after="0"/>
        <w:ind w:left="640" w:right="1374" w:hanging="360"/>
        <w:jc w:val="left"/>
        <w:rPr>
          <w:sz w:val="28"/>
        </w:rPr>
      </w:pPr>
      <w:r>
        <w:rPr>
          <w:sz w:val="28"/>
        </w:rPr>
        <w:t>Policies</w:t>
      </w:r>
      <w:r>
        <w:rPr>
          <w:spacing w:val="-4"/>
          <w:sz w:val="28"/>
        </w:rPr>
        <w:t> </w:t>
      </w:r>
      <w:r>
        <w:rPr>
          <w:sz w:val="28"/>
        </w:rPr>
        <w:t>that</w:t>
      </w:r>
      <w:r>
        <w:rPr>
          <w:spacing w:val="-4"/>
          <w:sz w:val="28"/>
        </w:rPr>
        <w:t> </w:t>
      </w:r>
      <w:r>
        <w:rPr>
          <w:sz w:val="28"/>
        </w:rPr>
        <w:t>allow</w:t>
      </w:r>
      <w:r>
        <w:rPr>
          <w:spacing w:val="-4"/>
          <w:sz w:val="28"/>
        </w:rPr>
        <w:t> </w:t>
      </w:r>
      <w:r>
        <w:rPr>
          <w:sz w:val="28"/>
        </w:rPr>
        <w:t>youth</w:t>
      </w:r>
      <w:r>
        <w:rPr>
          <w:spacing w:val="-4"/>
          <w:sz w:val="28"/>
        </w:rPr>
        <w:t> </w:t>
      </w:r>
      <w:r>
        <w:rPr>
          <w:sz w:val="28"/>
        </w:rPr>
        <w:t>to</w:t>
      </w:r>
      <w:r>
        <w:rPr>
          <w:spacing w:val="-4"/>
          <w:sz w:val="28"/>
        </w:rPr>
        <w:t> </w:t>
      </w:r>
      <w:r>
        <w:rPr>
          <w:sz w:val="28"/>
        </w:rPr>
        <w:t>use</w:t>
      </w:r>
      <w:r>
        <w:rPr>
          <w:spacing w:val="-5"/>
          <w:sz w:val="28"/>
        </w:rPr>
        <w:t> </w:t>
      </w:r>
      <w:r>
        <w:rPr>
          <w:sz w:val="28"/>
        </w:rPr>
        <w:t>facilities</w:t>
      </w:r>
      <w:r>
        <w:rPr>
          <w:spacing w:val="-4"/>
          <w:sz w:val="28"/>
        </w:rPr>
        <w:t> </w:t>
      </w:r>
      <w:r>
        <w:rPr>
          <w:sz w:val="28"/>
        </w:rPr>
        <w:t>that</w:t>
      </w:r>
      <w:r>
        <w:rPr>
          <w:spacing w:val="-4"/>
          <w:sz w:val="28"/>
        </w:rPr>
        <w:t> </w:t>
      </w:r>
      <w:r>
        <w:rPr>
          <w:sz w:val="28"/>
        </w:rPr>
        <w:t>align</w:t>
      </w:r>
      <w:r>
        <w:rPr>
          <w:spacing w:val="-4"/>
          <w:sz w:val="28"/>
        </w:rPr>
        <w:t> </w:t>
      </w:r>
      <w:r>
        <w:rPr>
          <w:sz w:val="28"/>
        </w:rPr>
        <w:t>with</w:t>
      </w:r>
      <w:r>
        <w:rPr>
          <w:spacing w:val="-4"/>
          <w:sz w:val="28"/>
        </w:rPr>
        <w:t> </w:t>
      </w:r>
      <w:r>
        <w:rPr>
          <w:sz w:val="28"/>
        </w:rPr>
        <w:t>their</w:t>
      </w:r>
      <w:r>
        <w:rPr>
          <w:spacing w:val="-4"/>
          <w:sz w:val="28"/>
        </w:rPr>
        <w:t> </w:t>
      </w:r>
      <w:r>
        <w:rPr>
          <w:sz w:val="28"/>
        </w:rPr>
        <w:t>gender identity and/or that provide gender-neutral facilities</w:t>
      </w:r>
    </w:p>
    <w:p>
      <w:pPr>
        <w:pStyle w:val="BodyText"/>
        <w:ind w:left="280" w:right="505"/>
      </w:pPr>
      <w:r>
        <w:rPr/>
        <w:t>Policies that allow students to use their chosen name and pronouns277,278 Training school staff and educators about how to support youth of diverse sexual orientation and/or gender identity is related to lower suicide attempts among these students when provided.286 Finally, curricula that are inclusive</w:t>
      </w:r>
      <w:r>
        <w:rPr>
          <w:spacing w:val="40"/>
        </w:rPr>
        <w:t> </w:t>
      </w:r>
      <w:r>
        <w:rPr/>
        <w:t>of</w:t>
      </w:r>
      <w:r>
        <w:rPr>
          <w:spacing w:val="-4"/>
        </w:rPr>
        <w:t> </w:t>
      </w:r>
      <w:r>
        <w:rPr/>
        <w:t>students</w:t>
      </w:r>
      <w:r>
        <w:rPr>
          <w:spacing w:val="-4"/>
        </w:rPr>
        <w:t> </w:t>
      </w:r>
      <w:r>
        <w:rPr/>
        <w:t>and</w:t>
      </w:r>
      <w:r>
        <w:rPr>
          <w:spacing w:val="-4"/>
        </w:rPr>
        <w:t> </w:t>
      </w:r>
      <w:r>
        <w:rPr/>
        <w:t>families</w:t>
      </w:r>
      <w:r>
        <w:rPr>
          <w:spacing w:val="-4"/>
        </w:rPr>
        <w:t> </w:t>
      </w:r>
      <w:r>
        <w:rPr/>
        <w:t>of</w:t>
      </w:r>
      <w:r>
        <w:rPr>
          <w:spacing w:val="-4"/>
        </w:rPr>
        <w:t> </w:t>
      </w:r>
      <w:r>
        <w:rPr/>
        <w:t>diverse</w:t>
      </w:r>
      <w:r>
        <w:rPr>
          <w:spacing w:val="-5"/>
        </w:rPr>
        <w:t> </w:t>
      </w:r>
      <w:r>
        <w:rPr/>
        <w:t>sexual</w:t>
      </w:r>
      <w:r>
        <w:rPr>
          <w:spacing w:val="-4"/>
        </w:rPr>
        <w:t> </w:t>
      </w:r>
      <w:r>
        <w:rPr/>
        <w:t>orientation</w:t>
      </w:r>
      <w:r>
        <w:rPr>
          <w:spacing w:val="-4"/>
        </w:rPr>
        <w:t> </w:t>
      </w:r>
      <w:r>
        <w:rPr/>
        <w:t>and/or</w:t>
      </w:r>
      <w:r>
        <w:rPr>
          <w:spacing w:val="-4"/>
        </w:rPr>
        <w:t> </w:t>
      </w:r>
      <w:r>
        <w:rPr/>
        <w:t>gender</w:t>
      </w:r>
      <w:r>
        <w:rPr>
          <w:spacing w:val="-4"/>
        </w:rPr>
        <w:t> </w:t>
      </w:r>
      <w:r>
        <w:rPr/>
        <w:t>identity</w:t>
      </w:r>
      <w:r>
        <w:rPr>
          <w:spacing w:val="-4"/>
        </w:rPr>
        <w:t> </w:t>
      </w:r>
      <w:r>
        <w:rPr/>
        <w:t>are associated with beneficial outcomes such as fewer instances of biased</w:t>
      </w:r>
      <w:r>
        <w:rPr>
          <w:spacing w:val="40"/>
        </w:rPr>
        <w:t> </w:t>
      </w:r>
      <w:r>
        <w:rPr/>
        <w:t>language against students of diverse sexual orientation and/or gender identity, students</w:t>
      </w:r>
      <w:r>
        <w:rPr>
          <w:spacing w:val="-3"/>
        </w:rPr>
        <w:t> </w:t>
      </w:r>
      <w:r>
        <w:rPr/>
        <w:t>feeling</w:t>
      </w:r>
      <w:r>
        <w:rPr>
          <w:spacing w:val="-3"/>
        </w:rPr>
        <w:t> </w:t>
      </w:r>
      <w:r>
        <w:rPr/>
        <w:t>safer,</w:t>
      </w:r>
      <w:r>
        <w:rPr>
          <w:spacing w:val="-3"/>
        </w:rPr>
        <w:t> </w:t>
      </w:r>
      <w:r>
        <w:rPr/>
        <w:t>fewer</w:t>
      </w:r>
      <w:r>
        <w:rPr>
          <w:spacing w:val="-3"/>
        </w:rPr>
        <w:t> </w:t>
      </w:r>
      <w:r>
        <w:rPr/>
        <w:t>reported</w:t>
      </w:r>
      <w:r>
        <w:rPr>
          <w:spacing w:val="-3"/>
        </w:rPr>
        <w:t> </w:t>
      </w:r>
      <w:r>
        <w:rPr/>
        <w:t>instances</w:t>
      </w:r>
      <w:r>
        <w:rPr>
          <w:spacing w:val="-3"/>
        </w:rPr>
        <w:t> </w:t>
      </w:r>
      <w:r>
        <w:rPr/>
        <w:t>of</w:t>
      </w:r>
      <w:r>
        <w:rPr>
          <w:spacing w:val="-3"/>
        </w:rPr>
        <w:t> </w:t>
      </w:r>
      <w:r>
        <w:rPr/>
        <w:t>victimization,</w:t>
      </w:r>
      <w:r>
        <w:rPr>
          <w:spacing w:val="-3"/>
        </w:rPr>
        <w:t> </w:t>
      </w:r>
      <w:r>
        <w:rPr/>
        <w:t>increased</w:t>
      </w:r>
      <w:r>
        <w:rPr>
          <w:spacing w:val="-3"/>
        </w:rPr>
        <w:t> </w:t>
      </w:r>
      <w:r>
        <w:rPr/>
        <w:t>peer acceptance,</w:t>
      </w:r>
      <w:r>
        <w:rPr>
          <w:spacing w:val="-3"/>
        </w:rPr>
        <w:t> </w:t>
      </w:r>
      <w:r>
        <w:rPr/>
        <w:t>and</w:t>
      </w:r>
      <w:r>
        <w:rPr>
          <w:spacing w:val="-3"/>
        </w:rPr>
        <w:t> </w:t>
      </w:r>
      <w:r>
        <w:rPr/>
        <w:t>lower</w:t>
      </w:r>
      <w:r>
        <w:rPr>
          <w:spacing w:val="-3"/>
        </w:rPr>
        <w:t> </w:t>
      </w:r>
      <w:r>
        <w:rPr/>
        <w:t>levels</w:t>
      </w:r>
      <w:r>
        <w:rPr>
          <w:spacing w:val="-3"/>
        </w:rPr>
        <w:t> </w:t>
      </w:r>
      <w:r>
        <w:rPr/>
        <w:t>of</w:t>
      </w:r>
      <w:r>
        <w:rPr>
          <w:spacing w:val="-3"/>
        </w:rPr>
        <w:t> </w:t>
      </w:r>
      <w:r>
        <w:rPr/>
        <w:t>depression;</w:t>
      </w:r>
      <w:r>
        <w:rPr>
          <w:spacing w:val="-3"/>
        </w:rPr>
        <w:t> </w:t>
      </w:r>
      <w:r>
        <w:rPr/>
        <w:t>these</w:t>
      </w:r>
      <w:r>
        <w:rPr>
          <w:spacing w:val="-4"/>
        </w:rPr>
        <w:t> </w:t>
      </w:r>
      <w:r>
        <w:rPr/>
        <w:t>benefits</w:t>
      </w:r>
      <w:r>
        <w:rPr>
          <w:spacing w:val="-3"/>
        </w:rPr>
        <w:t> </w:t>
      </w:r>
      <w:r>
        <w:rPr/>
        <w:t>may</w:t>
      </w:r>
      <w:r>
        <w:rPr>
          <w:spacing w:val="-3"/>
        </w:rPr>
        <w:t> </w:t>
      </w:r>
      <w:r>
        <w:rPr/>
        <w:t>be</w:t>
      </w:r>
      <w:r>
        <w:rPr>
          <w:spacing w:val="-4"/>
        </w:rPr>
        <w:t> </w:t>
      </w:r>
      <w:r>
        <w:rPr/>
        <w:t>related</w:t>
      </w:r>
      <w:r>
        <w:rPr>
          <w:spacing w:val="-3"/>
        </w:rPr>
        <w:t> </w:t>
      </w:r>
      <w:r>
        <w:rPr/>
        <w:t>to</w:t>
      </w:r>
      <w:r>
        <w:rPr>
          <w:spacing w:val="-3"/>
        </w:rPr>
        <w:t> </w:t>
      </w:r>
      <w:r>
        <w:rPr/>
        <w:t>the curricula helping to reduce negative stereotypes against LGBTQI+ students.48 These policies and practices not only are associated with benefits for students of diverse sexual orientation and/or gender identity but also have school-wide beneficial effects across behavioral health and psychosocial outcomes among heterosexual youth.</w:t>
      </w:r>
    </w:p>
    <w:p>
      <w:pPr>
        <w:pStyle w:val="BodyText"/>
        <w:spacing w:before="4"/>
        <w:rPr>
          <w:sz w:val="36"/>
        </w:rPr>
      </w:pPr>
    </w:p>
    <w:p>
      <w:pPr>
        <w:pStyle w:val="Heading2"/>
      </w:pPr>
      <w:r>
        <w:rPr/>
        <w:t>Community</w:t>
      </w:r>
      <w:r>
        <w:rPr>
          <w:spacing w:val="-1"/>
        </w:rPr>
        <w:t> </w:t>
      </w:r>
      <w:r>
        <w:rPr/>
        <w:t>Climate</w:t>
      </w:r>
      <w:r>
        <w:rPr>
          <w:spacing w:val="-2"/>
        </w:rPr>
        <w:t> </w:t>
      </w:r>
      <w:r>
        <w:rPr/>
        <w:t>&amp;</w:t>
      </w:r>
      <w:r>
        <w:rPr>
          <w:spacing w:val="-1"/>
        </w:rPr>
        <w:t> </w:t>
      </w:r>
      <w:r>
        <w:rPr>
          <w:spacing w:val="-2"/>
        </w:rPr>
        <w:t>Policies</w:t>
      </w:r>
    </w:p>
    <w:p>
      <w:pPr>
        <w:pStyle w:val="BodyText"/>
        <w:spacing w:before="125"/>
        <w:ind w:left="280" w:right="499"/>
      </w:pPr>
      <w:r>
        <w:rPr/>
        <w:t>Community</w:t>
      </w:r>
      <w:r>
        <w:rPr>
          <w:spacing w:val="-3"/>
        </w:rPr>
        <w:t> </w:t>
      </w:r>
      <w:r>
        <w:rPr/>
        <w:t>climate</w:t>
      </w:r>
      <w:r>
        <w:rPr>
          <w:spacing w:val="-4"/>
        </w:rPr>
        <w:t> </w:t>
      </w:r>
      <w:r>
        <w:rPr/>
        <w:t>and</w:t>
      </w:r>
      <w:r>
        <w:rPr>
          <w:spacing w:val="-3"/>
        </w:rPr>
        <w:t> </w:t>
      </w:r>
      <w:r>
        <w:rPr/>
        <w:t>policies</w:t>
      </w:r>
      <w:r>
        <w:rPr>
          <w:spacing w:val="-3"/>
        </w:rPr>
        <w:t> </w:t>
      </w:r>
      <w:r>
        <w:rPr/>
        <w:t>also</w:t>
      </w:r>
      <w:r>
        <w:rPr>
          <w:spacing w:val="-3"/>
        </w:rPr>
        <w:t> </w:t>
      </w:r>
      <w:r>
        <w:rPr/>
        <w:t>have</w:t>
      </w:r>
      <w:r>
        <w:rPr>
          <w:spacing w:val="-4"/>
        </w:rPr>
        <w:t> </w:t>
      </w:r>
      <w:r>
        <w:rPr/>
        <w:t>an</w:t>
      </w:r>
      <w:r>
        <w:rPr>
          <w:spacing w:val="-3"/>
        </w:rPr>
        <w:t> </w:t>
      </w:r>
      <w:r>
        <w:rPr/>
        <w:t>impact</w:t>
      </w:r>
      <w:r>
        <w:rPr>
          <w:spacing w:val="-3"/>
        </w:rPr>
        <w:t> </w:t>
      </w:r>
      <w:r>
        <w:rPr/>
        <w:t>on</w:t>
      </w:r>
      <w:r>
        <w:rPr>
          <w:spacing w:val="-3"/>
        </w:rPr>
        <w:t> </w:t>
      </w:r>
      <w:r>
        <w:rPr/>
        <w:t>the</w:t>
      </w:r>
      <w:r>
        <w:rPr>
          <w:spacing w:val="-4"/>
        </w:rPr>
        <w:t> </w:t>
      </w:r>
      <w:r>
        <w:rPr/>
        <w:t>health</w:t>
      </w:r>
      <w:r>
        <w:rPr>
          <w:spacing w:val="-3"/>
        </w:rPr>
        <w:t> </w:t>
      </w:r>
      <w:r>
        <w:rPr/>
        <w:t>and</w:t>
      </w:r>
      <w:r>
        <w:rPr>
          <w:spacing w:val="-3"/>
        </w:rPr>
        <w:t> </w:t>
      </w:r>
      <w:r>
        <w:rPr/>
        <w:t>well- being of youth of diverse sexual orientation and/or gender identity.</w:t>
      </w:r>
    </w:p>
    <w:p>
      <w:pPr>
        <w:pStyle w:val="BodyText"/>
        <w:spacing w:line="237" w:lineRule="auto"/>
        <w:ind w:left="280" w:right="581"/>
      </w:pPr>
      <w:r>
        <w:rPr/>
        <w:t>Community climate—defined by the presence or absence of supportive policies, places of worship that are open and inclusive, other LGBTQI+ people, and anti-LGBTQI+ rhetoric—is associated with behavioral health outcomes among LGBTQI+ adolescents. Studies have found that adolescents of</w:t>
      </w:r>
      <w:r>
        <w:rPr>
          <w:spacing w:val="-3"/>
        </w:rPr>
        <w:t> </w:t>
      </w:r>
      <w:r>
        <w:rPr/>
        <w:t>diverse</w:t>
      </w:r>
      <w:r>
        <w:rPr>
          <w:spacing w:val="-4"/>
        </w:rPr>
        <w:t> </w:t>
      </w:r>
      <w:r>
        <w:rPr/>
        <w:t>sexual</w:t>
      </w:r>
      <w:r>
        <w:rPr>
          <w:spacing w:val="-3"/>
        </w:rPr>
        <w:t> </w:t>
      </w:r>
      <w:r>
        <w:rPr/>
        <w:t>orientation</w:t>
      </w:r>
      <w:r>
        <w:rPr>
          <w:spacing w:val="-3"/>
        </w:rPr>
        <w:t> </w:t>
      </w:r>
      <w:r>
        <w:rPr/>
        <w:t>and/or</w:t>
      </w:r>
      <w:r>
        <w:rPr>
          <w:spacing w:val="-3"/>
        </w:rPr>
        <w:t> </w:t>
      </w:r>
      <w:r>
        <w:rPr/>
        <w:t>gender</w:t>
      </w:r>
      <w:r>
        <w:rPr>
          <w:spacing w:val="-3"/>
        </w:rPr>
        <w:t> </w:t>
      </w:r>
      <w:r>
        <w:rPr/>
        <w:t>identity</w:t>
      </w:r>
      <w:r>
        <w:rPr>
          <w:spacing w:val="-3"/>
        </w:rPr>
        <w:t> </w:t>
      </w:r>
      <w:r>
        <w:rPr/>
        <w:t>living</w:t>
      </w:r>
      <w:r>
        <w:rPr>
          <w:spacing w:val="-3"/>
        </w:rPr>
        <w:t> </w:t>
      </w:r>
      <w:r>
        <w:rPr/>
        <w:t>in</w:t>
      </w:r>
      <w:r>
        <w:rPr>
          <w:spacing w:val="-3"/>
        </w:rPr>
        <w:t> </w:t>
      </w:r>
      <w:r>
        <w:rPr/>
        <w:t>areas</w:t>
      </w:r>
      <w:r>
        <w:rPr>
          <w:spacing w:val="-3"/>
        </w:rPr>
        <w:t> </w:t>
      </w:r>
      <w:r>
        <w:rPr/>
        <w:t>with</w:t>
      </w:r>
      <w:r>
        <w:rPr>
          <w:spacing w:val="-3"/>
        </w:rPr>
        <w:t> </w:t>
      </w:r>
      <w:r>
        <w:rPr/>
        <w:t>a</w:t>
      </w:r>
      <w:r>
        <w:rPr>
          <w:spacing w:val="-4"/>
        </w:rPr>
        <w:t> </w:t>
      </w:r>
      <w:r>
        <w:rPr/>
        <w:t>more supportive community climate have better mental health and are less likely to use substances.</w:t>
      </w:r>
    </w:p>
    <w:p>
      <w:pPr>
        <w:pStyle w:val="BodyText"/>
        <w:spacing w:before="3"/>
      </w:pPr>
    </w:p>
    <w:p>
      <w:pPr>
        <w:pStyle w:val="BodyText"/>
        <w:ind w:left="280" w:right="544"/>
      </w:pPr>
      <w:r>
        <w:rPr/>
        <w:t>State and federal laws and policies also affect the health and well-being of sexual-and gender-diverse populations, including youth. More research has been</w:t>
      </w:r>
      <w:r>
        <w:rPr>
          <w:spacing w:val="-4"/>
        </w:rPr>
        <w:t> </w:t>
      </w:r>
      <w:r>
        <w:rPr/>
        <w:t>conducted</w:t>
      </w:r>
      <w:r>
        <w:rPr>
          <w:spacing w:val="-4"/>
        </w:rPr>
        <w:t> </w:t>
      </w:r>
      <w:r>
        <w:rPr/>
        <w:t>with</w:t>
      </w:r>
      <w:r>
        <w:rPr>
          <w:spacing w:val="-4"/>
        </w:rPr>
        <w:t> </w:t>
      </w:r>
      <w:r>
        <w:rPr/>
        <w:t>adults,</w:t>
      </w:r>
      <w:r>
        <w:rPr>
          <w:spacing w:val="-4"/>
        </w:rPr>
        <w:t> </w:t>
      </w:r>
      <w:r>
        <w:rPr/>
        <w:t>where</w:t>
      </w:r>
      <w:r>
        <w:rPr>
          <w:spacing w:val="-5"/>
        </w:rPr>
        <w:t> </w:t>
      </w:r>
      <w:r>
        <w:rPr/>
        <w:t>supportive</w:t>
      </w:r>
      <w:r>
        <w:rPr>
          <w:spacing w:val="-5"/>
        </w:rPr>
        <w:t> </w:t>
      </w:r>
      <w:r>
        <w:rPr/>
        <w:t>and</w:t>
      </w:r>
      <w:r>
        <w:rPr>
          <w:spacing w:val="-4"/>
        </w:rPr>
        <w:t> </w:t>
      </w:r>
      <w:r>
        <w:rPr/>
        <w:t>protective</w:t>
      </w:r>
      <w:r>
        <w:rPr>
          <w:spacing w:val="-5"/>
        </w:rPr>
        <w:t> </w:t>
      </w:r>
      <w:r>
        <w:rPr/>
        <w:t>policies—such</w:t>
      </w:r>
      <w:r>
        <w:rPr>
          <w:spacing w:val="-4"/>
        </w:rPr>
        <w:t> </w:t>
      </w:r>
      <w:r>
        <w:rPr/>
        <w:t>as protection from discrimination in schools and ability to change name and gender on identity documents—have consistently been linked with better mental health, reduced substance use, and increased access to health care.</w:t>
      </w:r>
    </w:p>
    <w:p>
      <w:pPr>
        <w:pStyle w:val="BodyText"/>
        <w:spacing w:line="237" w:lineRule="auto"/>
        <w:ind w:left="280" w:right="668"/>
      </w:pPr>
      <w:r>
        <w:rPr/>
        <w:t>Meanwhile, policies that permit discrimination against people of diverse sexual</w:t>
      </w:r>
      <w:r>
        <w:rPr>
          <w:spacing w:val="-4"/>
        </w:rPr>
        <w:t> </w:t>
      </w:r>
      <w:r>
        <w:rPr/>
        <w:t>orientation</w:t>
      </w:r>
      <w:r>
        <w:rPr>
          <w:spacing w:val="-4"/>
        </w:rPr>
        <w:t> </w:t>
      </w:r>
      <w:r>
        <w:rPr/>
        <w:t>and/or</w:t>
      </w:r>
      <w:r>
        <w:rPr>
          <w:spacing w:val="-4"/>
        </w:rPr>
        <w:t> </w:t>
      </w:r>
      <w:r>
        <w:rPr/>
        <w:t>gender</w:t>
      </w:r>
      <w:r>
        <w:rPr>
          <w:spacing w:val="-4"/>
        </w:rPr>
        <w:t> </w:t>
      </w:r>
      <w:r>
        <w:rPr/>
        <w:t>identity</w:t>
      </w:r>
      <w:r>
        <w:rPr>
          <w:spacing w:val="-4"/>
        </w:rPr>
        <w:t> </w:t>
      </w:r>
      <w:r>
        <w:rPr/>
        <w:t>are</w:t>
      </w:r>
      <w:r>
        <w:rPr>
          <w:spacing w:val="-5"/>
        </w:rPr>
        <w:t> </w:t>
      </w:r>
      <w:r>
        <w:rPr/>
        <w:t>linked</w:t>
      </w:r>
      <w:r>
        <w:rPr>
          <w:spacing w:val="-4"/>
        </w:rPr>
        <w:t> </w:t>
      </w:r>
      <w:r>
        <w:rPr/>
        <w:t>with</w:t>
      </w:r>
      <w:r>
        <w:rPr>
          <w:spacing w:val="-4"/>
        </w:rPr>
        <w:t> </w:t>
      </w:r>
      <w:r>
        <w:rPr/>
        <w:t>poorer</w:t>
      </w:r>
      <w:r>
        <w:rPr>
          <w:spacing w:val="-4"/>
        </w:rPr>
        <w:t> </w:t>
      </w:r>
      <w:r>
        <w:rPr/>
        <w:t>behavioral</w:t>
      </w:r>
    </w:p>
    <w:p>
      <w:pPr>
        <w:spacing w:after="0" w:line="237" w:lineRule="auto"/>
        <w:sectPr>
          <w:pgSz w:w="12240" w:h="15840"/>
          <w:pgMar w:header="0" w:footer="783" w:top="1260" w:bottom="980" w:left="1400" w:right="1180"/>
        </w:sectPr>
      </w:pPr>
    </w:p>
    <w:p>
      <w:pPr>
        <w:pStyle w:val="BodyText"/>
        <w:spacing w:before="6"/>
        <w:rPr>
          <w:sz w:val="11"/>
        </w:rPr>
      </w:pPr>
    </w:p>
    <w:p>
      <w:pPr>
        <w:spacing w:line="252" w:lineRule="auto" w:before="27"/>
        <w:ind w:left="471" w:right="1697" w:firstLine="0"/>
        <w:jc w:val="left"/>
        <w:rPr>
          <w:rFonts w:ascii="Calibri"/>
          <w:sz w:val="36"/>
        </w:rPr>
      </w:pPr>
      <w:r>
        <w:rPr/>
        <mc:AlternateContent>
          <mc:Choice Requires="wps">
            <w:drawing>
              <wp:anchor distT="0" distB="0" distL="0" distR="0" allowOverlap="1" layoutInCell="1" locked="0" behindDoc="1" simplePos="0" relativeHeight="485168128">
                <wp:simplePos x="0" y="0"/>
                <wp:positionH relativeFrom="page">
                  <wp:posOffset>1028700</wp:posOffset>
                </wp:positionH>
                <wp:positionV relativeFrom="paragraph">
                  <wp:posOffset>-89710</wp:posOffset>
                </wp:positionV>
                <wp:extent cx="5116195" cy="6175375"/>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5116195" cy="6175375"/>
                          <a:chExt cx="5116195" cy="6175375"/>
                        </a:xfrm>
                      </wpg:grpSpPr>
                      <pic:pic>
                        <pic:nvPicPr>
                          <pic:cNvPr id="402" name="Image 402"/>
                          <pic:cNvPicPr/>
                        </pic:nvPicPr>
                        <pic:blipFill>
                          <a:blip r:embed="rId71" cstate="print"/>
                          <a:stretch>
                            <a:fillRect/>
                          </a:stretch>
                        </pic:blipFill>
                        <pic:spPr>
                          <a:xfrm>
                            <a:off x="0" y="0"/>
                            <a:ext cx="5116054" cy="6175156"/>
                          </a:xfrm>
                          <a:prstGeom prst="rect">
                            <a:avLst/>
                          </a:prstGeom>
                        </pic:spPr>
                      </pic:pic>
                      <pic:pic>
                        <pic:nvPicPr>
                          <pic:cNvPr id="403" name="Image 403"/>
                          <pic:cNvPicPr/>
                        </pic:nvPicPr>
                        <pic:blipFill>
                          <a:blip r:embed="rId72" cstate="print"/>
                          <a:stretch>
                            <a:fillRect/>
                          </a:stretch>
                        </pic:blipFill>
                        <pic:spPr>
                          <a:xfrm>
                            <a:off x="76200" y="56200"/>
                            <a:ext cx="4963654" cy="6022756"/>
                          </a:xfrm>
                          <a:prstGeom prst="rect">
                            <a:avLst/>
                          </a:prstGeom>
                        </pic:spPr>
                      </pic:pic>
                      <pic:pic>
                        <pic:nvPicPr>
                          <pic:cNvPr id="404" name="Image 404"/>
                          <pic:cNvPicPr/>
                        </pic:nvPicPr>
                        <pic:blipFill>
                          <a:blip r:embed="rId73" cstate="print"/>
                          <a:stretch>
                            <a:fillRect/>
                          </a:stretch>
                        </pic:blipFill>
                        <pic:spPr>
                          <a:xfrm>
                            <a:off x="39328" y="31789"/>
                            <a:ext cx="5037445" cy="6083300"/>
                          </a:xfrm>
                          <a:prstGeom prst="rect">
                            <a:avLst/>
                          </a:prstGeom>
                        </pic:spPr>
                      </pic:pic>
                    </wpg:wgp>
                  </a:graphicData>
                </a:graphic>
              </wp:anchor>
            </w:drawing>
          </mc:Choice>
          <mc:Fallback>
            <w:pict>
              <v:group style="position:absolute;margin-left:81pt;margin-top:-7.063848pt;width:402.85pt;height:486.25pt;mso-position-horizontal-relative:page;mso-position-vertical-relative:paragraph;z-index:-18148352" id="docshapegroup398" coordorigin="1620,-141" coordsize="8057,9725">
                <v:shape style="position:absolute;left:1620;top:-142;width:8057;height:9725" type="#_x0000_t75" id="docshape399" stroked="false">
                  <v:imagedata r:id="rId71" o:title=""/>
                </v:shape>
                <v:shape style="position:absolute;left:1740;top:-53;width:7817;height:9485" type="#_x0000_t75" id="docshape400" stroked="false">
                  <v:imagedata r:id="rId72" o:title=""/>
                </v:shape>
                <v:shape style="position:absolute;left:1681;top:-92;width:7933;height:9580" type="#_x0000_t75" id="docshape401" stroked="false">
                  <v:imagedata r:id="rId73" o:title=""/>
                </v:shape>
                <w10:wrap type="none"/>
              </v:group>
            </w:pict>
          </mc:Fallback>
        </mc:AlternateContent>
      </w:r>
      <w:r>
        <w:rPr>
          <w:rFonts w:ascii="Calibri"/>
          <w:sz w:val="36"/>
        </w:rPr>
        <w:t>In</w:t>
      </w:r>
      <w:r>
        <w:rPr>
          <w:rFonts w:ascii="Calibri"/>
          <w:spacing w:val="-9"/>
          <w:sz w:val="36"/>
        </w:rPr>
        <w:t> </w:t>
      </w:r>
      <w:r>
        <w:rPr>
          <w:rFonts w:ascii="Calibri"/>
          <w:sz w:val="36"/>
        </w:rPr>
        <w:t>the</w:t>
      </w:r>
      <w:r>
        <w:rPr>
          <w:rFonts w:ascii="Calibri"/>
          <w:spacing w:val="-9"/>
          <w:sz w:val="36"/>
        </w:rPr>
        <w:t> </w:t>
      </w:r>
      <w:r>
        <w:rPr>
          <w:rFonts w:ascii="Calibri"/>
          <w:sz w:val="36"/>
        </w:rPr>
        <w:t>most</w:t>
      </w:r>
      <w:r>
        <w:rPr>
          <w:rFonts w:ascii="Calibri"/>
          <w:spacing w:val="-9"/>
          <w:sz w:val="36"/>
        </w:rPr>
        <w:t> </w:t>
      </w:r>
      <w:r>
        <w:rPr>
          <w:rFonts w:ascii="Calibri"/>
          <w:sz w:val="36"/>
        </w:rPr>
        <w:t>recent</w:t>
      </w:r>
      <w:r>
        <w:rPr>
          <w:rFonts w:ascii="Calibri"/>
          <w:spacing w:val="-9"/>
          <w:sz w:val="36"/>
        </w:rPr>
        <w:t> </w:t>
      </w:r>
      <w:r>
        <w:rPr>
          <w:rFonts w:ascii="Calibri"/>
          <w:sz w:val="36"/>
        </w:rPr>
        <w:t>National</w:t>
      </w:r>
      <w:r>
        <w:rPr>
          <w:rFonts w:ascii="Calibri"/>
          <w:spacing w:val="-9"/>
          <w:sz w:val="36"/>
        </w:rPr>
        <w:t> </w:t>
      </w:r>
      <w:r>
        <w:rPr>
          <w:rFonts w:ascii="Calibri"/>
          <w:sz w:val="36"/>
        </w:rPr>
        <w:t>School</w:t>
      </w:r>
      <w:r>
        <w:rPr>
          <w:rFonts w:ascii="Calibri"/>
          <w:spacing w:val="-9"/>
          <w:sz w:val="36"/>
        </w:rPr>
        <w:t> </w:t>
      </w:r>
      <w:r>
        <w:rPr>
          <w:rFonts w:ascii="Calibri"/>
          <w:sz w:val="36"/>
        </w:rPr>
        <w:t>Climate</w:t>
      </w:r>
      <w:r>
        <w:rPr>
          <w:rFonts w:ascii="Calibri"/>
          <w:spacing w:val="-9"/>
          <w:sz w:val="36"/>
        </w:rPr>
        <w:t> </w:t>
      </w:r>
      <w:r>
        <w:rPr>
          <w:rFonts w:ascii="Calibri"/>
          <w:sz w:val="36"/>
        </w:rPr>
        <w:t>Survey of LGBTQ+ youth, the Gay, Lesbian &amp; Straight Education Network (GLSEN) found that:</w:t>
      </w:r>
    </w:p>
    <w:p>
      <w:pPr>
        <w:spacing w:line="435" w:lineRule="exact" w:before="0"/>
        <w:ind w:left="471" w:right="0" w:firstLine="0"/>
        <w:jc w:val="left"/>
        <w:rPr>
          <w:rFonts w:ascii="Calibri"/>
          <w:sz w:val="36"/>
        </w:rPr>
      </w:pPr>
      <w:r>
        <w:rPr>
          <w:rFonts w:ascii="Calibri"/>
          <w:sz w:val="36"/>
        </w:rPr>
        <w:t>60%</w:t>
      </w:r>
      <w:r>
        <w:rPr>
          <w:rFonts w:ascii="Calibri"/>
          <w:spacing w:val="-6"/>
          <w:sz w:val="36"/>
        </w:rPr>
        <w:t> </w:t>
      </w:r>
      <w:r>
        <w:rPr>
          <w:rFonts w:ascii="Calibri"/>
          <w:sz w:val="36"/>
        </w:rPr>
        <w:t>felt</w:t>
      </w:r>
      <w:r>
        <w:rPr>
          <w:rFonts w:ascii="Calibri"/>
          <w:spacing w:val="-5"/>
          <w:sz w:val="36"/>
        </w:rPr>
        <w:t> </w:t>
      </w:r>
      <w:r>
        <w:rPr>
          <w:rFonts w:ascii="Calibri"/>
          <w:spacing w:val="-2"/>
          <w:sz w:val="36"/>
        </w:rPr>
        <w:t>unsafe</w:t>
      </w:r>
    </w:p>
    <w:p>
      <w:pPr>
        <w:spacing w:line="252" w:lineRule="auto" w:before="21"/>
        <w:ind w:left="471" w:right="4622" w:firstLine="0"/>
        <w:jc w:val="left"/>
        <w:rPr>
          <w:rFonts w:ascii="Calibri"/>
          <w:sz w:val="36"/>
        </w:rPr>
      </w:pPr>
      <w:r>
        <w:rPr>
          <w:rFonts w:ascii="Calibri"/>
          <w:sz w:val="36"/>
        </w:rPr>
        <w:t>69% were verbally harassed 58% were sexually harassed 26% were physically harassed 11%</w:t>
      </w:r>
      <w:r>
        <w:rPr>
          <w:rFonts w:ascii="Calibri"/>
          <w:spacing w:val="-21"/>
          <w:sz w:val="36"/>
        </w:rPr>
        <w:t> </w:t>
      </w:r>
      <w:r>
        <w:rPr>
          <w:rFonts w:ascii="Calibri"/>
          <w:sz w:val="36"/>
        </w:rPr>
        <w:t>were</w:t>
      </w:r>
      <w:r>
        <w:rPr>
          <w:rFonts w:ascii="Calibri"/>
          <w:spacing w:val="-20"/>
          <w:sz w:val="36"/>
        </w:rPr>
        <w:t> </w:t>
      </w:r>
      <w:r>
        <w:rPr>
          <w:rFonts w:ascii="Calibri"/>
          <w:sz w:val="36"/>
        </w:rPr>
        <w:t>physically</w:t>
      </w:r>
      <w:r>
        <w:rPr>
          <w:rFonts w:ascii="Calibri"/>
          <w:spacing w:val="-21"/>
          <w:sz w:val="36"/>
        </w:rPr>
        <w:t> </w:t>
      </w:r>
      <w:r>
        <w:rPr>
          <w:rFonts w:ascii="Calibri"/>
          <w:sz w:val="36"/>
        </w:rPr>
        <w:t>assaulted 45% were cyberbullied</w:t>
      </w:r>
    </w:p>
    <w:p>
      <w:pPr>
        <w:pStyle w:val="BodyText"/>
        <w:spacing w:before="1"/>
        <w:rPr>
          <w:rFonts w:ascii="Calibri"/>
          <w:sz w:val="37"/>
        </w:rPr>
      </w:pPr>
    </w:p>
    <w:p>
      <w:pPr>
        <w:spacing w:line="252" w:lineRule="auto" w:before="0"/>
        <w:ind w:left="471" w:right="1016" w:firstLine="0"/>
        <w:jc w:val="left"/>
        <w:rPr>
          <w:rFonts w:ascii="Calibri"/>
          <w:sz w:val="36"/>
        </w:rPr>
      </w:pPr>
      <w:r>
        <w:rPr>
          <w:rFonts w:ascii="Calibri"/>
          <w:sz w:val="36"/>
        </w:rPr>
        <w:t>60% of students of diverse sexual orientation and gender surveyed experienced policies that are discriminatory</w:t>
      </w:r>
      <w:r>
        <w:rPr>
          <w:rFonts w:ascii="Calibri"/>
          <w:spacing w:val="-14"/>
          <w:sz w:val="36"/>
        </w:rPr>
        <w:t> </w:t>
      </w:r>
      <w:r>
        <w:rPr>
          <w:rFonts w:ascii="Calibri"/>
          <w:sz w:val="36"/>
        </w:rPr>
        <w:t>based</w:t>
      </w:r>
      <w:r>
        <w:rPr>
          <w:rFonts w:ascii="Calibri"/>
          <w:spacing w:val="-14"/>
          <w:sz w:val="36"/>
        </w:rPr>
        <w:t> </w:t>
      </w:r>
      <w:r>
        <w:rPr>
          <w:rFonts w:ascii="Calibri"/>
          <w:sz w:val="36"/>
        </w:rPr>
        <w:t>on</w:t>
      </w:r>
      <w:r>
        <w:rPr>
          <w:rFonts w:ascii="Calibri"/>
          <w:spacing w:val="-14"/>
          <w:sz w:val="36"/>
        </w:rPr>
        <w:t> </w:t>
      </w:r>
      <w:r>
        <w:rPr>
          <w:rFonts w:ascii="Calibri"/>
          <w:sz w:val="36"/>
        </w:rPr>
        <w:t>sexual</w:t>
      </w:r>
      <w:r>
        <w:rPr>
          <w:rFonts w:ascii="Calibri"/>
          <w:spacing w:val="-14"/>
          <w:sz w:val="36"/>
        </w:rPr>
        <w:t> </w:t>
      </w:r>
      <w:r>
        <w:rPr>
          <w:rFonts w:ascii="Calibri"/>
          <w:sz w:val="36"/>
        </w:rPr>
        <w:t>orientation,</w:t>
      </w:r>
      <w:r>
        <w:rPr>
          <w:rFonts w:ascii="Calibri"/>
          <w:spacing w:val="-14"/>
          <w:sz w:val="36"/>
        </w:rPr>
        <w:t> </w:t>
      </w:r>
      <w:r>
        <w:rPr>
          <w:rFonts w:ascii="Calibri"/>
          <w:sz w:val="36"/>
        </w:rPr>
        <w:t>gender identity, or gender expression at school.</w:t>
      </w:r>
    </w:p>
    <w:p>
      <w:pPr>
        <w:spacing w:line="252" w:lineRule="auto" w:before="0"/>
        <w:ind w:left="471" w:right="1697" w:firstLine="0"/>
        <w:jc w:val="left"/>
        <w:rPr>
          <w:rFonts w:ascii="Calibri"/>
          <w:sz w:val="36"/>
        </w:rPr>
      </w:pPr>
      <w:r>
        <w:rPr>
          <w:rFonts w:ascii="Calibri"/>
          <w:sz w:val="36"/>
        </w:rPr>
        <w:t>Transgender and gender-diverse students were most</w:t>
      </w:r>
      <w:r>
        <w:rPr>
          <w:rFonts w:ascii="Calibri"/>
          <w:spacing w:val="-11"/>
          <w:sz w:val="36"/>
        </w:rPr>
        <w:t> </w:t>
      </w:r>
      <w:r>
        <w:rPr>
          <w:rFonts w:ascii="Calibri"/>
          <w:sz w:val="36"/>
        </w:rPr>
        <w:t>likely</w:t>
      </w:r>
      <w:r>
        <w:rPr>
          <w:rFonts w:ascii="Calibri"/>
          <w:spacing w:val="-11"/>
          <w:sz w:val="36"/>
        </w:rPr>
        <w:t> </w:t>
      </w:r>
      <w:r>
        <w:rPr>
          <w:rFonts w:ascii="Calibri"/>
          <w:sz w:val="36"/>
        </w:rPr>
        <w:t>to</w:t>
      </w:r>
      <w:r>
        <w:rPr>
          <w:rFonts w:ascii="Calibri"/>
          <w:spacing w:val="-11"/>
          <w:sz w:val="36"/>
        </w:rPr>
        <w:t> </w:t>
      </w:r>
      <w:r>
        <w:rPr>
          <w:rFonts w:ascii="Calibri"/>
          <w:sz w:val="36"/>
        </w:rPr>
        <w:t>report</w:t>
      </w:r>
      <w:r>
        <w:rPr>
          <w:rFonts w:ascii="Calibri"/>
          <w:spacing w:val="-11"/>
          <w:sz w:val="36"/>
        </w:rPr>
        <w:t> </w:t>
      </w:r>
      <w:r>
        <w:rPr>
          <w:rFonts w:ascii="Calibri"/>
          <w:sz w:val="36"/>
        </w:rPr>
        <w:t>incidences</w:t>
      </w:r>
      <w:r>
        <w:rPr>
          <w:rFonts w:ascii="Calibri"/>
          <w:spacing w:val="-11"/>
          <w:sz w:val="36"/>
        </w:rPr>
        <w:t> </w:t>
      </w:r>
      <w:r>
        <w:rPr>
          <w:rFonts w:ascii="Calibri"/>
          <w:sz w:val="36"/>
        </w:rPr>
        <w:t>with</w:t>
      </w:r>
      <w:r>
        <w:rPr>
          <w:rFonts w:ascii="Calibri"/>
          <w:spacing w:val="-11"/>
          <w:sz w:val="36"/>
        </w:rPr>
        <w:t> </w:t>
      </w:r>
      <w:r>
        <w:rPr>
          <w:rFonts w:ascii="Calibri"/>
          <w:sz w:val="36"/>
        </w:rPr>
        <w:t>discriminatory policies and practices, including being prevented from using their chosen name and pronouns, and bathrooms and locker rooms aligned with their gender identity.</w:t>
      </w:r>
    </w:p>
    <w:p>
      <w:pPr>
        <w:pStyle w:val="BodyText"/>
        <w:rPr>
          <w:rFonts w:ascii="Calibri"/>
          <w:sz w:val="20"/>
        </w:rPr>
      </w:pPr>
    </w:p>
    <w:p>
      <w:pPr>
        <w:pStyle w:val="BodyText"/>
        <w:spacing w:before="248"/>
        <w:ind w:left="280" w:right="668"/>
      </w:pPr>
      <w:r>
        <w:rPr/>
        <w:t>health outcomes. It appears that state and federal laws and policies have a similar</w:t>
      </w:r>
      <w:r>
        <w:rPr>
          <w:spacing w:val="-6"/>
        </w:rPr>
        <w:t> </w:t>
      </w:r>
      <w:r>
        <w:rPr/>
        <w:t>effect</w:t>
      </w:r>
      <w:r>
        <w:rPr>
          <w:spacing w:val="-6"/>
        </w:rPr>
        <w:t> </w:t>
      </w:r>
      <w:r>
        <w:rPr/>
        <w:t>on</w:t>
      </w:r>
      <w:r>
        <w:rPr>
          <w:spacing w:val="-6"/>
        </w:rPr>
        <w:t> </w:t>
      </w:r>
      <w:r>
        <w:rPr/>
        <w:t>youth</w:t>
      </w:r>
      <w:r>
        <w:rPr>
          <w:spacing w:val="-6"/>
        </w:rPr>
        <w:t> </w:t>
      </w:r>
      <w:r>
        <w:rPr/>
        <w:t>of</w:t>
      </w:r>
      <w:r>
        <w:rPr>
          <w:spacing w:val="-6"/>
        </w:rPr>
        <w:t> </w:t>
      </w:r>
      <w:r>
        <w:rPr/>
        <w:t>diverse</w:t>
      </w:r>
      <w:r>
        <w:rPr>
          <w:spacing w:val="-7"/>
        </w:rPr>
        <w:t> </w:t>
      </w:r>
      <w:r>
        <w:rPr/>
        <w:t>sexual</w:t>
      </w:r>
      <w:r>
        <w:rPr>
          <w:spacing w:val="-6"/>
        </w:rPr>
        <w:t> </w:t>
      </w:r>
      <w:r>
        <w:rPr/>
        <w:t>orientation</w:t>
      </w:r>
      <w:r>
        <w:rPr>
          <w:spacing w:val="-6"/>
        </w:rPr>
        <w:t> </w:t>
      </w:r>
      <w:r>
        <w:rPr/>
        <w:t>and/or</w:t>
      </w:r>
      <w:r>
        <w:rPr>
          <w:spacing w:val="-6"/>
        </w:rPr>
        <w:t> </w:t>
      </w:r>
      <w:r>
        <w:rPr/>
        <w:t>gender</w:t>
      </w:r>
      <w:r>
        <w:rPr>
          <w:spacing w:val="-6"/>
        </w:rPr>
        <w:t> </w:t>
      </w:r>
      <w:r>
        <w:rPr/>
        <w:t>identity, with the presence of supportive laws and policies associated with reduced suicidality among high school students.</w:t>
      </w:r>
    </w:p>
    <w:p>
      <w:pPr>
        <w:pStyle w:val="BodyText"/>
        <w:spacing w:before="1"/>
        <w:rPr>
          <w:sz w:val="27"/>
        </w:rPr>
      </w:pPr>
    </w:p>
    <w:p>
      <w:pPr>
        <w:pStyle w:val="BodyText"/>
        <w:ind w:left="280" w:right="502"/>
      </w:pPr>
      <w:r>
        <w:rPr/>
        <w:t>Behavioral health professionals provide youth and their families with developmentally sensitive, culturally appropriate, and client-centered interventions</w:t>
      </w:r>
      <w:r>
        <w:rPr>
          <w:spacing w:val="-5"/>
        </w:rPr>
        <w:t> </w:t>
      </w:r>
      <w:r>
        <w:rPr/>
        <w:t>that</w:t>
      </w:r>
      <w:r>
        <w:rPr>
          <w:spacing w:val="-5"/>
        </w:rPr>
        <w:t> </w:t>
      </w:r>
      <w:r>
        <w:rPr/>
        <w:t>emphasize</w:t>
      </w:r>
      <w:r>
        <w:rPr>
          <w:spacing w:val="-6"/>
        </w:rPr>
        <w:t> </w:t>
      </w:r>
      <w:r>
        <w:rPr/>
        <w:t>acceptance,</w:t>
      </w:r>
      <w:r>
        <w:rPr>
          <w:spacing w:val="-5"/>
        </w:rPr>
        <w:t> </w:t>
      </w:r>
      <w:r>
        <w:rPr/>
        <w:t>support,</w:t>
      </w:r>
      <w:r>
        <w:rPr>
          <w:spacing w:val="-5"/>
        </w:rPr>
        <w:t> </w:t>
      </w:r>
      <w:r>
        <w:rPr/>
        <w:t>and</w:t>
      </w:r>
      <w:r>
        <w:rPr>
          <w:spacing w:val="-5"/>
        </w:rPr>
        <w:t> </w:t>
      </w:r>
      <w:r>
        <w:rPr/>
        <w:t>understanding</w:t>
      </w:r>
      <w:r>
        <w:rPr>
          <w:spacing w:val="-5"/>
        </w:rPr>
        <w:t> </w:t>
      </w:r>
      <w:r>
        <w:rPr/>
        <w:t>and</w:t>
      </w:r>
      <w:r>
        <w:rPr>
          <w:spacing w:val="-5"/>
        </w:rPr>
        <w:t> </w:t>
      </w:r>
      <w:r>
        <w:rPr/>
        <w:t>that match the child and adolescent’s cognitive and emotional development.</w:t>
      </w:r>
    </w:p>
    <w:p>
      <w:pPr>
        <w:spacing w:after="0"/>
        <w:sectPr>
          <w:pgSz w:w="12240" w:h="15840"/>
          <w:pgMar w:header="0" w:footer="783" w:top="1540" w:bottom="980" w:left="1400" w:right="1180"/>
        </w:sectPr>
      </w:pPr>
    </w:p>
    <w:p>
      <w:pPr>
        <w:pStyle w:val="BodyText"/>
        <w:spacing w:before="66"/>
        <w:ind w:left="280"/>
      </w:pPr>
      <w:r>
        <w:rPr/>
        <w:t>Appropriate</w:t>
      </w:r>
      <w:r>
        <w:rPr>
          <w:spacing w:val="-3"/>
        </w:rPr>
        <w:t> </w:t>
      </w:r>
      <w:r>
        <w:rPr/>
        <w:t>therapeutic</w:t>
      </w:r>
      <w:r>
        <w:rPr>
          <w:spacing w:val="-2"/>
        </w:rPr>
        <w:t> </w:t>
      </w:r>
      <w:r>
        <w:rPr/>
        <w:t>approaches</w:t>
      </w:r>
      <w:r>
        <w:rPr>
          <w:spacing w:val="-1"/>
        </w:rPr>
        <w:t> </w:t>
      </w:r>
      <w:r>
        <w:rPr/>
        <w:t>with</w:t>
      </w:r>
      <w:r>
        <w:rPr>
          <w:spacing w:val="-1"/>
        </w:rPr>
        <w:t> </w:t>
      </w:r>
      <w:r>
        <w:rPr/>
        <w:t>LGBTQI+</w:t>
      </w:r>
      <w:r>
        <w:rPr>
          <w:spacing w:val="-2"/>
        </w:rPr>
        <w:t> </w:t>
      </w:r>
      <w:r>
        <w:rPr/>
        <w:t>youth</w:t>
      </w:r>
      <w:r>
        <w:rPr>
          <w:spacing w:val="-1"/>
        </w:rPr>
        <w:t> </w:t>
      </w:r>
      <w:r>
        <w:rPr/>
        <w:t>do</w:t>
      </w:r>
      <w:r>
        <w:rPr>
          <w:spacing w:val="-1"/>
        </w:rPr>
        <w:t> </w:t>
      </w:r>
      <w:r>
        <w:rPr/>
        <w:t>the</w:t>
      </w:r>
      <w:r>
        <w:rPr>
          <w:spacing w:val="-2"/>
        </w:rPr>
        <w:t> following:</w:t>
      </w:r>
    </w:p>
    <w:p>
      <w:pPr>
        <w:pStyle w:val="ListParagraph"/>
        <w:numPr>
          <w:ilvl w:val="0"/>
          <w:numId w:val="31"/>
        </w:numPr>
        <w:tabs>
          <w:tab w:pos="640" w:val="left" w:leader="none"/>
        </w:tabs>
        <w:spacing w:line="240" w:lineRule="auto" w:before="127" w:after="0"/>
        <w:ind w:left="640" w:right="627" w:hanging="360"/>
        <w:jc w:val="left"/>
        <w:rPr>
          <w:sz w:val="28"/>
        </w:rPr>
      </w:pPr>
      <w:r>
        <w:rPr>
          <w:sz w:val="28"/>
        </w:rPr>
        <w:t>Provide</w:t>
      </w:r>
      <w:r>
        <w:rPr>
          <w:spacing w:val="-5"/>
          <w:sz w:val="28"/>
        </w:rPr>
        <w:t> </w:t>
      </w:r>
      <w:r>
        <w:rPr>
          <w:sz w:val="28"/>
        </w:rPr>
        <w:t>accurate</w:t>
      </w:r>
      <w:r>
        <w:rPr>
          <w:spacing w:val="-5"/>
          <w:sz w:val="28"/>
        </w:rPr>
        <w:t> </w:t>
      </w:r>
      <w:r>
        <w:rPr>
          <w:sz w:val="28"/>
        </w:rPr>
        <w:t>information</w:t>
      </w:r>
      <w:r>
        <w:rPr>
          <w:spacing w:val="-4"/>
          <w:sz w:val="28"/>
        </w:rPr>
        <w:t> </w:t>
      </w:r>
      <w:r>
        <w:rPr>
          <w:sz w:val="28"/>
        </w:rPr>
        <w:t>on</w:t>
      </w:r>
      <w:r>
        <w:rPr>
          <w:spacing w:val="-4"/>
          <w:sz w:val="28"/>
        </w:rPr>
        <w:t> </w:t>
      </w:r>
      <w:r>
        <w:rPr>
          <w:sz w:val="28"/>
        </w:rPr>
        <w:t>sexual</w:t>
      </w:r>
      <w:r>
        <w:rPr>
          <w:spacing w:val="-4"/>
          <w:sz w:val="28"/>
        </w:rPr>
        <w:t> </w:t>
      </w:r>
      <w:r>
        <w:rPr>
          <w:sz w:val="28"/>
        </w:rPr>
        <w:t>orientation</w:t>
      </w:r>
      <w:r>
        <w:rPr>
          <w:spacing w:val="-4"/>
          <w:sz w:val="28"/>
        </w:rPr>
        <w:t> </w:t>
      </w:r>
      <w:r>
        <w:rPr>
          <w:sz w:val="28"/>
        </w:rPr>
        <w:t>and</w:t>
      </w:r>
      <w:r>
        <w:rPr>
          <w:spacing w:val="-4"/>
          <w:sz w:val="28"/>
        </w:rPr>
        <w:t> </w:t>
      </w:r>
      <w:r>
        <w:rPr>
          <w:sz w:val="28"/>
        </w:rPr>
        <w:t>gender</w:t>
      </w:r>
      <w:r>
        <w:rPr>
          <w:spacing w:val="-4"/>
          <w:sz w:val="28"/>
        </w:rPr>
        <w:t> </w:t>
      </w:r>
      <w:r>
        <w:rPr>
          <w:sz w:val="28"/>
        </w:rPr>
        <w:t>identity</w:t>
      </w:r>
      <w:r>
        <w:rPr>
          <w:spacing w:val="-4"/>
          <w:sz w:val="28"/>
        </w:rPr>
        <w:t> </w:t>
      </w:r>
      <w:r>
        <w:rPr>
          <w:sz w:val="28"/>
        </w:rPr>
        <w:t>and </w:t>
      </w:r>
      <w:r>
        <w:rPr>
          <w:spacing w:val="-2"/>
          <w:sz w:val="28"/>
        </w:rPr>
        <w:t>expression.</w:t>
      </w:r>
    </w:p>
    <w:p>
      <w:pPr>
        <w:pStyle w:val="ListParagraph"/>
        <w:numPr>
          <w:ilvl w:val="0"/>
          <w:numId w:val="31"/>
        </w:numPr>
        <w:tabs>
          <w:tab w:pos="640" w:val="left" w:leader="none"/>
        </w:tabs>
        <w:spacing w:line="240" w:lineRule="auto" w:before="29" w:after="0"/>
        <w:ind w:left="640" w:right="759" w:hanging="360"/>
        <w:jc w:val="left"/>
        <w:rPr>
          <w:sz w:val="28"/>
        </w:rPr>
      </w:pPr>
      <w:r>
        <w:rPr>
          <w:sz w:val="28"/>
        </w:rPr>
        <w:t>Identify sources of distress, including internalized stigma and minority stress,</w:t>
      </w:r>
      <w:r>
        <w:rPr>
          <w:spacing w:val="-4"/>
          <w:sz w:val="28"/>
        </w:rPr>
        <w:t> </w:t>
      </w:r>
      <w:r>
        <w:rPr>
          <w:sz w:val="28"/>
        </w:rPr>
        <w:t>and</w:t>
      </w:r>
      <w:r>
        <w:rPr>
          <w:spacing w:val="-4"/>
          <w:sz w:val="28"/>
        </w:rPr>
        <w:t> </w:t>
      </w:r>
      <w:r>
        <w:rPr>
          <w:sz w:val="28"/>
        </w:rPr>
        <w:t>work</w:t>
      </w:r>
      <w:r>
        <w:rPr>
          <w:spacing w:val="-4"/>
          <w:sz w:val="28"/>
        </w:rPr>
        <w:t> </w:t>
      </w:r>
      <w:r>
        <w:rPr>
          <w:sz w:val="28"/>
        </w:rPr>
        <w:t>with</w:t>
      </w:r>
      <w:r>
        <w:rPr>
          <w:spacing w:val="-4"/>
          <w:sz w:val="28"/>
        </w:rPr>
        <w:t> </w:t>
      </w:r>
      <w:r>
        <w:rPr>
          <w:sz w:val="28"/>
        </w:rPr>
        <w:t>children,</w:t>
      </w:r>
      <w:r>
        <w:rPr>
          <w:spacing w:val="-4"/>
          <w:sz w:val="28"/>
        </w:rPr>
        <w:t> </w:t>
      </w:r>
      <w:r>
        <w:rPr>
          <w:sz w:val="28"/>
        </w:rPr>
        <w:t>adolescents</w:t>
      </w:r>
      <w:r>
        <w:rPr>
          <w:spacing w:val="-4"/>
          <w:sz w:val="28"/>
        </w:rPr>
        <w:t> </w:t>
      </w:r>
      <w:r>
        <w:rPr>
          <w:sz w:val="28"/>
        </w:rPr>
        <w:t>and</w:t>
      </w:r>
      <w:r>
        <w:rPr>
          <w:spacing w:val="-4"/>
          <w:sz w:val="28"/>
        </w:rPr>
        <w:t> </w:t>
      </w:r>
      <w:r>
        <w:rPr>
          <w:sz w:val="28"/>
        </w:rPr>
        <w:t>families</w:t>
      </w:r>
      <w:r>
        <w:rPr>
          <w:spacing w:val="-4"/>
          <w:sz w:val="28"/>
        </w:rPr>
        <w:t> </w:t>
      </w:r>
      <w:r>
        <w:rPr>
          <w:sz w:val="28"/>
        </w:rPr>
        <w:t>to</w:t>
      </w:r>
      <w:r>
        <w:rPr>
          <w:spacing w:val="-4"/>
          <w:sz w:val="28"/>
        </w:rPr>
        <w:t> </w:t>
      </w:r>
      <w:r>
        <w:rPr>
          <w:sz w:val="28"/>
        </w:rPr>
        <w:t>reduce</w:t>
      </w:r>
      <w:r>
        <w:rPr>
          <w:spacing w:val="-5"/>
          <w:sz w:val="28"/>
        </w:rPr>
        <w:t> </w:t>
      </w:r>
      <w:r>
        <w:rPr>
          <w:sz w:val="28"/>
        </w:rPr>
        <w:t>distress experienced by children and adolescents.</w:t>
      </w:r>
    </w:p>
    <w:p>
      <w:pPr>
        <w:pStyle w:val="ListParagraph"/>
        <w:numPr>
          <w:ilvl w:val="0"/>
          <w:numId w:val="31"/>
        </w:numPr>
        <w:tabs>
          <w:tab w:pos="639" w:val="left" w:leader="none"/>
        </w:tabs>
        <w:spacing w:line="240" w:lineRule="auto" w:before="28" w:after="0"/>
        <w:ind w:left="639" w:right="0" w:hanging="359"/>
        <w:jc w:val="left"/>
        <w:rPr>
          <w:sz w:val="28"/>
        </w:rPr>
      </w:pPr>
      <w:r>
        <w:rPr>
          <w:sz w:val="28"/>
        </w:rPr>
        <w:t>Support</w:t>
      </w:r>
      <w:r>
        <w:rPr>
          <w:spacing w:val="-4"/>
          <w:sz w:val="28"/>
        </w:rPr>
        <w:t> </w:t>
      </w:r>
      <w:r>
        <w:rPr>
          <w:sz w:val="28"/>
        </w:rPr>
        <w:t>adaptive</w:t>
      </w:r>
      <w:r>
        <w:rPr>
          <w:spacing w:val="-2"/>
          <w:sz w:val="28"/>
        </w:rPr>
        <w:t> </w:t>
      </w:r>
      <w:r>
        <w:rPr>
          <w:sz w:val="28"/>
        </w:rPr>
        <w:t>coping</w:t>
      </w:r>
      <w:r>
        <w:rPr>
          <w:spacing w:val="-1"/>
          <w:sz w:val="28"/>
        </w:rPr>
        <w:t> </w:t>
      </w:r>
      <w:r>
        <w:rPr>
          <w:sz w:val="28"/>
        </w:rPr>
        <w:t>to</w:t>
      </w:r>
      <w:r>
        <w:rPr>
          <w:spacing w:val="-2"/>
          <w:sz w:val="28"/>
        </w:rPr>
        <w:t> </w:t>
      </w:r>
      <w:r>
        <w:rPr>
          <w:sz w:val="28"/>
        </w:rPr>
        <w:t>improve</w:t>
      </w:r>
      <w:r>
        <w:rPr>
          <w:spacing w:val="-2"/>
          <w:sz w:val="28"/>
        </w:rPr>
        <w:t> </w:t>
      </w:r>
      <w:r>
        <w:rPr>
          <w:sz w:val="28"/>
        </w:rPr>
        <w:t>psychological</w:t>
      </w:r>
      <w:r>
        <w:rPr>
          <w:spacing w:val="-1"/>
          <w:sz w:val="28"/>
        </w:rPr>
        <w:t> </w:t>
      </w:r>
      <w:r>
        <w:rPr>
          <w:sz w:val="28"/>
        </w:rPr>
        <w:t>well-</w:t>
      </w:r>
      <w:r>
        <w:rPr>
          <w:spacing w:val="-2"/>
          <w:sz w:val="28"/>
        </w:rPr>
        <w:t>being.</w:t>
      </w:r>
    </w:p>
    <w:p>
      <w:pPr>
        <w:pStyle w:val="ListParagraph"/>
        <w:numPr>
          <w:ilvl w:val="0"/>
          <w:numId w:val="31"/>
        </w:numPr>
        <w:tabs>
          <w:tab w:pos="640" w:val="left" w:leader="none"/>
        </w:tabs>
        <w:spacing w:line="240" w:lineRule="auto" w:before="31" w:after="0"/>
        <w:ind w:left="640" w:right="642" w:hanging="360"/>
        <w:jc w:val="left"/>
        <w:rPr>
          <w:sz w:val="28"/>
        </w:rPr>
      </w:pPr>
      <w:r>
        <w:rPr>
          <w:sz w:val="28"/>
        </w:rPr>
        <w:t>Support</w:t>
      </w:r>
      <w:r>
        <w:rPr>
          <w:spacing w:val="-4"/>
          <w:sz w:val="28"/>
        </w:rPr>
        <w:t> </w:t>
      </w:r>
      <w:r>
        <w:rPr>
          <w:sz w:val="28"/>
        </w:rPr>
        <w:t>youth</w:t>
      </w:r>
      <w:r>
        <w:rPr>
          <w:spacing w:val="-4"/>
          <w:sz w:val="28"/>
        </w:rPr>
        <w:t> </w:t>
      </w:r>
      <w:r>
        <w:rPr>
          <w:sz w:val="28"/>
        </w:rPr>
        <w:t>as</w:t>
      </w:r>
      <w:r>
        <w:rPr>
          <w:spacing w:val="-4"/>
          <w:sz w:val="28"/>
        </w:rPr>
        <w:t> </w:t>
      </w:r>
      <w:r>
        <w:rPr>
          <w:sz w:val="28"/>
        </w:rPr>
        <w:t>they</w:t>
      </w:r>
      <w:r>
        <w:rPr>
          <w:spacing w:val="-4"/>
          <w:sz w:val="28"/>
        </w:rPr>
        <w:t> </w:t>
      </w:r>
      <w:r>
        <w:rPr>
          <w:sz w:val="28"/>
        </w:rPr>
        <w:t>learn</w:t>
      </w:r>
      <w:r>
        <w:rPr>
          <w:spacing w:val="-4"/>
          <w:sz w:val="28"/>
        </w:rPr>
        <w:t> </w:t>
      </w:r>
      <w:r>
        <w:rPr>
          <w:sz w:val="28"/>
        </w:rPr>
        <w:t>more</w:t>
      </w:r>
      <w:r>
        <w:rPr>
          <w:spacing w:val="-5"/>
          <w:sz w:val="28"/>
        </w:rPr>
        <w:t> </w:t>
      </w:r>
      <w:r>
        <w:rPr>
          <w:sz w:val="28"/>
        </w:rPr>
        <w:t>about</w:t>
      </w:r>
      <w:r>
        <w:rPr>
          <w:spacing w:val="-4"/>
          <w:sz w:val="28"/>
        </w:rPr>
        <w:t> </w:t>
      </w:r>
      <w:r>
        <w:rPr>
          <w:sz w:val="28"/>
        </w:rPr>
        <w:t>their</w:t>
      </w:r>
      <w:r>
        <w:rPr>
          <w:spacing w:val="-4"/>
          <w:sz w:val="28"/>
        </w:rPr>
        <w:t> </w:t>
      </w:r>
      <w:r>
        <w:rPr>
          <w:sz w:val="28"/>
        </w:rPr>
        <w:t>sexual</w:t>
      </w:r>
      <w:r>
        <w:rPr>
          <w:spacing w:val="-4"/>
          <w:sz w:val="28"/>
        </w:rPr>
        <w:t> </w:t>
      </w:r>
      <w:r>
        <w:rPr>
          <w:sz w:val="28"/>
        </w:rPr>
        <w:t>orientation</w:t>
      </w:r>
      <w:r>
        <w:rPr>
          <w:spacing w:val="-4"/>
          <w:sz w:val="28"/>
        </w:rPr>
        <w:t> </w:t>
      </w:r>
      <w:r>
        <w:rPr>
          <w:sz w:val="28"/>
        </w:rPr>
        <w:t>and</w:t>
      </w:r>
      <w:r>
        <w:rPr>
          <w:spacing w:val="-4"/>
          <w:sz w:val="28"/>
        </w:rPr>
        <w:t> </w:t>
      </w:r>
      <w:r>
        <w:rPr>
          <w:sz w:val="28"/>
        </w:rPr>
        <w:t>gender </w:t>
      </w:r>
      <w:r>
        <w:rPr>
          <w:spacing w:val="-2"/>
          <w:sz w:val="28"/>
        </w:rPr>
        <w:t>identity.</w:t>
      </w:r>
    </w:p>
    <w:p>
      <w:pPr>
        <w:pStyle w:val="ListParagraph"/>
        <w:numPr>
          <w:ilvl w:val="0"/>
          <w:numId w:val="31"/>
        </w:numPr>
        <w:tabs>
          <w:tab w:pos="640" w:val="left" w:leader="none"/>
        </w:tabs>
        <w:spacing w:line="240" w:lineRule="auto" w:before="29" w:after="0"/>
        <w:ind w:left="640" w:right="1079" w:hanging="360"/>
        <w:jc w:val="left"/>
        <w:rPr>
          <w:sz w:val="28"/>
        </w:rPr>
      </w:pPr>
      <w:r>
        <w:rPr>
          <w:sz w:val="28"/>
        </w:rPr>
        <w:t>Help</w:t>
      </w:r>
      <w:r>
        <w:rPr>
          <w:spacing w:val="-5"/>
          <w:sz w:val="28"/>
        </w:rPr>
        <w:t> </w:t>
      </w:r>
      <w:r>
        <w:rPr>
          <w:sz w:val="28"/>
        </w:rPr>
        <w:t>children</w:t>
      </w:r>
      <w:r>
        <w:rPr>
          <w:spacing w:val="-5"/>
          <w:sz w:val="28"/>
        </w:rPr>
        <w:t> </w:t>
      </w:r>
      <w:r>
        <w:rPr>
          <w:sz w:val="28"/>
        </w:rPr>
        <w:t>and</w:t>
      </w:r>
      <w:r>
        <w:rPr>
          <w:spacing w:val="-5"/>
          <w:sz w:val="28"/>
        </w:rPr>
        <w:t> </w:t>
      </w:r>
      <w:r>
        <w:rPr>
          <w:sz w:val="28"/>
        </w:rPr>
        <w:t>adolescents</w:t>
      </w:r>
      <w:r>
        <w:rPr>
          <w:spacing w:val="-5"/>
          <w:sz w:val="28"/>
        </w:rPr>
        <w:t> </w:t>
      </w:r>
      <w:r>
        <w:rPr>
          <w:sz w:val="28"/>
        </w:rPr>
        <w:t>navigate</w:t>
      </w:r>
      <w:r>
        <w:rPr>
          <w:spacing w:val="-6"/>
          <w:sz w:val="28"/>
        </w:rPr>
        <w:t> </w:t>
      </w:r>
      <w:r>
        <w:rPr>
          <w:sz w:val="28"/>
        </w:rPr>
        <w:t>their</w:t>
      </w:r>
      <w:r>
        <w:rPr>
          <w:spacing w:val="-5"/>
          <w:sz w:val="28"/>
        </w:rPr>
        <w:t> </w:t>
      </w:r>
      <w:r>
        <w:rPr>
          <w:sz w:val="28"/>
        </w:rPr>
        <w:t>sexual</w:t>
      </w:r>
      <w:r>
        <w:rPr>
          <w:spacing w:val="-5"/>
          <w:sz w:val="28"/>
        </w:rPr>
        <w:t> </w:t>
      </w:r>
      <w:r>
        <w:rPr>
          <w:sz w:val="28"/>
        </w:rPr>
        <w:t>orientation,</w:t>
      </w:r>
      <w:r>
        <w:rPr>
          <w:spacing w:val="-5"/>
          <w:sz w:val="28"/>
        </w:rPr>
        <w:t> </w:t>
      </w:r>
      <w:r>
        <w:rPr>
          <w:sz w:val="28"/>
        </w:rPr>
        <w:t>gender identity, and gender expression within the context of their intersecting </w:t>
      </w:r>
      <w:r>
        <w:rPr>
          <w:spacing w:val="-2"/>
          <w:sz w:val="28"/>
        </w:rPr>
        <w:t>identities.</w:t>
      </w:r>
    </w:p>
    <w:p>
      <w:pPr>
        <w:pStyle w:val="BodyText"/>
        <w:spacing w:before="7"/>
        <w:rPr>
          <w:sz w:val="34"/>
        </w:rPr>
      </w:pPr>
    </w:p>
    <w:p>
      <w:pPr>
        <w:pStyle w:val="Heading3"/>
        <w:rPr>
          <w:i/>
        </w:rPr>
      </w:pPr>
      <w:r>
        <w:rPr>
          <w:i/>
        </w:rPr>
        <w:t>Client-Centered</w:t>
      </w:r>
      <w:r>
        <w:rPr>
          <w:i/>
          <w:spacing w:val="-6"/>
        </w:rPr>
        <w:t> </w:t>
      </w:r>
      <w:r>
        <w:rPr>
          <w:i/>
        </w:rPr>
        <w:t>Individual</w:t>
      </w:r>
      <w:r>
        <w:rPr>
          <w:i/>
          <w:spacing w:val="-13"/>
        </w:rPr>
        <w:t> </w:t>
      </w:r>
      <w:r>
        <w:rPr>
          <w:i/>
          <w:spacing w:val="-2"/>
        </w:rPr>
        <w:t>Approaches</w:t>
      </w:r>
    </w:p>
    <w:p>
      <w:pPr>
        <w:pStyle w:val="BodyText"/>
        <w:spacing w:before="126"/>
        <w:ind w:left="280"/>
      </w:pPr>
      <w:r>
        <w:rPr/>
        <w:t>Behavioral health providers offer developmentally sensitive, affirmative interventions to youth. Developmentally sensitive approaches account for appropriate</w:t>
      </w:r>
      <w:r>
        <w:rPr>
          <w:spacing w:val="-7"/>
        </w:rPr>
        <w:t> </w:t>
      </w:r>
      <w:r>
        <w:rPr/>
        <w:t>developmental</w:t>
      </w:r>
      <w:r>
        <w:rPr>
          <w:spacing w:val="-6"/>
        </w:rPr>
        <w:t> </w:t>
      </w:r>
      <w:r>
        <w:rPr/>
        <w:t>emotional</w:t>
      </w:r>
      <w:r>
        <w:rPr>
          <w:spacing w:val="-6"/>
        </w:rPr>
        <w:t> </w:t>
      </w:r>
      <w:r>
        <w:rPr/>
        <w:t>and</w:t>
      </w:r>
      <w:r>
        <w:rPr>
          <w:spacing w:val="-6"/>
        </w:rPr>
        <w:t> </w:t>
      </w:r>
      <w:r>
        <w:rPr/>
        <w:t>cognitive</w:t>
      </w:r>
      <w:r>
        <w:rPr>
          <w:spacing w:val="-7"/>
        </w:rPr>
        <w:t> </w:t>
      </w:r>
      <w:r>
        <w:rPr/>
        <w:t>capacities,</w:t>
      </w:r>
      <w:r>
        <w:rPr>
          <w:spacing w:val="-6"/>
        </w:rPr>
        <w:t> </w:t>
      </w:r>
      <w:r>
        <w:rPr/>
        <w:t>developmental milestones, and emerging or existing behavioral health concerns.</w:t>
      </w:r>
    </w:p>
    <w:p>
      <w:pPr>
        <w:pStyle w:val="BodyText"/>
        <w:spacing w:line="237" w:lineRule="auto"/>
        <w:ind w:left="280" w:right="502"/>
      </w:pPr>
      <w:r>
        <w:rPr/>
        <w:t>Affirmative approaches recognize and communicate that being of diverse sexual orientation and/or gender identity does not constitute a mental disorder.Affirmative</w:t>
      </w:r>
      <w:r>
        <w:rPr>
          <w:spacing w:val="-2"/>
        </w:rPr>
        <w:t> </w:t>
      </w:r>
      <w:r>
        <w:rPr/>
        <w:t>approaches</w:t>
      </w:r>
      <w:r>
        <w:rPr>
          <w:spacing w:val="-1"/>
        </w:rPr>
        <w:t> </w:t>
      </w:r>
      <w:r>
        <w:rPr/>
        <w:t>recognize</w:t>
      </w:r>
      <w:r>
        <w:rPr>
          <w:spacing w:val="-2"/>
        </w:rPr>
        <w:t> </w:t>
      </w:r>
      <w:r>
        <w:rPr/>
        <w:t>that</w:t>
      </w:r>
      <w:r>
        <w:rPr>
          <w:spacing w:val="-1"/>
        </w:rPr>
        <w:t> </w:t>
      </w:r>
      <w:r>
        <w:rPr/>
        <w:t>when</w:t>
      </w:r>
      <w:r>
        <w:rPr>
          <w:spacing w:val="-1"/>
        </w:rPr>
        <w:t> </w:t>
      </w:r>
      <w:r>
        <w:rPr/>
        <w:t>behavioral</w:t>
      </w:r>
      <w:r>
        <w:rPr>
          <w:spacing w:val="-1"/>
        </w:rPr>
        <w:t> </w:t>
      </w:r>
      <w:r>
        <w:rPr/>
        <w:t>health</w:t>
      </w:r>
      <w:r>
        <w:rPr>
          <w:spacing w:val="-1"/>
        </w:rPr>
        <w:t> </w:t>
      </w:r>
      <w:r>
        <w:rPr/>
        <w:t>issues exist, they often stem from stigma and negative experiences rather than being intrinsic to the child or adolescent.When working with children and adolescents, providers examine not only risk factors but also sources of resilience</w:t>
      </w:r>
      <w:r>
        <w:rPr>
          <w:spacing w:val="-5"/>
        </w:rPr>
        <w:t> </w:t>
      </w:r>
      <w:r>
        <w:rPr/>
        <w:t>across</w:t>
      </w:r>
      <w:r>
        <w:rPr>
          <w:spacing w:val="-4"/>
        </w:rPr>
        <w:t> </w:t>
      </w:r>
      <w:r>
        <w:rPr/>
        <w:t>the</w:t>
      </w:r>
      <w:r>
        <w:rPr>
          <w:spacing w:val="-5"/>
        </w:rPr>
        <w:t> </w:t>
      </w:r>
      <w:r>
        <w:rPr/>
        <w:t>multiple</w:t>
      </w:r>
      <w:r>
        <w:rPr>
          <w:spacing w:val="-5"/>
        </w:rPr>
        <w:t> </w:t>
      </w:r>
      <w:r>
        <w:rPr/>
        <w:t>environments</w:t>
      </w:r>
      <w:r>
        <w:rPr>
          <w:spacing w:val="-4"/>
        </w:rPr>
        <w:t> </w:t>
      </w:r>
      <w:r>
        <w:rPr/>
        <w:t>that</w:t>
      </w:r>
      <w:r>
        <w:rPr>
          <w:spacing w:val="-4"/>
        </w:rPr>
        <w:t> </w:t>
      </w:r>
      <w:r>
        <w:rPr/>
        <w:t>influence</w:t>
      </w:r>
      <w:r>
        <w:rPr>
          <w:spacing w:val="-5"/>
        </w:rPr>
        <w:t> </w:t>
      </w:r>
      <w:r>
        <w:rPr/>
        <w:t>the</w:t>
      </w:r>
      <w:r>
        <w:rPr>
          <w:spacing w:val="-5"/>
        </w:rPr>
        <w:t> </w:t>
      </w:r>
      <w:r>
        <w:rPr/>
        <w:t>health</w:t>
      </w:r>
      <w:r>
        <w:rPr>
          <w:spacing w:val="-4"/>
        </w:rPr>
        <w:t> </w:t>
      </w:r>
      <w:r>
        <w:rPr/>
        <w:t>and</w:t>
      </w:r>
      <w:r>
        <w:rPr>
          <w:spacing w:val="-4"/>
        </w:rPr>
        <w:t> </w:t>
      </w:r>
      <w:r>
        <w:rPr/>
        <w:t>well- being of young people.</w:t>
      </w:r>
    </w:p>
    <w:p>
      <w:pPr>
        <w:pStyle w:val="BodyText"/>
        <w:spacing w:before="182"/>
        <w:ind w:left="280" w:right="502"/>
      </w:pPr>
      <w:r>
        <w:rPr/>
        <w:t>Effective approaches support youth in identity exploration and development without</w:t>
      </w:r>
      <w:r>
        <w:rPr>
          <w:spacing w:val="-5"/>
        </w:rPr>
        <w:t> </w:t>
      </w:r>
      <w:r>
        <w:rPr/>
        <w:t>seeking</w:t>
      </w:r>
      <w:r>
        <w:rPr>
          <w:spacing w:val="-5"/>
        </w:rPr>
        <w:t> </w:t>
      </w:r>
      <w:r>
        <w:rPr/>
        <w:t>predetermined</w:t>
      </w:r>
      <w:r>
        <w:rPr>
          <w:spacing w:val="-5"/>
        </w:rPr>
        <w:t> </w:t>
      </w:r>
      <w:r>
        <w:rPr/>
        <w:t>outcomes</w:t>
      </w:r>
      <w:r>
        <w:rPr>
          <w:spacing w:val="-5"/>
        </w:rPr>
        <w:t> </w:t>
      </w:r>
      <w:r>
        <w:rPr/>
        <w:t>related</w:t>
      </w:r>
      <w:r>
        <w:rPr>
          <w:spacing w:val="-5"/>
        </w:rPr>
        <w:t> </w:t>
      </w:r>
      <w:r>
        <w:rPr/>
        <w:t>to</w:t>
      </w:r>
      <w:r>
        <w:rPr>
          <w:spacing w:val="-5"/>
        </w:rPr>
        <w:t> </w:t>
      </w:r>
      <w:r>
        <w:rPr/>
        <w:t>sexual</w:t>
      </w:r>
      <w:r>
        <w:rPr>
          <w:spacing w:val="-5"/>
        </w:rPr>
        <w:t> </w:t>
      </w:r>
      <w:r>
        <w:rPr/>
        <w:t>orientation,</w:t>
      </w:r>
      <w:r>
        <w:rPr>
          <w:spacing w:val="-5"/>
        </w:rPr>
        <w:t> </w:t>
      </w:r>
      <w:r>
        <w:rPr/>
        <w:t>gender identity, or gender expression.188,304 Key aims are to dispel negative stereotypes and provide accurate information in developmentally appropriate terms for children and adolescents.</w:t>
      </w:r>
    </w:p>
    <w:p>
      <w:pPr>
        <w:pStyle w:val="BodyText"/>
        <w:spacing w:before="170"/>
        <w:ind w:left="280" w:right="560"/>
      </w:pPr>
      <w:r>
        <w:rPr/>
        <w:t>Scientists and researchers are constantly discovering more about sexual orientation, gender identity, and expression. For some youth, a focus on identity development and exploration that allows them the freedom of self- discovery within a context of acceptance and support is vital to improving behavioral</w:t>
      </w:r>
      <w:r>
        <w:rPr>
          <w:spacing w:val="-5"/>
        </w:rPr>
        <w:t> </w:t>
      </w:r>
      <w:r>
        <w:rPr/>
        <w:t>health</w:t>
      </w:r>
      <w:r>
        <w:rPr>
          <w:spacing w:val="-5"/>
        </w:rPr>
        <w:t> </w:t>
      </w:r>
      <w:r>
        <w:rPr/>
        <w:t>and</w:t>
      </w:r>
      <w:r>
        <w:rPr>
          <w:spacing w:val="-5"/>
        </w:rPr>
        <w:t> </w:t>
      </w:r>
      <w:r>
        <w:rPr/>
        <w:t>well-being.</w:t>
      </w:r>
      <w:r>
        <w:rPr>
          <w:spacing w:val="-5"/>
        </w:rPr>
        <w:t> </w:t>
      </w:r>
      <w:r>
        <w:rPr/>
        <w:t>It</w:t>
      </w:r>
      <w:r>
        <w:rPr>
          <w:spacing w:val="-5"/>
        </w:rPr>
        <w:t> </w:t>
      </w:r>
      <w:r>
        <w:rPr/>
        <w:t>is</w:t>
      </w:r>
      <w:r>
        <w:rPr>
          <w:spacing w:val="-5"/>
        </w:rPr>
        <w:t> </w:t>
      </w:r>
      <w:r>
        <w:rPr/>
        <w:t>important</w:t>
      </w:r>
      <w:r>
        <w:rPr>
          <w:spacing w:val="-5"/>
        </w:rPr>
        <w:t> </w:t>
      </w:r>
      <w:r>
        <w:rPr/>
        <w:t>to</w:t>
      </w:r>
      <w:r>
        <w:rPr>
          <w:spacing w:val="-5"/>
        </w:rPr>
        <w:t> </w:t>
      </w:r>
      <w:r>
        <w:rPr/>
        <w:t>note,</w:t>
      </w:r>
      <w:r>
        <w:rPr>
          <w:spacing w:val="-5"/>
        </w:rPr>
        <w:t> </w:t>
      </w:r>
      <w:r>
        <w:rPr/>
        <w:t>however,</w:t>
      </w:r>
      <w:r>
        <w:rPr>
          <w:spacing w:val="-5"/>
        </w:rPr>
        <w:t> </w:t>
      </w:r>
      <w:r>
        <w:rPr/>
        <w:t>that</w:t>
      </w:r>
      <w:r>
        <w:rPr>
          <w:spacing w:val="-5"/>
        </w:rPr>
        <w:t> </w:t>
      </w:r>
      <w:r>
        <w:rPr/>
        <w:t>identity exploration is not relevant or needed by all youth or a required focus of therapy for youth of diverse sexual orientation and/or gender identity.</w:t>
      </w:r>
    </w:p>
    <w:p>
      <w:pPr>
        <w:spacing w:after="0"/>
        <w:sectPr>
          <w:pgSz w:w="12240" w:h="15840"/>
          <w:pgMar w:header="0" w:footer="783" w:top="1260" w:bottom="980" w:left="1400" w:right="1180"/>
        </w:sectPr>
      </w:pPr>
    </w:p>
    <w:p>
      <w:pPr>
        <w:pStyle w:val="BodyText"/>
        <w:spacing w:before="66"/>
        <w:ind w:left="280" w:right="544"/>
      </w:pPr>
      <w:r>
        <w:rPr/>
        <w:t>Additionally,</w:t>
      </w:r>
      <w:r>
        <w:rPr>
          <w:spacing w:val="-6"/>
        </w:rPr>
        <w:t> </w:t>
      </w:r>
      <w:r>
        <w:rPr/>
        <w:t>it</w:t>
      </w:r>
      <w:r>
        <w:rPr>
          <w:spacing w:val="-6"/>
        </w:rPr>
        <w:t> </w:t>
      </w:r>
      <w:r>
        <w:rPr/>
        <w:t>is</w:t>
      </w:r>
      <w:r>
        <w:rPr>
          <w:spacing w:val="-6"/>
        </w:rPr>
        <w:t> </w:t>
      </w:r>
      <w:r>
        <w:rPr/>
        <w:t>important</w:t>
      </w:r>
      <w:r>
        <w:rPr>
          <w:spacing w:val="-6"/>
        </w:rPr>
        <w:t> </w:t>
      </w:r>
      <w:r>
        <w:rPr/>
        <w:t>for</w:t>
      </w:r>
      <w:r>
        <w:rPr>
          <w:spacing w:val="-6"/>
        </w:rPr>
        <w:t> </w:t>
      </w:r>
      <w:r>
        <w:rPr/>
        <w:t>behavioral</w:t>
      </w:r>
      <w:r>
        <w:rPr>
          <w:spacing w:val="-6"/>
        </w:rPr>
        <w:t> </w:t>
      </w:r>
      <w:r>
        <w:rPr/>
        <w:t>health</w:t>
      </w:r>
      <w:r>
        <w:rPr>
          <w:spacing w:val="-6"/>
        </w:rPr>
        <w:t> </w:t>
      </w:r>
      <w:r>
        <w:rPr/>
        <w:t>providers</w:t>
      </w:r>
      <w:r>
        <w:rPr>
          <w:spacing w:val="-6"/>
        </w:rPr>
        <w:t> </w:t>
      </w:r>
      <w:r>
        <w:rPr/>
        <w:t>to</w:t>
      </w:r>
      <w:r>
        <w:rPr>
          <w:spacing w:val="-6"/>
        </w:rPr>
        <w:t> </w:t>
      </w:r>
      <w:r>
        <w:rPr/>
        <w:t>respect</w:t>
      </w:r>
      <w:r>
        <w:rPr>
          <w:spacing w:val="-6"/>
        </w:rPr>
        <w:t> </w:t>
      </w:r>
      <w:r>
        <w:rPr/>
        <w:t>what</w:t>
      </w:r>
      <w:r>
        <w:rPr>
          <w:spacing w:val="-6"/>
        </w:rPr>
        <w:t> </w:t>
      </w:r>
      <w:r>
        <w:rPr/>
        <w:t>the identity exploration process looks like to each individual. Taking steps in social transition is one way for gender-diverse youth to explore their gender.</w:t>
      </w:r>
    </w:p>
    <w:p>
      <w:pPr>
        <w:pStyle w:val="BodyText"/>
        <w:spacing w:before="1"/>
        <w:rPr>
          <w:sz w:val="33"/>
        </w:rPr>
      </w:pPr>
    </w:p>
    <w:p>
      <w:pPr>
        <w:pStyle w:val="BodyText"/>
        <w:ind w:left="280" w:right="774"/>
      </w:pPr>
      <w:r>
        <w:rPr/>
        <w:t>Practices</w:t>
      </w:r>
      <w:r>
        <w:rPr>
          <w:spacing w:val="-1"/>
        </w:rPr>
        <w:t> </w:t>
      </w:r>
      <w:r>
        <w:rPr/>
        <w:t>that</w:t>
      </w:r>
      <w:r>
        <w:rPr>
          <w:spacing w:val="-1"/>
        </w:rPr>
        <w:t> </w:t>
      </w:r>
      <w:r>
        <w:rPr/>
        <w:t>attempt</w:t>
      </w:r>
      <w:r>
        <w:rPr>
          <w:spacing w:val="-1"/>
        </w:rPr>
        <w:t> </w:t>
      </w:r>
      <w:r>
        <w:rPr/>
        <w:t>to</w:t>
      </w:r>
      <w:r>
        <w:rPr>
          <w:spacing w:val="-1"/>
        </w:rPr>
        <w:t> </w:t>
      </w:r>
      <w:r>
        <w:rPr/>
        <w:t>change</w:t>
      </w:r>
      <w:r>
        <w:rPr>
          <w:spacing w:val="-2"/>
        </w:rPr>
        <w:t> </w:t>
      </w:r>
      <w:r>
        <w:rPr/>
        <w:t>or</w:t>
      </w:r>
      <w:r>
        <w:rPr>
          <w:spacing w:val="-1"/>
        </w:rPr>
        <w:t> </w:t>
      </w:r>
      <w:r>
        <w:rPr/>
        <w:t>prevent</w:t>
      </w:r>
      <w:r>
        <w:rPr>
          <w:spacing w:val="-1"/>
        </w:rPr>
        <w:t> </w:t>
      </w:r>
      <w:r>
        <w:rPr/>
        <w:t>youth</w:t>
      </w:r>
      <w:r>
        <w:rPr>
          <w:spacing w:val="-1"/>
        </w:rPr>
        <w:t> </w:t>
      </w:r>
      <w:r>
        <w:rPr/>
        <w:t>from</w:t>
      </w:r>
      <w:r>
        <w:rPr>
          <w:spacing w:val="-1"/>
        </w:rPr>
        <w:t> </w:t>
      </w:r>
      <w:r>
        <w:rPr/>
        <w:t>identifying</w:t>
      </w:r>
      <w:r>
        <w:rPr>
          <w:spacing w:val="-1"/>
        </w:rPr>
        <w:t> </w:t>
      </w:r>
      <w:r>
        <w:rPr/>
        <w:t>as</w:t>
      </w:r>
      <w:r>
        <w:rPr>
          <w:spacing w:val="-1"/>
        </w:rPr>
        <w:t> </w:t>
      </w:r>
      <w:r>
        <w:rPr/>
        <w:t>sexual- and gender-diverse or from expressing their sexual orientation and gender identity</w:t>
      </w:r>
      <w:r>
        <w:rPr>
          <w:spacing w:val="-4"/>
        </w:rPr>
        <w:t> </w:t>
      </w:r>
      <w:r>
        <w:rPr/>
        <w:t>are</w:t>
      </w:r>
      <w:r>
        <w:rPr>
          <w:spacing w:val="-5"/>
        </w:rPr>
        <w:t> </w:t>
      </w:r>
      <w:r>
        <w:rPr/>
        <w:t>harmful</w:t>
      </w:r>
      <w:r>
        <w:rPr>
          <w:spacing w:val="-4"/>
        </w:rPr>
        <w:t> </w:t>
      </w:r>
      <w:r>
        <w:rPr/>
        <w:t>and</w:t>
      </w:r>
      <w:r>
        <w:rPr>
          <w:spacing w:val="-4"/>
        </w:rPr>
        <w:t> </w:t>
      </w:r>
      <w:r>
        <w:rPr/>
        <w:t>are</w:t>
      </w:r>
      <w:r>
        <w:rPr>
          <w:spacing w:val="-5"/>
        </w:rPr>
        <w:t> </w:t>
      </w:r>
      <w:r>
        <w:rPr/>
        <w:t>never</w:t>
      </w:r>
      <w:r>
        <w:rPr>
          <w:spacing w:val="-4"/>
        </w:rPr>
        <w:t> </w:t>
      </w:r>
      <w:r>
        <w:rPr/>
        <w:t>appropriate.</w:t>
      </w:r>
      <w:r>
        <w:rPr>
          <w:spacing w:val="-10"/>
        </w:rPr>
        <w:t> </w:t>
      </w:r>
      <w:r>
        <w:rPr/>
        <w:t>This</w:t>
      </w:r>
      <w:r>
        <w:rPr>
          <w:spacing w:val="-4"/>
        </w:rPr>
        <w:t> </w:t>
      </w:r>
      <w:r>
        <w:rPr/>
        <w:t>includes</w:t>
      </w:r>
      <w:r>
        <w:rPr>
          <w:spacing w:val="-4"/>
        </w:rPr>
        <w:t> </w:t>
      </w:r>
      <w:r>
        <w:rPr/>
        <w:t>approaches</w:t>
      </w:r>
      <w:r>
        <w:rPr>
          <w:spacing w:val="-4"/>
        </w:rPr>
        <w:t> </w:t>
      </w:r>
      <w:r>
        <w:rPr/>
        <w:t>that discourage youth from identifying as transgender or gender-diverse and/or from expressing their gender identity. Sometimes these are misleadingly referred</w:t>
      </w:r>
      <w:r>
        <w:rPr>
          <w:spacing w:val="-14"/>
        </w:rPr>
        <w:t> </w:t>
      </w:r>
      <w:r>
        <w:rPr/>
        <w:t>to</w:t>
      </w:r>
      <w:r>
        <w:rPr>
          <w:spacing w:val="-9"/>
        </w:rPr>
        <w:t> </w:t>
      </w:r>
      <w:r>
        <w:rPr/>
        <w:t>as</w:t>
      </w:r>
      <w:r>
        <w:rPr>
          <w:spacing w:val="-9"/>
        </w:rPr>
        <w:t> </w:t>
      </w:r>
      <w:r>
        <w:rPr/>
        <w:t>“exploratory</w:t>
      </w:r>
      <w:r>
        <w:rPr>
          <w:spacing w:val="-9"/>
        </w:rPr>
        <w:t> </w:t>
      </w:r>
      <w:r>
        <w:rPr/>
        <w:t>therapy.”</w:t>
      </w:r>
      <w:r>
        <w:rPr>
          <w:spacing w:val="-18"/>
        </w:rPr>
        <w:t> </w:t>
      </w:r>
      <w:r>
        <w:rPr/>
        <w:t>Additionally,</w:t>
      </w:r>
      <w:r>
        <w:rPr>
          <w:spacing w:val="-8"/>
        </w:rPr>
        <w:t> </w:t>
      </w:r>
      <w:r>
        <w:rPr/>
        <w:t>providers</w:t>
      </w:r>
      <w:r>
        <w:rPr>
          <w:spacing w:val="-9"/>
        </w:rPr>
        <w:t> </w:t>
      </w:r>
      <w:r>
        <w:rPr/>
        <w:t>support</w:t>
      </w:r>
      <w:r>
        <w:rPr>
          <w:spacing w:val="-9"/>
        </w:rPr>
        <w:t> </w:t>
      </w:r>
      <w:r>
        <w:rPr/>
        <w:t>youth</w:t>
      </w:r>
      <w:r>
        <w:rPr>
          <w:spacing w:val="-9"/>
        </w:rPr>
        <w:t> </w:t>
      </w:r>
      <w:r>
        <w:rPr/>
        <w:t>in age-appropriate tasks, such as integrating sexual orientation and gender identities with other identities, safely navigating coming out or sharing their identities with others, and fostering positive relationships with caregivers, families, and peers.</w:t>
      </w:r>
    </w:p>
    <w:p>
      <w:pPr>
        <w:pStyle w:val="BodyText"/>
        <w:rPr>
          <w:sz w:val="32"/>
        </w:rPr>
      </w:pPr>
    </w:p>
    <w:p>
      <w:pPr>
        <w:pStyle w:val="BodyText"/>
        <w:ind w:left="280" w:right="502"/>
      </w:pPr>
      <w:r>
        <w:rPr/>
        <w:t>Exposure to laws and policies that do not support youth of diverse sexual orientation and/or gender identity, and other negative experiences, including bullying and family rejection, drive risk for certain behavioral health concerns among these youth. Behavioral health providers should assess for</w:t>
      </w:r>
      <w:r>
        <w:rPr>
          <w:spacing w:val="-15"/>
        </w:rPr>
        <w:t> </w:t>
      </w:r>
      <w:r>
        <w:rPr/>
        <w:t>ACEs, other family rejecting behaviors, additional experiences of victimization, trauma- related disorders, and suicidality, and be prepared to address these concerns with LGBTQI+ youth in treatment.</w:t>
      </w:r>
      <w:r>
        <w:rPr>
          <w:spacing w:val="-3"/>
        </w:rPr>
        <w:t> </w:t>
      </w:r>
      <w:r>
        <w:rPr/>
        <w:t>Appropriate interventions may aim to reduce or remove stressors a child or adolescent is experiencing that are associated</w:t>
      </w:r>
      <w:r>
        <w:rPr>
          <w:spacing w:val="-10"/>
        </w:rPr>
        <w:t> </w:t>
      </w:r>
      <w:r>
        <w:rPr/>
        <w:t>with</w:t>
      </w:r>
      <w:r>
        <w:rPr>
          <w:spacing w:val="-7"/>
        </w:rPr>
        <w:t> </w:t>
      </w:r>
      <w:r>
        <w:rPr/>
        <w:t>poor</w:t>
      </w:r>
      <w:r>
        <w:rPr>
          <w:spacing w:val="-7"/>
        </w:rPr>
        <w:t> </w:t>
      </w:r>
      <w:r>
        <w:rPr/>
        <w:t>behavioral</w:t>
      </w:r>
      <w:r>
        <w:rPr>
          <w:spacing w:val="-7"/>
        </w:rPr>
        <w:t> </w:t>
      </w:r>
      <w:r>
        <w:rPr/>
        <w:t>health.</w:t>
      </w:r>
      <w:r>
        <w:rPr>
          <w:spacing w:val="-18"/>
        </w:rPr>
        <w:t> </w:t>
      </w:r>
      <w:r>
        <w:rPr/>
        <w:t>Alternatively,</w:t>
      </w:r>
      <w:r>
        <w:rPr>
          <w:spacing w:val="-6"/>
        </w:rPr>
        <w:t> </w:t>
      </w:r>
      <w:r>
        <w:rPr/>
        <w:t>interventions</w:t>
      </w:r>
      <w:r>
        <w:rPr>
          <w:spacing w:val="-7"/>
        </w:rPr>
        <w:t> </w:t>
      </w:r>
      <w:r>
        <w:rPr/>
        <w:t>may</w:t>
      </w:r>
      <w:r>
        <w:rPr>
          <w:spacing w:val="-7"/>
        </w:rPr>
        <w:t> </w:t>
      </w:r>
      <w:r>
        <w:rPr/>
        <w:t>aim</w:t>
      </w:r>
      <w:r>
        <w:rPr>
          <w:spacing w:val="-7"/>
        </w:rPr>
        <w:t> </w:t>
      </w:r>
      <w:r>
        <w:rPr/>
        <w:t>to change the cognitive, affective, and behavioral ways that youth of diverse sexual orientation and/or gender identity react to these stressors.</w:t>
      </w:r>
    </w:p>
    <w:p>
      <w:pPr>
        <w:pStyle w:val="BodyText"/>
        <w:spacing w:line="299" w:lineRule="exact"/>
        <w:ind w:left="280"/>
      </w:pPr>
      <w:r>
        <w:rPr/>
        <w:t>Several</w:t>
      </w:r>
      <w:r>
        <w:rPr>
          <w:spacing w:val="-2"/>
        </w:rPr>
        <w:t> </w:t>
      </w:r>
      <w:r>
        <w:rPr/>
        <w:t>cognitive</w:t>
      </w:r>
      <w:r>
        <w:rPr>
          <w:spacing w:val="-3"/>
        </w:rPr>
        <w:t> </w:t>
      </w:r>
      <w:r>
        <w:rPr/>
        <w:t>behavioral</w:t>
      </w:r>
      <w:r>
        <w:rPr>
          <w:spacing w:val="-1"/>
        </w:rPr>
        <w:t> </w:t>
      </w:r>
      <w:r>
        <w:rPr/>
        <w:t>therapy</w:t>
      </w:r>
      <w:r>
        <w:rPr>
          <w:spacing w:val="-2"/>
        </w:rPr>
        <w:t> </w:t>
      </w:r>
      <w:r>
        <w:rPr/>
        <w:t>(CBT)</w:t>
      </w:r>
      <w:r>
        <w:rPr>
          <w:spacing w:val="-1"/>
        </w:rPr>
        <w:t> </w:t>
      </w:r>
      <w:r>
        <w:rPr/>
        <w:t>interventions</w:t>
      </w:r>
      <w:r>
        <w:rPr>
          <w:spacing w:val="-2"/>
        </w:rPr>
        <w:t> </w:t>
      </w:r>
      <w:r>
        <w:rPr/>
        <w:t>for</w:t>
      </w:r>
      <w:r>
        <w:rPr>
          <w:spacing w:val="-1"/>
        </w:rPr>
        <w:t> </w:t>
      </w:r>
      <w:r>
        <w:rPr/>
        <w:t>youth</w:t>
      </w:r>
      <w:r>
        <w:rPr>
          <w:spacing w:val="-2"/>
        </w:rPr>
        <w:t> </w:t>
      </w:r>
      <w:r>
        <w:rPr/>
        <w:t>of</w:t>
      </w:r>
      <w:r>
        <w:rPr>
          <w:spacing w:val="-1"/>
        </w:rPr>
        <w:t> </w:t>
      </w:r>
      <w:r>
        <w:rPr>
          <w:spacing w:val="-2"/>
        </w:rPr>
        <w:t>diverse</w:t>
      </w:r>
    </w:p>
    <w:p>
      <w:pPr>
        <w:pStyle w:val="BodyText"/>
        <w:ind w:left="280" w:right="502"/>
      </w:pPr>
      <w:r>
        <w:rPr/>
        <w:t>sexual orientation and/or gender identity have been developed, including EQuIP,309</w:t>
      </w:r>
      <w:r>
        <w:rPr>
          <w:spacing w:val="-18"/>
        </w:rPr>
        <w:t> </w:t>
      </w:r>
      <w:r>
        <w:rPr/>
        <w:t>AFFIRM,310</w:t>
      </w:r>
      <w:r>
        <w:rPr>
          <w:spacing w:val="-9"/>
        </w:rPr>
        <w:t> </w:t>
      </w:r>
      <w:r>
        <w:rPr/>
        <w:t>and</w:t>
      </w:r>
      <w:r>
        <w:rPr>
          <w:spacing w:val="-6"/>
        </w:rPr>
        <w:t> </w:t>
      </w:r>
      <w:r>
        <w:rPr/>
        <w:t>Rainbow</w:t>
      </w:r>
      <w:r>
        <w:rPr>
          <w:spacing w:val="-6"/>
        </w:rPr>
        <w:t> </w:t>
      </w:r>
      <w:r>
        <w:rPr/>
        <w:t>SPARX.311</w:t>
      </w:r>
      <w:r>
        <w:rPr>
          <w:spacing w:val="-6"/>
        </w:rPr>
        <w:t> </w:t>
      </w:r>
      <w:r>
        <w:rPr/>
        <w:t>LGBTQ-affirmative</w:t>
      </w:r>
      <w:r>
        <w:rPr>
          <w:spacing w:val="-7"/>
        </w:rPr>
        <w:t> </w:t>
      </w:r>
      <w:r>
        <w:rPr/>
        <w:t>CBT appears to be particularly efficacious for Black, Latino, and</w:t>
      </w:r>
      <w:r>
        <w:rPr>
          <w:spacing w:val="-6"/>
        </w:rPr>
        <w:t> </w:t>
      </w:r>
      <w:r>
        <w:rPr/>
        <w:t>Asian</w:t>
      </w:r>
      <w:r>
        <w:rPr>
          <w:spacing w:val="-6"/>
        </w:rPr>
        <w:t> </w:t>
      </w:r>
      <w:r>
        <w:rPr/>
        <w:t>American and Pacific Islander young people of diverse sexual orientation and/or gender identity,</w:t>
      </w:r>
      <w:r>
        <w:rPr>
          <w:spacing w:val="-5"/>
        </w:rPr>
        <w:t> </w:t>
      </w:r>
      <w:r>
        <w:rPr/>
        <w:t>potentially</w:t>
      </w:r>
      <w:r>
        <w:rPr>
          <w:spacing w:val="-5"/>
        </w:rPr>
        <w:t> </w:t>
      </w:r>
      <w:r>
        <w:rPr/>
        <w:t>because</w:t>
      </w:r>
      <w:r>
        <w:rPr>
          <w:spacing w:val="-6"/>
        </w:rPr>
        <w:t> </w:t>
      </w:r>
      <w:r>
        <w:rPr/>
        <w:t>the</w:t>
      </w:r>
      <w:r>
        <w:rPr>
          <w:spacing w:val="-6"/>
        </w:rPr>
        <w:t> </w:t>
      </w:r>
      <w:r>
        <w:rPr/>
        <w:t>focus</w:t>
      </w:r>
      <w:r>
        <w:rPr>
          <w:spacing w:val="-5"/>
        </w:rPr>
        <w:t> </w:t>
      </w:r>
      <w:r>
        <w:rPr/>
        <w:t>on</w:t>
      </w:r>
      <w:r>
        <w:rPr>
          <w:spacing w:val="-5"/>
        </w:rPr>
        <w:t> </w:t>
      </w:r>
      <w:r>
        <w:rPr/>
        <w:t>stressors</w:t>
      </w:r>
      <w:r>
        <w:rPr>
          <w:spacing w:val="-5"/>
        </w:rPr>
        <w:t> </w:t>
      </w:r>
      <w:r>
        <w:rPr/>
        <w:t>may</w:t>
      </w:r>
      <w:r>
        <w:rPr>
          <w:spacing w:val="-5"/>
        </w:rPr>
        <w:t> </w:t>
      </w:r>
      <w:r>
        <w:rPr/>
        <w:t>also</w:t>
      </w:r>
      <w:r>
        <w:rPr>
          <w:spacing w:val="-5"/>
        </w:rPr>
        <w:t> </w:t>
      </w:r>
      <w:r>
        <w:rPr/>
        <w:t>help</w:t>
      </w:r>
      <w:r>
        <w:rPr>
          <w:spacing w:val="-5"/>
        </w:rPr>
        <w:t> </w:t>
      </w:r>
      <w:r>
        <w:rPr/>
        <w:t>young</w:t>
      </w:r>
      <w:r>
        <w:rPr>
          <w:spacing w:val="-5"/>
        </w:rPr>
        <w:t> </w:t>
      </w:r>
      <w:r>
        <w:rPr/>
        <w:t>people of color navigate stressors related to being a racial/ethnic minority.213,312 There is also evidence supporting the use of mindfulness-based coping for sexual</w:t>
      </w:r>
      <w:r>
        <w:rPr>
          <w:spacing w:val="-2"/>
        </w:rPr>
        <w:t> </w:t>
      </w:r>
      <w:r>
        <w:rPr/>
        <w:t>orientation-related</w:t>
      </w:r>
      <w:r>
        <w:rPr>
          <w:spacing w:val="-2"/>
        </w:rPr>
        <w:t> </w:t>
      </w:r>
      <w:r>
        <w:rPr/>
        <w:t>school-based</w:t>
      </w:r>
      <w:r>
        <w:rPr>
          <w:spacing w:val="-2"/>
        </w:rPr>
        <w:t> </w:t>
      </w:r>
      <w:r>
        <w:rPr/>
        <w:t>victimization.</w:t>
      </w:r>
      <w:r>
        <w:rPr>
          <w:spacing w:val="-2"/>
        </w:rPr>
        <w:t> </w:t>
      </w:r>
      <w:r>
        <w:rPr/>
        <w:t>Evidence-based</w:t>
      </w:r>
      <w:r>
        <w:rPr>
          <w:spacing w:val="-2"/>
        </w:rPr>
        <w:t> </w:t>
      </w:r>
      <w:r>
        <w:rPr/>
        <w:t>trauma- focused interventions designed for youth of diverse sexual orientation and/or gender identity and their families can reduce symptoms of past trauma and enhance coping and wellbeing.</w:t>
      </w:r>
    </w:p>
    <w:p>
      <w:pPr>
        <w:pStyle w:val="BodyText"/>
        <w:spacing w:before="157"/>
        <w:ind w:left="280" w:right="502"/>
      </w:pPr>
      <w:r>
        <w:rPr/>
        <w:t>Behavioral health providers should be aware of and share crisis services specific</w:t>
      </w:r>
      <w:r>
        <w:rPr>
          <w:spacing w:val="-5"/>
        </w:rPr>
        <w:t> </w:t>
      </w:r>
      <w:r>
        <w:rPr/>
        <w:t>to</w:t>
      </w:r>
      <w:r>
        <w:rPr>
          <w:spacing w:val="-4"/>
        </w:rPr>
        <w:t> </w:t>
      </w:r>
      <w:r>
        <w:rPr/>
        <w:t>LGBTQI+</w:t>
      </w:r>
      <w:r>
        <w:rPr>
          <w:spacing w:val="-4"/>
        </w:rPr>
        <w:t> </w:t>
      </w:r>
      <w:r>
        <w:rPr/>
        <w:t>youth,</w:t>
      </w:r>
      <w:r>
        <w:rPr>
          <w:spacing w:val="-4"/>
        </w:rPr>
        <w:t> </w:t>
      </w:r>
      <w:r>
        <w:rPr/>
        <w:t>local</w:t>
      </w:r>
      <w:r>
        <w:rPr>
          <w:spacing w:val="-4"/>
        </w:rPr>
        <w:t> </w:t>
      </w:r>
      <w:r>
        <w:rPr/>
        <w:t>resources</w:t>
      </w:r>
      <w:r>
        <w:rPr>
          <w:spacing w:val="-4"/>
        </w:rPr>
        <w:t> </w:t>
      </w:r>
      <w:r>
        <w:rPr/>
        <w:t>for</w:t>
      </w:r>
      <w:r>
        <w:rPr>
          <w:spacing w:val="-4"/>
        </w:rPr>
        <w:t> </w:t>
      </w:r>
      <w:r>
        <w:rPr/>
        <w:t>LGBTQI+</w:t>
      </w:r>
      <w:r>
        <w:rPr>
          <w:spacing w:val="-4"/>
        </w:rPr>
        <w:t> </w:t>
      </w:r>
      <w:r>
        <w:rPr/>
        <w:t>youth,</w:t>
      </w:r>
      <w:r>
        <w:rPr>
          <w:spacing w:val="-4"/>
        </w:rPr>
        <w:t> </w:t>
      </w:r>
      <w:r>
        <w:rPr/>
        <w:t>and</w:t>
      </w:r>
      <w:r>
        <w:rPr>
          <w:spacing w:val="-4"/>
        </w:rPr>
        <w:t> </w:t>
      </w:r>
      <w:r>
        <w:rPr/>
        <w:t>online platforms where LGBTQI+ youth can find affirming social connections and</w:t>
      </w:r>
    </w:p>
    <w:p>
      <w:pPr>
        <w:spacing w:after="0"/>
        <w:sectPr>
          <w:pgSz w:w="12240" w:h="15840"/>
          <w:pgMar w:header="0" w:footer="783" w:top="1260" w:bottom="980" w:left="1400" w:right="1180"/>
        </w:sectPr>
      </w:pPr>
    </w:p>
    <w:p>
      <w:pPr>
        <w:pStyle w:val="BodyText"/>
        <w:spacing w:before="66"/>
        <w:ind w:left="280" w:right="502"/>
      </w:pPr>
      <w:r>
        <w:rPr/>
        <w:t>support. Given the increased rates of suicidality seen among youth of diverse sexual orientation and/or gender identity, LGBTQI+ crisis services, such as those</w:t>
      </w:r>
      <w:r>
        <w:rPr>
          <w:spacing w:val="-6"/>
        </w:rPr>
        <w:t> </w:t>
      </w:r>
      <w:r>
        <w:rPr/>
        <w:t>provided</w:t>
      </w:r>
      <w:r>
        <w:rPr>
          <w:spacing w:val="-5"/>
        </w:rPr>
        <w:t> </w:t>
      </w:r>
      <w:r>
        <w:rPr/>
        <w:t>by</w:t>
      </w:r>
      <w:r>
        <w:rPr>
          <w:spacing w:val="-11"/>
        </w:rPr>
        <w:t> </w:t>
      </w:r>
      <w:r>
        <w:rPr/>
        <w:t>The</w:t>
      </w:r>
      <w:r>
        <w:rPr>
          <w:spacing w:val="-11"/>
        </w:rPr>
        <w:t> </w:t>
      </w:r>
      <w:r>
        <w:rPr/>
        <w:t>Trevor</w:t>
      </w:r>
      <w:r>
        <w:rPr>
          <w:spacing w:val="-5"/>
        </w:rPr>
        <w:t> </w:t>
      </w:r>
      <w:r>
        <w:rPr/>
        <w:t>Project</w:t>
      </w:r>
      <w:r>
        <w:rPr>
          <w:spacing w:val="-5"/>
        </w:rPr>
        <w:t> </w:t>
      </w:r>
      <w:r>
        <w:rPr/>
        <w:t>are</w:t>
      </w:r>
      <w:r>
        <w:rPr>
          <w:spacing w:val="-6"/>
        </w:rPr>
        <w:t> </w:t>
      </w:r>
      <w:r>
        <w:rPr/>
        <w:t>vital.</w:t>
      </w:r>
      <w:r>
        <w:rPr>
          <w:spacing w:val="-11"/>
        </w:rPr>
        <w:t> </w:t>
      </w:r>
      <w:r>
        <w:rPr/>
        <w:t>The</w:t>
      </w:r>
      <w:r>
        <w:rPr>
          <w:spacing w:val="-11"/>
        </w:rPr>
        <w:t> </w:t>
      </w:r>
      <w:r>
        <w:rPr/>
        <w:t>Trevor</w:t>
      </w:r>
      <w:r>
        <w:rPr>
          <w:spacing w:val="-5"/>
        </w:rPr>
        <w:t> </w:t>
      </w:r>
      <w:r>
        <w:rPr/>
        <w:t>Project</w:t>
      </w:r>
      <w:r>
        <w:rPr>
          <w:spacing w:val="-5"/>
        </w:rPr>
        <w:t> </w:t>
      </w:r>
      <w:r>
        <w:rPr/>
        <w:t>offers</w:t>
      </w:r>
      <w:r>
        <w:rPr>
          <w:spacing w:val="-5"/>
        </w:rPr>
        <w:t> </w:t>
      </w:r>
      <w:r>
        <w:rPr/>
        <w:t>direct suicide and crisis intervention services for LGBTQI+ youth by phone, text, or online chat.</w:t>
      </w:r>
    </w:p>
    <w:p>
      <w:pPr>
        <w:pStyle w:val="BodyText"/>
        <w:spacing w:before="170"/>
        <w:ind w:left="280" w:right="506"/>
      </w:pPr>
      <w:r>
        <w:rPr/>
        <w:t>Behavioral</w:t>
      </w:r>
      <w:r>
        <w:rPr>
          <w:spacing w:val="-3"/>
        </w:rPr>
        <w:t> </w:t>
      </w:r>
      <w:r>
        <w:rPr/>
        <w:t>health</w:t>
      </w:r>
      <w:r>
        <w:rPr>
          <w:spacing w:val="-3"/>
        </w:rPr>
        <w:t> </w:t>
      </w:r>
      <w:r>
        <w:rPr/>
        <w:t>providers</w:t>
      </w:r>
      <w:r>
        <w:rPr>
          <w:spacing w:val="-3"/>
        </w:rPr>
        <w:t> </w:t>
      </w:r>
      <w:r>
        <w:rPr/>
        <w:t>should</w:t>
      </w:r>
      <w:r>
        <w:rPr>
          <w:spacing w:val="-3"/>
        </w:rPr>
        <w:t> </w:t>
      </w:r>
      <w:r>
        <w:rPr/>
        <w:t>be</w:t>
      </w:r>
      <w:r>
        <w:rPr>
          <w:spacing w:val="-4"/>
        </w:rPr>
        <w:t> </w:t>
      </w:r>
      <w:r>
        <w:rPr/>
        <w:t>aware</w:t>
      </w:r>
      <w:r>
        <w:rPr>
          <w:spacing w:val="-4"/>
        </w:rPr>
        <w:t> </w:t>
      </w:r>
      <w:r>
        <w:rPr/>
        <w:t>of</w:t>
      </w:r>
      <w:r>
        <w:rPr>
          <w:spacing w:val="-3"/>
        </w:rPr>
        <w:t> </w:t>
      </w:r>
      <w:r>
        <w:rPr/>
        <w:t>available</w:t>
      </w:r>
      <w:r>
        <w:rPr>
          <w:spacing w:val="-4"/>
        </w:rPr>
        <w:t> </w:t>
      </w:r>
      <w:r>
        <w:rPr/>
        <w:t>community</w:t>
      </w:r>
      <w:r>
        <w:rPr>
          <w:spacing w:val="-3"/>
        </w:rPr>
        <w:t> </w:t>
      </w:r>
      <w:r>
        <w:rPr/>
        <w:t>resources that support LGBTQI+ youth and their families, such as local provides a safe social-networking</w:t>
      </w:r>
      <w:r>
        <w:rPr>
          <w:spacing w:val="-1"/>
        </w:rPr>
        <w:t> </w:t>
      </w:r>
      <w:r>
        <w:rPr/>
        <w:t>community</w:t>
      </w:r>
      <w:r>
        <w:rPr>
          <w:spacing w:val="-1"/>
        </w:rPr>
        <w:t> </w:t>
      </w:r>
      <w:r>
        <w:rPr/>
        <w:t>for</w:t>
      </w:r>
      <w:r>
        <w:rPr>
          <w:spacing w:val="-1"/>
        </w:rPr>
        <w:t> </w:t>
      </w:r>
      <w:r>
        <w:rPr/>
        <w:t>LGBTQI+</w:t>
      </w:r>
      <w:r>
        <w:rPr>
          <w:spacing w:val="-1"/>
        </w:rPr>
        <w:t> </w:t>
      </w:r>
      <w:r>
        <w:rPr/>
        <w:t>youth</w:t>
      </w:r>
      <w:r>
        <w:rPr>
          <w:spacing w:val="-1"/>
        </w:rPr>
        <w:t> </w:t>
      </w:r>
      <w:r>
        <w:rPr/>
        <w:t>and</w:t>
      </w:r>
      <w:r>
        <w:rPr>
          <w:spacing w:val="-1"/>
        </w:rPr>
        <w:t> </w:t>
      </w:r>
      <w:r>
        <w:rPr/>
        <w:t>their</w:t>
      </w:r>
      <w:r>
        <w:rPr>
          <w:spacing w:val="-1"/>
        </w:rPr>
        <w:t> </w:t>
      </w:r>
      <w:r>
        <w:rPr/>
        <w:t>friends</w:t>
      </w:r>
      <w:r>
        <w:rPr>
          <w:spacing w:val="-1"/>
        </w:rPr>
        <w:t> </w:t>
      </w:r>
      <w:r>
        <w:rPr/>
        <w:t>and</w:t>
      </w:r>
      <w:r>
        <w:rPr>
          <w:spacing w:val="-1"/>
        </w:rPr>
        <w:t> </w:t>
      </w:r>
      <w:r>
        <w:rPr/>
        <w:t>allies. This</w:t>
      </w:r>
      <w:r>
        <w:rPr>
          <w:spacing w:val="-3"/>
        </w:rPr>
        <w:t> </w:t>
      </w:r>
      <w:r>
        <w:rPr/>
        <w:t>online</w:t>
      </w:r>
      <w:r>
        <w:rPr>
          <w:spacing w:val="-4"/>
        </w:rPr>
        <w:t> </w:t>
      </w:r>
      <w:r>
        <w:rPr/>
        <w:t>platform</w:t>
      </w:r>
      <w:r>
        <w:rPr>
          <w:spacing w:val="-3"/>
        </w:rPr>
        <w:t> </w:t>
      </w:r>
      <w:r>
        <w:rPr/>
        <w:t>became</w:t>
      </w:r>
      <w:r>
        <w:rPr>
          <w:spacing w:val="-4"/>
        </w:rPr>
        <w:t> </w:t>
      </w:r>
      <w:r>
        <w:rPr/>
        <w:t>even</w:t>
      </w:r>
      <w:r>
        <w:rPr>
          <w:spacing w:val="-3"/>
        </w:rPr>
        <w:t> </w:t>
      </w:r>
      <w:r>
        <w:rPr/>
        <w:t>more</w:t>
      </w:r>
      <w:r>
        <w:rPr>
          <w:spacing w:val="-4"/>
        </w:rPr>
        <w:t> </w:t>
      </w:r>
      <w:r>
        <w:rPr/>
        <w:t>critical</w:t>
      </w:r>
      <w:r>
        <w:rPr>
          <w:spacing w:val="-3"/>
        </w:rPr>
        <w:t> </w:t>
      </w:r>
      <w:r>
        <w:rPr/>
        <w:t>during</w:t>
      </w:r>
      <w:r>
        <w:rPr>
          <w:spacing w:val="-3"/>
        </w:rPr>
        <w:t> </w:t>
      </w:r>
      <w:r>
        <w:rPr/>
        <w:t>the</w:t>
      </w:r>
      <w:r>
        <w:rPr>
          <w:spacing w:val="-4"/>
        </w:rPr>
        <w:t> </w:t>
      </w:r>
      <w:r>
        <w:rPr/>
        <w:t>pandemic</w:t>
      </w:r>
      <w:r>
        <w:rPr>
          <w:spacing w:val="-4"/>
        </w:rPr>
        <w:t> </w:t>
      </w:r>
      <w:r>
        <w:rPr/>
        <w:t>because</w:t>
      </w:r>
      <w:r>
        <w:rPr>
          <w:spacing w:val="-4"/>
        </w:rPr>
        <w:t> </w:t>
      </w:r>
      <w:r>
        <w:rPr/>
        <w:t>it allowed youth to find affirming connections even when physically isolated.</w:t>
      </w:r>
    </w:p>
    <w:p>
      <w:pPr>
        <w:pStyle w:val="BodyText"/>
        <w:spacing w:line="237" w:lineRule="auto"/>
        <w:ind w:left="280" w:right="668"/>
      </w:pPr>
      <w:r>
        <w:rPr/>
        <w:t>PFLAG, which is the largest organization in the United States focused on providing</w:t>
      </w:r>
      <w:r>
        <w:rPr>
          <w:spacing w:val="-5"/>
        </w:rPr>
        <w:t> </w:t>
      </w:r>
      <w:r>
        <w:rPr/>
        <w:t>support,</w:t>
      </w:r>
      <w:r>
        <w:rPr>
          <w:spacing w:val="-5"/>
        </w:rPr>
        <w:t> </w:t>
      </w:r>
      <w:r>
        <w:rPr/>
        <w:t>education,</w:t>
      </w:r>
      <w:r>
        <w:rPr>
          <w:spacing w:val="-5"/>
        </w:rPr>
        <w:t> </w:t>
      </w:r>
      <w:r>
        <w:rPr/>
        <w:t>and</w:t>
      </w:r>
      <w:r>
        <w:rPr>
          <w:spacing w:val="-5"/>
        </w:rPr>
        <w:t> </w:t>
      </w:r>
      <w:r>
        <w:rPr/>
        <w:t>advocacy</w:t>
      </w:r>
      <w:r>
        <w:rPr>
          <w:spacing w:val="-5"/>
        </w:rPr>
        <w:t> </w:t>
      </w:r>
      <w:r>
        <w:rPr/>
        <w:t>for</w:t>
      </w:r>
      <w:r>
        <w:rPr>
          <w:spacing w:val="-5"/>
        </w:rPr>
        <w:t> </w:t>
      </w:r>
      <w:r>
        <w:rPr/>
        <w:t>LGBTQI+</w:t>
      </w:r>
      <w:r>
        <w:rPr>
          <w:spacing w:val="-5"/>
        </w:rPr>
        <w:t> </w:t>
      </w:r>
      <w:r>
        <w:rPr/>
        <w:t>people</w:t>
      </w:r>
      <w:r>
        <w:rPr>
          <w:spacing w:val="-5"/>
        </w:rPr>
        <w:t> </w:t>
      </w:r>
      <w:r>
        <w:rPr/>
        <w:t>and</w:t>
      </w:r>
      <w:r>
        <w:rPr>
          <w:spacing w:val="-5"/>
        </w:rPr>
        <w:t> </w:t>
      </w:r>
      <w:r>
        <w:rPr/>
        <w:t>their loved ones and has more than 325,000 members with hundreds of local chapters. PFLAG can serve as another resource of support for LGBTQI+ youth and their families.</w:t>
      </w:r>
    </w:p>
    <w:p>
      <w:pPr>
        <w:pStyle w:val="BodyText"/>
        <w:spacing w:before="6"/>
        <w:rPr>
          <w:sz w:val="27"/>
        </w:rPr>
      </w:pPr>
    </w:p>
    <w:p>
      <w:pPr>
        <w:pStyle w:val="BodyText"/>
        <w:ind w:left="280" w:right="499"/>
      </w:pPr>
      <w:r>
        <w:rPr/>
        <w:t>Behavioral health providers should describe their treatment plan and interventions</w:t>
      </w:r>
      <w:r>
        <w:rPr>
          <w:spacing w:val="-4"/>
        </w:rPr>
        <w:t> </w:t>
      </w:r>
      <w:r>
        <w:rPr/>
        <w:t>to</w:t>
      </w:r>
      <w:r>
        <w:rPr>
          <w:spacing w:val="-4"/>
        </w:rPr>
        <w:t> </w:t>
      </w:r>
      <w:r>
        <w:rPr/>
        <w:t>children,</w:t>
      </w:r>
      <w:r>
        <w:rPr>
          <w:spacing w:val="-4"/>
        </w:rPr>
        <w:t> </w:t>
      </w:r>
      <w:r>
        <w:rPr/>
        <w:t>adolescents,</w:t>
      </w:r>
      <w:r>
        <w:rPr>
          <w:spacing w:val="-4"/>
        </w:rPr>
        <w:t> </w:t>
      </w:r>
      <w:r>
        <w:rPr/>
        <w:t>and</w:t>
      </w:r>
      <w:r>
        <w:rPr>
          <w:spacing w:val="-4"/>
        </w:rPr>
        <w:t> </w:t>
      </w:r>
      <w:r>
        <w:rPr/>
        <w:t>their</w:t>
      </w:r>
      <w:r>
        <w:rPr>
          <w:spacing w:val="-4"/>
        </w:rPr>
        <w:t> </w:t>
      </w:r>
      <w:r>
        <w:rPr/>
        <w:t>parents</w:t>
      </w:r>
      <w:r>
        <w:rPr>
          <w:spacing w:val="-4"/>
        </w:rPr>
        <w:t> </w:t>
      </w:r>
      <w:r>
        <w:rPr/>
        <w:t>and</w:t>
      </w:r>
      <w:r>
        <w:rPr>
          <w:spacing w:val="-4"/>
        </w:rPr>
        <w:t> </w:t>
      </w:r>
      <w:r>
        <w:rPr/>
        <w:t>families</w:t>
      </w:r>
      <w:r>
        <w:rPr>
          <w:spacing w:val="-4"/>
        </w:rPr>
        <w:t> </w:t>
      </w:r>
      <w:r>
        <w:rPr/>
        <w:t>to</w:t>
      </w:r>
      <w:r>
        <w:rPr>
          <w:spacing w:val="-4"/>
        </w:rPr>
        <w:t> </w:t>
      </w:r>
      <w:r>
        <w:rPr/>
        <w:t>ensure they understand the goals, potential benefits, and any risks of treatment.</w:t>
      </w:r>
    </w:p>
    <w:p>
      <w:pPr>
        <w:pStyle w:val="BodyText"/>
        <w:spacing w:line="237" w:lineRule="auto"/>
        <w:ind w:left="280" w:right="581"/>
      </w:pPr>
      <w:r>
        <w:rPr/>
        <w:t>Behavioral health providers should obtain informed consent with all parties— including minors—for treatment, and should always involve parents and caregivers in decisions about a minor’s care if the minor is not old enough to legally give consent. When obtaining informed consent/assent, it is important to be aware of and attend to power dynamics between parents/caregivers and youth,</w:t>
      </w:r>
      <w:r>
        <w:rPr>
          <w:spacing w:val="-3"/>
        </w:rPr>
        <w:t> </w:t>
      </w:r>
      <w:r>
        <w:rPr/>
        <w:t>as</w:t>
      </w:r>
      <w:r>
        <w:rPr>
          <w:spacing w:val="-3"/>
        </w:rPr>
        <w:t> </w:t>
      </w:r>
      <w:r>
        <w:rPr/>
        <w:t>well</w:t>
      </w:r>
      <w:r>
        <w:rPr>
          <w:spacing w:val="-3"/>
        </w:rPr>
        <w:t> </w:t>
      </w:r>
      <w:r>
        <w:rPr/>
        <w:t>as</w:t>
      </w:r>
      <w:r>
        <w:rPr>
          <w:spacing w:val="-3"/>
        </w:rPr>
        <w:t> </w:t>
      </w:r>
      <w:r>
        <w:rPr/>
        <w:t>between</w:t>
      </w:r>
      <w:r>
        <w:rPr>
          <w:spacing w:val="-3"/>
        </w:rPr>
        <w:t> </w:t>
      </w:r>
      <w:r>
        <w:rPr/>
        <w:t>the</w:t>
      </w:r>
      <w:r>
        <w:rPr>
          <w:spacing w:val="-4"/>
        </w:rPr>
        <w:t> </w:t>
      </w:r>
      <w:r>
        <w:rPr/>
        <w:t>provider</w:t>
      </w:r>
      <w:r>
        <w:rPr>
          <w:spacing w:val="-3"/>
        </w:rPr>
        <w:t> </w:t>
      </w:r>
      <w:r>
        <w:rPr/>
        <w:t>and</w:t>
      </w:r>
      <w:r>
        <w:rPr>
          <w:spacing w:val="-3"/>
        </w:rPr>
        <w:t> </w:t>
      </w:r>
      <w:r>
        <w:rPr/>
        <w:t>youth.</w:t>
      </w:r>
      <w:r>
        <w:rPr>
          <w:spacing w:val="-3"/>
        </w:rPr>
        <w:t> </w:t>
      </w:r>
      <w:r>
        <w:rPr/>
        <w:t>Interventions</w:t>
      </w:r>
      <w:r>
        <w:rPr>
          <w:spacing w:val="-3"/>
        </w:rPr>
        <w:t> </w:t>
      </w:r>
      <w:r>
        <w:rPr/>
        <w:t>that</w:t>
      </w:r>
      <w:r>
        <w:rPr>
          <w:spacing w:val="-3"/>
        </w:rPr>
        <w:t> </w:t>
      </w:r>
      <w:r>
        <w:rPr/>
        <w:t>attempt</w:t>
      </w:r>
      <w:r>
        <w:rPr>
          <w:spacing w:val="-3"/>
        </w:rPr>
        <w:t> </w:t>
      </w:r>
      <w:r>
        <w:rPr/>
        <w:t>to change sexual orientation, gender identity, or gender expression, or any other form</w:t>
      </w:r>
      <w:r>
        <w:rPr>
          <w:spacing w:val="-4"/>
        </w:rPr>
        <w:t> </w:t>
      </w:r>
      <w:r>
        <w:rPr/>
        <w:t>of</w:t>
      </w:r>
      <w:r>
        <w:rPr>
          <w:spacing w:val="-4"/>
        </w:rPr>
        <w:t> </w:t>
      </w:r>
      <w:r>
        <w:rPr/>
        <w:t>SOGI</w:t>
      </w:r>
      <w:r>
        <w:rPr>
          <w:spacing w:val="-4"/>
        </w:rPr>
        <w:t> </w:t>
      </w:r>
      <w:r>
        <w:rPr/>
        <w:t>change</w:t>
      </w:r>
      <w:r>
        <w:rPr>
          <w:spacing w:val="-5"/>
        </w:rPr>
        <w:t> </w:t>
      </w:r>
      <w:r>
        <w:rPr/>
        <w:t>efforts</w:t>
      </w:r>
      <w:r>
        <w:rPr>
          <w:spacing w:val="-4"/>
        </w:rPr>
        <w:t> </w:t>
      </w:r>
      <w:r>
        <w:rPr/>
        <w:t>are</w:t>
      </w:r>
      <w:r>
        <w:rPr>
          <w:spacing w:val="-5"/>
        </w:rPr>
        <w:t> </w:t>
      </w:r>
      <w:r>
        <w:rPr/>
        <w:t>inappropriate</w:t>
      </w:r>
      <w:r>
        <w:rPr>
          <w:spacing w:val="-5"/>
        </w:rPr>
        <w:t> </w:t>
      </w:r>
      <w:r>
        <w:rPr/>
        <w:t>and</w:t>
      </w:r>
      <w:r>
        <w:rPr>
          <w:spacing w:val="-4"/>
        </w:rPr>
        <w:t> </w:t>
      </w:r>
      <w:r>
        <w:rPr/>
        <w:t>can</w:t>
      </w:r>
      <w:r>
        <w:rPr>
          <w:spacing w:val="-4"/>
        </w:rPr>
        <w:t> </w:t>
      </w:r>
      <w:r>
        <w:rPr/>
        <w:t>cause</w:t>
      </w:r>
      <w:r>
        <w:rPr>
          <w:spacing w:val="-5"/>
        </w:rPr>
        <w:t> </w:t>
      </w:r>
      <w:r>
        <w:rPr/>
        <w:t>significant</w:t>
      </w:r>
      <w:r>
        <w:rPr>
          <w:spacing w:val="-4"/>
        </w:rPr>
        <w:t> </w:t>
      </w:r>
      <w:r>
        <w:rPr/>
        <w:t>harm. Informed consent/assent for clinical care would include ensuring understanding of various components, including associated risks, expected benefits, and alternative treatment options; therefore, by definition, informed consent/assent cannot be provided for an intervention known to cause significant harm and does not have any known benefit to the client.</w:t>
      </w:r>
    </w:p>
    <w:p>
      <w:pPr>
        <w:pStyle w:val="BodyText"/>
        <w:spacing w:before="2"/>
        <w:rPr>
          <w:sz w:val="32"/>
        </w:rPr>
      </w:pPr>
    </w:p>
    <w:p>
      <w:pPr>
        <w:pStyle w:val="Heading3"/>
        <w:rPr>
          <w:i/>
        </w:rPr>
      </w:pPr>
      <w:r>
        <w:rPr>
          <w:i/>
        </w:rPr>
        <w:t>Family</w:t>
      </w:r>
      <w:r>
        <w:rPr>
          <w:i/>
          <w:spacing w:val="-11"/>
        </w:rPr>
        <w:t> </w:t>
      </w:r>
      <w:r>
        <w:rPr>
          <w:i/>
          <w:spacing w:val="-2"/>
        </w:rPr>
        <w:t>Approaches</w:t>
      </w:r>
    </w:p>
    <w:p>
      <w:pPr>
        <w:pStyle w:val="BodyText"/>
        <w:spacing w:before="2"/>
        <w:rPr>
          <w:b/>
          <w:i/>
          <w:sz w:val="31"/>
        </w:rPr>
      </w:pPr>
    </w:p>
    <w:p>
      <w:pPr>
        <w:pStyle w:val="BodyText"/>
        <w:ind w:left="280" w:right="502"/>
      </w:pPr>
      <w:r>
        <w:rPr/>
        <w:t>Wherever</w:t>
      </w:r>
      <w:r>
        <w:rPr>
          <w:spacing w:val="-3"/>
        </w:rPr>
        <w:t> </w:t>
      </w:r>
      <w:r>
        <w:rPr/>
        <w:t>it</w:t>
      </w:r>
      <w:r>
        <w:rPr>
          <w:spacing w:val="-3"/>
        </w:rPr>
        <w:t> </w:t>
      </w:r>
      <w:r>
        <w:rPr/>
        <w:t>is</w:t>
      </w:r>
      <w:r>
        <w:rPr>
          <w:spacing w:val="-3"/>
        </w:rPr>
        <w:t> </w:t>
      </w:r>
      <w:r>
        <w:rPr/>
        <w:t>safe</w:t>
      </w:r>
      <w:r>
        <w:rPr>
          <w:spacing w:val="-4"/>
        </w:rPr>
        <w:t> </w:t>
      </w:r>
      <w:r>
        <w:rPr/>
        <w:t>to</w:t>
      </w:r>
      <w:r>
        <w:rPr>
          <w:spacing w:val="-3"/>
        </w:rPr>
        <w:t> </w:t>
      </w:r>
      <w:r>
        <w:rPr/>
        <w:t>do</w:t>
      </w:r>
      <w:r>
        <w:rPr>
          <w:spacing w:val="-3"/>
        </w:rPr>
        <w:t> </w:t>
      </w:r>
      <w:r>
        <w:rPr/>
        <w:t>so</w:t>
      </w:r>
      <w:r>
        <w:rPr>
          <w:spacing w:val="-3"/>
        </w:rPr>
        <w:t> </w:t>
      </w:r>
      <w:r>
        <w:rPr/>
        <w:t>for</w:t>
      </w:r>
      <w:r>
        <w:rPr>
          <w:spacing w:val="-3"/>
        </w:rPr>
        <w:t> </w:t>
      </w:r>
      <w:r>
        <w:rPr/>
        <w:t>the</w:t>
      </w:r>
      <w:r>
        <w:rPr>
          <w:spacing w:val="-4"/>
        </w:rPr>
        <w:t> </w:t>
      </w:r>
      <w:r>
        <w:rPr/>
        <w:t>child,</w:t>
      </w:r>
      <w:r>
        <w:rPr>
          <w:spacing w:val="-3"/>
        </w:rPr>
        <w:t> </w:t>
      </w:r>
      <w:r>
        <w:rPr/>
        <w:t>parental</w:t>
      </w:r>
      <w:r>
        <w:rPr>
          <w:spacing w:val="-3"/>
        </w:rPr>
        <w:t> </w:t>
      </w:r>
      <w:r>
        <w:rPr/>
        <w:t>and</w:t>
      </w:r>
      <w:r>
        <w:rPr>
          <w:spacing w:val="-3"/>
        </w:rPr>
        <w:t> </w:t>
      </w:r>
      <w:r>
        <w:rPr/>
        <w:t>caregiver</w:t>
      </w:r>
      <w:r>
        <w:rPr>
          <w:spacing w:val="-3"/>
        </w:rPr>
        <w:t> </w:t>
      </w:r>
      <w:r>
        <w:rPr/>
        <w:t>involvement</w:t>
      </w:r>
      <w:r>
        <w:rPr>
          <w:spacing w:val="-3"/>
        </w:rPr>
        <w:t> </w:t>
      </w:r>
      <w:r>
        <w:rPr/>
        <w:t>is an important part of supporting LGBTQI+ youth. Parental and caregiver attitudes</w:t>
      </w:r>
      <w:r>
        <w:rPr>
          <w:spacing w:val="-3"/>
        </w:rPr>
        <w:t> </w:t>
      </w:r>
      <w:r>
        <w:rPr/>
        <w:t>and</w:t>
      </w:r>
      <w:r>
        <w:rPr>
          <w:spacing w:val="-3"/>
        </w:rPr>
        <w:t> </w:t>
      </w:r>
      <w:r>
        <w:rPr/>
        <w:t>behaviors</w:t>
      </w:r>
      <w:r>
        <w:rPr>
          <w:spacing w:val="-3"/>
        </w:rPr>
        <w:t> </w:t>
      </w:r>
      <w:r>
        <w:rPr/>
        <w:t>play</w:t>
      </w:r>
      <w:r>
        <w:rPr>
          <w:spacing w:val="-3"/>
        </w:rPr>
        <w:t> </w:t>
      </w:r>
      <w:r>
        <w:rPr/>
        <w:t>a</w:t>
      </w:r>
      <w:r>
        <w:rPr>
          <w:spacing w:val="-4"/>
        </w:rPr>
        <w:t> </w:t>
      </w:r>
      <w:r>
        <w:rPr/>
        <w:t>significant</w:t>
      </w:r>
      <w:r>
        <w:rPr>
          <w:spacing w:val="-3"/>
        </w:rPr>
        <w:t> </w:t>
      </w:r>
      <w:r>
        <w:rPr/>
        <w:t>role</w:t>
      </w:r>
      <w:r>
        <w:rPr>
          <w:spacing w:val="-4"/>
        </w:rPr>
        <w:t> </w:t>
      </w:r>
      <w:r>
        <w:rPr/>
        <w:t>in</w:t>
      </w:r>
      <w:r>
        <w:rPr>
          <w:spacing w:val="-3"/>
        </w:rPr>
        <w:t> </w:t>
      </w:r>
      <w:r>
        <w:rPr/>
        <w:t>the</w:t>
      </w:r>
      <w:r>
        <w:rPr>
          <w:spacing w:val="-4"/>
        </w:rPr>
        <w:t> </w:t>
      </w:r>
      <w:r>
        <w:rPr/>
        <w:t>adjustment</w:t>
      </w:r>
      <w:r>
        <w:rPr>
          <w:spacing w:val="-3"/>
        </w:rPr>
        <w:t> </w:t>
      </w:r>
      <w:r>
        <w:rPr/>
        <w:t>of</w:t>
      </w:r>
      <w:r>
        <w:rPr>
          <w:spacing w:val="-3"/>
        </w:rPr>
        <w:t> </w:t>
      </w:r>
      <w:r>
        <w:rPr/>
        <w:t>children</w:t>
      </w:r>
      <w:r>
        <w:rPr>
          <w:spacing w:val="-3"/>
        </w:rPr>
        <w:t> </w:t>
      </w:r>
      <w:r>
        <w:rPr/>
        <w:t>and adolescents. Parent and caregiver distress may be the cause of a referral for treatment. Reducing family rejection, hostility, and violence (verbal or</w:t>
      </w:r>
    </w:p>
    <w:p>
      <w:pPr>
        <w:spacing w:after="0"/>
        <w:sectPr>
          <w:pgSz w:w="12240" w:h="15840"/>
          <w:pgMar w:header="0" w:footer="783" w:top="1260" w:bottom="980" w:left="1400" w:right="1180"/>
        </w:sectPr>
      </w:pPr>
    </w:p>
    <w:p>
      <w:pPr>
        <w:pStyle w:val="BodyText"/>
        <w:spacing w:before="66"/>
        <w:ind w:left="280" w:right="502"/>
      </w:pPr>
      <w:r>
        <w:rPr/>
        <w:t>physical),</w:t>
      </w:r>
      <w:r>
        <w:rPr>
          <w:spacing w:val="-5"/>
        </w:rPr>
        <w:t> </w:t>
      </w:r>
      <w:r>
        <w:rPr/>
        <w:t>and</w:t>
      </w:r>
      <w:r>
        <w:rPr>
          <w:spacing w:val="-5"/>
        </w:rPr>
        <w:t> </w:t>
      </w:r>
      <w:r>
        <w:rPr/>
        <w:t>increasing</w:t>
      </w:r>
      <w:r>
        <w:rPr>
          <w:spacing w:val="-5"/>
        </w:rPr>
        <w:t> </w:t>
      </w:r>
      <w:r>
        <w:rPr/>
        <w:t>family</w:t>
      </w:r>
      <w:r>
        <w:rPr>
          <w:spacing w:val="-5"/>
        </w:rPr>
        <w:t> </w:t>
      </w:r>
      <w:r>
        <w:rPr/>
        <w:t>acceptance</w:t>
      </w:r>
      <w:r>
        <w:rPr>
          <w:spacing w:val="-5"/>
        </w:rPr>
        <w:t> </w:t>
      </w:r>
      <w:r>
        <w:rPr/>
        <w:t>and</w:t>
      </w:r>
      <w:r>
        <w:rPr>
          <w:spacing w:val="-5"/>
        </w:rPr>
        <w:t> </w:t>
      </w:r>
      <w:r>
        <w:rPr/>
        <w:t>support,</w:t>
      </w:r>
      <w:r>
        <w:rPr>
          <w:spacing w:val="-5"/>
        </w:rPr>
        <w:t> </w:t>
      </w:r>
      <w:r>
        <w:rPr/>
        <w:t>contributes</w:t>
      </w:r>
      <w:r>
        <w:rPr>
          <w:spacing w:val="-5"/>
        </w:rPr>
        <w:t> </w:t>
      </w:r>
      <w:r>
        <w:rPr/>
        <w:t>to</w:t>
      </w:r>
      <w:r>
        <w:rPr>
          <w:spacing w:val="-5"/>
        </w:rPr>
        <w:t> </w:t>
      </w:r>
      <w:r>
        <w:rPr/>
        <w:t>the mental health and safety of the child and adolescent.</w:t>
      </w:r>
    </w:p>
    <w:p>
      <w:pPr>
        <w:pStyle w:val="BodyText"/>
        <w:spacing w:before="176"/>
        <w:ind w:left="280" w:right="502"/>
      </w:pPr>
      <w:r>
        <w:rPr/>
        <w:t>Interventions that increase family and community support and understanding while decreasing rejection directed at LGBTQI+ youth are recommended for families. Behavioral health providers supply family members with accurate, developmentally appropriate information regarding diversity in sexual orientation and gender, and strive to dispel myths regarding the lives, health, and psychological well-being of individuals of diverse sexual orientation and/ or understanding and addressing parent and caregiver concerns regarding current or future sexual orientation and gender identity is important. Further, behavioral</w:t>
      </w:r>
      <w:r>
        <w:rPr>
          <w:spacing w:val="-4"/>
        </w:rPr>
        <w:t> </w:t>
      </w:r>
      <w:r>
        <w:rPr/>
        <w:t>health</w:t>
      </w:r>
      <w:r>
        <w:rPr>
          <w:spacing w:val="-4"/>
        </w:rPr>
        <w:t> </w:t>
      </w:r>
      <w:r>
        <w:rPr/>
        <w:t>providers</w:t>
      </w:r>
      <w:r>
        <w:rPr>
          <w:spacing w:val="-4"/>
        </w:rPr>
        <w:t> </w:t>
      </w:r>
      <w:r>
        <w:rPr/>
        <w:t>can</w:t>
      </w:r>
      <w:r>
        <w:rPr>
          <w:spacing w:val="-4"/>
        </w:rPr>
        <w:t> </w:t>
      </w:r>
      <w:r>
        <w:rPr/>
        <w:t>attempt</w:t>
      </w:r>
      <w:r>
        <w:rPr>
          <w:spacing w:val="-4"/>
        </w:rPr>
        <w:t> </w:t>
      </w:r>
      <w:r>
        <w:rPr/>
        <w:t>to</w:t>
      </w:r>
      <w:r>
        <w:rPr>
          <w:spacing w:val="-4"/>
        </w:rPr>
        <w:t> </w:t>
      </w:r>
      <w:r>
        <w:rPr/>
        <w:t>help</w:t>
      </w:r>
      <w:r>
        <w:rPr>
          <w:spacing w:val="-4"/>
        </w:rPr>
        <w:t> </w:t>
      </w:r>
      <w:r>
        <w:rPr/>
        <w:t>families</w:t>
      </w:r>
      <w:r>
        <w:rPr>
          <w:spacing w:val="-4"/>
        </w:rPr>
        <w:t> </w:t>
      </w:r>
      <w:r>
        <w:rPr/>
        <w:t>and</w:t>
      </w:r>
      <w:r>
        <w:rPr>
          <w:spacing w:val="-4"/>
        </w:rPr>
        <w:t> </w:t>
      </w:r>
      <w:r>
        <w:rPr/>
        <w:t>caregivers</w:t>
      </w:r>
      <w:r>
        <w:rPr>
          <w:spacing w:val="-4"/>
        </w:rPr>
        <w:t> </w:t>
      </w:r>
      <w:r>
        <w:rPr/>
        <w:t>modify rejecting behaviors by explaining the link between family rejection and negative health problems, identifying rejecting and accepting behaviors, and providing recommendations for increasing supportive behaviors on the part of the</w:t>
      </w:r>
      <w:r>
        <w:rPr>
          <w:spacing w:val="-6"/>
        </w:rPr>
        <w:t> </w:t>
      </w:r>
      <w:r>
        <w:rPr/>
        <w:t>family.</w:t>
      </w:r>
      <w:r>
        <w:rPr>
          <w:spacing w:val="-5"/>
        </w:rPr>
        <w:t> </w:t>
      </w:r>
      <w:r>
        <w:rPr/>
        <w:t>gender</w:t>
      </w:r>
      <w:r>
        <w:rPr>
          <w:spacing w:val="-5"/>
        </w:rPr>
        <w:t> </w:t>
      </w:r>
      <w:r>
        <w:rPr/>
        <w:t>identity.</w:t>
      </w:r>
      <w:r>
        <w:rPr>
          <w:spacing w:val="-5"/>
        </w:rPr>
        <w:t> </w:t>
      </w:r>
      <w:r>
        <w:rPr/>
        <w:t>Family</w:t>
      </w:r>
      <w:r>
        <w:rPr>
          <w:spacing w:val="-5"/>
        </w:rPr>
        <w:t> </w:t>
      </w:r>
      <w:r>
        <w:rPr/>
        <w:t>therapy</w:t>
      </w:r>
      <w:r>
        <w:rPr>
          <w:spacing w:val="-5"/>
        </w:rPr>
        <w:t> </w:t>
      </w:r>
      <w:r>
        <w:rPr/>
        <w:t>that</w:t>
      </w:r>
      <w:r>
        <w:rPr>
          <w:spacing w:val="-5"/>
        </w:rPr>
        <w:t> </w:t>
      </w:r>
      <w:r>
        <w:rPr/>
        <w:t>provides</w:t>
      </w:r>
      <w:r>
        <w:rPr>
          <w:spacing w:val="-5"/>
        </w:rPr>
        <w:t> </w:t>
      </w:r>
      <w:r>
        <w:rPr/>
        <w:t>anticipatory</w:t>
      </w:r>
      <w:r>
        <w:rPr>
          <w:spacing w:val="-5"/>
        </w:rPr>
        <w:t> </w:t>
      </w:r>
      <w:r>
        <w:rPr/>
        <w:t>guidance to parents and caregivers about the significant mental health risks caused by rejection of their child’s sexual orientation and gender identity is vital.</w:t>
      </w:r>
    </w:p>
    <w:p>
      <w:pPr>
        <w:pStyle w:val="BodyText"/>
        <w:spacing w:before="3"/>
        <w:rPr>
          <w:sz w:val="25"/>
        </w:rPr>
      </w:pPr>
    </w:p>
    <w:p>
      <w:pPr>
        <w:pStyle w:val="BodyText"/>
        <w:ind w:left="280" w:right="549"/>
      </w:pPr>
      <w:r>
        <w:rPr/>
        <w:t>Some affirming approaches to family therapy that include youth of diverse sexual orientation and/or gender identity aim to demonstrate how family members’</w:t>
      </w:r>
      <w:r>
        <w:rPr>
          <w:spacing w:val="-8"/>
        </w:rPr>
        <w:t> </w:t>
      </w:r>
      <w:r>
        <w:rPr/>
        <w:t>identities—such as their race and ethnicity, immigration, socioeconomic</w:t>
      </w:r>
      <w:r>
        <w:rPr>
          <w:spacing w:val="-6"/>
        </w:rPr>
        <w:t> </w:t>
      </w:r>
      <w:r>
        <w:rPr/>
        <w:t>status,</w:t>
      </w:r>
      <w:r>
        <w:rPr>
          <w:spacing w:val="-5"/>
        </w:rPr>
        <w:t> </w:t>
      </w:r>
      <w:r>
        <w:rPr/>
        <w:t>and</w:t>
      </w:r>
      <w:r>
        <w:rPr>
          <w:spacing w:val="-5"/>
        </w:rPr>
        <w:t> </w:t>
      </w:r>
      <w:r>
        <w:rPr/>
        <w:t>more—affect</w:t>
      </w:r>
      <w:r>
        <w:rPr>
          <w:spacing w:val="-5"/>
        </w:rPr>
        <w:t> </w:t>
      </w:r>
      <w:r>
        <w:rPr/>
        <w:t>their</w:t>
      </w:r>
      <w:r>
        <w:rPr>
          <w:spacing w:val="-5"/>
        </w:rPr>
        <w:t> </w:t>
      </w:r>
      <w:r>
        <w:rPr/>
        <w:t>ability</w:t>
      </w:r>
      <w:r>
        <w:rPr>
          <w:spacing w:val="-5"/>
        </w:rPr>
        <w:t> </w:t>
      </w:r>
      <w:r>
        <w:rPr/>
        <w:t>to</w:t>
      </w:r>
      <w:r>
        <w:rPr>
          <w:spacing w:val="-5"/>
        </w:rPr>
        <w:t> </w:t>
      </w:r>
      <w:r>
        <w:rPr/>
        <w:t>understand</w:t>
      </w:r>
      <w:r>
        <w:rPr>
          <w:spacing w:val="-5"/>
        </w:rPr>
        <w:t> </w:t>
      </w:r>
      <w:r>
        <w:rPr/>
        <w:t>and</w:t>
      </w:r>
      <w:r>
        <w:rPr>
          <w:spacing w:val="-5"/>
        </w:rPr>
        <w:t> </w:t>
      </w:r>
      <w:r>
        <w:rPr/>
        <w:t>support their youth.</w:t>
      </w:r>
      <w:r>
        <w:rPr>
          <w:spacing w:val="-4"/>
        </w:rPr>
        <w:t> </w:t>
      </w:r>
      <w:r>
        <w:rPr/>
        <w:t>Attachment-based approaches to family therapy have been used with suicidal sexual minority adolescents. Trauma-focused CBT is an evidence-based treatment for trauma-impacted youth aged 3 to 17 and their parents or primary caregivers. This intervention has been adapted for use specifically with youth of diverse sexual orientation and/or gender identity by integrating the treatment framework with the Family</w:t>
      </w:r>
      <w:r>
        <w:rPr>
          <w:spacing w:val="-2"/>
        </w:rPr>
        <w:t> </w:t>
      </w:r>
      <w:r>
        <w:rPr/>
        <w:t>Acceptance Project.314 Family therapists and researchers often focus on reframing family concerns— even their disapproval and rejection of sexual orientation and gender diversity</w:t>
      </w:r>
    </w:p>
    <w:p>
      <w:pPr>
        <w:pStyle w:val="BodyText"/>
        <w:spacing w:line="297" w:lineRule="exact"/>
        <w:ind w:left="280"/>
      </w:pPr>
      <w:r>
        <w:rPr/>
        <w:t>—as</w:t>
      </w:r>
      <w:r>
        <w:rPr>
          <w:spacing w:val="-4"/>
        </w:rPr>
        <w:t> </w:t>
      </w:r>
      <w:r>
        <w:rPr/>
        <w:t>a</w:t>
      </w:r>
      <w:r>
        <w:rPr>
          <w:spacing w:val="-2"/>
        </w:rPr>
        <w:t> </w:t>
      </w:r>
      <w:r>
        <w:rPr/>
        <w:t>manifestation</w:t>
      </w:r>
      <w:r>
        <w:rPr>
          <w:spacing w:val="-1"/>
        </w:rPr>
        <w:t> </w:t>
      </w:r>
      <w:r>
        <w:rPr/>
        <w:t>of</w:t>
      </w:r>
      <w:r>
        <w:rPr>
          <w:spacing w:val="-1"/>
        </w:rPr>
        <w:t> </w:t>
      </w:r>
      <w:r>
        <w:rPr/>
        <w:t>care</w:t>
      </w:r>
      <w:r>
        <w:rPr>
          <w:spacing w:val="-2"/>
        </w:rPr>
        <w:t> </w:t>
      </w:r>
      <w:r>
        <w:rPr/>
        <w:t>and</w:t>
      </w:r>
      <w:r>
        <w:rPr>
          <w:spacing w:val="-2"/>
        </w:rPr>
        <w:t> </w:t>
      </w:r>
      <w:r>
        <w:rPr/>
        <w:t>love</w:t>
      </w:r>
      <w:r>
        <w:rPr>
          <w:spacing w:val="-2"/>
        </w:rPr>
        <w:t> </w:t>
      </w:r>
      <w:r>
        <w:rPr/>
        <w:t>and</w:t>
      </w:r>
      <w:r>
        <w:rPr>
          <w:spacing w:val="-1"/>
        </w:rPr>
        <w:t> </w:t>
      </w:r>
      <w:r>
        <w:rPr/>
        <w:t>focus</w:t>
      </w:r>
      <w:r>
        <w:rPr>
          <w:spacing w:val="-1"/>
        </w:rPr>
        <w:t> </w:t>
      </w:r>
      <w:r>
        <w:rPr/>
        <w:t>on</w:t>
      </w:r>
      <w:r>
        <w:rPr>
          <w:spacing w:val="-1"/>
        </w:rPr>
        <w:t> </w:t>
      </w:r>
      <w:r>
        <w:rPr/>
        <w:t>teaching</w:t>
      </w:r>
      <w:r>
        <w:rPr>
          <w:spacing w:val="-1"/>
        </w:rPr>
        <w:t> </w:t>
      </w:r>
      <w:r>
        <w:rPr/>
        <w:t>non-</w:t>
      </w:r>
      <w:r>
        <w:rPr>
          <w:spacing w:val="-2"/>
        </w:rPr>
        <w:t>rejecting</w:t>
      </w:r>
    </w:p>
    <w:p>
      <w:pPr>
        <w:pStyle w:val="BodyText"/>
        <w:ind w:left="280" w:right="532"/>
      </w:pPr>
      <w:r>
        <w:rPr/>
        <w:t>ways to communicate those positive emotions. For example, providers can help the family create an atmosphere of mutual respect as a natural extension of</w:t>
      </w:r>
      <w:r>
        <w:rPr>
          <w:spacing w:val="-3"/>
        </w:rPr>
        <w:t> </w:t>
      </w:r>
      <w:r>
        <w:rPr/>
        <w:t>seeing</w:t>
      </w:r>
      <w:r>
        <w:rPr>
          <w:spacing w:val="-3"/>
        </w:rPr>
        <w:t> </w:t>
      </w:r>
      <w:r>
        <w:rPr/>
        <w:t>each</w:t>
      </w:r>
      <w:r>
        <w:rPr>
          <w:spacing w:val="-3"/>
        </w:rPr>
        <w:t> </w:t>
      </w:r>
      <w:r>
        <w:rPr/>
        <w:t>person</w:t>
      </w:r>
      <w:r>
        <w:rPr>
          <w:spacing w:val="-3"/>
        </w:rPr>
        <w:t> </w:t>
      </w:r>
      <w:r>
        <w:rPr/>
        <w:t>as</w:t>
      </w:r>
      <w:r>
        <w:rPr>
          <w:spacing w:val="-3"/>
        </w:rPr>
        <w:t> </w:t>
      </w:r>
      <w:r>
        <w:rPr/>
        <w:t>having</w:t>
      </w:r>
      <w:r>
        <w:rPr>
          <w:spacing w:val="-3"/>
        </w:rPr>
        <w:t> </w:t>
      </w:r>
      <w:r>
        <w:rPr/>
        <w:t>intrinsic</w:t>
      </w:r>
      <w:r>
        <w:rPr>
          <w:spacing w:val="-4"/>
        </w:rPr>
        <w:t> </w:t>
      </w:r>
      <w:r>
        <w:rPr/>
        <w:t>worth.</w:t>
      </w:r>
      <w:r>
        <w:rPr>
          <w:spacing w:val="-9"/>
        </w:rPr>
        <w:t> </w:t>
      </w:r>
      <w:r>
        <w:rPr/>
        <w:t>This</w:t>
      </w:r>
      <w:r>
        <w:rPr>
          <w:spacing w:val="-3"/>
        </w:rPr>
        <w:t> </w:t>
      </w:r>
      <w:r>
        <w:rPr/>
        <w:t>can</w:t>
      </w:r>
      <w:r>
        <w:rPr>
          <w:spacing w:val="-3"/>
        </w:rPr>
        <w:t> </w:t>
      </w:r>
      <w:r>
        <w:rPr/>
        <w:t>help</w:t>
      </w:r>
      <w:r>
        <w:rPr>
          <w:spacing w:val="-3"/>
        </w:rPr>
        <w:t> </w:t>
      </w:r>
      <w:r>
        <w:rPr/>
        <w:t>ensure</w:t>
      </w:r>
      <w:r>
        <w:rPr>
          <w:spacing w:val="-4"/>
        </w:rPr>
        <w:t> </w:t>
      </w:r>
      <w:r>
        <w:rPr/>
        <w:t>the</w:t>
      </w:r>
      <w:r>
        <w:rPr>
          <w:spacing w:val="-4"/>
        </w:rPr>
        <w:t> </w:t>
      </w:r>
      <w:r>
        <w:rPr/>
        <w:t>safety of each person from being hurt or bullied in the home. This communicates an important message to a young person that their safety is important to the provider and to the family. Eventually, this mutual respect and communities with diverse values and beliefs, and focus on viewing these values and beliefs with humility and mutual respect.</w:t>
      </w:r>
      <w:r>
        <w:rPr>
          <w:spacing w:val="40"/>
        </w:rPr>
        <w:t> </w:t>
      </w:r>
      <w:r>
        <w:rPr/>
        <w:t>This includes understanding how to</w:t>
      </w:r>
      <w:r>
        <w:rPr>
          <w:spacing w:val="40"/>
        </w:rPr>
        <w:t> </w:t>
      </w:r>
      <w:r>
        <w:rPr/>
        <w:t>translate between psychology and deeply held values rather than judging those beliefs. Certain language, such as acceptance and/or affirmation, might not</w:t>
      </w:r>
    </w:p>
    <w:p>
      <w:pPr>
        <w:spacing w:after="0"/>
        <w:sectPr>
          <w:pgSz w:w="12240" w:h="15840"/>
          <w:pgMar w:header="0" w:footer="783" w:top="1260" w:bottom="980" w:left="1400" w:right="1180"/>
        </w:sectPr>
      </w:pPr>
    </w:p>
    <w:p>
      <w:pPr>
        <w:pStyle w:val="BodyText"/>
        <w:spacing w:before="66"/>
        <w:ind w:left="280" w:right="502"/>
      </w:pPr>
      <w:r>
        <w:rPr/>
        <w:t>resonate</w:t>
      </w:r>
      <w:r>
        <w:rPr>
          <w:spacing w:val="-5"/>
        </w:rPr>
        <w:t> </w:t>
      </w:r>
      <w:r>
        <w:rPr/>
        <w:t>with</w:t>
      </w:r>
      <w:r>
        <w:rPr>
          <w:spacing w:val="-4"/>
        </w:rPr>
        <w:t> </w:t>
      </w:r>
      <w:r>
        <w:rPr/>
        <w:t>some</w:t>
      </w:r>
      <w:r>
        <w:rPr>
          <w:spacing w:val="-5"/>
        </w:rPr>
        <w:t> </w:t>
      </w:r>
      <w:r>
        <w:rPr/>
        <w:t>communities,</w:t>
      </w:r>
      <w:r>
        <w:rPr>
          <w:spacing w:val="-4"/>
        </w:rPr>
        <w:t> </w:t>
      </w:r>
      <w:r>
        <w:rPr/>
        <w:t>whereas</w:t>
      </w:r>
      <w:r>
        <w:rPr>
          <w:spacing w:val="-4"/>
        </w:rPr>
        <w:t> </w:t>
      </w:r>
      <w:r>
        <w:rPr/>
        <w:t>the</w:t>
      </w:r>
      <w:r>
        <w:rPr>
          <w:spacing w:val="-5"/>
        </w:rPr>
        <w:t> </w:t>
      </w:r>
      <w:r>
        <w:rPr/>
        <w:t>concept</w:t>
      </w:r>
      <w:r>
        <w:rPr>
          <w:spacing w:val="-4"/>
        </w:rPr>
        <w:t> </w:t>
      </w:r>
      <w:r>
        <w:rPr/>
        <w:t>of</w:t>
      </w:r>
      <w:r>
        <w:rPr>
          <w:spacing w:val="-4"/>
        </w:rPr>
        <w:t> </w:t>
      </w:r>
      <w:r>
        <w:rPr/>
        <w:t>unconditional</w:t>
      </w:r>
      <w:r>
        <w:rPr>
          <w:spacing w:val="-4"/>
        </w:rPr>
        <w:t> </w:t>
      </w:r>
      <w:r>
        <w:rPr/>
        <w:t>love </w:t>
      </w:r>
      <w:r>
        <w:rPr>
          <w:spacing w:val="-2"/>
        </w:rPr>
        <w:t>might.</w:t>
      </w:r>
    </w:p>
    <w:p>
      <w:pPr>
        <w:pStyle w:val="BodyText"/>
        <w:spacing w:before="1"/>
        <w:rPr>
          <w:sz w:val="43"/>
        </w:rPr>
      </w:pPr>
    </w:p>
    <w:p>
      <w:pPr>
        <w:pStyle w:val="BodyText"/>
        <w:ind w:left="280" w:right="502"/>
      </w:pPr>
      <w:r>
        <w:rPr/>
        <w:t>Many parents and caregivers must also navigate their own process of “coming out” and resolve fears of discrimination or negative social reactions if they disclose their child’s sexual-and gender-diverse identity within their communities, at work, and to other family members. Parents and caregivers often have fears for their child’s emotional and physical safety, among other worries</w:t>
      </w:r>
      <w:r>
        <w:rPr>
          <w:spacing w:val="-4"/>
        </w:rPr>
        <w:t> </w:t>
      </w:r>
      <w:r>
        <w:rPr/>
        <w:t>for</w:t>
      </w:r>
      <w:r>
        <w:rPr>
          <w:spacing w:val="-4"/>
        </w:rPr>
        <w:t> </w:t>
      </w:r>
      <w:r>
        <w:rPr/>
        <w:t>their</w:t>
      </w:r>
      <w:r>
        <w:rPr>
          <w:spacing w:val="-4"/>
        </w:rPr>
        <w:t> </w:t>
      </w:r>
      <w:r>
        <w:rPr/>
        <w:t>future.</w:t>
      </w:r>
      <w:r>
        <w:rPr>
          <w:spacing w:val="-4"/>
        </w:rPr>
        <w:t> </w:t>
      </w:r>
      <w:r>
        <w:rPr/>
        <w:t>Behavioral</w:t>
      </w:r>
      <w:r>
        <w:rPr>
          <w:spacing w:val="-4"/>
        </w:rPr>
        <w:t> </w:t>
      </w:r>
      <w:r>
        <w:rPr/>
        <w:t>health</w:t>
      </w:r>
      <w:r>
        <w:rPr>
          <w:spacing w:val="-4"/>
        </w:rPr>
        <w:t> </w:t>
      </w:r>
      <w:r>
        <w:rPr/>
        <w:t>providers</w:t>
      </w:r>
      <w:r>
        <w:rPr>
          <w:spacing w:val="-4"/>
        </w:rPr>
        <w:t> </w:t>
      </w:r>
      <w:r>
        <w:rPr/>
        <w:t>can</w:t>
      </w:r>
      <w:r>
        <w:rPr>
          <w:spacing w:val="-4"/>
        </w:rPr>
        <w:t> </w:t>
      </w:r>
      <w:r>
        <w:rPr/>
        <w:t>help</w:t>
      </w:r>
      <w:r>
        <w:rPr>
          <w:spacing w:val="-4"/>
        </w:rPr>
        <w:t> </w:t>
      </w:r>
      <w:r>
        <w:rPr/>
        <w:t>parents</w:t>
      </w:r>
      <w:r>
        <w:rPr>
          <w:spacing w:val="-4"/>
        </w:rPr>
        <w:t> </w:t>
      </w:r>
      <w:r>
        <w:rPr/>
        <w:t>plan</w:t>
      </w:r>
      <w:r>
        <w:rPr>
          <w:spacing w:val="-4"/>
        </w:rPr>
        <w:t> </w:t>
      </w:r>
      <w:r>
        <w:rPr/>
        <w:t>in</w:t>
      </w:r>
      <w:r>
        <w:rPr>
          <w:spacing w:val="-4"/>
        </w:rPr>
        <w:t> </w:t>
      </w:r>
      <w:r>
        <w:rPr/>
        <w:t>an affirmative way for the unique life challenges that they may face as parents of an LGBTQI+ child.</w:t>
      </w:r>
    </w:p>
    <w:p>
      <w:pPr>
        <w:pStyle w:val="BodyText"/>
        <w:spacing w:before="165"/>
        <w:ind w:left="280" w:right="502"/>
      </w:pPr>
      <w:r>
        <w:rPr/>
        <w:t>Further, behavioral health providers can address other stresses, such as managing</w:t>
      </w:r>
      <w:r>
        <w:rPr>
          <w:spacing w:val="-4"/>
        </w:rPr>
        <w:t> </w:t>
      </w:r>
      <w:r>
        <w:rPr/>
        <w:t>life</w:t>
      </w:r>
      <w:r>
        <w:rPr>
          <w:spacing w:val="-5"/>
        </w:rPr>
        <w:t> </w:t>
      </w:r>
      <w:r>
        <w:rPr/>
        <w:t>celebrations</w:t>
      </w:r>
      <w:r>
        <w:rPr>
          <w:spacing w:val="-4"/>
        </w:rPr>
        <w:t> </w:t>
      </w:r>
      <w:r>
        <w:rPr/>
        <w:t>and</w:t>
      </w:r>
      <w:r>
        <w:rPr>
          <w:spacing w:val="-4"/>
        </w:rPr>
        <w:t> </w:t>
      </w:r>
      <w:r>
        <w:rPr/>
        <w:t>transitions</w:t>
      </w:r>
      <w:r>
        <w:rPr>
          <w:spacing w:val="-4"/>
        </w:rPr>
        <w:t> </w:t>
      </w:r>
      <w:r>
        <w:rPr/>
        <w:t>and</w:t>
      </w:r>
      <w:r>
        <w:rPr>
          <w:spacing w:val="-4"/>
        </w:rPr>
        <w:t> </w:t>
      </w:r>
      <w:r>
        <w:rPr/>
        <w:t>coping</w:t>
      </w:r>
      <w:r>
        <w:rPr>
          <w:spacing w:val="-4"/>
        </w:rPr>
        <w:t> </w:t>
      </w:r>
      <w:r>
        <w:rPr/>
        <w:t>with</w:t>
      </w:r>
      <w:r>
        <w:rPr>
          <w:spacing w:val="-4"/>
        </w:rPr>
        <w:t> </w:t>
      </w:r>
      <w:r>
        <w:rPr/>
        <w:t>feelings</w:t>
      </w:r>
      <w:r>
        <w:rPr>
          <w:spacing w:val="-4"/>
        </w:rPr>
        <w:t> </w:t>
      </w:r>
      <w:r>
        <w:rPr/>
        <w:t>of</w:t>
      </w:r>
      <w:r>
        <w:rPr>
          <w:spacing w:val="-4"/>
        </w:rPr>
        <w:t> </w:t>
      </w:r>
      <w:r>
        <w:rPr/>
        <w:t>loss,</w:t>
      </w:r>
      <w:r>
        <w:rPr>
          <w:spacing w:val="-4"/>
        </w:rPr>
        <w:t> </w:t>
      </w:r>
      <w:r>
        <w:rPr/>
        <w:t>and aid parents in advocating for their children in school situations—for example, when they face bullying or harassment. Groups for multiple families led by behavioral health providers, as well as online groups or forums for parents and caregivers of LGBTQI+ children and adolescents, may be helpful to build connections and share resources.</w:t>
      </w:r>
    </w:p>
    <w:p>
      <w:pPr>
        <w:pStyle w:val="BodyText"/>
        <w:rPr>
          <w:sz w:val="30"/>
        </w:rPr>
      </w:pPr>
    </w:p>
    <w:p>
      <w:pPr>
        <w:pStyle w:val="Heading1"/>
        <w:numPr>
          <w:ilvl w:val="0"/>
          <w:numId w:val="3"/>
        </w:numPr>
        <w:tabs>
          <w:tab w:pos="782" w:val="left" w:leader="none"/>
        </w:tabs>
        <w:spacing w:line="240" w:lineRule="auto" w:before="186" w:after="0"/>
        <w:ind w:left="782" w:right="0" w:hanging="502"/>
        <w:jc w:val="left"/>
      </w:pPr>
      <w:bookmarkStart w:name="_TOC_250001" w:id="9"/>
      <w:bookmarkEnd w:id="9"/>
      <w:r>
        <w:rPr>
          <w:spacing w:val="-2"/>
        </w:rPr>
        <w:t>Terms</w:t>
      </w:r>
    </w:p>
    <w:p>
      <w:pPr>
        <w:pStyle w:val="BodyText"/>
        <w:spacing w:before="4"/>
        <w:rPr>
          <w:b/>
          <w:sz w:val="41"/>
        </w:rPr>
      </w:pPr>
    </w:p>
    <w:p>
      <w:pPr>
        <w:pStyle w:val="BodyText"/>
        <w:ind w:left="280"/>
      </w:pPr>
      <w:r>
        <w:rPr>
          <w:b/>
        </w:rPr>
        <w:t>Agender:</w:t>
      </w:r>
      <w:r>
        <w:rPr>
          <w:b/>
          <w:spacing w:val="-5"/>
        </w:rPr>
        <w:t> </w:t>
      </w:r>
      <w:r>
        <w:rPr/>
        <w:t>Describes</w:t>
      </w:r>
      <w:r>
        <w:rPr>
          <w:spacing w:val="-1"/>
        </w:rPr>
        <w:t> </w:t>
      </w:r>
      <w:r>
        <w:rPr/>
        <w:t>individuals</w:t>
      </w:r>
      <w:r>
        <w:rPr>
          <w:spacing w:val="-1"/>
        </w:rPr>
        <w:t> </w:t>
      </w:r>
      <w:r>
        <w:rPr/>
        <w:t>who</w:t>
      </w:r>
      <w:r>
        <w:rPr>
          <w:spacing w:val="-1"/>
        </w:rPr>
        <w:t> </w:t>
      </w:r>
      <w:r>
        <w:rPr/>
        <w:t>do</w:t>
      </w:r>
      <w:r>
        <w:rPr>
          <w:spacing w:val="-1"/>
        </w:rPr>
        <w:t> </w:t>
      </w:r>
      <w:r>
        <w:rPr/>
        <w:t>not</w:t>
      </w:r>
      <w:r>
        <w:rPr>
          <w:spacing w:val="-1"/>
        </w:rPr>
        <w:t> </w:t>
      </w:r>
      <w:r>
        <w:rPr/>
        <w:t>identify</w:t>
      </w:r>
      <w:r>
        <w:rPr>
          <w:spacing w:val="-1"/>
        </w:rPr>
        <w:t> </w:t>
      </w:r>
      <w:r>
        <w:rPr/>
        <w:t>as</w:t>
      </w:r>
      <w:r>
        <w:rPr>
          <w:spacing w:val="-1"/>
        </w:rPr>
        <w:t> </w:t>
      </w:r>
      <w:r>
        <w:rPr/>
        <w:t>any</w:t>
      </w:r>
      <w:r>
        <w:rPr>
          <w:spacing w:val="-1"/>
        </w:rPr>
        <w:t> </w:t>
      </w:r>
      <w:r>
        <w:rPr>
          <w:spacing w:val="-2"/>
        </w:rPr>
        <w:t>gender.</w:t>
      </w:r>
    </w:p>
    <w:p>
      <w:pPr>
        <w:pStyle w:val="BodyText"/>
        <w:spacing w:before="178"/>
        <w:ind w:left="280" w:right="668"/>
      </w:pPr>
      <w:r>
        <w:rPr>
          <w:b/>
        </w:rPr>
        <w:t>Asexual:</w:t>
      </w:r>
      <w:r>
        <w:rPr>
          <w:b/>
          <w:spacing w:val="-7"/>
        </w:rPr>
        <w:t> </w:t>
      </w:r>
      <w:r>
        <w:rPr/>
        <w:t>Describes</w:t>
      </w:r>
      <w:r>
        <w:rPr>
          <w:spacing w:val="-4"/>
        </w:rPr>
        <w:t> </w:t>
      </w:r>
      <w:r>
        <w:rPr/>
        <w:t>individuals</w:t>
      </w:r>
      <w:r>
        <w:rPr>
          <w:spacing w:val="-4"/>
        </w:rPr>
        <w:t> </w:t>
      </w:r>
      <w:r>
        <w:rPr/>
        <w:t>who</w:t>
      </w:r>
      <w:r>
        <w:rPr>
          <w:spacing w:val="-5"/>
        </w:rPr>
        <w:t> </w:t>
      </w:r>
      <w:r>
        <w:rPr/>
        <w:t>do</w:t>
      </w:r>
      <w:r>
        <w:rPr>
          <w:spacing w:val="-4"/>
        </w:rPr>
        <w:t> </w:t>
      </w:r>
      <w:r>
        <w:rPr/>
        <w:t>not</w:t>
      </w:r>
      <w:r>
        <w:rPr>
          <w:spacing w:val="-4"/>
        </w:rPr>
        <w:t> </w:t>
      </w:r>
      <w:r>
        <w:rPr/>
        <w:t>experience</w:t>
      </w:r>
      <w:r>
        <w:rPr>
          <w:spacing w:val="-5"/>
        </w:rPr>
        <w:t> </w:t>
      </w:r>
      <w:r>
        <w:rPr/>
        <w:t>sexual</w:t>
      </w:r>
      <w:r>
        <w:rPr>
          <w:spacing w:val="-4"/>
        </w:rPr>
        <w:t> </w:t>
      </w:r>
      <w:r>
        <w:rPr/>
        <w:t>attraction.</w:t>
      </w:r>
      <w:r>
        <w:rPr>
          <w:spacing w:val="-18"/>
        </w:rPr>
        <w:t> </w:t>
      </w:r>
      <w:r>
        <w:rPr/>
        <w:t>An individual can also be aromantic, meaning that they do not experience romantic attraction.</w:t>
      </w:r>
    </w:p>
    <w:p>
      <w:pPr>
        <w:pStyle w:val="BodyText"/>
        <w:spacing w:before="175"/>
        <w:ind w:left="280" w:right="638"/>
      </w:pPr>
      <w:r>
        <w:rPr>
          <w:b/>
        </w:rPr>
        <w:t>Behavioral health: </w:t>
      </w:r>
      <w:r>
        <w:rPr/>
        <w:t>A</w:t>
      </w:r>
      <w:r>
        <w:rPr>
          <w:spacing w:val="-8"/>
        </w:rPr>
        <w:t> </w:t>
      </w:r>
      <w:r>
        <w:rPr/>
        <w:t>broad term that includes mental health, resilience, and well-being; the treatment of mental and substance use disorders; and the support</w:t>
      </w:r>
      <w:r>
        <w:rPr>
          <w:spacing w:val="-4"/>
        </w:rPr>
        <w:t> </w:t>
      </w:r>
      <w:r>
        <w:rPr/>
        <w:t>of</w:t>
      </w:r>
      <w:r>
        <w:rPr>
          <w:spacing w:val="-4"/>
        </w:rPr>
        <w:t> </w:t>
      </w:r>
      <w:r>
        <w:rPr/>
        <w:t>those</w:t>
      </w:r>
      <w:r>
        <w:rPr>
          <w:spacing w:val="-5"/>
        </w:rPr>
        <w:t> </w:t>
      </w:r>
      <w:r>
        <w:rPr/>
        <w:t>who</w:t>
      </w:r>
      <w:r>
        <w:rPr>
          <w:spacing w:val="-4"/>
        </w:rPr>
        <w:t> </w:t>
      </w:r>
      <w:r>
        <w:rPr/>
        <w:t>experience</w:t>
      </w:r>
      <w:r>
        <w:rPr>
          <w:spacing w:val="-5"/>
        </w:rPr>
        <w:t> </w:t>
      </w:r>
      <w:r>
        <w:rPr/>
        <w:t>and/or</w:t>
      </w:r>
      <w:r>
        <w:rPr>
          <w:spacing w:val="-4"/>
        </w:rPr>
        <w:t> </w:t>
      </w:r>
      <w:r>
        <w:rPr/>
        <w:t>are</w:t>
      </w:r>
      <w:r>
        <w:rPr>
          <w:spacing w:val="-5"/>
        </w:rPr>
        <w:t> </w:t>
      </w:r>
      <w:r>
        <w:rPr/>
        <w:t>in</w:t>
      </w:r>
      <w:r>
        <w:rPr>
          <w:spacing w:val="-4"/>
        </w:rPr>
        <w:t> </w:t>
      </w:r>
      <w:r>
        <w:rPr/>
        <w:t>recovery</w:t>
      </w:r>
      <w:r>
        <w:rPr>
          <w:spacing w:val="-4"/>
        </w:rPr>
        <w:t> </w:t>
      </w:r>
      <w:r>
        <w:rPr/>
        <w:t>from</w:t>
      </w:r>
      <w:r>
        <w:rPr>
          <w:spacing w:val="-4"/>
        </w:rPr>
        <w:t> </w:t>
      </w:r>
      <w:r>
        <w:rPr/>
        <w:t>these</w:t>
      </w:r>
      <w:r>
        <w:rPr>
          <w:spacing w:val="-5"/>
        </w:rPr>
        <w:t> </w:t>
      </w:r>
      <w:r>
        <w:rPr/>
        <w:t>conditions, along with their families and communities.</w:t>
      </w:r>
    </w:p>
    <w:p>
      <w:pPr>
        <w:pStyle w:val="BodyText"/>
        <w:spacing w:before="172"/>
        <w:ind w:left="280" w:right="502"/>
      </w:pPr>
      <w:r>
        <w:rPr>
          <w:b/>
        </w:rPr>
        <w:t>Behavioral health provider: </w:t>
      </w:r>
      <w:r>
        <w:rPr/>
        <w:t>A</w:t>
      </w:r>
      <w:r>
        <w:rPr>
          <w:spacing w:val="-5"/>
        </w:rPr>
        <w:t> </w:t>
      </w:r>
      <w:r>
        <w:rPr/>
        <w:t>broad term used here to describe individuals across</w:t>
      </w:r>
      <w:r>
        <w:rPr>
          <w:spacing w:val="-3"/>
        </w:rPr>
        <w:t> </w:t>
      </w:r>
      <w:r>
        <w:rPr/>
        <w:t>settings</w:t>
      </w:r>
      <w:r>
        <w:rPr>
          <w:spacing w:val="-3"/>
        </w:rPr>
        <w:t> </w:t>
      </w:r>
      <w:r>
        <w:rPr/>
        <w:t>and</w:t>
      </w:r>
      <w:r>
        <w:rPr>
          <w:spacing w:val="-3"/>
        </w:rPr>
        <w:t> </w:t>
      </w:r>
      <w:r>
        <w:rPr/>
        <w:t>disciplines</w:t>
      </w:r>
      <w:r>
        <w:rPr>
          <w:spacing w:val="-3"/>
        </w:rPr>
        <w:t> </w:t>
      </w:r>
      <w:r>
        <w:rPr/>
        <w:t>who</w:t>
      </w:r>
      <w:r>
        <w:rPr>
          <w:spacing w:val="-3"/>
        </w:rPr>
        <w:t> </w:t>
      </w:r>
      <w:r>
        <w:rPr/>
        <w:t>are</w:t>
      </w:r>
      <w:r>
        <w:rPr>
          <w:spacing w:val="-4"/>
        </w:rPr>
        <w:t> </w:t>
      </w:r>
      <w:r>
        <w:rPr/>
        <w:t>engaged</w:t>
      </w:r>
      <w:r>
        <w:rPr>
          <w:spacing w:val="-3"/>
        </w:rPr>
        <w:t> </w:t>
      </w:r>
      <w:r>
        <w:rPr/>
        <w:t>in</w:t>
      </w:r>
      <w:r>
        <w:rPr>
          <w:spacing w:val="-3"/>
        </w:rPr>
        <w:t> </w:t>
      </w:r>
      <w:r>
        <w:rPr/>
        <w:t>the</w:t>
      </w:r>
      <w:r>
        <w:rPr>
          <w:spacing w:val="-4"/>
        </w:rPr>
        <w:t> </w:t>
      </w:r>
      <w:r>
        <w:rPr/>
        <w:t>provision</w:t>
      </w:r>
      <w:r>
        <w:rPr>
          <w:spacing w:val="-3"/>
        </w:rPr>
        <w:t> </w:t>
      </w:r>
      <w:r>
        <w:rPr/>
        <w:t>of</w:t>
      </w:r>
      <w:r>
        <w:rPr>
          <w:spacing w:val="-3"/>
        </w:rPr>
        <w:t> </w:t>
      </w:r>
      <w:r>
        <w:rPr/>
        <w:t>care</w:t>
      </w:r>
      <w:r>
        <w:rPr>
          <w:spacing w:val="-4"/>
        </w:rPr>
        <w:t> </w:t>
      </w:r>
      <w:r>
        <w:rPr/>
        <w:t>and/or support related to behavioral health. Behavioral health providers include both licensed and non-licensed professionals, including mental health counselors, marriage and family therapists, pastoral counselors, psychiatrists, psychologists,</w:t>
      </w:r>
      <w:r>
        <w:rPr>
          <w:spacing w:val="-5"/>
        </w:rPr>
        <w:t> </w:t>
      </w:r>
      <w:r>
        <w:rPr/>
        <w:t>psychiatric</w:t>
      </w:r>
      <w:r>
        <w:rPr>
          <w:spacing w:val="-6"/>
        </w:rPr>
        <w:t> </w:t>
      </w:r>
      <w:r>
        <w:rPr/>
        <w:t>nurses,</w:t>
      </w:r>
      <w:r>
        <w:rPr>
          <w:spacing w:val="-5"/>
        </w:rPr>
        <w:t> </w:t>
      </w:r>
      <w:r>
        <w:rPr/>
        <w:t>school</w:t>
      </w:r>
      <w:r>
        <w:rPr>
          <w:spacing w:val="-5"/>
        </w:rPr>
        <w:t> </w:t>
      </w:r>
      <w:r>
        <w:rPr/>
        <w:t>counselors</w:t>
      </w:r>
      <w:r>
        <w:rPr>
          <w:spacing w:val="-5"/>
        </w:rPr>
        <w:t> </w:t>
      </w:r>
      <w:r>
        <w:rPr/>
        <w:t>and</w:t>
      </w:r>
      <w:r>
        <w:rPr>
          <w:spacing w:val="-5"/>
        </w:rPr>
        <w:t> </w:t>
      </w:r>
      <w:r>
        <w:rPr/>
        <w:t>health</w:t>
      </w:r>
      <w:r>
        <w:rPr>
          <w:spacing w:val="-5"/>
        </w:rPr>
        <w:t> </w:t>
      </w:r>
      <w:r>
        <w:rPr/>
        <w:t>providers,</w:t>
      </w:r>
      <w:r>
        <w:rPr>
          <w:spacing w:val="-5"/>
        </w:rPr>
        <w:t> </w:t>
      </w:r>
      <w:r>
        <w:rPr/>
        <w:t>peer support professionals, social workers, substance use counselors, addiction</w:t>
      </w:r>
    </w:p>
    <w:p>
      <w:pPr>
        <w:spacing w:after="0"/>
        <w:sectPr>
          <w:pgSz w:w="12240" w:h="15840"/>
          <w:pgMar w:header="0" w:footer="783" w:top="1260" w:bottom="980" w:left="1400" w:right="1180"/>
        </w:sectPr>
      </w:pPr>
    </w:p>
    <w:p>
      <w:pPr>
        <w:pStyle w:val="BodyText"/>
        <w:spacing w:before="66"/>
        <w:ind w:left="280"/>
      </w:pPr>
      <w:r>
        <w:rPr/>
        <w:t>medicine</w:t>
      </w:r>
      <w:r>
        <w:rPr>
          <w:spacing w:val="-5"/>
        </w:rPr>
        <w:t> </w:t>
      </w:r>
      <w:r>
        <w:rPr/>
        <w:t>specialists,</w:t>
      </w:r>
      <w:r>
        <w:rPr>
          <w:spacing w:val="-4"/>
        </w:rPr>
        <w:t> </w:t>
      </w:r>
      <w:r>
        <w:rPr/>
        <w:t>and</w:t>
      </w:r>
      <w:r>
        <w:rPr>
          <w:spacing w:val="-4"/>
        </w:rPr>
        <w:t> </w:t>
      </w:r>
      <w:r>
        <w:rPr/>
        <w:t>all</w:t>
      </w:r>
      <w:r>
        <w:rPr>
          <w:spacing w:val="-4"/>
        </w:rPr>
        <w:t> </w:t>
      </w:r>
      <w:r>
        <w:rPr/>
        <w:t>staff</w:t>
      </w:r>
      <w:r>
        <w:rPr>
          <w:spacing w:val="-4"/>
        </w:rPr>
        <w:t> </w:t>
      </w:r>
      <w:r>
        <w:rPr/>
        <w:t>of</w:t>
      </w:r>
      <w:r>
        <w:rPr>
          <w:spacing w:val="-4"/>
        </w:rPr>
        <w:t> </w:t>
      </w:r>
      <w:r>
        <w:rPr/>
        <w:t>mental</w:t>
      </w:r>
      <w:r>
        <w:rPr>
          <w:spacing w:val="-4"/>
        </w:rPr>
        <w:t> </w:t>
      </w:r>
      <w:r>
        <w:rPr/>
        <w:t>health</w:t>
      </w:r>
      <w:r>
        <w:rPr>
          <w:spacing w:val="-4"/>
        </w:rPr>
        <w:t> </w:t>
      </w:r>
      <w:r>
        <w:rPr/>
        <w:t>and</w:t>
      </w:r>
      <w:r>
        <w:rPr>
          <w:spacing w:val="-4"/>
        </w:rPr>
        <w:t> </w:t>
      </w:r>
      <w:r>
        <w:rPr/>
        <w:t>substance</w:t>
      </w:r>
      <w:r>
        <w:rPr>
          <w:spacing w:val="-5"/>
        </w:rPr>
        <w:t> </w:t>
      </w:r>
      <w:r>
        <w:rPr/>
        <w:t>use</w:t>
      </w:r>
      <w:r>
        <w:rPr>
          <w:spacing w:val="-5"/>
        </w:rPr>
        <w:t> </w:t>
      </w:r>
      <w:r>
        <w:rPr/>
        <w:t>treatment </w:t>
      </w:r>
      <w:r>
        <w:rPr>
          <w:spacing w:val="-2"/>
        </w:rPr>
        <w:t>facilities.</w:t>
      </w:r>
    </w:p>
    <w:p>
      <w:pPr>
        <w:pStyle w:val="BodyText"/>
        <w:spacing w:before="176"/>
        <w:ind w:left="280" w:right="499"/>
      </w:pPr>
      <w:r>
        <w:rPr>
          <w:b/>
        </w:rPr>
        <w:t>Bisexual: </w:t>
      </w:r>
      <w:r>
        <w:rPr/>
        <w:t>Describes an individual who has the capacity to form enduring physical,</w:t>
      </w:r>
      <w:r>
        <w:rPr>
          <w:spacing w:val="-4"/>
        </w:rPr>
        <w:t> </w:t>
      </w:r>
      <w:r>
        <w:rPr/>
        <w:t>romantic,</w:t>
      </w:r>
      <w:r>
        <w:rPr>
          <w:spacing w:val="-4"/>
        </w:rPr>
        <w:t> </w:t>
      </w:r>
      <w:r>
        <w:rPr/>
        <w:t>and/or</w:t>
      </w:r>
      <w:r>
        <w:rPr>
          <w:spacing w:val="-4"/>
        </w:rPr>
        <w:t> </w:t>
      </w:r>
      <w:r>
        <w:rPr/>
        <w:t>emotional</w:t>
      </w:r>
      <w:r>
        <w:rPr>
          <w:spacing w:val="-4"/>
        </w:rPr>
        <w:t> </w:t>
      </w:r>
      <w:r>
        <w:rPr/>
        <w:t>attractions</w:t>
      </w:r>
      <w:r>
        <w:rPr>
          <w:spacing w:val="-4"/>
        </w:rPr>
        <w:t> </w:t>
      </w:r>
      <w:r>
        <w:rPr/>
        <w:t>to</w:t>
      </w:r>
      <w:r>
        <w:rPr>
          <w:spacing w:val="-4"/>
        </w:rPr>
        <w:t> </w:t>
      </w:r>
      <w:r>
        <w:rPr/>
        <w:t>those</w:t>
      </w:r>
      <w:r>
        <w:rPr>
          <w:spacing w:val="-5"/>
        </w:rPr>
        <w:t> </w:t>
      </w:r>
      <w:r>
        <w:rPr/>
        <w:t>of</w:t>
      </w:r>
      <w:r>
        <w:rPr>
          <w:spacing w:val="-4"/>
        </w:rPr>
        <w:t> </w:t>
      </w:r>
      <w:r>
        <w:rPr/>
        <w:t>the</w:t>
      </w:r>
      <w:r>
        <w:rPr>
          <w:spacing w:val="-5"/>
        </w:rPr>
        <w:t> </w:t>
      </w:r>
      <w:r>
        <w:rPr/>
        <w:t>same</w:t>
      </w:r>
      <w:r>
        <w:rPr>
          <w:spacing w:val="-5"/>
        </w:rPr>
        <w:t> </w:t>
      </w:r>
      <w:r>
        <w:rPr/>
        <w:t>gender</w:t>
      </w:r>
      <w:r>
        <w:rPr>
          <w:spacing w:val="-4"/>
        </w:rPr>
        <w:t> </w:t>
      </w:r>
      <w:r>
        <w:rPr/>
        <w:t>or to those of another gender.</w:t>
      </w:r>
    </w:p>
    <w:p>
      <w:pPr>
        <w:pStyle w:val="BodyText"/>
        <w:spacing w:before="174"/>
        <w:ind w:left="280" w:right="668"/>
      </w:pPr>
      <w:r>
        <w:rPr>
          <w:b/>
        </w:rPr>
        <w:t>Cisgender:</w:t>
      </w:r>
      <w:r>
        <w:rPr>
          <w:b/>
          <w:spacing w:val="-6"/>
        </w:rPr>
        <w:t> </w:t>
      </w:r>
      <w:r>
        <w:rPr/>
        <w:t>Describes</w:t>
      </w:r>
      <w:r>
        <w:rPr>
          <w:spacing w:val="-5"/>
        </w:rPr>
        <w:t> </w:t>
      </w:r>
      <w:r>
        <w:rPr/>
        <w:t>individuals</w:t>
      </w:r>
      <w:r>
        <w:rPr>
          <w:spacing w:val="-5"/>
        </w:rPr>
        <w:t> </w:t>
      </w:r>
      <w:r>
        <w:rPr/>
        <w:t>whose</w:t>
      </w:r>
      <w:r>
        <w:rPr>
          <w:spacing w:val="-6"/>
        </w:rPr>
        <w:t> </w:t>
      </w:r>
      <w:r>
        <w:rPr/>
        <w:t>gender</w:t>
      </w:r>
      <w:r>
        <w:rPr>
          <w:spacing w:val="-5"/>
        </w:rPr>
        <w:t> </w:t>
      </w:r>
      <w:r>
        <w:rPr/>
        <w:t>identity</w:t>
      </w:r>
      <w:r>
        <w:rPr>
          <w:spacing w:val="-5"/>
        </w:rPr>
        <w:t> </w:t>
      </w:r>
      <w:r>
        <w:rPr/>
        <w:t>is</w:t>
      </w:r>
      <w:r>
        <w:rPr>
          <w:spacing w:val="-5"/>
        </w:rPr>
        <w:t> </w:t>
      </w:r>
      <w:r>
        <w:rPr/>
        <w:t>congruent</w:t>
      </w:r>
      <w:r>
        <w:rPr>
          <w:spacing w:val="-5"/>
        </w:rPr>
        <w:t> </w:t>
      </w:r>
      <w:r>
        <w:rPr/>
        <w:t>with their sex assigned at birth.</w:t>
      </w:r>
    </w:p>
    <w:p>
      <w:pPr>
        <w:pStyle w:val="BodyText"/>
        <w:spacing w:before="176"/>
        <w:ind w:left="280" w:right="499"/>
      </w:pPr>
      <w:r>
        <w:rPr>
          <w:b/>
        </w:rPr>
        <w:t>Developmentally sensitive approaches: </w:t>
      </w:r>
      <w:r>
        <w:rPr/>
        <w:t>Clinical and educational approaches that</w:t>
      </w:r>
      <w:r>
        <w:rPr>
          <w:spacing w:val="-4"/>
        </w:rPr>
        <w:t> </w:t>
      </w:r>
      <w:r>
        <w:rPr/>
        <w:t>account</w:t>
      </w:r>
      <w:r>
        <w:rPr>
          <w:spacing w:val="-4"/>
        </w:rPr>
        <w:t> </w:t>
      </w:r>
      <w:r>
        <w:rPr/>
        <w:t>for</w:t>
      </w:r>
      <w:r>
        <w:rPr>
          <w:spacing w:val="-4"/>
        </w:rPr>
        <w:t> </w:t>
      </w:r>
      <w:r>
        <w:rPr/>
        <w:t>the</w:t>
      </w:r>
      <w:r>
        <w:rPr>
          <w:spacing w:val="-5"/>
        </w:rPr>
        <w:t> </w:t>
      </w:r>
      <w:r>
        <w:rPr/>
        <w:t>appropriate</w:t>
      </w:r>
      <w:r>
        <w:rPr>
          <w:spacing w:val="-5"/>
        </w:rPr>
        <w:t> </w:t>
      </w:r>
      <w:r>
        <w:rPr/>
        <w:t>developing</w:t>
      </w:r>
      <w:r>
        <w:rPr>
          <w:spacing w:val="-4"/>
        </w:rPr>
        <w:t> </w:t>
      </w:r>
      <w:r>
        <w:rPr/>
        <w:t>emotional</w:t>
      </w:r>
      <w:r>
        <w:rPr>
          <w:spacing w:val="-4"/>
        </w:rPr>
        <w:t> </w:t>
      </w:r>
      <w:r>
        <w:rPr/>
        <w:t>and</w:t>
      </w:r>
      <w:r>
        <w:rPr>
          <w:spacing w:val="-4"/>
        </w:rPr>
        <w:t> </w:t>
      </w:r>
      <w:r>
        <w:rPr/>
        <w:t>cognitive</w:t>
      </w:r>
      <w:r>
        <w:rPr>
          <w:spacing w:val="-5"/>
        </w:rPr>
        <w:t> </w:t>
      </w:r>
      <w:r>
        <w:rPr/>
        <w:t>capacities, developmental milestones, and emerging or existing behavioral health </w:t>
      </w:r>
      <w:r>
        <w:rPr>
          <w:spacing w:val="-2"/>
        </w:rPr>
        <w:t>concerns.</w:t>
      </w:r>
    </w:p>
    <w:p>
      <w:pPr>
        <w:pStyle w:val="BodyText"/>
        <w:spacing w:line="237" w:lineRule="auto"/>
        <w:ind w:left="280" w:right="581"/>
      </w:pPr>
      <w:r>
        <w:rPr>
          <w:b/>
        </w:rPr>
        <w:t>Diverse sexual orientation and/or gender identity: </w:t>
      </w:r>
      <w:r>
        <w:rPr/>
        <w:t>A</w:t>
      </w:r>
      <w:r>
        <w:rPr>
          <w:spacing w:val="-3"/>
        </w:rPr>
        <w:t> </w:t>
      </w:r>
      <w:r>
        <w:rPr/>
        <w:t>term to describe persons</w:t>
      </w:r>
      <w:r>
        <w:rPr>
          <w:spacing w:val="-8"/>
        </w:rPr>
        <w:t> </w:t>
      </w:r>
      <w:r>
        <w:rPr/>
        <w:t>who</w:t>
      </w:r>
      <w:r>
        <w:rPr>
          <w:spacing w:val="-8"/>
        </w:rPr>
        <w:t> </w:t>
      </w:r>
      <w:r>
        <w:rPr/>
        <w:t>are</w:t>
      </w:r>
      <w:r>
        <w:rPr>
          <w:spacing w:val="-9"/>
        </w:rPr>
        <w:t> </w:t>
      </w:r>
      <w:r>
        <w:rPr/>
        <w:t>lesbian,</w:t>
      </w:r>
      <w:r>
        <w:rPr>
          <w:spacing w:val="-8"/>
        </w:rPr>
        <w:t> </w:t>
      </w:r>
      <w:r>
        <w:rPr/>
        <w:t>gay,</w:t>
      </w:r>
      <w:r>
        <w:rPr>
          <w:spacing w:val="-8"/>
        </w:rPr>
        <w:t> </w:t>
      </w:r>
      <w:r>
        <w:rPr/>
        <w:t>bisexual,</w:t>
      </w:r>
      <w:r>
        <w:rPr>
          <w:spacing w:val="-8"/>
        </w:rPr>
        <w:t> </w:t>
      </w:r>
      <w:r>
        <w:rPr/>
        <w:t>transgender,</w:t>
      </w:r>
      <w:r>
        <w:rPr>
          <w:spacing w:val="-8"/>
        </w:rPr>
        <w:t> </w:t>
      </w:r>
      <w:r>
        <w:rPr/>
        <w:t>queer,</w:t>
      </w:r>
      <w:r>
        <w:rPr>
          <w:spacing w:val="-8"/>
        </w:rPr>
        <w:t> </w:t>
      </w:r>
      <w:r>
        <w:rPr/>
        <w:t>intersex,</w:t>
      </w:r>
      <w:r>
        <w:rPr>
          <w:spacing w:val="-8"/>
        </w:rPr>
        <w:t> </w:t>
      </w:r>
      <w:r>
        <w:rPr/>
        <w:t>those</w:t>
      </w:r>
      <w:r>
        <w:rPr>
          <w:spacing w:val="-9"/>
        </w:rPr>
        <w:t> </w:t>
      </w:r>
      <w:r>
        <w:rPr/>
        <w:t>who are questioning their sexual orientation or gender identity, and others who are not cisgender or straight/heterosexual. Diverse sexual orientation and/or gender identity is used interchangeably with “LGBTQI+” and “sexual and/or gender minority” (or similar language) throughout this report.</w:t>
      </w:r>
    </w:p>
    <w:p>
      <w:pPr>
        <w:pStyle w:val="BodyText"/>
        <w:ind w:left="280"/>
      </w:pPr>
      <w:r>
        <w:rPr>
          <w:b/>
        </w:rPr>
        <w:t>Fa</w:t>
      </w:r>
      <w:r>
        <w:rPr/>
        <w:t>’</w:t>
      </w:r>
      <w:r>
        <w:rPr>
          <w:b/>
        </w:rPr>
        <w:t>afafine:</w:t>
      </w:r>
      <w:r>
        <w:rPr>
          <w:b/>
          <w:spacing w:val="-5"/>
        </w:rPr>
        <w:t> </w:t>
      </w:r>
      <w:r>
        <w:rPr/>
        <w:t>Describes</w:t>
      </w:r>
      <w:r>
        <w:rPr>
          <w:spacing w:val="-4"/>
        </w:rPr>
        <w:t> </w:t>
      </w:r>
      <w:r>
        <w:rPr/>
        <w:t>individuals</w:t>
      </w:r>
      <w:r>
        <w:rPr>
          <w:spacing w:val="-4"/>
        </w:rPr>
        <w:t> </w:t>
      </w:r>
      <w:r>
        <w:rPr/>
        <w:t>assigned</w:t>
      </w:r>
      <w:r>
        <w:rPr>
          <w:spacing w:val="-4"/>
        </w:rPr>
        <w:t> </w:t>
      </w:r>
      <w:r>
        <w:rPr/>
        <w:t>male</w:t>
      </w:r>
      <w:r>
        <w:rPr>
          <w:spacing w:val="-5"/>
        </w:rPr>
        <w:t> </w:t>
      </w:r>
      <w:r>
        <w:rPr/>
        <w:t>sex</w:t>
      </w:r>
      <w:r>
        <w:rPr>
          <w:spacing w:val="-4"/>
        </w:rPr>
        <w:t> </w:t>
      </w:r>
      <w:r>
        <w:rPr/>
        <w:t>at</w:t>
      </w:r>
      <w:r>
        <w:rPr>
          <w:spacing w:val="-4"/>
        </w:rPr>
        <w:t> </w:t>
      </w:r>
      <w:r>
        <w:rPr/>
        <w:t>birth</w:t>
      </w:r>
      <w:r>
        <w:rPr>
          <w:spacing w:val="-4"/>
        </w:rPr>
        <w:t> </w:t>
      </w:r>
      <w:r>
        <w:rPr/>
        <w:t>who</w:t>
      </w:r>
      <w:r>
        <w:rPr>
          <w:spacing w:val="-4"/>
        </w:rPr>
        <w:t> </w:t>
      </w:r>
      <w:r>
        <w:rPr/>
        <w:t>identify themselves as having a third gender or nonbinary in Samoan culture.</w:t>
      </w:r>
    </w:p>
    <w:p>
      <w:pPr>
        <w:pStyle w:val="BodyText"/>
        <w:spacing w:before="266"/>
        <w:ind w:left="280" w:right="502"/>
      </w:pPr>
      <w:r>
        <w:rPr>
          <w:b/>
        </w:rPr>
        <w:t>Gay:</w:t>
      </w:r>
      <w:r>
        <w:rPr>
          <w:b/>
          <w:spacing w:val="-6"/>
        </w:rPr>
        <w:t> </w:t>
      </w:r>
      <w:r>
        <w:rPr/>
        <w:t>Describes</w:t>
      </w:r>
      <w:r>
        <w:rPr>
          <w:spacing w:val="-6"/>
        </w:rPr>
        <w:t> </w:t>
      </w:r>
      <w:r>
        <w:rPr/>
        <w:t>individuals</w:t>
      </w:r>
      <w:r>
        <w:rPr>
          <w:spacing w:val="-6"/>
        </w:rPr>
        <w:t> </w:t>
      </w:r>
      <w:r>
        <w:rPr/>
        <w:t>whose</w:t>
      </w:r>
      <w:r>
        <w:rPr>
          <w:spacing w:val="-7"/>
        </w:rPr>
        <w:t> </w:t>
      </w:r>
      <w:r>
        <w:rPr/>
        <w:t>enduring</w:t>
      </w:r>
      <w:r>
        <w:rPr>
          <w:spacing w:val="-6"/>
        </w:rPr>
        <w:t> </w:t>
      </w:r>
      <w:r>
        <w:rPr/>
        <w:t>physical,</w:t>
      </w:r>
      <w:r>
        <w:rPr>
          <w:spacing w:val="-6"/>
        </w:rPr>
        <w:t> </w:t>
      </w:r>
      <w:r>
        <w:rPr/>
        <w:t>romantic,</w:t>
      </w:r>
      <w:r>
        <w:rPr>
          <w:spacing w:val="-6"/>
        </w:rPr>
        <w:t> </w:t>
      </w:r>
      <w:r>
        <w:rPr/>
        <w:t>and/or emotional attractions are to people of the same gender.</w:t>
      </w:r>
    </w:p>
    <w:p>
      <w:pPr>
        <w:pStyle w:val="BodyText"/>
        <w:spacing w:before="266"/>
        <w:ind w:left="280" w:right="672"/>
      </w:pPr>
      <w:r>
        <w:rPr>
          <w:b/>
        </w:rPr>
        <w:t>Gender-affirming</w:t>
      </w:r>
      <w:r>
        <w:rPr>
          <w:b/>
          <w:spacing w:val="-4"/>
        </w:rPr>
        <w:t> </w:t>
      </w:r>
      <w:r>
        <w:rPr>
          <w:b/>
        </w:rPr>
        <w:t>care:</w:t>
      </w:r>
      <w:r>
        <w:rPr>
          <w:b/>
          <w:spacing w:val="-4"/>
        </w:rPr>
        <w:t> </w:t>
      </w:r>
      <w:r>
        <w:rPr/>
        <w:t>A</w:t>
      </w:r>
      <w:r>
        <w:rPr>
          <w:spacing w:val="-18"/>
        </w:rPr>
        <w:t> </w:t>
      </w:r>
      <w:r>
        <w:rPr/>
        <w:t>specialized</w:t>
      </w:r>
      <w:r>
        <w:rPr>
          <w:spacing w:val="-3"/>
        </w:rPr>
        <w:t> </w:t>
      </w:r>
      <w:r>
        <w:rPr/>
        <w:t>model</w:t>
      </w:r>
      <w:r>
        <w:rPr>
          <w:spacing w:val="-3"/>
        </w:rPr>
        <w:t> </w:t>
      </w:r>
      <w:r>
        <w:rPr/>
        <w:t>of</w:t>
      </w:r>
      <w:r>
        <w:rPr>
          <w:spacing w:val="-3"/>
        </w:rPr>
        <w:t> </w:t>
      </w:r>
      <w:r>
        <w:rPr/>
        <w:t>care</w:t>
      </w:r>
      <w:r>
        <w:rPr>
          <w:spacing w:val="-4"/>
        </w:rPr>
        <w:t> </w:t>
      </w:r>
      <w:r>
        <w:rPr/>
        <w:t>used</w:t>
      </w:r>
      <w:r>
        <w:rPr>
          <w:spacing w:val="-3"/>
        </w:rPr>
        <w:t> </w:t>
      </w:r>
      <w:r>
        <w:rPr/>
        <w:t>in</w:t>
      </w:r>
      <w:r>
        <w:rPr>
          <w:spacing w:val="-3"/>
        </w:rPr>
        <w:t> </w:t>
      </w:r>
      <w:r>
        <w:rPr/>
        <w:t>the</w:t>
      </w:r>
      <w:r>
        <w:rPr>
          <w:spacing w:val="-4"/>
        </w:rPr>
        <w:t> </w:t>
      </w:r>
      <w:r>
        <w:rPr/>
        <w:t>treatment</w:t>
      </w:r>
      <w:r>
        <w:rPr>
          <w:spacing w:val="-3"/>
        </w:rPr>
        <w:t> </w:t>
      </w:r>
      <w:r>
        <w:rPr/>
        <w:t>of gender dysphoria that uses evidence-informed treatment options to promote patient health and prevent the risk of poor mental and physical health outcomes. Not all youth need to undergo medical intervention; indeed, this is often</w:t>
      </w:r>
      <w:r>
        <w:rPr>
          <w:spacing w:val="-5"/>
        </w:rPr>
        <w:t> </w:t>
      </w:r>
      <w:r>
        <w:rPr/>
        <w:t>not</w:t>
      </w:r>
      <w:r>
        <w:rPr>
          <w:spacing w:val="-5"/>
        </w:rPr>
        <w:t> </w:t>
      </w:r>
      <w:r>
        <w:rPr/>
        <w:t>the</w:t>
      </w:r>
      <w:r>
        <w:rPr>
          <w:spacing w:val="-6"/>
        </w:rPr>
        <w:t> </w:t>
      </w:r>
      <w:r>
        <w:rPr/>
        <w:t>case.</w:t>
      </w:r>
      <w:r>
        <w:rPr>
          <w:spacing w:val="-5"/>
        </w:rPr>
        <w:t> </w:t>
      </w:r>
      <w:r>
        <w:rPr/>
        <w:t>Gender-affirming</w:t>
      </w:r>
      <w:r>
        <w:rPr>
          <w:spacing w:val="-5"/>
        </w:rPr>
        <w:t> </w:t>
      </w:r>
      <w:r>
        <w:rPr/>
        <w:t>care</w:t>
      </w:r>
      <w:r>
        <w:rPr>
          <w:spacing w:val="-6"/>
        </w:rPr>
        <w:t> </w:t>
      </w:r>
      <w:r>
        <w:rPr/>
        <w:t>is</w:t>
      </w:r>
      <w:r>
        <w:rPr>
          <w:spacing w:val="-5"/>
        </w:rPr>
        <w:t> </w:t>
      </w:r>
      <w:r>
        <w:rPr/>
        <w:t>highly</w:t>
      </w:r>
      <w:r>
        <w:rPr>
          <w:spacing w:val="-5"/>
        </w:rPr>
        <w:t> </w:t>
      </w:r>
      <w:r>
        <w:rPr/>
        <w:t>individualized</w:t>
      </w:r>
      <w:r>
        <w:rPr>
          <w:spacing w:val="-5"/>
        </w:rPr>
        <w:t> </w:t>
      </w:r>
      <w:r>
        <w:rPr/>
        <w:t>and</w:t>
      </w:r>
      <w:r>
        <w:rPr>
          <w:spacing w:val="-5"/>
        </w:rPr>
        <w:t> </w:t>
      </w:r>
      <w:r>
        <w:rPr/>
        <w:t>focuses on the needs of each individual. Gender-affirming care may include psychoeducation about gender and sexuality (appropriate to the age and developmental level), parental and family support, social interventions, and gender-affirming medical interventions.</w:t>
      </w:r>
    </w:p>
    <w:p>
      <w:pPr>
        <w:pStyle w:val="BodyText"/>
        <w:spacing w:before="252"/>
        <w:ind w:left="280" w:right="502"/>
      </w:pPr>
      <w:r>
        <w:rPr>
          <w:b/>
        </w:rPr>
        <w:t>Gender diverse: </w:t>
      </w:r>
      <w:r>
        <w:rPr/>
        <w:t>A</w:t>
      </w:r>
      <w:r>
        <w:rPr>
          <w:spacing w:val="-4"/>
        </w:rPr>
        <w:t> </w:t>
      </w:r>
      <w:r>
        <w:rPr/>
        <w:t>broad term that includes individuals whose gender identities and/or gender expressions are incongruent with those culturally expected</w:t>
      </w:r>
      <w:r>
        <w:rPr>
          <w:spacing w:val="-3"/>
        </w:rPr>
        <w:t> </w:t>
      </w:r>
      <w:r>
        <w:rPr/>
        <w:t>based</w:t>
      </w:r>
      <w:r>
        <w:rPr>
          <w:spacing w:val="-3"/>
        </w:rPr>
        <w:t> </w:t>
      </w:r>
      <w:r>
        <w:rPr/>
        <w:t>on</w:t>
      </w:r>
      <w:r>
        <w:rPr>
          <w:spacing w:val="-3"/>
        </w:rPr>
        <w:t> </w:t>
      </w:r>
      <w:r>
        <w:rPr/>
        <w:t>sex</w:t>
      </w:r>
      <w:r>
        <w:rPr>
          <w:spacing w:val="-3"/>
        </w:rPr>
        <w:t> </w:t>
      </w:r>
      <w:r>
        <w:rPr/>
        <w:t>assigned</w:t>
      </w:r>
      <w:r>
        <w:rPr>
          <w:spacing w:val="-3"/>
        </w:rPr>
        <w:t> </w:t>
      </w:r>
      <w:r>
        <w:rPr/>
        <w:t>at</w:t>
      </w:r>
      <w:r>
        <w:rPr>
          <w:spacing w:val="-3"/>
        </w:rPr>
        <w:t> </w:t>
      </w:r>
      <w:r>
        <w:rPr/>
        <w:t>birth.</w:t>
      </w:r>
      <w:r>
        <w:rPr>
          <w:spacing w:val="-9"/>
        </w:rPr>
        <w:t> </w:t>
      </w:r>
      <w:r>
        <w:rPr/>
        <w:t>This</w:t>
      </w:r>
      <w:r>
        <w:rPr>
          <w:spacing w:val="-3"/>
        </w:rPr>
        <w:t> </w:t>
      </w:r>
      <w:r>
        <w:rPr/>
        <w:t>includes</w:t>
      </w:r>
      <w:r>
        <w:rPr>
          <w:spacing w:val="-3"/>
        </w:rPr>
        <w:t> </w:t>
      </w:r>
      <w:r>
        <w:rPr/>
        <w:t>those</w:t>
      </w:r>
      <w:r>
        <w:rPr>
          <w:spacing w:val="-4"/>
        </w:rPr>
        <w:t> </w:t>
      </w:r>
      <w:r>
        <w:rPr/>
        <w:t>who</w:t>
      </w:r>
      <w:r>
        <w:rPr>
          <w:spacing w:val="-3"/>
        </w:rPr>
        <w:t> </w:t>
      </w:r>
      <w:r>
        <w:rPr/>
        <w:t>are</w:t>
      </w:r>
      <w:r>
        <w:rPr>
          <w:spacing w:val="-4"/>
        </w:rPr>
        <w:t> </w:t>
      </w:r>
      <w:r>
        <w:rPr/>
        <w:t>exploring their gender and is used interchangeably with “gender minority.”</w:t>
      </w:r>
    </w:p>
    <w:p>
      <w:pPr>
        <w:pStyle w:val="BodyText"/>
        <w:spacing w:before="172"/>
        <w:ind w:left="280" w:right="502"/>
      </w:pPr>
      <w:r>
        <w:rPr>
          <w:b/>
        </w:rPr>
        <w:t>Gender</w:t>
      </w:r>
      <w:r>
        <w:rPr>
          <w:b/>
          <w:spacing w:val="-12"/>
        </w:rPr>
        <w:t> </w:t>
      </w:r>
      <w:r>
        <w:rPr>
          <w:b/>
        </w:rPr>
        <w:t>expression:</w:t>
      </w:r>
      <w:r>
        <w:rPr>
          <w:b/>
          <w:spacing w:val="-6"/>
        </w:rPr>
        <w:t> </w:t>
      </w:r>
      <w:r>
        <w:rPr/>
        <w:t>The</w:t>
      </w:r>
      <w:r>
        <w:rPr>
          <w:spacing w:val="-7"/>
        </w:rPr>
        <w:t> </w:t>
      </w:r>
      <w:r>
        <w:rPr/>
        <w:t>external</w:t>
      </w:r>
      <w:r>
        <w:rPr>
          <w:spacing w:val="-6"/>
        </w:rPr>
        <w:t> </w:t>
      </w:r>
      <w:r>
        <w:rPr/>
        <w:t>ways</w:t>
      </w:r>
      <w:r>
        <w:rPr>
          <w:spacing w:val="-6"/>
        </w:rPr>
        <w:t> </w:t>
      </w:r>
      <w:r>
        <w:rPr/>
        <w:t>a</w:t>
      </w:r>
      <w:r>
        <w:rPr>
          <w:spacing w:val="-7"/>
        </w:rPr>
        <w:t> </w:t>
      </w:r>
      <w:r>
        <w:rPr/>
        <w:t>person</w:t>
      </w:r>
      <w:r>
        <w:rPr>
          <w:spacing w:val="-6"/>
        </w:rPr>
        <w:t> </w:t>
      </w:r>
      <w:r>
        <w:rPr/>
        <w:t>communicates</w:t>
      </w:r>
      <w:r>
        <w:rPr>
          <w:spacing w:val="-6"/>
        </w:rPr>
        <w:t> </w:t>
      </w:r>
      <w:r>
        <w:rPr/>
        <w:t>their</w:t>
      </w:r>
      <w:r>
        <w:rPr>
          <w:spacing w:val="-6"/>
        </w:rPr>
        <w:t> </w:t>
      </w:r>
      <w:r>
        <w:rPr/>
        <w:t>gender, such as clothing, hair, mannerisms, activities, or social roles.</w:t>
      </w:r>
    </w:p>
    <w:p>
      <w:pPr>
        <w:spacing w:after="0"/>
        <w:sectPr>
          <w:pgSz w:w="12240" w:h="15840"/>
          <w:pgMar w:header="0" w:footer="783" w:top="1260" w:bottom="980" w:left="1400" w:right="1180"/>
        </w:sectPr>
      </w:pPr>
    </w:p>
    <w:p>
      <w:pPr>
        <w:pStyle w:val="BodyText"/>
        <w:spacing w:before="66"/>
        <w:ind w:left="280" w:right="502"/>
      </w:pPr>
      <w:r>
        <w:rPr>
          <w:b/>
        </w:rPr>
        <w:t>Gender</w:t>
      </w:r>
      <w:r>
        <w:rPr>
          <w:b/>
          <w:spacing w:val="-10"/>
        </w:rPr>
        <w:t> </w:t>
      </w:r>
      <w:r>
        <w:rPr>
          <w:b/>
        </w:rPr>
        <w:t>fluid:</w:t>
      </w:r>
      <w:r>
        <w:rPr>
          <w:b/>
          <w:spacing w:val="-5"/>
        </w:rPr>
        <w:t> </w:t>
      </w:r>
      <w:r>
        <w:rPr/>
        <w:t>A</w:t>
      </w:r>
      <w:r>
        <w:rPr>
          <w:spacing w:val="-18"/>
        </w:rPr>
        <w:t> </w:t>
      </w:r>
      <w:r>
        <w:rPr/>
        <w:t>term</w:t>
      </w:r>
      <w:r>
        <w:rPr>
          <w:spacing w:val="-3"/>
        </w:rPr>
        <w:t> </w:t>
      </w:r>
      <w:r>
        <w:rPr/>
        <w:t>used</w:t>
      </w:r>
      <w:r>
        <w:rPr>
          <w:spacing w:val="-4"/>
        </w:rPr>
        <w:t> </w:t>
      </w:r>
      <w:r>
        <w:rPr/>
        <w:t>to</w:t>
      </w:r>
      <w:r>
        <w:rPr>
          <w:spacing w:val="-4"/>
        </w:rPr>
        <w:t> </w:t>
      </w:r>
      <w:r>
        <w:rPr/>
        <w:t>describe</w:t>
      </w:r>
      <w:r>
        <w:rPr>
          <w:spacing w:val="-5"/>
        </w:rPr>
        <w:t> </w:t>
      </w:r>
      <w:r>
        <w:rPr/>
        <w:t>individuals</w:t>
      </w:r>
      <w:r>
        <w:rPr>
          <w:spacing w:val="-4"/>
        </w:rPr>
        <w:t> </w:t>
      </w:r>
      <w:r>
        <w:rPr/>
        <w:t>whose</w:t>
      </w:r>
      <w:r>
        <w:rPr>
          <w:spacing w:val="-5"/>
        </w:rPr>
        <w:t> </w:t>
      </w:r>
      <w:r>
        <w:rPr/>
        <w:t>gender</w:t>
      </w:r>
      <w:r>
        <w:rPr>
          <w:spacing w:val="-4"/>
        </w:rPr>
        <w:t> </w:t>
      </w:r>
      <w:r>
        <w:rPr/>
        <w:t>changes</w:t>
      </w:r>
      <w:r>
        <w:rPr>
          <w:spacing w:val="-4"/>
        </w:rPr>
        <w:t> </w:t>
      </w:r>
      <w:r>
        <w:rPr/>
        <w:t>over </w:t>
      </w:r>
      <w:r>
        <w:rPr>
          <w:spacing w:val="-2"/>
        </w:rPr>
        <w:t>time.</w:t>
      </w:r>
    </w:p>
    <w:p>
      <w:pPr>
        <w:pStyle w:val="BodyText"/>
        <w:spacing w:before="5"/>
        <w:rPr>
          <w:sz w:val="27"/>
        </w:rPr>
      </w:pPr>
    </w:p>
    <w:p>
      <w:pPr>
        <w:pStyle w:val="BodyText"/>
        <w:ind w:left="280" w:right="502"/>
      </w:pPr>
      <w:r>
        <w:rPr>
          <w:b/>
        </w:rPr>
        <w:t>Gender</w:t>
      </w:r>
      <w:r>
        <w:rPr>
          <w:b/>
          <w:spacing w:val="-13"/>
        </w:rPr>
        <w:t> </w:t>
      </w:r>
      <w:r>
        <w:rPr>
          <w:b/>
        </w:rPr>
        <w:t>identity:</w:t>
      </w:r>
      <w:r>
        <w:rPr>
          <w:b/>
          <w:spacing w:val="-6"/>
        </w:rPr>
        <w:t> </w:t>
      </w:r>
      <w:r>
        <w:rPr/>
        <w:t>A</w:t>
      </w:r>
      <w:r>
        <w:rPr>
          <w:spacing w:val="-18"/>
        </w:rPr>
        <w:t> </w:t>
      </w:r>
      <w:r>
        <w:rPr/>
        <w:t>person’s</w:t>
      </w:r>
      <w:r>
        <w:rPr>
          <w:spacing w:val="-5"/>
        </w:rPr>
        <w:t> </w:t>
      </w:r>
      <w:r>
        <w:rPr/>
        <w:t>deep</w:t>
      </w:r>
      <w:r>
        <w:rPr>
          <w:spacing w:val="-5"/>
        </w:rPr>
        <w:t> </w:t>
      </w:r>
      <w:r>
        <w:rPr/>
        <w:t>internal</w:t>
      </w:r>
      <w:r>
        <w:rPr>
          <w:spacing w:val="-5"/>
        </w:rPr>
        <w:t> </w:t>
      </w:r>
      <w:r>
        <w:rPr/>
        <w:t>sense</w:t>
      </w:r>
      <w:r>
        <w:rPr>
          <w:spacing w:val="-6"/>
        </w:rPr>
        <w:t> </w:t>
      </w:r>
      <w:r>
        <w:rPr/>
        <w:t>of</w:t>
      </w:r>
      <w:r>
        <w:rPr>
          <w:spacing w:val="-5"/>
        </w:rPr>
        <w:t> </w:t>
      </w:r>
      <w:r>
        <w:rPr/>
        <w:t>being</w:t>
      </w:r>
      <w:r>
        <w:rPr>
          <w:spacing w:val="-5"/>
        </w:rPr>
        <w:t> </w:t>
      </w:r>
      <w:r>
        <w:rPr/>
        <w:t>female,</w:t>
      </w:r>
      <w:r>
        <w:rPr>
          <w:spacing w:val="-5"/>
        </w:rPr>
        <w:t> </w:t>
      </w:r>
      <w:r>
        <w:rPr/>
        <w:t>male,</w:t>
      </w:r>
      <w:r>
        <w:rPr>
          <w:spacing w:val="-5"/>
        </w:rPr>
        <w:t> </w:t>
      </w:r>
      <w:r>
        <w:rPr/>
        <w:t>or another identity.</w:t>
      </w:r>
    </w:p>
    <w:p>
      <w:pPr>
        <w:pStyle w:val="BodyText"/>
        <w:spacing w:before="176"/>
        <w:ind w:left="280" w:right="499"/>
      </w:pPr>
      <w:r>
        <w:rPr>
          <w:b/>
        </w:rPr>
        <w:t>Genderqueer: </w:t>
      </w:r>
      <w:r>
        <w:rPr/>
        <w:t>Describes individuals who experience their gender identity and/or</w:t>
      </w:r>
      <w:r>
        <w:rPr>
          <w:spacing w:val="-4"/>
        </w:rPr>
        <w:t> </w:t>
      </w:r>
      <w:r>
        <w:rPr/>
        <w:t>gender</w:t>
      </w:r>
      <w:r>
        <w:rPr>
          <w:spacing w:val="-4"/>
        </w:rPr>
        <w:t> </w:t>
      </w:r>
      <w:r>
        <w:rPr/>
        <w:t>expression</w:t>
      </w:r>
      <w:r>
        <w:rPr>
          <w:spacing w:val="-4"/>
        </w:rPr>
        <w:t> </w:t>
      </w:r>
      <w:r>
        <w:rPr/>
        <w:t>as</w:t>
      </w:r>
      <w:r>
        <w:rPr>
          <w:spacing w:val="-4"/>
        </w:rPr>
        <w:t> </w:t>
      </w:r>
      <w:r>
        <w:rPr/>
        <w:t>falling</w:t>
      </w:r>
      <w:r>
        <w:rPr>
          <w:spacing w:val="-4"/>
        </w:rPr>
        <w:t> </w:t>
      </w:r>
      <w:r>
        <w:rPr/>
        <w:t>outside</w:t>
      </w:r>
      <w:r>
        <w:rPr>
          <w:spacing w:val="-5"/>
        </w:rPr>
        <w:t> </w:t>
      </w:r>
      <w:r>
        <w:rPr/>
        <w:t>the</w:t>
      </w:r>
      <w:r>
        <w:rPr>
          <w:spacing w:val="-5"/>
        </w:rPr>
        <w:t> </w:t>
      </w:r>
      <w:r>
        <w:rPr/>
        <w:t>categories</w:t>
      </w:r>
      <w:r>
        <w:rPr>
          <w:spacing w:val="-4"/>
        </w:rPr>
        <w:t> </w:t>
      </w:r>
      <w:r>
        <w:rPr/>
        <w:t>of</w:t>
      </w:r>
      <w:r>
        <w:rPr>
          <w:spacing w:val="-4"/>
        </w:rPr>
        <w:t> </w:t>
      </w:r>
      <w:r>
        <w:rPr/>
        <w:t>man</w:t>
      </w:r>
      <w:r>
        <w:rPr>
          <w:spacing w:val="-4"/>
        </w:rPr>
        <w:t> </w:t>
      </w:r>
      <w:r>
        <w:rPr/>
        <w:t>and</w:t>
      </w:r>
      <w:r>
        <w:rPr>
          <w:spacing w:val="-4"/>
        </w:rPr>
        <w:t> </w:t>
      </w:r>
      <w:r>
        <w:rPr/>
        <w:t>woman.</w:t>
      </w:r>
    </w:p>
    <w:p>
      <w:pPr>
        <w:pStyle w:val="BodyText"/>
        <w:spacing w:before="177"/>
        <w:ind w:left="280" w:right="1057"/>
        <w:jc w:val="both"/>
      </w:pPr>
      <w:r>
        <w:rPr>
          <w:b/>
        </w:rPr>
        <w:t>Intersex:</w:t>
      </w:r>
      <w:r>
        <w:rPr>
          <w:b/>
          <w:spacing w:val="-2"/>
        </w:rPr>
        <w:t> </w:t>
      </w:r>
      <w:r>
        <w:rPr/>
        <w:t>An</w:t>
      </w:r>
      <w:r>
        <w:rPr>
          <w:spacing w:val="-1"/>
        </w:rPr>
        <w:t> </w:t>
      </w:r>
      <w:r>
        <w:rPr/>
        <w:t>umbrella</w:t>
      </w:r>
      <w:r>
        <w:rPr>
          <w:spacing w:val="-2"/>
        </w:rPr>
        <w:t> </w:t>
      </w:r>
      <w:r>
        <w:rPr/>
        <w:t>term</w:t>
      </w:r>
      <w:r>
        <w:rPr>
          <w:spacing w:val="-1"/>
        </w:rPr>
        <w:t> </w:t>
      </w:r>
      <w:r>
        <w:rPr/>
        <w:t>used</w:t>
      </w:r>
      <w:r>
        <w:rPr>
          <w:spacing w:val="-1"/>
        </w:rPr>
        <w:t> </w:t>
      </w:r>
      <w:r>
        <w:rPr/>
        <w:t>to</w:t>
      </w:r>
      <w:r>
        <w:rPr>
          <w:spacing w:val="-1"/>
        </w:rPr>
        <w:t> </w:t>
      </w:r>
      <w:r>
        <w:rPr/>
        <w:t>describe</w:t>
      </w:r>
      <w:r>
        <w:rPr>
          <w:spacing w:val="-2"/>
        </w:rPr>
        <w:t> </w:t>
      </w:r>
      <w:r>
        <w:rPr/>
        <w:t>people</w:t>
      </w:r>
      <w:r>
        <w:rPr>
          <w:spacing w:val="-2"/>
        </w:rPr>
        <w:t> </w:t>
      </w:r>
      <w:r>
        <w:rPr/>
        <w:t>with</w:t>
      </w:r>
      <w:r>
        <w:rPr>
          <w:spacing w:val="-1"/>
        </w:rPr>
        <w:t> </w:t>
      </w:r>
      <w:r>
        <w:rPr/>
        <w:t>variations</w:t>
      </w:r>
      <w:r>
        <w:rPr>
          <w:spacing w:val="-1"/>
        </w:rPr>
        <w:t> </w:t>
      </w:r>
      <w:r>
        <w:rPr/>
        <w:t>in</w:t>
      </w:r>
      <w:r>
        <w:rPr>
          <w:spacing w:val="-1"/>
        </w:rPr>
        <w:t> </w:t>
      </w:r>
      <w:r>
        <w:rPr/>
        <w:t>sex characteristics,</w:t>
      </w:r>
      <w:r>
        <w:rPr>
          <w:spacing w:val="-5"/>
        </w:rPr>
        <w:t> </w:t>
      </w:r>
      <w:r>
        <w:rPr/>
        <w:t>including</w:t>
      </w:r>
      <w:r>
        <w:rPr>
          <w:spacing w:val="-5"/>
        </w:rPr>
        <w:t> </w:t>
      </w:r>
      <w:r>
        <w:rPr/>
        <w:t>chromosomes</w:t>
      </w:r>
      <w:r>
        <w:rPr>
          <w:spacing w:val="-5"/>
        </w:rPr>
        <w:t> </w:t>
      </w:r>
      <w:r>
        <w:rPr/>
        <w:t>or</w:t>
      </w:r>
      <w:r>
        <w:rPr>
          <w:spacing w:val="-5"/>
        </w:rPr>
        <w:t> </w:t>
      </w:r>
      <w:r>
        <w:rPr/>
        <w:t>hormones</w:t>
      </w:r>
      <w:r>
        <w:rPr>
          <w:spacing w:val="-5"/>
        </w:rPr>
        <w:t> </w:t>
      </w:r>
      <w:r>
        <w:rPr/>
        <w:t>that</w:t>
      </w:r>
      <w:r>
        <w:rPr>
          <w:spacing w:val="-5"/>
        </w:rPr>
        <w:t> </w:t>
      </w:r>
      <w:r>
        <w:rPr/>
        <w:t>do</w:t>
      </w:r>
      <w:r>
        <w:rPr>
          <w:spacing w:val="-5"/>
        </w:rPr>
        <w:t> </w:t>
      </w:r>
      <w:r>
        <w:rPr/>
        <w:t>not</w:t>
      </w:r>
      <w:r>
        <w:rPr>
          <w:spacing w:val="-5"/>
        </w:rPr>
        <w:t> </w:t>
      </w:r>
      <w:r>
        <w:rPr/>
        <w:t>fit</w:t>
      </w:r>
      <w:r>
        <w:rPr>
          <w:spacing w:val="-5"/>
        </w:rPr>
        <w:t> </w:t>
      </w:r>
      <w:r>
        <w:rPr/>
        <w:t>typical definitions of male and female.</w:t>
      </w:r>
    </w:p>
    <w:p>
      <w:pPr>
        <w:pStyle w:val="BodyText"/>
        <w:spacing w:before="174"/>
        <w:ind w:left="280" w:right="668"/>
      </w:pPr>
      <w:r>
        <w:rPr>
          <w:b/>
        </w:rPr>
        <w:t>Lesbian:</w:t>
      </w:r>
      <w:r>
        <w:rPr>
          <w:b/>
          <w:spacing w:val="-7"/>
        </w:rPr>
        <w:t> </w:t>
      </w:r>
      <w:r>
        <w:rPr/>
        <w:t>A</w:t>
      </w:r>
      <w:r>
        <w:rPr>
          <w:spacing w:val="-18"/>
        </w:rPr>
        <w:t> </w:t>
      </w:r>
      <w:r>
        <w:rPr/>
        <w:t>woman</w:t>
      </w:r>
      <w:r>
        <w:rPr>
          <w:spacing w:val="-4"/>
        </w:rPr>
        <w:t> </w:t>
      </w:r>
      <w:r>
        <w:rPr/>
        <w:t>who</w:t>
      </w:r>
      <w:r>
        <w:rPr>
          <w:spacing w:val="-4"/>
        </w:rPr>
        <w:t> </w:t>
      </w:r>
      <w:r>
        <w:rPr/>
        <w:t>has</w:t>
      </w:r>
      <w:r>
        <w:rPr>
          <w:spacing w:val="-4"/>
        </w:rPr>
        <w:t> </w:t>
      </w:r>
      <w:r>
        <w:rPr/>
        <w:t>romantic</w:t>
      </w:r>
      <w:r>
        <w:rPr>
          <w:spacing w:val="-5"/>
        </w:rPr>
        <w:t> </w:t>
      </w:r>
      <w:r>
        <w:rPr/>
        <w:t>and/or</w:t>
      </w:r>
      <w:r>
        <w:rPr>
          <w:spacing w:val="-4"/>
        </w:rPr>
        <w:t> </w:t>
      </w:r>
      <w:r>
        <w:rPr/>
        <w:t>sexual</w:t>
      </w:r>
      <w:r>
        <w:rPr>
          <w:spacing w:val="-4"/>
        </w:rPr>
        <w:t> </w:t>
      </w:r>
      <w:r>
        <w:rPr/>
        <w:t>orientation</w:t>
      </w:r>
      <w:r>
        <w:rPr>
          <w:spacing w:val="-4"/>
        </w:rPr>
        <w:t> </w:t>
      </w:r>
      <w:r>
        <w:rPr/>
        <w:t>toward </w:t>
      </w:r>
      <w:r>
        <w:rPr>
          <w:spacing w:val="-2"/>
        </w:rPr>
        <w:t>women.</w:t>
      </w:r>
    </w:p>
    <w:p>
      <w:pPr>
        <w:pStyle w:val="BodyText"/>
        <w:spacing w:before="176"/>
        <w:ind w:left="280" w:right="502"/>
      </w:pPr>
      <w:r>
        <w:rPr>
          <w:b/>
        </w:rPr>
        <w:t>LGBTQI+:</w:t>
      </w:r>
      <w:r>
        <w:rPr>
          <w:b/>
          <w:spacing w:val="-10"/>
        </w:rPr>
        <w:t> </w:t>
      </w:r>
      <w:r>
        <w:rPr/>
        <w:t>Lesbian,</w:t>
      </w:r>
      <w:r>
        <w:rPr>
          <w:spacing w:val="-9"/>
        </w:rPr>
        <w:t> </w:t>
      </w:r>
      <w:r>
        <w:rPr/>
        <w:t>gay,</w:t>
      </w:r>
      <w:r>
        <w:rPr>
          <w:spacing w:val="-9"/>
        </w:rPr>
        <w:t> </w:t>
      </w:r>
      <w:r>
        <w:rPr/>
        <w:t>bisexual,</w:t>
      </w:r>
      <w:r>
        <w:rPr>
          <w:spacing w:val="-9"/>
        </w:rPr>
        <w:t> </w:t>
      </w:r>
      <w:r>
        <w:rPr/>
        <w:t>transgender,</w:t>
      </w:r>
      <w:r>
        <w:rPr>
          <w:spacing w:val="-9"/>
        </w:rPr>
        <w:t> </w:t>
      </w:r>
      <w:r>
        <w:rPr/>
        <w:t>queer,</w:t>
      </w:r>
      <w:r>
        <w:rPr>
          <w:spacing w:val="-9"/>
        </w:rPr>
        <w:t> </w:t>
      </w:r>
      <w:r>
        <w:rPr/>
        <w:t>intersex,</w:t>
      </w:r>
      <w:r>
        <w:rPr>
          <w:spacing w:val="-9"/>
        </w:rPr>
        <w:t> </w:t>
      </w:r>
      <w:r>
        <w:rPr/>
        <w:t>those</w:t>
      </w:r>
      <w:r>
        <w:rPr>
          <w:spacing w:val="-10"/>
        </w:rPr>
        <w:t> </w:t>
      </w:r>
      <w:r>
        <w:rPr/>
        <w:t>who</w:t>
      </w:r>
      <w:r>
        <w:rPr>
          <w:spacing w:val="-9"/>
        </w:rPr>
        <w:t> </w:t>
      </w:r>
      <w:r>
        <w:rPr/>
        <w:t>are questioning their sexual orientation or gender identity, and others who are not cisgender or straight/heterosexual. LGBTQI+ is used interchangeably with “sexual and/or gender minority” and persons of “diverse sexual orientation and/or gender identity” (or similar language) throughout this report.</w:t>
      </w:r>
    </w:p>
    <w:p>
      <w:pPr>
        <w:pStyle w:val="BodyText"/>
        <w:spacing w:before="170"/>
        <w:ind w:left="280" w:right="502"/>
      </w:pPr>
      <w:r>
        <w:rPr>
          <w:b/>
        </w:rPr>
        <w:t>Māhū:</w:t>
      </w:r>
      <w:r>
        <w:rPr>
          <w:b/>
          <w:spacing w:val="-5"/>
        </w:rPr>
        <w:t> </w:t>
      </w:r>
      <w:r>
        <w:rPr/>
        <w:t>Describes</w:t>
      </w:r>
      <w:r>
        <w:rPr>
          <w:spacing w:val="-4"/>
        </w:rPr>
        <w:t> </w:t>
      </w:r>
      <w:r>
        <w:rPr/>
        <w:t>individuals</w:t>
      </w:r>
      <w:r>
        <w:rPr>
          <w:spacing w:val="-4"/>
        </w:rPr>
        <w:t> </w:t>
      </w:r>
      <w:r>
        <w:rPr/>
        <w:t>who</w:t>
      </w:r>
      <w:r>
        <w:rPr>
          <w:spacing w:val="-4"/>
        </w:rPr>
        <w:t> </w:t>
      </w:r>
      <w:r>
        <w:rPr/>
        <w:t>identify</w:t>
      </w:r>
      <w:r>
        <w:rPr>
          <w:spacing w:val="-4"/>
        </w:rPr>
        <w:t> </w:t>
      </w:r>
      <w:r>
        <w:rPr/>
        <w:t>as</w:t>
      </w:r>
      <w:r>
        <w:rPr>
          <w:spacing w:val="-4"/>
        </w:rPr>
        <w:t> </w:t>
      </w:r>
      <w:r>
        <w:rPr/>
        <w:t>a</w:t>
      </w:r>
      <w:r>
        <w:rPr>
          <w:spacing w:val="-5"/>
        </w:rPr>
        <w:t> </w:t>
      </w:r>
      <w:r>
        <w:rPr/>
        <w:t>third</w:t>
      </w:r>
      <w:r>
        <w:rPr>
          <w:spacing w:val="-4"/>
        </w:rPr>
        <w:t> </w:t>
      </w:r>
      <w:r>
        <w:rPr/>
        <w:t>gender</w:t>
      </w:r>
      <w:r>
        <w:rPr>
          <w:spacing w:val="-4"/>
        </w:rPr>
        <w:t> </w:t>
      </w:r>
      <w:r>
        <w:rPr/>
        <w:t>or</w:t>
      </w:r>
      <w:r>
        <w:rPr>
          <w:spacing w:val="-4"/>
        </w:rPr>
        <w:t> </w:t>
      </w:r>
      <w:r>
        <w:rPr/>
        <w:t>nonbinary</w:t>
      </w:r>
      <w:r>
        <w:rPr>
          <w:spacing w:val="-4"/>
        </w:rPr>
        <w:t> </w:t>
      </w:r>
      <w:r>
        <w:rPr/>
        <w:t>in Native Hawaiian culture.</w:t>
      </w:r>
    </w:p>
    <w:p>
      <w:pPr>
        <w:pStyle w:val="BodyText"/>
        <w:spacing w:before="176"/>
        <w:ind w:left="280" w:right="502"/>
      </w:pPr>
      <w:r>
        <w:rPr>
          <w:b/>
        </w:rPr>
        <w:t>Nonbinary: </w:t>
      </w:r>
      <w:r>
        <w:rPr/>
        <w:t>Describes individuals whose gender identity is not exclusively male or female. Individuals may identify as nonbinary or other identities, including,</w:t>
      </w:r>
      <w:r>
        <w:rPr>
          <w:spacing w:val="-8"/>
        </w:rPr>
        <w:t> </w:t>
      </w:r>
      <w:r>
        <w:rPr/>
        <w:t>but</w:t>
      </w:r>
      <w:r>
        <w:rPr>
          <w:spacing w:val="-8"/>
        </w:rPr>
        <w:t> </w:t>
      </w:r>
      <w:r>
        <w:rPr/>
        <w:t>not</w:t>
      </w:r>
      <w:r>
        <w:rPr>
          <w:spacing w:val="-8"/>
        </w:rPr>
        <w:t> </w:t>
      </w:r>
      <w:r>
        <w:rPr/>
        <w:t>limited</w:t>
      </w:r>
      <w:r>
        <w:rPr>
          <w:spacing w:val="-8"/>
        </w:rPr>
        <w:t> </w:t>
      </w:r>
      <w:r>
        <w:rPr/>
        <w:t>to,</w:t>
      </w:r>
      <w:r>
        <w:rPr>
          <w:spacing w:val="-8"/>
        </w:rPr>
        <w:t> </w:t>
      </w:r>
      <w:r>
        <w:rPr/>
        <w:t>genderqueer,</w:t>
      </w:r>
      <w:r>
        <w:rPr>
          <w:spacing w:val="-8"/>
        </w:rPr>
        <w:t> </w:t>
      </w:r>
      <w:r>
        <w:rPr/>
        <w:t>two-spirit,</w:t>
      </w:r>
      <w:r>
        <w:rPr>
          <w:spacing w:val="-8"/>
        </w:rPr>
        <w:t> </w:t>
      </w:r>
      <w:r>
        <w:rPr/>
        <w:t>agender,</w:t>
      </w:r>
      <w:r>
        <w:rPr>
          <w:spacing w:val="-8"/>
        </w:rPr>
        <w:t> </w:t>
      </w:r>
      <w:r>
        <w:rPr/>
        <w:t>bigender,</w:t>
      </w:r>
      <w:r>
        <w:rPr>
          <w:spacing w:val="-8"/>
        </w:rPr>
        <w:t> </w:t>
      </w:r>
      <w:r>
        <w:rPr/>
        <w:t>and </w:t>
      </w:r>
      <w:r>
        <w:rPr>
          <w:spacing w:val="-2"/>
        </w:rPr>
        <w:t>genderfluid.</w:t>
      </w:r>
    </w:p>
    <w:p>
      <w:pPr>
        <w:pStyle w:val="BodyText"/>
        <w:spacing w:before="172"/>
        <w:ind w:left="280" w:right="499"/>
      </w:pPr>
      <w:r>
        <w:rPr>
          <w:b/>
        </w:rPr>
        <w:t>Pansexual:</w:t>
      </w:r>
      <w:r>
        <w:rPr>
          <w:b/>
          <w:spacing w:val="-6"/>
        </w:rPr>
        <w:t> </w:t>
      </w:r>
      <w:r>
        <w:rPr/>
        <w:t>Describes</w:t>
      </w:r>
      <w:r>
        <w:rPr>
          <w:spacing w:val="-6"/>
        </w:rPr>
        <w:t> </w:t>
      </w:r>
      <w:r>
        <w:rPr/>
        <w:t>individuals</w:t>
      </w:r>
      <w:r>
        <w:rPr>
          <w:spacing w:val="-6"/>
        </w:rPr>
        <w:t> </w:t>
      </w:r>
      <w:r>
        <w:rPr/>
        <w:t>who</w:t>
      </w:r>
      <w:r>
        <w:rPr>
          <w:spacing w:val="-6"/>
        </w:rPr>
        <w:t> </w:t>
      </w:r>
      <w:r>
        <w:rPr/>
        <w:t>experience</w:t>
      </w:r>
      <w:r>
        <w:rPr>
          <w:spacing w:val="-7"/>
        </w:rPr>
        <w:t> </w:t>
      </w:r>
      <w:r>
        <w:rPr/>
        <w:t>sexual,</w:t>
      </w:r>
      <w:r>
        <w:rPr>
          <w:spacing w:val="-6"/>
        </w:rPr>
        <w:t> </w:t>
      </w:r>
      <w:r>
        <w:rPr/>
        <w:t>romantic,</w:t>
      </w:r>
      <w:r>
        <w:rPr>
          <w:spacing w:val="-6"/>
        </w:rPr>
        <w:t> </w:t>
      </w:r>
      <w:r>
        <w:rPr/>
        <w:t>physical, and/or spiritual attraction for members of all gender identities/expressions.</w:t>
      </w:r>
    </w:p>
    <w:p>
      <w:pPr>
        <w:pStyle w:val="BodyText"/>
        <w:spacing w:before="176"/>
        <w:ind w:left="280" w:right="581"/>
      </w:pPr>
      <w:r>
        <w:rPr>
          <w:b/>
        </w:rPr>
        <w:t>Queer: </w:t>
      </w:r>
      <w:r>
        <w:rPr/>
        <w:t>Historically, this has been a pejorative term used to describe LGBTQI+ people, but is now used by some people, particularly younger people, whose sexual orientation is not exclusively straight/heterosexual. Some</w:t>
      </w:r>
      <w:r>
        <w:rPr>
          <w:spacing w:val="-6"/>
        </w:rPr>
        <w:t> </w:t>
      </w:r>
      <w:r>
        <w:rPr/>
        <w:t>people</w:t>
      </w:r>
      <w:r>
        <w:rPr>
          <w:spacing w:val="-6"/>
        </w:rPr>
        <w:t> </w:t>
      </w:r>
      <w:r>
        <w:rPr/>
        <w:t>may</w:t>
      </w:r>
      <w:r>
        <w:rPr>
          <w:spacing w:val="-6"/>
        </w:rPr>
        <w:t> </w:t>
      </w:r>
      <w:r>
        <w:rPr/>
        <w:t>use</w:t>
      </w:r>
      <w:r>
        <w:rPr>
          <w:spacing w:val="-6"/>
        </w:rPr>
        <w:t> </w:t>
      </w:r>
      <w:r>
        <w:rPr/>
        <w:t>queer,</w:t>
      </w:r>
      <w:r>
        <w:rPr>
          <w:spacing w:val="-6"/>
        </w:rPr>
        <w:t> </w:t>
      </w:r>
      <w:r>
        <w:rPr/>
        <w:t>or</w:t>
      </w:r>
      <w:r>
        <w:rPr>
          <w:spacing w:val="-6"/>
        </w:rPr>
        <w:t> </w:t>
      </w:r>
      <w:r>
        <w:rPr/>
        <w:t>more</w:t>
      </w:r>
      <w:r>
        <w:rPr>
          <w:spacing w:val="-6"/>
        </w:rPr>
        <w:t> </w:t>
      </w:r>
      <w:r>
        <w:rPr/>
        <w:t>commonly</w:t>
      </w:r>
      <w:r>
        <w:rPr>
          <w:spacing w:val="-6"/>
        </w:rPr>
        <w:t> </w:t>
      </w:r>
      <w:r>
        <w:rPr/>
        <w:t>genderqueer,</w:t>
      </w:r>
      <w:r>
        <w:rPr>
          <w:spacing w:val="-6"/>
        </w:rPr>
        <w:t> </w:t>
      </w:r>
      <w:r>
        <w:rPr/>
        <w:t>to</w:t>
      </w:r>
      <w:r>
        <w:rPr>
          <w:spacing w:val="-6"/>
        </w:rPr>
        <w:t> </w:t>
      </w:r>
      <w:r>
        <w:rPr/>
        <w:t>describe</w:t>
      </w:r>
      <w:r>
        <w:rPr>
          <w:spacing w:val="-6"/>
        </w:rPr>
        <w:t> </w:t>
      </w:r>
      <w:r>
        <w:rPr/>
        <w:t>their gender identity and/or gender expression.</w:t>
      </w:r>
    </w:p>
    <w:p>
      <w:pPr>
        <w:pStyle w:val="BodyText"/>
        <w:spacing w:line="237" w:lineRule="auto"/>
        <w:ind w:left="280" w:right="502"/>
      </w:pPr>
      <w:r>
        <w:rPr>
          <w:b/>
        </w:rPr>
        <w:t>Questioning:</w:t>
      </w:r>
      <w:r>
        <w:rPr>
          <w:b/>
          <w:spacing w:val="-5"/>
        </w:rPr>
        <w:t> </w:t>
      </w:r>
      <w:r>
        <w:rPr/>
        <w:t>A</w:t>
      </w:r>
      <w:r>
        <w:rPr>
          <w:spacing w:val="-18"/>
        </w:rPr>
        <w:t> </w:t>
      </w:r>
      <w:r>
        <w:rPr/>
        <w:t>term</w:t>
      </w:r>
      <w:r>
        <w:rPr>
          <w:spacing w:val="-3"/>
        </w:rPr>
        <w:t> </w:t>
      </w:r>
      <w:r>
        <w:rPr/>
        <w:t>used</w:t>
      </w:r>
      <w:r>
        <w:rPr>
          <w:spacing w:val="-4"/>
        </w:rPr>
        <w:t> </w:t>
      </w:r>
      <w:r>
        <w:rPr/>
        <w:t>to</w:t>
      </w:r>
      <w:r>
        <w:rPr>
          <w:spacing w:val="-4"/>
        </w:rPr>
        <w:t> </w:t>
      </w:r>
      <w:r>
        <w:rPr/>
        <w:t>describe</w:t>
      </w:r>
      <w:r>
        <w:rPr>
          <w:spacing w:val="-5"/>
        </w:rPr>
        <w:t> </w:t>
      </w:r>
      <w:r>
        <w:rPr/>
        <w:t>individuals</w:t>
      </w:r>
      <w:r>
        <w:rPr>
          <w:spacing w:val="-4"/>
        </w:rPr>
        <w:t> </w:t>
      </w:r>
      <w:r>
        <w:rPr/>
        <w:t>who</w:t>
      </w:r>
      <w:r>
        <w:rPr>
          <w:spacing w:val="-4"/>
        </w:rPr>
        <w:t> </w:t>
      </w:r>
      <w:r>
        <w:rPr/>
        <w:t>are</w:t>
      </w:r>
      <w:r>
        <w:rPr>
          <w:spacing w:val="-5"/>
        </w:rPr>
        <w:t> </w:t>
      </w:r>
      <w:r>
        <w:rPr/>
        <w:t>unsure</w:t>
      </w:r>
      <w:r>
        <w:rPr>
          <w:spacing w:val="-5"/>
        </w:rPr>
        <w:t> </w:t>
      </w:r>
      <w:r>
        <w:rPr/>
        <w:t>about</w:t>
      </w:r>
      <w:r>
        <w:rPr>
          <w:spacing w:val="-4"/>
        </w:rPr>
        <w:t> </w:t>
      </w:r>
      <w:r>
        <w:rPr/>
        <w:t>their sexual orientation and/or gender identity.</w:t>
      </w:r>
    </w:p>
    <w:p>
      <w:pPr>
        <w:pStyle w:val="BodyText"/>
        <w:spacing w:before="173"/>
        <w:ind w:left="280"/>
      </w:pPr>
      <w:r>
        <w:rPr>
          <w:b/>
        </w:rPr>
        <w:t>Sex assigned at birth: </w:t>
      </w:r>
      <w:r>
        <w:rPr/>
        <w:t>The assignment of male, female, or intersex when an individual</w:t>
      </w:r>
      <w:r>
        <w:rPr>
          <w:spacing w:val="-4"/>
        </w:rPr>
        <w:t> </w:t>
      </w:r>
      <w:r>
        <w:rPr/>
        <w:t>is</w:t>
      </w:r>
      <w:r>
        <w:rPr>
          <w:spacing w:val="-4"/>
        </w:rPr>
        <w:t> </w:t>
      </w:r>
      <w:r>
        <w:rPr/>
        <w:t>born,</w:t>
      </w:r>
      <w:r>
        <w:rPr>
          <w:spacing w:val="-4"/>
        </w:rPr>
        <w:t> </w:t>
      </w:r>
      <w:r>
        <w:rPr/>
        <w:t>typically</w:t>
      </w:r>
      <w:r>
        <w:rPr>
          <w:spacing w:val="-4"/>
        </w:rPr>
        <w:t> </w:t>
      </w:r>
      <w:r>
        <w:rPr/>
        <w:t>made</w:t>
      </w:r>
      <w:r>
        <w:rPr>
          <w:spacing w:val="-5"/>
        </w:rPr>
        <w:t> </w:t>
      </w:r>
      <w:r>
        <w:rPr/>
        <w:t>based</w:t>
      </w:r>
      <w:r>
        <w:rPr>
          <w:spacing w:val="-4"/>
        </w:rPr>
        <w:t> </w:t>
      </w:r>
      <w:r>
        <w:rPr/>
        <w:t>on</w:t>
      </w:r>
      <w:r>
        <w:rPr>
          <w:spacing w:val="-4"/>
        </w:rPr>
        <w:t> </w:t>
      </w:r>
      <w:r>
        <w:rPr/>
        <w:t>the</w:t>
      </w:r>
      <w:r>
        <w:rPr>
          <w:spacing w:val="-5"/>
        </w:rPr>
        <w:t> </w:t>
      </w:r>
      <w:r>
        <w:rPr/>
        <w:t>appearance</w:t>
      </w:r>
      <w:r>
        <w:rPr>
          <w:spacing w:val="-5"/>
        </w:rPr>
        <w:t> </w:t>
      </w:r>
      <w:r>
        <w:rPr/>
        <w:t>of</w:t>
      </w:r>
      <w:r>
        <w:rPr>
          <w:spacing w:val="-4"/>
        </w:rPr>
        <w:t> </w:t>
      </w:r>
      <w:r>
        <w:rPr/>
        <w:t>external</w:t>
      </w:r>
      <w:r>
        <w:rPr>
          <w:spacing w:val="-4"/>
        </w:rPr>
        <w:t> </w:t>
      </w:r>
      <w:r>
        <w:rPr/>
        <w:t>genital </w:t>
      </w:r>
      <w:r>
        <w:rPr>
          <w:spacing w:val="-2"/>
        </w:rPr>
        <w:t>anatomy.</w:t>
      </w:r>
    </w:p>
    <w:p>
      <w:pPr>
        <w:spacing w:after="0"/>
        <w:sectPr>
          <w:pgSz w:w="12240" w:h="15840"/>
          <w:pgMar w:header="0" w:footer="783" w:top="1260" w:bottom="980" w:left="1400" w:right="1180"/>
        </w:sectPr>
      </w:pPr>
    </w:p>
    <w:p>
      <w:pPr>
        <w:pStyle w:val="BodyText"/>
        <w:spacing w:before="66"/>
        <w:ind w:left="280" w:right="668"/>
      </w:pPr>
      <w:r>
        <w:rPr>
          <w:b/>
        </w:rPr>
        <w:t>Sexual and/or gender minority: </w:t>
      </w:r>
      <w:r>
        <w:rPr/>
        <w:t>Sexual and gender minority populations include, but are not limited to, individuals who identify as lesbian, gay, bisexual,</w:t>
      </w:r>
      <w:r>
        <w:rPr>
          <w:spacing w:val="-12"/>
        </w:rPr>
        <w:t> </w:t>
      </w:r>
      <w:r>
        <w:rPr/>
        <w:t>asexual,</w:t>
      </w:r>
      <w:r>
        <w:rPr>
          <w:spacing w:val="-12"/>
        </w:rPr>
        <w:t> </w:t>
      </w:r>
      <w:r>
        <w:rPr/>
        <w:t>transgender,</w:t>
      </w:r>
      <w:r>
        <w:rPr>
          <w:spacing w:val="-17"/>
        </w:rPr>
        <w:t> </w:t>
      </w:r>
      <w:r>
        <w:rPr/>
        <w:t>Two-Spirit,</w:t>
      </w:r>
      <w:r>
        <w:rPr>
          <w:spacing w:val="-12"/>
        </w:rPr>
        <w:t> </w:t>
      </w:r>
      <w:r>
        <w:rPr/>
        <w:t>queer,</w:t>
      </w:r>
      <w:r>
        <w:rPr>
          <w:spacing w:val="-12"/>
        </w:rPr>
        <w:t> </w:t>
      </w:r>
      <w:r>
        <w:rPr/>
        <w:t>and/or</w:t>
      </w:r>
      <w:r>
        <w:rPr>
          <w:spacing w:val="-12"/>
        </w:rPr>
        <w:t> </w:t>
      </w:r>
      <w:r>
        <w:rPr/>
        <w:t>intersex.</w:t>
      </w:r>
      <w:r>
        <w:rPr>
          <w:spacing w:val="-12"/>
        </w:rPr>
        <w:t> </w:t>
      </w:r>
      <w:r>
        <w:rPr/>
        <w:t>Individuals with</w:t>
      </w:r>
      <w:r>
        <w:rPr>
          <w:spacing w:val="-2"/>
        </w:rPr>
        <w:t> </w:t>
      </w:r>
      <w:r>
        <w:rPr/>
        <w:t>same-sex</w:t>
      </w:r>
      <w:r>
        <w:rPr>
          <w:spacing w:val="-2"/>
        </w:rPr>
        <w:t> </w:t>
      </w:r>
      <w:r>
        <w:rPr/>
        <w:t>or</w:t>
      </w:r>
      <w:r>
        <w:rPr>
          <w:spacing w:val="-2"/>
        </w:rPr>
        <w:t> </w:t>
      </w:r>
      <w:r>
        <w:rPr/>
        <w:t>-gender</w:t>
      </w:r>
      <w:r>
        <w:rPr>
          <w:spacing w:val="-2"/>
        </w:rPr>
        <w:t> </w:t>
      </w:r>
      <w:r>
        <w:rPr/>
        <w:t>attractions</w:t>
      </w:r>
      <w:r>
        <w:rPr>
          <w:spacing w:val="-2"/>
        </w:rPr>
        <w:t> </w:t>
      </w:r>
      <w:r>
        <w:rPr/>
        <w:t>or</w:t>
      </w:r>
      <w:r>
        <w:rPr>
          <w:spacing w:val="-2"/>
        </w:rPr>
        <w:t> </w:t>
      </w:r>
      <w:r>
        <w:rPr/>
        <w:t>behaviors</w:t>
      </w:r>
      <w:r>
        <w:rPr>
          <w:spacing w:val="-2"/>
        </w:rPr>
        <w:t> </w:t>
      </w:r>
      <w:r>
        <w:rPr/>
        <w:t>and</w:t>
      </w:r>
      <w:r>
        <w:rPr>
          <w:spacing w:val="-2"/>
        </w:rPr>
        <w:t> </w:t>
      </w:r>
      <w:r>
        <w:rPr/>
        <w:t>those</w:t>
      </w:r>
      <w:r>
        <w:rPr>
          <w:spacing w:val="-3"/>
        </w:rPr>
        <w:t> </w:t>
      </w:r>
      <w:r>
        <w:rPr/>
        <w:t>with</w:t>
      </w:r>
      <w:r>
        <w:rPr>
          <w:spacing w:val="-2"/>
        </w:rPr>
        <w:t> </w:t>
      </w:r>
      <w:r>
        <w:rPr/>
        <w:t>a</w:t>
      </w:r>
      <w:r>
        <w:rPr>
          <w:spacing w:val="-3"/>
        </w:rPr>
        <w:t> </w:t>
      </w:r>
      <w:r>
        <w:rPr/>
        <w:t>difference in sex development are also included. Sexual and gender minority is used interchangeably</w:t>
      </w:r>
      <w:r>
        <w:rPr>
          <w:spacing w:val="-2"/>
        </w:rPr>
        <w:t> </w:t>
      </w:r>
      <w:r>
        <w:rPr/>
        <w:t>with</w:t>
      </w:r>
      <w:r>
        <w:rPr>
          <w:spacing w:val="-2"/>
        </w:rPr>
        <w:t> </w:t>
      </w:r>
      <w:r>
        <w:rPr/>
        <w:t>“LGBTQI+”</w:t>
      </w:r>
      <w:r>
        <w:rPr>
          <w:spacing w:val="-3"/>
        </w:rPr>
        <w:t> </w:t>
      </w:r>
      <w:r>
        <w:rPr/>
        <w:t>and</w:t>
      </w:r>
      <w:r>
        <w:rPr>
          <w:spacing w:val="-2"/>
        </w:rPr>
        <w:t> </w:t>
      </w:r>
      <w:r>
        <w:rPr/>
        <w:t>persons</w:t>
      </w:r>
      <w:r>
        <w:rPr>
          <w:spacing w:val="-2"/>
        </w:rPr>
        <w:t> </w:t>
      </w:r>
      <w:r>
        <w:rPr/>
        <w:t>of</w:t>
      </w:r>
      <w:r>
        <w:rPr>
          <w:spacing w:val="-2"/>
        </w:rPr>
        <w:t> </w:t>
      </w:r>
      <w:r>
        <w:rPr/>
        <w:t>“diverse</w:t>
      </w:r>
      <w:r>
        <w:rPr>
          <w:spacing w:val="-3"/>
        </w:rPr>
        <w:t> </w:t>
      </w:r>
      <w:r>
        <w:rPr/>
        <w:t>sexual</w:t>
      </w:r>
      <w:r>
        <w:rPr>
          <w:spacing w:val="-2"/>
        </w:rPr>
        <w:t> </w:t>
      </w:r>
      <w:r>
        <w:rPr/>
        <w:t>orientation and/or gender identity” (or similar) throughout this report.</w:t>
      </w:r>
    </w:p>
    <w:p>
      <w:pPr>
        <w:spacing w:before="166"/>
        <w:ind w:left="280" w:right="499" w:firstLine="0"/>
        <w:jc w:val="left"/>
        <w:rPr>
          <w:sz w:val="28"/>
        </w:rPr>
      </w:pPr>
      <w:r>
        <w:rPr>
          <w:b/>
          <w:sz w:val="28"/>
        </w:rPr>
        <w:t>Sexual orientation and gender identity change efforts (SOGI change efforts): </w:t>
      </w:r>
      <w:r>
        <w:rPr>
          <w:sz w:val="28"/>
        </w:rPr>
        <w:t>Practices that aim to suppress or alter an individual’s sexual orientation</w:t>
      </w:r>
      <w:r>
        <w:rPr>
          <w:spacing w:val="-1"/>
          <w:sz w:val="28"/>
        </w:rPr>
        <w:t> </w:t>
      </w:r>
      <w:r>
        <w:rPr>
          <w:sz w:val="28"/>
        </w:rPr>
        <w:t>or</w:t>
      </w:r>
      <w:r>
        <w:rPr>
          <w:spacing w:val="-1"/>
          <w:sz w:val="28"/>
        </w:rPr>
        <w:t> </w:t>
      </w:r>
      <w:r>
        <w:rPr>
          <w:sz w:val="28"/>
        </w:rPr>
        <w:t>gender</w:t>
      </w:r>
      <w:r>
        <w:rPr>
          <w:spacing w:val="-1"/>
          <w:sz w:val="28"/>
        </w:rPr>
        <w:t> </w:t>
      </w:r>
      <w:r>
        <w:rPr>
          <w:sz w:val="28"/>
        </w:rPr>
        <w:t>to</w:t>
      </w:r>
      <w:r>
        <w:rPr>
          <w:spacing w:val="-1"/>
          <w:sz w:val="28"/>
        </w:rPr>
        <w:t> </w:t>
      </w:r>
      <w:r>
        <w:rPr>
          <w:sz w:val="28"/>
        </w:rPr>
        <w:t>align</w:t>
      </w:r>
      <w:r>
        <w:rPr>
          <w:spacing w:val="-1"/>
          <w:sz w:val="28"/>
        </w:rPr>
        <w:t> </w:t>
      </w:r>
      <w:r>
        <w:rPr>
          <w:sz w:val="28"/>
        </w:rPr>
        <w:t>with</w:t>
      </w:r>
      <w:r>
        <w:rPr>
          <w:spacing w:val="-1"/>
          <w:sz w:val="28"/>
        </w:rPr>
        <w:t> </w:t>
      </w:r>
      <w:r>
        <w:rPr>
          <w:sz w:val="28"/>
        </w:rPr>
        <w:t>heterosexual</w:t>
      </w:r>
      <w:r>
        <w:rPr>
          <w:spacing w:val="-1"/>
          <w:sz w:val="28"/>
        </w:rPr>
        <w:t> </w:t>
      </w:r>
      <w:r>
        <w:rPr>
          <w:sz w:val="28"/>
        </w:rPr>
        <w:t>orientation,</w:t>
      </w:r>
      <w:r>
        <w:rPr>
          <w:spacing w:val="-1"/>
          <w:sz w:val="28"/>
        </w:rPr>
        <w:t> </w:t>
      </w:r>
      <w:r>
        <w:rPr>
          <w:sz w:val="28"/>
        </w:rPr>
        <w:t>cisgender</w:t>
      </w:r>
      <w:r>
        <w:rPr>
          <w:spacing w:val="-1"/>
          <w:sz w:val="28"/>
        </w:rPr>
        <w:t> </w:t>
      </w:r>
      <w:r>
        <w:rPr>
          <w:sz w:val="28"/>
        </w:rPr>
        <w:t>identity, and/or</w:t>
      </w:r>
      <w:r>
        <w:rPr>
          <w:spacing w:val="-5"/>
          <w:sz w:val="28"/>
        </w:rPr>
        <w:t> </w:t>
      </w:r>
      <w:r>
        <w:rPr>
          <w:sz w:val="28"/>
        </w:rPr>
        <w:t>stereotypical</w:t>
      </w:r>
      <w:r>
        <w:rPr>
          <w:spacing w:val="-5"/>
          <w:sz w:val="28"/>
        </w:rPr>
        <w:t> </w:t>
      </w:r>
      <w:r>
        <w:rPr>
          <w:sz w:val="28"/>
        </w:rPr>
        <w:t>gender</w:t>
      </w:r>
      <w:r>
        <w:rPr>
          <w:spacing w:val="-5"/>
          <w:sz w:val="28"/>
        </w:rPr>
        <w:t> </w:t>
      </w:r>
      <w:r>
        <w:rPr>
          <w:sz w:val="28"/>
        </w:rPr>
        <w:t>expression.</w:t>
      </w:r>
      <w:r>
        <w:rPr>
          <w:spacing w:val="-11"/>
          <w:sz w:val="28"/>
        </w:rPr>
        <w:t> </w:t>
      </w:r>
      <w:r>
        <w:rPr>
          <w:sz w:val="28"/>
        </w:rPr>
        <w:t>Though</w:t>
      </w:r>
      <w:r>
        <w:rPr>
          <w:spacing w:val="-5"/>
          <w:sz w:val="28"/>
        </w:rPr>
        <w:t> </w:t>
      </w:r>
      <w:r>
        <w:rPr>
          <w:sz w:val="28"/>
        </w:rPr>
        <w:t>not</w:t>
      </w:r>
      <w:r>
        <w:rPr>
          <w:spacing w:val="-5"/>
          <w:sz w:val="28"/>
        </w:rPr>
        <w:t> </w:t>
      </w:r>
      <w:r>
        <w:rPr>
          <w:sz w:val="28"/>
        </w:rPr>
        <w:t>therapeutic,</w:t>
      </w:r>
      <w:r>
        <w:rPr>
          <w:spacing w:val="-5"/>
          <w:sz w:val="28"/>
        </w:rPr>
        <w:t> </w:t>
      </w:r>
      <w:r>
        <w:rPr>
          <w:sz w:val="28"/>
        </w:rPr>
        <w:t>these</w:t>
      </w:r>
      <w:r>
        <w:rPr>
          <w:spacing w:val="-6"/>
          <w:sz w:val="28"/>
        </w:rPr>
        <w:t> </w:t>
      </w:r>
      <w:r>
        <w:rPr>
          <w:sz w:val="28"/>
        </w:rPr>
        <w:t>practices are often referred to as “conversion therapy” or “reparative therapy.”</w:t>
      </w:r>
    </w:p>
    <w:p>
      <w:pPr>
        <w:spacing w:line="237" w:lineRule="auto" w:before="0"/>
        <w:ind w:left="280" w:right="604" w:firstLine="0"/>
        <w:jc w:val="left"/>
        <w:rPr>
          <w:sz w:val="28"/>
        </w:rPr>
      </w:pPr>
      <w:r>
        <w:rPr>
          <w:b/>
          <w:sz w:val="28"/>
        </w:rPr>
        <w:t>Sexual</w:t>
      </w:r>
      <w:r>
        <w:rPr>
          <w:b/>
          <w:spacing w:val="-11"/>
          <w:sz w:val="28"/>
        </w:rPr>
        <w:t> </w:t>
      </w:r>
      <w:r>
        <w:rPr>
          <w:b/>
          <w:sz w:val="28"/>
        </w:rPr>
        <w:t>orientation:</w:t>
      </w:r>
      <w:r>
        <w:rPr>
          <w:b/>
          <w:spacing w:val="-8"/>
          <w:sz w:val="28"/>
        </w:rPr>
        <w:t> </w:t>
      </w:r>
      <w:r>
        <w:rPr>
          <w:sz w:val="28"/>
        </w:rPr>
        <w:t>A</w:t>
      </w:r>
      <w:r>
        <w:rPr>
          <w:spacing w:val="-18"/>
          <w:sz w:val="28"/>
        </w:rPr>
        <w:t> </w:t>
      </w:r>
      <w:r>
        <w:rPr>
          <w:sz w:val="28"/>
        </w:rPr>
        <w:t>person’s</w:t>
      </w:r>
      <w:r>
        <w:rPr>
          <w:spacing w:val="-7"/>
          <w:sz w:val="28"/>
        </w:rPr>
        <w:t> </w:t>
      </w:r>
      <w:r>
        <w:rPr>
          <w:sz w:val="28"/>
        </w:rPr>
        <w:t>emotional,</w:t>
      </w:r>
      <w:r>
        <w:rPr>
          <w:spacing w:val="-7"/>
          <w:sz w:val="28"/>
        </w:rPr>
        <w:t> </w:t>
      </w:r>
      <w:r>
        <w:rPr>
          <w:sz w:val="28"/>
        </w:rPr>
        <w:t>sexual,</w:t>
      </w:r>
      <w:r>
        <w:rPr>
          <w:spacing w:val="-7"/>
          <w:sz w:val="28"/>
        </w:rPr>
        <w:t> </w:t>
      </w:r>
      <w:r>
        <w:rPr>
          <w:sz w:val="28"/>
        </w:rPr>
        <w:t>and/or</w:t>
      </w:r>
      <w:r>
        <w:rPr>
          <w:spacing w:val="-7"/>
          <w:sz w:val="28"/>
        </w:rPr>
        <w:t> </w:t>
      </w:r>
      <w:r>
        <w:rPr>
          <w:sz w:val="28"/>
        </w:rPr>
        <w:t>relational</w:t>
      </w:r>
      <w:r>
        <w:rPr>
          <w:spacing w:val="-7"/>
          <w:sz w:val="28"/>
        </w:rPr>
        <w:t> </w:t>
      </w:r>
      <w:r>
        <w:rPr>
          <w:sz w:val="28"/>
        </w:rPr>
        <w:t>attraction to others.</w:t>
      </w:r>
    </w:p>
    <w:p>
      <w:pPr>
        <w:pStyle w:val="BodyText"/>
        <w:spacing w:before="173"/>
        <w:ind w:left="280" w:right="502"/>
      </w:pPr>
      <w:r>
        <w:rPr>
          <w:b/>
        </w:rPr>
        <w:t>Transgender:</w:t>
      </w:r>
      <w:r>
        <w:rPr>
          <w:b/>
          <w:spacing w:val="-8"/>
        </w:rPr>
        <w:t> </w:t>
      </w:r>
      <w:r>
        <w:rPr/>
        <w:t>Describes</w:t>
      </w:r>
      <w:r>
        <w:rPr>
          <w:spacing w:val="-8"/>
        </w:rPr>
        <w:t> </w:t>
      </w:r>
      <w:r>
        <w:rPr/>
        <w:t>individuals</w:t>
      </w:r>
      <w:r>
        <w:rPr>
          <w:spacing w:val="-8"/>
        </w:rPr>
        <w:t> </w:t>
      </w:r>
      <w:r>
        <w:rPr/>
        <w:t>whose</w:t>
      </w:r>
      <w:r>
        <w:rPr>
          <w:spacing w:val="-8"/>
        </w:rPr>
        <w:t> </w:t>
      </w:r>
      <w:r>
        <w:rPr/>
        <w:t>gender</w:t>
      </w:r>
      <w:r>
        <w:rPr>
          <w:spacing w:val="-8"/>
        </w:rPr>
        <w:t> </w:t>
      </w:r>
      <w:r>
        <w:rPr/>
        <w:t>identity</w:t>
      </w:r>
      <w:r>
        <w:rPr>
          <w:spacing w:val="-8"/>
        </w:rPr>
        <w:t> </w:t>
      </w:r>
      <w:r>
        <w:rPr/>
        <w:t>is</w:t>
      </w:r>
      <w:r>
        <w:rPr>
          <w:spacing w:val="-8"/>
        </w:rPr>
        <w:t> </w:t>
      </w:r>
      <w:r>
        <w:rPr/>
        <w:t>incongruent</w:t>
      </w:r>
      <w:r>
        <w:rPr>
          <w:spacing w:val="-8"/>
        </w:rPr>
        <w:t> </w:t>
      </w:r>
      <w:r>
        <w:rPr/>
        <w:t>with their sex assigned at birth.</w:t>
      </w:r>
    </w:p>
    <w:p>
      <w:pPr>
        <w:pStyle w:val="BodyText"/>
        <w:spacing w:before="176"/>
        <w:ind w:left="280" w:right="604"/>
      </w:pPr>
      <w:r>
        <w:rPr>
          <w:b/>
        </w:rPr>
        <w:t>Two-Spirit: </w:t>
      </w:r>
      <w:r>
        <w:rPr/>
        <w:t>Two Spirit refers to someone who is Native and expresses their gender identity or spiritual identity in indigenous, non-Western ways. This term can only be applied to a person who is Native.</w:t>
      </w:r>
      <w:r>
        <w:rPr>
          <w:spacing w:val="-14"/>
        </w:rPr>
        <w:t> </w:t>
      </w:r>
      <w:r>
        <w:rPr/>
        <w:t>A</w:t>
      </w:r>
      <w:r>
        <w:rPr>
          <w:spacing w:val="-19"/>
        </w:rPr>
        <w:t> </w:t>
      </w:r>
      <w:r>
        <w:rPr/>
        <w:t>Two Spirit person has specific</w:t>
      </w:r>
      <w:r>
        <w:rPr>
          <w:spacing w:val="-5"/>
        </w:rPr>
        <w:t> </w:t>
      </w:r>
      <w:r>
        <w:rPr/>
        <w:t>traditional</w:t>
      </w:r>
      <w:r>
        <w:rPr>
          <w:spacing w:val="-4"/>
        </w:rPr>
        <w:t> </w:t>
      </w:r>
      <w:r>
        <w:rPr/>
        <w:t>roles</w:t>
      </w:r>
      <w:r>
        <w:rPr>
          <w:spacing w:val="-4"/>
        </w:rPr>
        <w:t> </w:t>
      </w:r>
      <w:r>
        <w:rPr/>
        <w:t>and</w:t>
      </w:r>
      <w:r>
        <w:rPr>
          <w:spacing w:val="-4"/>
        </w:rPr>
        <w:t> </w:t>
      </w:r>
      <w:r>
        <w:rPr/>
        <w:t>responsibilities</w:t>
      </w:r>
      <w:r>
        <w:rPr>
          <w:spacing w:val="-4"/>
        </w:rPr>
        <w:t> </w:t>
      </w:r>
      <w:r>
        <w:rPr/>
        <w:t>within</w:t>
      </w:r>
      <w:r>
        <w:rPr>
          <w:spacing w:val="-4"/>
        </w:rPr>
        <w:t> </w:t>
      </w:r>
      <w:r>
        <w:rPr/>
        <w:t>their</w:t>
      </w:r>
      <w:r>
        <w:rPr>
          <w:spacing w:val="-4"/>
        </w:rPr>
        <w:t> </w:t>
      </w:r>
      <w:r>
        <w:rPr/>
        <w:t>tribe.</w:t>
      </w:r>
      <w:r>
        <w:rPr>
          <w:spacing w:val="-4"/>
        </w:rPr>
        <w:t> </w:t>
      </w:r>
      <w:r>
        <w:rPr/>
        <w:t>Not</w:t>
      </w:r>
      <w:r>
        <w:rPr>
          <w:spacing w:val="-4"/>
        </w:rPr>
        <w:t> </w:t>
      </w:r>
      <w:r>
        <w:rPr/>
        <w:t>all</w:t>
      </w:r>
      <w:r>
        <w:rPr>
          <w:spacing w:val="-4"/>
        </w:rPr>
        <w:t> </w:t>
      </w:r>
      <w:r>
        <w:rPr/>
        <w:t>Native LGBTQ people identify as Two Spirit.</w:t>
      </w:r>
    </w:p>
    <w:p>
      <w:pPr>
        <w:pStyle w:val="BodyText"/>
        <w:spacing w:before="170"/>
        <w:ind w:left="280"/>
      </w:pPr>
      <w:r>
        <w:rPr>
          <w:b/>
        </w:rPr>
        <w:t>Victimization:</w:t>
      </w:r>
      <w:r>
        <w:rPr>
          <w:b/>
          <w:spacing w:val="-5"/>
        </w:rPr>
        <w:t> </w:t>
      </w:r>
      <w:r>
        <w:rPr/>
        <w:t>The</w:t>
      </w:r>
      <w:r>
        <w:rPr>
          <w:spacing w:val="-5"/>
        </w:rPr>
        <w:t> </w:t>
      </w:r>
      <w:r>
        <w:rPr/>
        <w:t>act</w:t>
      </w:r>
      <w:r>
        <w:rPr>
          <w:spacing w:val="-4"/>
        </w:rPr>
        <w:t> </w:t>
      </w:r>
      <w:r>
        <w:rPr/>
        <w:t>or</w:t>
      </w:r>
      <w:r>
        <w:rPr>
          <w:spacing w:val="-4"/>
        </w:rPr>
        <w:t> </w:t>
      </w:r>
      <w:r>
        <w:rPr/>
        <w:t>process</w:t>
      </w:r>
      <w:r>
        <w:rPr>
          <w:spacing w:val="-4"/>
        </w:rPr>
        <w:t> </w:t>
      </w:r>
      <w:r>
        <w:rPr/>
        <w:t>of</w:t>
      </w:r>
      <w:r>
        <w:rPr>
          <w:spacing w:val="-4"/>
        </w:rPr>
        <w:t> </w:t>
      </w:r>
      <w:r>
        <w:rPr/>
        <w:t>singling</w:t>
      </w:r>
      <w:r>
        <w:rPr>
          <w:spacing w:val="-4"/>
        </w:rPr>
        <w:t> </w:t>
      </w:r>
      <w:r>
        <w:rPr/>
        <w:t>someone</w:t>
      </w:r>
      <w:r>
        <w:rPr>
          <w:spacing w:val="-5"/>
        </w:rPr>
        <w:t> </w:t>
      </w:r>
      <w:r>
        <w:rPr/>
        <w:t>out</w:t>
      </w:r>
      <w:r>
        <w:rPr>
          <w:spacing w:val="-4"/>
        </w:rPr>
        <w:t> </w:t>
      </w:r>
      <w:r>
        <w:rPr/>
        <w:t>for</w:t>
      </w:r>
      <w:r>
        <w:rPr>
          <w:spacing w:val="-4"/>
        </w:rPr>
        <w:t> </w:t>
      </w:r>
      <w:r>
        <w:rPr/>
        <w:t>cruel</w:t>
      </w:r>
      <w:r>
        <w:rPr>
          <w:spacing w:val="-4"/>
        </w:rPr>
        <w:t> </w:t>
      </w:r>
      <w:r>
        <w:rPr/>
        <w:t>or</w:t>
      </w:r>
      <w:r>
        <w:rPr>
          <w:spacing w:val="-4"/>
        </w:rPr>
        <w:t> </w:t>
      </w:r>
      <w:r>
        <w:rPr/>
        <w:t>unfair treatment, typically through physical or emotional abuse.</w:t>
      </w:r>
    </w:p>
    <w:p>
      <w:pPr>
        <w:pStyle w:val="BodyText"/>
        <w:spacing w:before="5"/>
        <w:rPr>
          <w:sz w:val="27"/>
        </w:rPr>
      </w:pPr>
    </w:p>
    <w:p>
      <w:pPr>
        <w:spacing w:before="0"/>
        <w:ind w:left="280" w:right="0" w:firstLine="0"/>
        <w:jc w:val="left"/>
        <w:rPr>
          <w:i/>
          <w:sz w:val="28"/>
        </w:rPr>
      </w:pPr>
      <w:r>
        <w:rPr>
          <w:i/>
          <w:sz w:val="28"/>
        </w:rPr>
        <w:t>This</w:t>
      </w:r>
      <w:r>
        <w:rPr>
          <w:i/>
          <w:spacing w:val="40"/>
          <w:sz w:val="28"/>
        </w:rPr>
        <w:t> </w:t>
      </w:r>
      <w:r>
        <w:rPr>
          <w:i/>
          <w:sz w:val="28"/>
        </w:rPr>
        <w:t>is</w:t>
      </w:r>
      <w:r>
        <w:rPr>
          <w:i/>
          <w:spacing w:val="40"/>
          <w:sz w:val="28"/>
        </w:rPr>
        <w:t> </w:t>
      </w:r>
      <w:r>
        <w:rPr>
          <w:i/>
          <w:sz w:val="28"/>
        </w:rPr>
        <w:t>not</w:t>
      </w:r>
      <w:r>
        <w:rPr>
          <w:i/>
          <w:spacing w:val="40"/>
          <w:sz w:val="28"/>
        </w:rPr>
        <w:t> </w:t>
      </w:r>
      <w:r>
        <w:rPr>
          <w:i/>
          <w:sz w:val="28"/>
        </w:rPr>
        <w:t>an</w:t>
      </w:r>
      <w:r>
        <w:rPr>
          <w:i/>
          <w:spacing w:val="40"/>
          <w:sz w:val="28"/>
        </w:rPr>
        <w:t> </w:t>
      </w:r>
      <w:r>
        <w:rPr>
          <w:i/>
          <w:sz w:val="28"/>
        </w:rPr>
        <w:t>exhaustive</w:t>
      </w:r>
      <w:r>
        <w:rPr>
          <w:i/>
          <w:spacing w:val="40"/>
          <w:sz w:val="28"/>
        </w:rPr>
        <w:t> </w:t>
      </w:r>
      <w:r>
        <w:rPr>
          <w:i/>
          <w:sz w:val="28"/>
        </w:rPr>
        <w:t>list</w:t>
      </w:r>
      <w:r>
        <w:rPr>
          <w:i/>
          <w:spacing w:val="40"/>
          <w:sz w:val="28"/>
        </w:rPr>
        <w:t> </w:t>
      </w:r>
      <w:r>
        <w:rPr>
          <w:i/>
          <w:sz w:val="28"/>
        </w:rPr>
        <w:t>of</w:t>
      </w:r>
      <w:r>
        <w:rPr>
          <w:i/>
          <w:spacing w:val="40"/>
          <w:sz w:val="28"/>
        </w:rPr>
        <w:t> </w:t>
      </w:r>
      <w:r>
        <w:rPr>
          <w:i/>
          <w:sz w:val="28"/>
        </w:rPr>
        <w:t>terminology</w:t>
      </w:r>
      <w:r>
        <w:rPr>
          <w:i/>
          <w:spacing w:val="40"/>
          <w:sz w:val="28"/>
        </w:rPr>
        <w:t> </w:t>
      </w:r>
      <w:r>
        <w:rPr>
          <w:i/>
          <w:sz w:val="28"/>
        </w:rPr>
        <w:t>relevant</w:t>
      </w:r>
      <w:r>
        <w:rPr>
          <w:i/>
          <w:spacing w:val="40"/>
          <w:sz w:val="28"/>
        </w:rPr>
        <w:t> </w:t>
      </w:r>
      <w:r>
        <w:rPr>
          <w:i/>
          <w:sz w:val="28"/>
        </w:rPr>
        <w:t>for</w:t>
      </w:r>
      <w:r>
        <w:rPr>
          <w:i/>
          <w:spacing w:val="40"/>
          <w:sz w:val="28"/>
        </w:rPr>
        <w:t> </w:t>
      </w:r>
      <w:r>
        <w:rPr>
          <w:i/>
          <w:sz w:val="28"/>
        </w:rPr>
        <w:t>LGBTQI+</w:t>
      </w:r>
      <w:r>
        <w:rPr>
          <w:i/>
          <w:spacing w:val="40"/>
          <w:sz w:val="28"/>
        </w:rPr>
        <w:t> </w:t>
      </w:r>
      <w:r>
        <w:rPr>
          <w:i/>
          <w:sz w:val="28"/>
        </w:rPr>
        <w:t>youth.</w:t>
      </w:r>
      <w:r>
        <w:rPr>
          <w:i/>
          <w:sz w:val="28"/>
        </w:rPr>
        <w:t> Additional key terms and concepts are defined at </w:t>
      </w:r>
      <w:r>
        <w:rPr>
          <w:sz w:val="28"/>
        </w:rPr>
        <w:t>Youth.gov</w:t>
      </w:r>
      <w:r>
        <w:rPr>
          <w:i/>
          <w:sz w:val="28"/>
        </w:rPr>
        <w:t>.</w:t>
      </w:r>
    </w:p>
    <w:p>
      <w:pPr>
        <w:pStyle w:val="Heading2"/>
        <w:spacing w:before="176"/>
      </w:pPr>
      <w:r>
        <w:rPr>
          <w:spacing w:val="-2"/>
        </w:rPr>
        <w:t>Sources:</w:t>
      </w:r>
    </w:p>
    <w:p>
      <w:pPr>
        <w:pStyle w:val="BodyText"/>
        <w:spacing w:before="62"/>
        <w:ind w:left="280" w:right="668"/>
      </w:pPr>
      <w:r>
        <w:rPr>
          <w:color w:val="2B2B2B"/>
        </w:rPr>
        <w:t>Rafferty</w:t>
      </w:r>
      <w:r>
        <w:rPr>
          <w:color w:val="2B2B2B"/>
          <w:spacing w:val="-1"/>
        </w:rPr>
        <w:t> </w:t>
      </w:r>
      <w:r>
        <w:rPr>
          <w:color w:val="2B2B2B"/>
        </w:rPr>
        <w:t>J;</w:t>
      </w:r>
      <w:r>
        <w:rPr>
          <w:color w:val="2B2B2B"/>
          <w:spacing w:val="-1"/>
        </w:rPr>
        <w:t> </w:t>
      </w:r>
      <w:r>
        <w:rPr>
          <w:color w:val="2B2B2B"/>
        </w:rPr>
        <w:t>Committee</w:t>
      </w:r>
      <w:r>
        <w:rPr>
          <w:color w:val="2B2B2B"/>
          <w:spacing w:val="-2"/>
        </w:rPr>
        <w:t> </w:t>
      </w:r>
      <w:r>
        <w:rPr>
          <w:color w:val="2B2B2B"/>
        </w:rPr>
        <w:t>on</w:t>
      </w:r>
      <w:r>
        <w:rPr>
          <w:color w:val="2B2B2B"/>
          <w:spacing w:val="-1"/>
        </w:rPr>
        <w:t> </w:t>
      </w:r>
      <w:r>
        <w:rPr>
          <w:color w:val="2B2B2B"/>
        </w:rPr>
        <w:t>Psychosocial</w:t>
      </w:r>
      <w:r>
        <w:rPr>
          <w:color w:val="2B2B2B"/>
          <w:spacing w:val="-17"/>
        </w:rPr>
        <w:t> </w:t>
      </w:r>
      <w:r>
        <w:rPr>
          <w:color w:val="2B2B2B"/>
        </w:rPr>
        <w:t>Aspects</w:t>
      </w:r>
      <w:r>
        <w:rPr>
          <w:color w:val="2B2B2B"/>
          <w:spacing w:val="-1"/>
        </w:rPr>
        <w:t> </w:t>
      </w:r>
      <w:r>
        <w:rPr>
          <w:color w:val="2B2B2B"/>
        </w:rPr>
        <w:t>of</w:t>
      </w:r>
      <w:r>
        <w:rPr>
          <w:color w:val="2B2B2B"/>
          <w:spacing w:val="-1"/>
        </w:rPr>
        <w:t> </w:t>
      </w:r>
      <w:r>
        <w:rPr>
          <w:color w:val="2B2B2B"/>
        </w:rPr>
        <w:t>Child</w:t>
      </w:r>
      <w:r>
        <w:rPr>
          <w:color w:val="2B2B2B"/>
          <w:spacing w:val="-1"/>
        </w:rPr>
        <w:t> </w:t>
      </w:r>
      <w:r>
        <w:rPr>
          <w:color w:val="2B2B2B"/>
        </w:rPr>
        <w:t>and</w:t>
      </w:r>
      <w:r>
        <w:rPr>
          <w:color w:val="2B2B2B"/>
          <w:spacing w:val="-1"/>
        </w:rPr>
        <w:t> </w:t>
      </w:r>
      <w:r>
        <w:rPr>
          <w:color w:val="2B2B2B"/>
        </w:rPr>
        <w:t>Family</w:t>
      </w:r>
      <w:r>
        <w:rPr>
          <w:color w:val="2B2B2B"/>
          <w:spacing w:val="-1"/>
        </w:rPr>
        <w:t> </w:t>
      </w:r>
      <w:r>
        <w:rPr>
          <w:color w:val="2B2B2B"/>
        </w:rPr>
        <w:t>Health; Committee on</w:t>
      </w:r>
      <w:r>
        <w:rPr>
          <w:color w:val="2B2B2B"/>
          <w:spacing w:val="-4"/>
        </w:rPr>
        <w:t> </w:t>
      </w:r>
      <w:r>
        <w:rPr>
          <w:color w:val="2B2B2B"/>
        </w:rPr>
        <w:t>Adolescence; Section on Lesbian, Gay, Bisexual, and Transgender</w:t>
      </w:r>
      <w:r>
        <w:rPr>
          <w:color w:val="2B2B2B"/>
          <w:spacing w:val="-9"/>
        </w:rPr>
        <w:t> </w:t>
      </w:r>
      <w:r>
        <w:rPr>
          <w:color w:val="2B2B2B"/>
        </w:rPr>
        <w:t>Health</w:t>
      </w:r>
      <w:r>
        <w:rPr>
          <w:color w:val="2B2B2B"/>
          <w:spacing w:val="-9"/>
        </w:rPr>
        <w:t> </w:t>
      </w:r>
      <w:r>
        <w:rPr>
          <w:color w:val="2B2B2B"/>
        </w:rPr>
        <w:t>and</w:t>
      </w:r>
      <w:r>
        <w:rPr>
          <w:color w:val="2B2B2B"/>
          <w:spacing w:val="-14"/>
        </w:rPr>
        <w:t> </w:t>
      </w:r>
      <w:r>
        <w:rPr>
          <w:color w:val="2B2B2B"/>
        </w:rPr>
        <w:t>Wellness.</w:t>
      </w:r>
      <w:r>
        <w:rPr>
          <w:color w:val="2B2B2B"/>
          <w:spacing w:val="-9"/>
        </w:rPr>
        <w:t> </w:t>
      </w:r>
      <w:r>
        <w:rPr>
          <w:color w:val="2B2B2B"/>
        </w:rPr>
        <w:t>Ensuring</w:t>
      </w:r>
      <w:r>
        <w:rPr>
          <w:color w:val="2B2B2B"/>
          <w:spacing w:val="-9"/>
        </w:rPr>
        <w:t> </w:t>
      </w:r>
      <w:r>
        <w:rPr>
          <w:color w:val="2B2B2B"/>
        </w:rPr>
        <w:t>comprehensive</w:t>
      </w:r>
      <w:r>
        <w:rPr>
          <w:color w:val="2B2B2B"/>
          <w:spacing w:val="-10"/>
        </w:rPr>
        <w:t> </w:t>
      </w:r>
      <w:r>
        <w:rPr>
          <w:color w:val="2B2B2B"/>
        </w:rPr>
        <w:t>care</w:t>
      </w:r>
      <w:r>
        <w:rPr>
          <w:color w:val="2B2B2B"/>
          <w:spacing w:val="-10"/>
        </w:rPr>
        <w:t> </w:t>
      </w:r>
      <w:r>
        <w:rPr>
          <w:color w:val="2B2B2B"/>
        </w:rPr>
        <w:t>and</w:t>
      </w:r>
      <w:r>
        <w:rPr>
          <w:color w:val="2B2B2B"/>
          <w:spacing w:val="-9"/>
        </w:rPr>
        <w:t> </w:t>
      </w:r>
      <w:r>
        <w:rPr>
          <w:color w:val="2B2B2B"/>
        </w:rPr>
        <w:t>support for transgender and gender-diverse children and adolescents. </w:t>
      </w:r>
      <w:r>
        <w:rPr>
          <w:i/>
          <w:color w:val="2B2B2B"/>
        </w:rPr>
        <w:t>Pediatrics</w:t>
      </w:r>
      <w:r>
        <w:rPr>
          <w:color w:val="2B2B2B"/>
        </w:rPr>
        <w:t>.</w:t>
      </w:r>
    </w:p>
    <w:p>
      <w:pPr>
        <w:pStyle w:val="BodyText"/>
        <w:spacing w:line="314" w:lineRule="exact"/>
        <w:ind w:left="280"/>
      </w:pPr>
      <w:r>
        <w:rPr>
          <w:color w:val="2B2B2B"/>
        </w:rPr>
        <w:t>2018;142(4):e20182162.</w:t>
      </w:r>
      <w:r>
        <w:rPr>
          <w:color w:val="2B2B2B"/>
          <w:spacing w:val="-13"/>
        </w:rPr>
        <w:t> </w:t>
      </w:r>
      <w:r>
        <w:rPr/>
        <w:t>https://doi.org/10.1542/peds.2018-</w:t>
      </w:r>
      <w:r>
        <w:rPr>
          <w:spacing w:val="-4"/>
        </w:rPr>
        <w:t>2162</w:t>
      </w:r>
    </w:p>
    <w:p>
      <w:pPr>
        <w:pStyle w:val="BodyText"/>
        <w:spacing w:before="161"/>
        <w:ind w:left="280" w:right="502"/>
      </w:pPr>
      <w:r>
        <w:rPr/>
        <w:t>Kleiber</w:t>
      </w:r>
      <w:r>
        <w:rPr>
          <w:spacing w:val="-4"/>
        </w:rPr>
        <w:t> </w:t>
      </w:r>
      <w:r>
        <w:rPr/>
        <w:t>E.</w:t>
      </w:r>
      <w:r>
        <w:rPr>
          <w:spacing w:val="-4"/>
        </w:rPr>
        <w:t> </w:t>
      </w:r>
      <w:r>
        <w:rPr/>
        <w:t>(2019).</w:t>
      </w:r>
      <w:r>
        <w:rPr>
          <w:spacing w:val="-4"/>
        </w:rPr>
        <w:t> </w:t>
      </w:r>
      <w:r>
        <w:rPr/>
        <w:t>Gender</w:t>
      </w:r>
      <w:r>
        <w:rPr>
          <w:spacing w:val="-4"/>
        </w:rPr>
        <w:t> </w:t>
      </w:r>
      <w:r>
        <w:rPr/>
        <w:t>Identity</w:t>
      </w:r>
      <w:r>
        <w:rPr>
          <w:spacing w:val="-4"/>
        </w:rPr>
        <w:t> </w:t>
      </w:r>
      <w:r>
        <w:rPr/>
        <w:t>and</w:t>
      </w:r>
      <w:r>
        <w:rPr>
          <w:spacing w:val="-4"/>
        </w:rPr>
        <w:t> </w:t>
      </w:r>
      <w:r>
        <w:rPr/>
        <w:t>Sexual</w:t>
      </w:r>
      <w:r>
        <w:rPr>
          <w:spacing w:val="-4"/>
        </w:rPr>
        <w:t> </w:t>
      </w:r>
      <w:r>
        <w:rPr/>
        <w:t>Identity</w:t>
      </w:r>
      <w:r>
        <w:rPr>
          <w:spacing w:val="-4"/>
        </w:rPr>
        <w:t> </w:t>
      </w:r>
      <w:r>
        <w:rPr/>
        <w:t>in</w:t>
      </w:r>
      <w:r>
        <w:rPr>
          <w:spacing w:val="-4"/>
        </w:rPr>
        <w:t> </w:t>
      </w:r>
      <w:r>
        <w:rPr/>
        <w:t>the</w:t>
      </w:r>
      <w:r>
        <w:rPr>
          <w:spacing w:val="-5"/>
        </w:rPr>
        <w:t> </w:t>
      </w:r>
      <w:r>
        <w:rPr/>
        <w:t>Pacific</w:t>
      </w:r>
      <w:r>
        <w:rPr>
          <w:spacing w:val="-5"/>
        </w:rPr>
        <w:t> </w:t>
      </w:r>
      <w:r>
        <w:rPr/>
        <w:t>and Hawai'i: Introduction. University of Hawai'i at Mānoa Library. https:// </w:t>
      </w:r>
      <w:r>
        <w:rPr>
          <w:spacing w:val="-2"/>
        </w:rPr>
        <w:t>guides.library.manoa.hawaii.edu/c.php?g=105466&amp;p=686754</w:t>
      </w:r>
    </w:p>
    <w:p>
      <w:pPr>
        <w:pStyle w:val="BodyText"/>
        <w:spacing w:before="157"/>
        <w:ind w:left="280" w:right="1150"/>
      </w:pPr>
      <w:r>
        <w:rPr/>
        <w:t>Columbia</w:t>
      </w:r>
      <w:r>
        <w:rPr>
          <w:spacing w:val="-9"/>
        </w:rPr>
        <w:t> </w:t>
      </w:r>
      <w:r>
        <w:rPr/>
        <w:t>University</w:t>
      </w:r>
      <w:r>
        <w:rPr>
          <w:spacing w:val="-8"/>
        </w:rPr>
        <w:t> </w:t>
      </w:r>
      <w:r>
        <w:rPr/>
        <w:t>Department</w:t>
      </w:r>
      <w:r>
        <w:rPr>
          <w:spacing w:val="-8"/>
        </w:rPr>
        <w:t> </w:t>
      </w:r>
      <w:r>
        <w:rPr/>
        <w:t>of</w:t>
      </w:r>
      <w:r>
        <w:rPr>
          <w:spacing w:val="-8"/>
        </w:rPr>
        <w:t> </w:t>
      </w:r>
      <w:r>
        <w:rPr/>
        <w:t>Psychiatry.</w:t>
      </w:r>
      <w:r>
        <w:rPr>
          <w:spacing w:val="-8"/>
        </w:rPr>
        <w:t> </w:t>
      </w:r>
      <w:r>
        <w:rPr/>
        <w:t>(June</w:t>
      </w:r>
      <w:r>
        <w:rPr>
          <w:spacing w:val="-9"/>
        </w:rPr>
        <w:t> </w:t>
      </w:r>
      <w:r>
        <w:rPr/>
        <w:t>23,</w:t>
      </w:r>
      <w:r>
        <w:rPr>
          <w:spacing w:val="-8"/>
        </w:rPr>
        <w:t> </w:t>
      </w:r>
      <w:r>
        <w:rPr/>
        <w:t>2021).</w:t>
      </w:r>
      <w:r>
        <w:rPr>
          <w:spacing w:val="-8"/>
        </w:rPr>
        <w:t> </w:t>
      </w:r>
      <w:r>
        <w:rPr/>
        <w:t>Gender- Affirming Care Saves Lives. https://</w:t>
      </w:r>
      <w:hyperlink r:id="rId74">
        <w:r>
          <w:rPr/>
          <w:t>www.columbiapsychiatry.org/news/</w:t>
        </w:r>
      </w:hyperlink>
      <w:r>
        <w:rPr/>
        <w:t> </w:t>
      </w:r>
      <w:r>
        <w:rPr>
          <w:spacing w:val="-2"/>
        </w:rPr>
        <w:t>gender-affirming-care-</w:t>
      </w:r>
    </w:p>
    <w:p>
      <w:pPr>
        <w:spacing w:after="0"/>
        <w:sectPr>
          <w:pgSz w:w="12240" w:h="15840"/>
          <w:pgMar w:header="0" w:footer="783" w:top="1260" w:bottom="980" w:left="1400" w:right="1180"/>
        </w:sectPr>
      </w:pPr>
    </w:p>
    <w:p>
      <w:pPr>
        <w:pStyle w:val="BodyText"/>
        <w:spacing w:line="321" w:lineRule="exact" w:before="66"/>
        <w:ind w:left="280"/>
      </w:pPr>
      <w:r>
        <w:rPr>
          <w:spacing w:val="-2"/>
        </w:rPr>
        <w:t>saveslives#:~:text=The%20gender%2Daffirming%20model%20of,exploration</w:t>
      </w:r>
    </w:p>
    <w:p>
      <w:pPr>
        <w:pStyle w:val="BodyText"/>
        <w:spacing w:line="321" w:lineRule="exact"/>
        <w:ind w:left="280"/>
      </w:pPr>
      <w:r>
        <w:rPr/>
        <w:t>%20without%20judgment</w:t>
      </w:r>
      <w:r>
        <w:rPr>
          <w:spacing w:val="-6"/>
        </w:rPr>
        <w:t> </w:t>
      </w:r>
      <w:r>
        <w:rPr>
          <w:spacing w:val="-2"/>
        </w:rPr>
        <w:t>s%20or%20assumptions</w:t>
      </w:r>
    </w:p>
    <w:p>
      <w:pPr>
        <w:pStyle w:val="BodyText"/>
        <w:spacing w:before="161"/>
        <w:ind w:left="280" w:right="702"/>
        <w:jc w:val="both"/>
      </w:pPr>
      <w:r>
        <w:rPr/>
        <w:t>World</w:t>
      </w:r>
      <w:r>
        <w:rPr>
          <w:spacing w:val="-3"/>
        </w:rPr>
        <w:t> </w:t>
      </w:r>
      <w:r>
        <w:rPr/>
        <w:t>Professional</w:t>
      </w:r>
      <w:r>
        <w:rPr>
          <w:spacing w:val="-18"/>
        </w:rPr>
        <w:t> </w:t>
      </w:r>
      <w:r>
        <w:rPr/>
        <w:t>Association</w:t>
      </w:r>
      <w:r>
        <w:rPr>
          <w:spacing w:val="-2"/>
        </w:rPr>
        <w:t> </w:t>
      </w:r>
      <w:r>
        <w:rPr/>
        <w:t>for</w:t>
      </w:r>
      <w:r>
        <w:rPr>
          <w:spacing w:val="-9"/>
        </w:rPr>
        <w:t> </w:t>
      </w:r>
      <w:r>
        <w:rPr/>
        <w:t>Transgender</w:t>
      </w:r>
      <w:r>
        <w:rPr>
          <w:spacing w:val="-3"/>
        </w:rPr>
        <w:t> </w:t>
      </w:r>
      <w:r>
        <w:rPr/>
        <w:t>Health.</w:t>
      </w:r>
      <w:r>
        <w:rPr>
          <w:spacing w:val="-3"/>
        </w:rPr>
        <w:t> </w:t>
      </w:r>
      <w:r>
        <w:rPr/>
        <w:t>(2022).</w:t>
      </w:r>
      <w:r>
        <w:rPr>
          <w:spacing w:val="-3"/>
        </w:rPr>
        <w:t> </w:t>
      </w:r>
      <w:r>
        <w:rPr/>
        <w:t>Standards</w:t>
      </w:r>
      <w:r>
        <w:rPr>
          <w:spacing w:val="-3"/>
        </w:rPr>
        <w:t> </w:t>
      </w:r>
      <w:r>
        <w:rPr/>
        <w:t>of Care</w:t>
      </w:r>
      <w:r>
        <w:rPr>
          <w:spacing w:val="-9"/>
        </w:rPr>
        <w:t> </w:t>
      </w:r>
      <w:r>
        <w:rPr/>
        <w:t>for</w:t>
      </w:r>
      <w:r>
        <w:rPr>
          <w:spacing w:val="-8"/>
        </w:rPr>
        <w:t> </w:t>
      </w:r>
      <w:r>
        <w:rPr/>
        <w:t>the</w:t>
      </w:r>
      <w:r>
        <w:rPr>
          <w:spacing w:val="-9"/>
        </w:rPr>
        <w:t> </w:t>
      </w:r>
      <w:r>
        <w:rPr/>
        <w:t>Health</w:t>
      </w:r>
      <w:r>
        <w:rPr>
          <w:spacing w:val="-8"/>
        </w:rPr>
        <w:t> </w:t>
      </w:r>
      <w:r>
        <w:rPr/>
        <w:t>of</w:t>
      </w:r>
      <w:r>
        <w:rPr>
          <w:spacing w:val="-13"/>
        </w:rPr>
        <w:t> </w:t>
      </w:r>
      <w:r>
        <w:rPr/>
        <w:t>Transsexual,</w:t>
      </w:r>
      <w:r>
        <w:rPr>
          <w:spacing w:val="-13"/>
        </w:rPr>
        <w:t> </w:t>
      </w:r>
      <w:r>
        <w:rPr/>
        <w:t>Transgender,</w:t>
      </w:r>
      <w:r>
        <w:rPr>
          <w:spacing w:val="-8"/>
        </w:rPr>
        <w:t> </w:t>
      </w:r>
      <w:r>
        <w:rPr/>
        <w:t>and</w:t>
      </w:r>
      <w:r>
        <w:rPr>
          <w:spacing w:val="-8"/>
        </w:rPr>
        <w:t> </w:t>
      </w:r>
      <w:r>
        <w:rPr/>
        <w:t>Gender</w:t>
      </w:r>
      <w:r>
        <w:rPr>
          <w:spacing w:val="-8"/>
        </w:rPr>
        <w:t> </w:t>
      </w:r>
      <w:r>
        <w:rPr/>
        <w:t>Nonconforming People. https://</w:t>
      </w:r>
      <w:hyperlink r:id="rId75">
        <w:r>
          <w:rPr/>
          <w:t>www.wpath.org/publications/soc</w:t>
        </w:r>
      </w:hyperlink>
    </w:p>
    <w:p>
      <w:pPr>
        <w:pStyle w:val="BodyText"/>
        <w:spacing w:before="157"/>
        <w:ind w:left="280" w:right="791"/>
        <w:jc w:val="both"/>
      </w:pPr>
      <w:r>
        <w:rPr/>
        <w:t>Northwest</w:t>
      </w:r>
      <w:r>
        <w:rPr>
          <w:spacing w:val="-8"/>
        </w:rPr>
        <w:t> </w:t>
      </w:r>
      <w:r>
        <w:rPr/>
        <w:t>Portland</w:t>
      </w:r>
      <w:r>
        <w:rPr>
          <w:spacing w:val="-18"/>
        </w:rPr>
        <w:t> </w:t>
      </w:r>
      <w:r>
        <w:rPr/>
        <w:t>Area</w:t>
      </w:r>
      <w:r>
        <w:rPr>
          <w:spacing w:val="-6"/>
        </w:rPr>
        <w:t> </w:t>
      </w:r>
      <w:r>
        <w:rPr/>
        <w:t>Indian</w:t>
      </w:r>
      <w:r>
        <w:rPr>
          <w:spacing w:val="-6"/>
        </w:rPr>
        <w:t> </w:t>
      </w:r>
      <w:r>
        <w:rPr/>
        <w:t>Health</w:t>
      </w:r>
      <w:r>
        <w:rPr>
          <w:spacing w:val="-6"/>
        </w:rPr>
        <w:t> </w:t>
      </w:r>
      <w:r>
        <w:rPr/>
        <w:t>Board</w:t>
      </w:r>
      <w:r>
        <w:rPr>
          <w:spacing w:val="-6"/>
        </w:rPr>
        <w:t> </w:t>
      </w:r>
      <w:r>
        <w:rPr/>
        <w:t>Gender-Diverse</w:t>
      </w:r>
      <w:r>
        <w:rPr>
          <w:spacing w:val="-7"/>
        </w:rPr>
        <w:t> </w:t>
      </w:r>
      <w:r>
        <w:rPr/>
        <w:t>Provider</w:t>
      </w:r>
      <w:r>
        <w:rPr>
          <w:spacing w:val="-6"/>
        </w:rPr>
        <w:t> </w:t>
      </w:r>
      <w:r>
        <w:rPr/>
        <w:t>101. (n.d.). https://</w:t>
      </w:r>
      <w:hyperlink r:id="rId76">
        <w:r>
          <w:rPr/>
          <w:t>www.pathsremembered.org/gender-diverse/</w:t>
        </w:r>
      </w:hyperlink>
    </w:p>
    <w:p>
      <w:pPr>
        <w:pStyle w:val="BodyText"/>
        <w:spacing w:before="159"/>
        <w:ind w:left="280" w:right="499"/>
      </w:pPr>
      <w:r>
        <w:rPr/>
        <w:t>E.</w:t>
      </w:r>
      <w:r>
        <w:rPr>
          <w:spacing w:val="-10"/>
        </w:rPr>
        <w:t> </w:t>
      </w:r>
      <w:r>
        <w:rPr/>
        <w:t>Coleman,</w:t>
      </w:r>
      <w:r>
        <w:rPr>
          <w:spacing w:val="-18"/>
        </w:rPr>
        <w:t> </w:t>
      </w:r>
      <w:r>
        <w:rPr/>
        <w:t>A.</w:t>
      </w:r>
      <w:r>
        <w:rPr>
          <w:spacing w:val="-6"/>
        </w:rPr>
        <w:t> </w:t>
      </w:r>
      <w:r>
        <w:rPr/>
        <w:t>E.</w:t>
      </w:r>
      <w:r>
        <w:rPr>
          <w:spacing w:val="-7"/>
        </w:rPr>
        <w:t> </w:t>
      </w:r>
      <w:r>
        <w:rPr/>
        <w:t>Radix,</w:t>
      </w:r>
      <w:r>
        <w:rPr>
          <w:spacing w:val="-12"/>
        </w:rPr>
        <w:t> </w:t>
      </w:r>
      <w:r>
        <w:rPr/>
        <w:t>W.</w:t>
      </w:r>
      <w:r>
        <w:rPr>
          <w:spacing w:val="-7"/>
        </w:rPr>
        <w:t> </w:t>
      </w:r>
      <w:r>
        <w:rPr/>
        <w:t>P.</w:t>
      </w:r>
      <w:r>
        <w:rPr>
          <w:spacing w:val="-7"/>
        </w:rPr>
        <w:t> </w:t>
      </w:r>
      <w:r>
        <w:rPr/>
        <w:t>Bouman,</w:t>
      </w:r>
      <w:r>
        <w:rPr>
          <w:spacing w:val="-7"/>
        </w:rPr>
        <w:t> </w:t>
      </w:r>
      <w:r>
        <w:rPr/>
        <w:t>et</w:t>
      </w:r>
      <w:r>
        <w:rPr>
          <w:spacing w:val="-7"/>
        </w:rPr>
        <w:t> </w:t>
      </w:r>
      <w:r>
        <w:rPr/>
        <w:t>al.</w:t>
      </w:r>
      <w:r>
        <w:rPr>
          <w:spacing w:val="-7"/>
        </w:rPr>
        <w:t> </w:t>
      </w:r>
      <w:r>
        <w:rPr/>
        <w:t>(2022)</w:t>
      </w:r>
      <w:r>
        <w:rPr>
          <w:spacing w:val="-7"/>
        </w:rPr>
        <w:t> </w:t>
      </w:r>
      <w:r>
        <w:rPr/>
        <w:t>Standards</w:t>
      </w:r>
      <w:r>
        <w:rPr>
          <w:spacing w:val="-7"/>
        </w:rPr>
        <w:t> </w:t>
      </w:r>
      <w:r>
        <w:rPr/>
        <w:t>of</w:t>
      </w:r>
      <w:r>
        <w:rPr>
          <w:spacing w:val="-7"/>
        </w:rPr>
        <w:t> </w:t>
      </w:r>
      <w:r>
        <w:rPr/>
        <w:t>care</w:t>
      </w:r>
      <w:r>
        <w:rPr>
          <w:spacing w:val="-8"/>
        </w:rPr>
        <w:t> </w:t>
      </w:r>
      <w:r>
        <w:rPr/>
        <w:t>for</w:t>
      </w:r>
      <w:r>
        <w:rPr>
          <w:spacing w:val="-7"/>
        </w:rPr>
        <w:t> </w:t>
      </w:r>
      <w:r>
        <w:rPr/>
        <w:t>the health of transgender and gender diverse people, version 8. </w:t>
      </w:r>
      <w:r>
        <w:rPr>
          <w:i/>
        </w:rPr>
        <w:t>Int J Transgend</w:t>
      </w:r>
      <w:r>
        <w:rPr>
          <w:i/>
        </w:rPr>
        <w:t> Health. </w:t>
      </w:r>
      <w:r>
        <w:rPr/>
        <w:t>2022</w:t>
      </w:r>
      <w:r>
        <w:rPr>
          <w:i/>
        </w:rPr>
        <w:t>:</w:t>
      </w:r>
      <w:r>
        <w:rPr/>
        <w:t>23:sup1:S1S259. https://</w:t>
      </w:r>
      <w:hyperlink r:id="rId77">
        <w:r>
          <w:rPr/>
          <w:t>www.tandfonline.com/doi/pdf/</w:t>
        </w:r>
      </w:hyperlink>
      <w:r>
        <w:rPr/>
        <w:t> </w:t>
      </w:r>
      <w:r>
        <w:rPr>
          <w:spacing w:val="-2"/>
        </w:rPr>
        <w:t>10.1080/26895269.2022.2100644</w:t>
      </w:r>
    </w:p>
    <w:p>
      <w:pPr>
        <w:pStyle w:val="BodyText"/>
        <w:spacing w:before="155"/>
        <w:ind w:left="280"/>
      </w:pPr>
      <w:r>
        <w:rPr/>
        <w:t>American</w:t>
      </w:r>
      <w:r>
        <w:rPr>
          <w:spacing w:val="-13"/>
        </w:rPr>
        <w:t> </w:t>
      </w:r>
      <w:r>
        <w:rPr/>
        <w:t>Psychological</w:t>
      </w:r>
      <w:r>
        <w:rPr>
          <w:spacing w:val="-18"/>
        </w:rPr>
        <w:t> </w:t>
      </w:r>
      <w:r>
        <w:rPr/>
        <w:t>Association</w:t>
      </w:r>
      <w:r>
        <w:rPr>
          <w:spacing w:val="-8"/>
        </w:rPr>
        <w:t> </w:t>
      </w:r>
      <w:r>
        <w:rPr/>
        <w:t>Dictionary</w:t>
      </w:r>
      <w:r>
        <w:rPr>
          <w:spacing w:val="-9"/>
        </w:rPr>
        <w:t> </w:t>
      </w:r>
      <w:r>
        <w:rPr/>
        <w:t>of</w:t>
      </w:r>
      <w:r>
        <w:rPr>
          <w:spacing w:val="-9"/>
        </w:rPr>
        <w:t> </w:t>
      </w:r>
      <w:r>
        <w:rPr/>
        <w:t>Psychology.</w:t>
      </w:r>
      <w:r>
        <w:rPr>
          <w:spacing w:val="-9"/>
        </w:rPr>
        <w:t> </w:t>
      </w:r>
      <w:r>
        <w:rPr/>
        <w:t>(n.d.).</w:t>
      </w:r>
      <w:r>
        <w:rPr>
          <w:spacing w:val="-9"/>
        </w:rPr>
        <w:t> </w:t>
      </w:r>
      <w:r>
        <w:rPr/>
        <w:t>https:// </w:t>
      </w:r>
      <w:r>
        <w:rPr>
          <w:spacing w:val="-2"/>
        </w:rPr>
        <w:t>dictionary.apa.org/victimization</w:t>
      </w:r>
    </w:p>
    <w:p>
      <w:pPr>
        <w:pStyle w:val="BodyText"/>
        <w:spacing w:before="159"/>
        <w:ind w:left="280"/>
      </w:pPr>
      <w:r>
        <w:rPr/>
        <w:t>NIH</w:t>
      </w:r>
      <w:r>
        <w:rPr>
          <w:spacing w:val="-6"/>
        </w:rPr>
        <w:t> </w:t>
      </w:r>
      <w:r>
        <w:rPr/>
        <w:t>Sexual</w:t>
      </w:r>
      <w:r>
        <w:rPr>
          <w:spacing w:val="-6"/>
        </w:rPr>
        <w:t> </w:t>
      </w:r>
      <w:r>
        <w:rPr/>
        <w:t>&amp;</w:t>
      </w:r>
      <w:r>
        <w:rPr>
          <w:spacing w:val="-6"/>
        </w:rPr>
        <w:t> </w:t>
      </w:r>
      <w:r>
        <w:rPr/>
        <w:t>Gender</w:t>
      </w:r>
      <w:r>
        <w:rPr>
          <w:spacing w:val="-6"/>
        </w:rPr>
        <w:t> </w:t>
      </w:r>
      <w:r>
        <w:rPr/>
        <w:t>Minority</w:t>
      </w:r>
      <w:r>
        <w:rPr>
          <w:spacing w:val="-6"/>
        </w:rPr>
        <w:t> </w:t>
      </w:r>
      <w:r>
        <w:rPr/>
        <w:t>Research</w:t>
      </w:r>
      <w:r>
        <w:rPr>
          <w:spacing w:val="-6"/>
        </w:rPr>
        <w:t> </w:t>
      </w:r>
      <w:r>
        <w:rPr/>
        <w:t>Office.</w:t>
      </w:r>
      <w:r>
        <w:rPr>
          <w:spacing w:val="-6"/>
        </w:rPr>
        <w:t> </w:t>
      </w:r>
      <w:r>
        <w:rPr/>
        <w:t>(n.d.).</w:t>
      </w:r>
      <w:r>
        <w:rPr>
          <w:spacing w:val="-6"/>
        </w:rPr>
        <w:t> </w:t>
      </w:r>
      <w:r>
        <w:rPr/>
        <w:t>https://dpcpsi.nih.gov/ </w:t>
      </w:r>
      <w:r>
        <w:rPr>
          <w:spacing w:val="-2"/>
        </w:rPr>
        <w:t>sgmro</w:t>
      </w:r>
    </w:p>
    <w:p>
      <w:pPr>
        <w:pStyle w:val="BodyText"/>
        <w:spacing w:before="7"/>
        <w:rPr>
          <w:sz w:val="25"/>
        </w:rPr>
      </w:pPr>
    </w:p>
    <w:p>
      <w:pPr>
        <w:pStyle w:val="Heading1"/>
        <w:numPr>
          <w:ilvl w:val="0"/>
          <w:numId w:val="3"/>
        </w:numPr>
        <w:tabs>
          <w:tab w:pos="809" w:val="left" w:leader="none"/>
        </w:tabs>
        <w:spacing w:line="240" w:lineRule="auto" w:before="0" w:after="0"/>
        <w:ind w:left="809" w:right="0" w:hanging="529"/>
        <w:jc w:val="left"/>
      </w:pPr>
      <w:bookmarkStart w:name="_TOC_250000" w:id="10"/>
      <w:bookmarkEnd w:id="10"/>
      <w:r>
        <w:rPr>
          <w:spacing w:val="-2"/>
        </w:rPr>
        <w:t>References</w:t>
      </w:r>
    </w:p>
    <w:p>
      <w:pPr>
        <w:spacing w:line="259" w:lineRule="auto" w:before="332"/>
        <w:ind w:left="400" w:right="0" w:firstLine="0"/>
        <w:jc w:val="left"/>
        <w:rPr>
          <w:sz w:val="28"/>
        </w:rPr>
      </w:pPr>
      <w:r>
        <w:rPr>
          <w:i/>
          <w:sz w:val="28"/>
        </w:rPr>
        <w:t>American</w:t>
      </w:r>
      <w:r>
        <w:rPr>
          <w:i/>
          <w:spacing w:val="-12"/>
          <w:sz w:val="28"/>
        </w:rPr>
        <w:t> </w:t>
      </w:r>
      <w:r>
        <w:rPr>
          <w:i/>
          <w:sz w:val="28"/>
        </w:rPr>
        <w:t>Psychiatric</w:t>
      </w:r>
      <w:r>
        <w:rPr>
          <w:i/>
          <w:spacing w:val="-18"/>
          <w:sz w:val="28"/>
        </w:rPr>
        <w:t> </w:t>
      </w:r>
      <w:r>
        <w:rPr>
          <w:i/>
          <w:sz w:val="28"/>
        </w:rPr>
        <w:t>Association</w:t>
      </w:r>
      <w:r>
        <w:rPr>
          <w:sz w:val="28"/>
        </w:rPr>
        <w:t>,</w:t>
      </w:r>
      <w:r>
        <w:rPr>
          <w:spacing w:val="-9"/>
          <w:sz w:val="28"/>
        </w:rPr>
        <w:t> </w:t>
      </w:r>
      <w:r>
        <w:rPr>
          <w:sz w:val="28"/>
        </w:rPr>
        <w:t>2013.</w:t>
      </w:r>
      <w:r>
        <w:rPr>
          <w:spacing w:val="-10"/>
          <w:sz w:val="28"/>
        </w:rPr>
        <w:t> </w:t>
      </w:r>
      <w:r>
        <w:rPr>
          <w:i/>
          <w:sz w:val="28"/>
        </w:rPr>
        <w:t>Diagnostic</w:t>
      </w:r>
      <w:r>
        <w:rPr>
          <w:i/>
          <w:spacing w:val="-11"/>
          <w:sz w:val="28"/>
        </w:rPr>
        <w:t> </w:t>
      </w:r>
      <w:r>
        <w:rPr>
          <w:i/>
          <w:sz w:val="28"/>
        </w:rPr>
        <w:t>and</w:t>
      </w:r>
      <w:r>
        <w:rPr>
          <w:i/>
          <w:spacing w:val="-10"/>
          <w:sz w:val="28"/>
        </w:rPr>
        <w:t> </w:t>
      </w:r>
      <w:r>
        <w:rPr>
          <w:i/>
          <w:sz w:val="28"/>
        </w:rPr>
        <w:t>Statistical</w:t>
      </w:r>
      <w:r>
        <w:rPr>
          <w:i/>
          <w:spacing w:val="-11"/>
          <w:sz w:val="28"/>
        </w:rPr>
        <w:t> </w:t>
      </w:r>
      <w:r>
        <w:rPr>
          <w:i/>
          <w:sz w:val="28"/>
        </w:rPr>
        <w:t>Manual</w:t>
      </w:r>
      <w:r>
        <w:rPr>
          <w:i/>
          <w:spacing w:val="-12"/>
          <w:sz w:val="28"/>
        </w:rPr>
        <w:t> </w:t>
      </w:r>
      <w:r>
        <w:rPr>
          <w:i/>
          <w:sz w:val="28"/>
        </w:rPr>
        <w:t>of</w:t>
      </w:r>
      <w:r>
        <w:rPr>
          <w:i/>
          <w:sz w:val="28"/>
        </w:rPr>
        <w:t> Mental Disorders, Fifth Edition.</w:t>
      </w:r>
      <w:r>
        <w:rPr>
          <w:i/>
          <w:spacing w:val="40"/>
          <w:sz w:val="28"/>
        </w:rPr>
        <w:t> </w:t>
      </w:r>
      <w:r>
        <w:rPr>
          <w:sz w:val="28"/>
        </w:rPr>
        <w:t>Washington DC:</w:t>
      </w:r>
      <w:r>
        <w:rPr>
          <w:spacing w:val="-9"/>
          <w:sz w:val="28"/>
        </w:rPr>
        <w:t> </w:t>
      </w:r>
      <w:r>
        <w:rPr>
          <w:sz w:val="28"/>
        </w:rPr>
        <w:t>American Psychiatric </w:t>
      </w:r>
      <w:r>
        <w:rPr>
          <w:spacing w:val="-2"/>
          <w:sz w:val="28"/>
        </w:rPr>
        <w:t>Association.</w:t>
      </w:r>
    </w:p>
    <w:p>
      <w:pPr>
        <w:pStyle w:val="BodyText"/>
        <w:spacing w:before="11"/>
        <w:rPr>
          <w:sz w:val="29"/>
        </w:rPr>
      </w:pPr>
    </w:p>
    <w:p>
      <w:pPr>
        <w:pStyle w:val="BodyText"/>
        <w:spacing w:line="259" w:lineRule="auto"/>
        <w:ind w:left="400" w:right="1099"/>
      </w:pPr>
      <w:r>
        <w:rPr/>
        <w:t>Aggarwal,</w:t>
      </w:r>
      <w:r>
        <w:rPr>
          <w:spacing w:val="-18"/>
        </w:rPr>
        <w:t> </w:t>
      </w:r>
      <w:r>
        <w:rPr/>
        <w:t>N.</w:t>
      </w:r>
      <w:r>
        <w:rPr>
          <w:spacing w:val="-10"/>
        </w:rPr>
        <w:t> </w:t>
      </w:r>
      <w:r>
        <w:rPr/>
        <w:t>K.,</w:t>
      </w:r>
      <w:r>
        <w:rPr>
          <w:spacing w:val="-10"/>
        </w:rPr>
        <w:t> </w:t>
      </w:r>
      <w:r>
        <w:rPr/>
        <w:t>&amp;</w:t>
      </w:r>
      <w:r>
        <w:rPr>
          <w:spacing w:val="-10"/>
        </w:rPr>
        <w:t> </w:t>
      </w:r>
      <w:r>
        <w:rPr/>
        <w:t>Lam,</w:t>
      </w:r>
      <w:r>
        <w:rPr>
          <w:spacing w:val="-10"/>
        </w:rPr>
        <w:t> </w:t>
      </w:r>
      <w:r>
        <w:rPr/>
        <w:t>P.</w:t>
      </w:r>
      <w:r>
        <w:rPr>
          <w:spacing w:val="-18"/>
        </w:rPr>
        <w:t> </w:t>
      </w:r>
      <w:r>
        <w:rPr/>
        <w:t>Y.</w:t>
      </w:r>
      <w:r>
        <w:rPr>
          <w:spacing w:val="-10"/>
        </w:rPr>
        <w:t> </w:t>
      </w:r>
      <w:r>
        <w:rPr/>
        <w:t>(2020).</w:t>
      </w:r>
      <w:r>
        <w:rPr>
          <w:spacing w:val="-10"/>
        </w:rPr>
        <w:t> </w:t>
      </w:r>
      <w:r>
        <w:rPr/>
        <w:t>Cultural</w:t>
      </w:r>
      <w:r>
        <w:rPr>
          <w:spacing w:val="-10"/>
        </w:rPr>
        <w:t> </w:t>
      </w:r>
      <w:r>
        <w:rPr/>
        <w:t>formulation</w:t>
      </w:r>
      <w:r>
        <w:rPr>
          <w:spacing w:val="-10"/>
        </w:rPr>
        <w:t> </w:t>
      </w:r>
      <w:r>
        <w:rPr/>
        <w:t>interview:</w:t>
      </w:r>
      <w:r>
        <w:rPr>
          <w:spacing w:val="-18"/>
        </w:rPr>
        <w:t> </w:t>
      </w:r>
      <w:r>
        <w:rPr/>
        <w:t>A review of the CFI 2.0 and its adaptations. Psychiatric Services, 71(2), </w:t>
      </w:r>
      <w:r>
        <w:rPr>
          <w:spacing w:val="-2"/>
        </w:rPr>
        <w:t>107-111.</w:t>
      </w:r>
    </w:p>
    <w:p>
      <w:pPr>
        <w:pStyle w:val="BodyText"/>
        <w:spacing w:before="11"/>
        <w:rPr>
          <w:sz w:val="29"/>
        </w:rPr>
      </w:pPr>
    </w:p>
    <w:p>
      <w:pPr>
        <w:pStyle w:val="BodyText"/>
        <w:spacing w:line="259" w:lineRule="auto"/>
        <w:ind w:left="400" w:right="595"/>
        <w:jc w:val="both"/>
      </w:pPr>
      <w:r>
        <w:rPr/>
        <w:t>Lewis-Fernández, R.,</w:t>
      </w:r>
      <w:r>
        <w:rPr>
          <w:spacing w:val="-16"/>
        </w:rPr>
        <w:t> </w:t>
      </w:r>
      <w:r>
        <w:rPr/>
        <w:t>Aggarwal, N. K., Bäärnhielm, S., et al. (2020). Culture and</w:t>
      </w:r>
      <w:r>
        <w:rPr>
          <w:spacing w:val="-6"/>
        </w:rPr>
        <w:t> </w:t>
      </w:r>
      <w:r>
        <w:rPr/>
        <w:t>psychiatric</w:t>
      </w:r>
      <w:r>
        <w:rPr>
          <w:spacing w:val="-7"/>
        </w:rPr>
        <w:t> </w:t>
      </w:r>
      <w:r>
        <w:rPr/>
        <w:t>evaluation:</w:t>
      </w:r>
      <w:r>
        <w:rPr>
          <w:spacing w:val="-6"/>
        </w:rPr>
        <w:t> </w:t>
      </w:r>
      <w:r>
        <w:rPr/>
        <w:t>Operationalizing</w:t>
      </w:r>
      <w:r>
        <w:rPr>
          <w:spacing w:val="-6"/>
        </w:rPr>
        <w:t> </w:t>
      </w:r>
      <w:r>
        <w:rPr/>
        <w:t>cultural</w:t>
      </w:r>
      <w:r>
        <w:rPr>
          <w:spacing w:val="-6"/>
        </w:rPr>
        <w:t> </w:t>
      </w:r>
      <w:r>
        <w:rPr/>
        <w:t>formulation</w:t>
      </w:r>
      <w:r>
        <w:rPr>
          <w:spacing w:val="-6"/>
        </w:rPr>
        <w:t> </w:t>
      </w:r>
      <w:r>
        <w:rPr/>
        <w:t>for</w:t>
      </w:r>
      <w:r>
        <w:rPr>
          <w:spacing w:val="-6"/>
        </w:rPr>
        <w:t> </w:t>
      </w:r>
      <w:r>
        <w:rPr/>
        <w:t>DSM-5. Cultural Diversity and Ethnic Minority Psychology, 26(2), 191-205.</w:t>
      </w:r>
    </w:p>
    <w:p>
      <w:pPr>
        <w:pStyle w:val="BodyText"/>
        <w:rPr>
          <w:sz w:val="30"/>
        </w:rPr>
      </w:pPr>
    </w:p>
    <w:p>
      <w:pPr>
        <w:pStyle w:val="BodyText"/>
        <w:spacing w:line="259" w:lineRule="auto"/>
        <w:ind w:left="400" w:right="502"/>
      </w:pPr>
      <w:r>
        <w:rPr/>
        <w:t>Kopelowicz,</w:t>
      </w:r>
      <w:r>
        <w:rPr>
          <w:spacing w:val="-6"/>
        </w:rPr>
        <w:t> </w:t>
      </w:r>
      <w:r>
        <w:rPr/>
        <w:t>A.,</w:t>
      </w:r>
      <w:r>
        <w:rPr>
          <w:spacing w:val="-6"/>
        </w:rPr>
        <w:t> </w:t>
      </w:r>
      <w:r>
        <w:rPr/>
        <w:t>Aggarwal, N. K., Zarate, R., et al. (2021). The Cultural Formulation Interview: Psychometric Validation and</w:t>
      </w:r>
      <w:r>
        <w:rPr>
          <w:spacing w:val="-8"/>
        </w:rPr>
        <w:t> </w:t>
      </w:r>
      <w:r>
        <w:rPr/>
        <w:t>Adaptation for Mental Health</w:t>
      </w:r>
      <w:r>
        <w:rPr>
          <w:spacing w:val="-5"/>
        </w:rPr>
        <w:t> </w:t>
      </w:r>
      <w:r>
        <w:rPr/>
        <w:t>Providers</w:t>
      </w:r>
      <w:r>
        <w:rPr>
          <w:spacing w:val="-5"/>
        </w:rPr>
        <w:t> </w:t>
      </w:r>
      <w:r>
        <w:rPr/>
        <w:t>in</w:t>
      </w:r>
      <w:r>
        <w:rPr>
          <w:spacing w:val="-5"/>
        </w:rPr>
        <w:t> </w:t>
      </w:r>
      <w:r>
        <w:rPr/>
        <w:t>Low-</w:t>
      </w:r>
      <w:r>
        <w:rPr>
          <w:spacing w:val="-5"/>
        </w:rPr>
        <w:t> </w:t>
      </w:r>
      <w:r>
        <w:rPr/>
        <w:t>and</w:t>
      </w:r>
      <w:r>
        <w:rPr>
          <w:spacing w:val="-5"/>
        </w:rPr>
        <w:t> </w:t>
      </w:r>
      <w:r>
        <w:rPr/>
        <w:t>Middle-Income</w:t>
      </w:r>
      <w:r>
        <w:rPr>
          <w:spacing w:val="-5"/>
        </w:rPr>
        <w:t> </w:t>
      </w:r>
      <w:r>
        <w:rPr/>
        <w:t>Countries.</w:t>
      </w:r>
      <w:r>
        <w:rPr>
          <w:spacing w:val="-5"/>
        </w:rPr>
        <w:t> </w:t>
      </w:r>
      <w:r>
        <w:rPr/>
        <w:t>Journal</w:t>
      </w:r>
      <w:r>
        <w:rPr>
          <w:spacing w:val="-5"/>
        </w:rPr>
        <w:t> </w:t>
      </w:r>
      <w:r>
        <w:rPr/>
        <w:t>of</w:t>
      </w:r>
      <w:r>
        <w:rPr>
          <w:spacing w:val="-5"/>
        </w:rPr>
        <w:t> </w:t>
      </w:r>
      <w:r>
        <w:rPr/>
        <w:t>Nervous and Mental Disease, 209(4), 247-253.</w:t>
      </w:r>
    </w:p>
    <w:p>
      <w:pPr>
        <w:pStyle w:val="BodyText"/>
        <w:spacing w:before="10"/>
        <w:rPr>
          <w:sz w:val="29"/>
        </w:rPr>
      </w:pPr>
    </w:p>
    <w:p>
      <w:pPr>
        <w:pStyle w:val="BodyText"/>
        <w:spacing w:line="259" w:lineRule="auto"/>
        <w:ind w:left="400" w:right="703"/>
        <w:jc w:val="both"/>
      </w:pPr>
      <w:r>
        <w:rPr/>
        <w:t>Kopelowicz, A., Aggarwal, N. K., Zarate, R., et al. (2020). The Cultural Formulation</w:t>
      </w:r>
      <w:r>
        <w:rPr>
          <w:spacing w:val="-2"/>
        </w:rPr>
        <w:t> </w:t>
      </w:r>
      <w:r>
        <w:rPr/>
        <w:t>Interview</w:t>
      </w:r>
      <w:r>
        <w:rPr>
          <w:spacing w:val="-1"/>
        </w:rPr>
        <w:t> </w:t>
      </w:r>
      <w:r>
        <w:rPr/>
        <w:t>for</w:t>
      </w:r>
      <w:r>
        <w:rPr>
          <w:spacing w:val="-1"/>
        </w:rPr>
        <w:t> </w:t>
      </w:r>
      <w:r>
        <w:rPr/>
        <w:t>Providers</w:t>
      </w:r>
      <w:r>
        <w:rPr>
          <w:spacing w:val="-1"/>
        </w:rPr>
        <w:t> </w:t>
      </w:r>
      <w:r>
        <w:rPr/>
        <w:t>in</w:t>
      </w:r>
      <w:r>
        <w:rPr>
          <w:spacing w:val="-2"/>
        </w:rPr>
        <w:t> </w:t>
      </w:r>
      <w:r>
        <w:rPr/>
        <w:t>Low-</w:t>
      </w:r>
      <w:r>
        <w:rPr>
          <w:spacing w:val="-1"/>
        </w:rPr>
        <w:t> </w:t>
      </w:r>
      <w:r>
        <w:rPr/>
        <w:t>and</w:t>
      </w:r>
      <w:r>
        <w:rPr>
          <w:spacing w:val="-1"/>
        </w:rPr>
        <w:t> </w:t>
      </w:r>
      <w:r>
        <w:rPr/>
        <w:t>Middle-Income</w:t>
      </w:r>
      <w:r>
        <w:rPr>
          <w:spacing w:val="-2"/>
        </w:rPr>
        <w:t> Countries:</w:t>
      </w:r>
    </w:p>
    <w:p>
      <w:pPr>
        <w:spacing w:after="0" w:line="259" w:lineRule="auto"/>
        <w:jc w:val="both"/>
        <w:sectPr>
          <w:pgSz w:w="12240" w:h="15840"/>
          <w:pgMar w:header="0" w:footer="783" w:top="1260" w:bottom="980" w:left="1400" w:right="1180"/>
        </w:sectPr>
      </w:pPr>
    </w:p>
    <w:p>
      <w:pPr>
        <w:pStyle w:val="BodyText"/>
        <w:spacing w:before="66"/>
        <w:ind w:left="400"/>
      </w:pPr>
      <w:r>
        <w:rPr/>
        <w:t>A</w:t>
      </w:r>
      <w:r>
        <w:rPr>
          <w:spacing w:val="-23"/>
        </w:rPr>
        <w:t> </w:t>
      </w:r>
      <w:r>
        <w:rPr/>
        <w:t>Validation</w:t>
      </w:r>
      <w:r>
        <w:rPr>
          <w:spacing w:val="-16"/>
        </w:rPr>
        <w:t> </w:t>
      </w:r>
      <w:r>
        <w:rPr/>
        <w:t>Study</w:t>
      </w:r>
      <w:r>
        <w:rPr>
          <w:spacing w:val="-10"/>
        </w:rPr>
        <w:t> </w:t>
      </w:r>
      <w:r>
        <w:rPr/>
        <w:t>in</w:t>
      </w:r>
      <w:r>
        <w:rPr>
          <w:spacing w:val="-9"/>
        </w:rPr>
        <w:t> </w:t>
      </w:r>
      <w:r>
        <w:rPr/>
        <w:t>Mexico.</w:t>
      </w:r>
      <w:r>
        <w:rPr>
          <w:spacing w:val="-15"/>
        </w:rPr>
        <w:t> </w:t>
      </w:r>
      <w:r>
        <w:rPr/>
        <w:t>Transcultural</w:t>
      </w:r>
      <w:r>
        <w:rPr>
          <w:spacing w:val="-9"/>
        </w:rPr>
        <w:t> </w:t>
      </w:r>
      <w:r>
        <w:rPr/>
        <w:t>Psychiatry,</w:t>
      </w:r>
      <w:r>
        <w:rPr>
          <w:spacing w:val="-9"/>
        </w:rPr>
        <w:t> </w:t>
      </w:r>
      <w:r>
        <w:rPr/>
        <w:t>57(1),</w:t>
      </w:r>
      <w:r>
        <w:rPr>
          <w:spacing w:val="-9"/>
        </w:rPr>
        <w:t> </w:t>
      </w:r>
      <w:r>
        <w:rPr/>
        <w:t>3-</w:t>
      </w:r>
      <w:r>
        <w:rPr>
          <w:spacing w:val="-5"/>
        </w:rPr>
        <w:t>17.</w:t>
      </w:r>
    </w:p>
    <w:p>
      <w:pPr>
        <w:pStyle w:val="BodyText"/>
        <w:spacing w:before="4"/>
        <w:rPr>
          <w:sz w:val="32"/>
        </w:rPr>
      </w:pPr>
    </w:p>
    <w:p>
      <w:pPr>
        <w:pStyle w:val="BodyText"/>
        <w:spacing w:line="259" w:lineRule="auto"/>
        <w:ind w:left="400" w:right="502"/>
      </w:pPr>
      <w:r>
        <w:rPr/>
        <w:t>Ramirez, R., Treviño, L.</w:t>
      </w:r>
      <w:r>
        <w:rPr>
          <w:spacing w:val="-5"/>
        </w:rPr>
        <w:t> </w:t>
      </w:r>
      <w:r>
        <w:rPr/>
        <w:t>A., Gomez-Beloz,</w:t>
      </w:r>
      <w:r>
        <w:rPr>
          <w:spacing w:val="-5"/>
        </w:rPr>
        <w:t> </w:t>
      </w:r>
      <w:r>
        <w:rPr/>
        <w:t>A., et al. (2020). Cultural Formulation</w:t>
      </w:r>
      <w:r>
        <w:rPr>
          <w:spacing w:val="-10"/>
        </w:rPr>
        <w:t> </w:t>
      </w:r>
      <w:r>
        <w:rPr/>
        <w:t>Interview</w:t>
      </w:r>
      <w:r>
        <w:rPr>
          <w:spacing w:val="-5"/>
        </w:rPr>
        <w:t> </w:t>
      </w:r>
      <w:r>
        <w:rPr/>
        <w:t>(CFI)</w:t>
      </w:r>
      <w:r>
        <w:rPr>
          <w:spacing w:val="-5"/>
        </w:rPr>
        <w:t> </w:t>
      </w:r>
      <w:r>
        <w:rPr/>
        <w:t>for</w:t>
      </w:r>
      <w:r>
        <w:rPr>
          <w:spacing w:val="-5"/>
        </w:rPr>
        <w:t> </w:t>
      </w:r>
      <w:r>
        <w:rPr/>
        <w:t>Latinos:</w:t>
      </w:r>
      <w:r>
        <w:rPr>
          <w:spacing w:val="-5"/>
        </w:rPr>
        <w:t> </w:t>
      </w:r>
      <w:r>
        <w:rPr/>
        <w:t>Qualitative</w:t>
      </w:r>
      <w:r>
        <w:rPr>
          <w:spacing w:val="-18"/>
        </w:rPr>
        <w:t> </w:t>
      </w:r>
      <w:r>
        <w:rPr/>
        <w:t>Analysis</w:t>
      </w:r>
      <w:r>
        <w:rPr>
          <w:spacing w:val="-5"/>
        </w:rPr>
        <w:t> </w:t>
      </w:r>
      <w:r>
        <w:rPr/>
        <w:t>and</w:t>
      </w:r>
      <w:r>
        <w:rPr>
          <w:spacing w:val="-18"/>
        </w:rPr>
        <w:t> </w:t>
      </w:r>
      <w:r>
        <w:rPr/>
        <w:t>Adaptation for Research on Latino</w:t>
      </w:r>
      <w:r>
        <w:rPr>
          <w:spacing w:val="-6"/>
        </w:rPr>
        <w:t> </w:t>
      </w:r>
      <w:r>
        <w:rPr/>
        <w:t>Adults in Puerto Rico. Journal of Immigrant and Minority Health, 22(6), 1121-1128.</w:t>
      </w:r>
    </w:p>
    <w:p>
      <w:pPr>
        <w:pStyle w:val="BodyText"/>
        <w:rPr>
          <w:sz w:val="30"/>
        </w:rPr>
      </w:pPr>
    </w:p>
    <w:p>
      <w:pPr>
        <w:pStyle w:val="BodyText"/>
        <w:spacing w:before="192"/>
        <w:ind w:left="640" w:right="652" w:hanging="360"/>
        <w:jc w:val="both"/>
      </w:pPr>
      <w:r>
        <w:rPr/>
        <w:t>Day</w:t>
      </w:r>
      <w:r>
        <w:rPr>
          <w:spacing w:val="-1"/>
        </w:rPr>
        <w:t> </w:t>
      </w:r>
      <w:r>
        <w:rPr/>
        <w:t>JK,</w:t>
      </w:r>
      <w:r>
        <w:rPr>
          <w:spacing w:val="-1"/>
        </w:rPr>
        <w:t> </w:t>
      </w:r>
      <w:r>
        <w:rPr/>
        <w:t>Ioverno</w:t>
      </w:r>
      <w:r>
        <w:rPr>
          <w:spacing w:val="-1"/>
        </w:rPr>
        <w:t> </w:t>
      </w:r>
      <w:r>
        <w:rPr/>
        <w:t>S,</w:t>
      </w:r>
      <w:r>
        <w:rPr>
          <w:spacing w:val="-1"/>
        </w:rPr>
        <w:t> </w:t>
      </w:r>
      <w:r>
        <w:rPr/>
        <w:t>Russell</w:t>
      </w:r>
      <w:r>
        <w:rPr>
          <w:spacing w:val="-1"/>
        </w:rPr>
        <w:t> </w:t>
      </w:r>
      <w:r>
        <w:rPr/>
        <w:t>ST.</w:t>
      </w:r>
      <w:r>
        <w:rPr>
          <w:spacing w:val="-1"/>
        </w:rPr>
        <w:t> </w:t>
      </w:r>
      <w:r>
        <w:rPr/>
        <w:t>Safe</w:t>
      </w:r>
      <w:r>
        <w:rPr>
          <w:spacing w:val="-2"/>
        </w:rPr>
        <w:t> </w:t>
      </w:r>
      <w:r>
        <w:rPr/>
        <w:t>and</w:t>
      </w:r>
      <w:r>
        <w:rPr>
          <w:spacing w:val="-1"/>
        </w:rPr>
        <w:t> </w:t>
      </w:r>
      <w:r>
        <w:rPr/>
        <w:t>supportive</w:t>
      </w:r>
      <w:r>
        <w:rPr>
          <w:spacing w:val="-2"/>
        </w:rPr>
        <w:t> </w:t>
      </w:r>
      <w:r>
        <w:rPr/>
        <w:t>schools</w:t>
      </w:r>
      <w:r>
        <w:rPr>
          <w:spacing w:val="-1"/>
        </w:rPr>
        <w:t> </w:t>
      </w:r>
      <w:r>
        <w:rPr/>
        <w:t>for</w:t>
      </w:r>
      <w:r>
        <w:rPr>
          <w:spacing w:val="-1"/>
        </w:rPr>
        <w:t> </w:t>
      </w:r>
      <w:r>
        <w:rPr/>
        <w:t>LGBT</w:t>
      </w:r>
      <w:r>
        <w:rPr>
          <w:spacing w:val="-7"/>
        </w:rPr>
        <w:t> </w:t>
      </w:r>
      <w:r>
        <w:rPr/>
        <w:t>youth: Addressing</w:t>
      </w:r>
      <w:r>
        <w:rPr>
          <w:spacing w:val="-6"/>
        </w:rPr>
        <w:t> </w:t>
      </w:r>
      <w:r>
        <w:rPr/>
        <w:t>educational</w:t>
      </w:r>
      <w:r>
        <w:rPr>
          <w:spacing w:val="-6"/>
        </w:rPr>
        <w:t> </w:t>
      </w:r>
      <w:r>
        <w:rPr/>
        <w:t>inequities</w:t>
      </w:r>
      <w:r>
        <w:rPr>
          <w:spacing w:val="-6"/>
        </w:rPr>
        <w:t> </w:t>
      </w:r>
      <w:r>
        <w:rPr/>
        <w:t>through</w:t>
      </w:r>
      <w:r>
        <w:rPr>
          <w:spacing w:val="-6"/>
        </w:rPr>
        <w:t> </w:t>
      </w:r>
      <w:r>
        <w:rPr/>
        <w:t>inclusive</w:t>
      </w:r>
      <w:r>
        <w:rPr>
          <w:spacing w:val="-7"/>
        </w:rPr>
        <w:t> </w:t>
      </w:r>
      <w:r>
        <w:rPr/>
        <w:t>policies</w:t>
      </w:r>
      <w:r>
        <w:rPr>
          <w:spacing w:val="-6"/>
        </w:rPr>
        <w:t> </w:t>
      </w:r>
      <w:r>
        <w:rPr/>
        <w:t>and</w:t>
      </w:r>
      <w:r>
        <w:rPr>
          <w:spacing w:val="-6"/>
        </w:rPr>
        <w:t> </w:t>
      </w:r>
      <w:r>
        <w:rPr/>
        <w:t>practices. </w:t>
      </w:r>
      <w:r>
        <w:rPr>
          <w:i/>
        </w:rPr>
        <w:t>J Sch Psychol. </w:t>
      </w:r>
      <w:r>
        <w:rPr/>
        <w:t>2019;74:29-43. https://doi.org/10.1016/j.jsp.2019.05.007</w:t>
      </w:r>
    </w:p>
    <w:p>
      <w:pPr>
        <w:pStyle w:val="BodyText"/>
        <w:spacing w:before="9"/>
        <w:rPr>
          <w:sz w:val="25"/>
        </w:rPr>
      </w:pPr>
    </w:p>
    <w:p>
      <w:pPr>
        <w:pStyle w:val="BodyText"/>
        <w:ind w:left="640" w:hanging="360"/>
      </w:pPr>
      <w:r>
        <w:rPr/>
        <w:t>Hatzenbuehler</w:t>
      </w:r>
      <w:r>
        <w:rPr>
          <w:spacing w:val="-3"/>
        </w:rPr>
        <w:t> </w:t>
      </w:r>
      <w:r>
        <w:rPr/>
        <w:t>ML.</w:t>
      </w:r>
      <w:r>
        <w:rPr>
          <w:spacing w:val="-9"/>
        </w:rPr>
        <w:t> </w:t>
      </w:r>
      <w:r>
        <w:rPr/>
        <w:t>The</w:t>
      </w:r>
      <w:r>
        <w:rPr>
          <w:spacing w:val="-4"/>
        </w:rPr>
        <w:t> </w:t>
      </w:r>
      <w:r>
        <w:rPr/>
        <w:t>influence</w:t>
      </w:r>
      <w:r>
        <w:rPr>
          <w:spacing w:val="-4"/>
        </w:rPr>
        <w:t> </w:t>
      </w:r>
      <w:r>
        <w:rPr/>
        <w:t>of</w:t>
      </w:r>
      <w:r>
        <w:rPr>
          <w:spacing w:val="-3"/>
        </w:rPr>
        <w:t> </w:t>
      </w:r>
      <w:r>
        <w:rPr/>
        <w:t>state</w:t>
      </w:r>
      <w:r>
        <w:rPr>
          <w:spacing w:val="-4"/>
        </w:rPr>
        <w:t> </w:t>
      </w:r>
      <w:r>
        <w:rPr/>
        <w:t>laws</w:t>
      </w:r>
      <w:r>
        <w:rPr>
          <w:spacing w:val="-3"/>
        </w:rPr>
        <w:t> </w:t>
      </w:r>
      <w:r>
        <w:rPr/>
        <w:t>on</w:t>
      </w:r>
      <w:r>
        <w:rPr>
          <w:spacing w:val="-3"/>
        </w:rPr>
        <w:t> </w:t>
      </w:r>
      <w:r>
        <w:rPr/>
        <w:t>the</w:t>
      </w:r>
      <w:r>
        <w:rPr>
          <w:spacing w:val="-4"/>
        </w:rPr>
        <w:t> </w:t>
      </w:r>
      <w:r>
        <w:rPr/>
        <w:t>mental</w:t>
      </w:r>
      <w:r>
        <w:rPr>
          <w:spacing w:val="-3"/>
        </w:rPr>
        <w:t> </w:t>
      </w:r>
      <w:r>
        <w:rPr/>
        <w:t>health</w:t>
      </w:r>
      <w:r>
        <w:rPr>
          <w:spacing w:val="-3"/>
        </w:rPr>
        <w:t> </w:t>
      </w:r>
      <w:r>
        <w:rPr/>
        <w:t>of</w:t>
      </w:r>
      <w:r>
        <w:rPr>
          <w:spacing w:val="-3"/>
        </w:rPr>
        <w:t> </w:t>
      </w:r>
      <w:r>
        <w:rPr/>
        <w:t>sexual minority youth. </w:t>
      </w:r>
      <w:r>
        <w:rPr>
          <w:i/>
        </w:rPr>
        <w:t>JAMA Pediatr</w:t>
      </w:r>
      <w:r>
        <w:rPr/>
        <w:t>. 2017;171(4):322-324. https://doi.org/ 10.1001/jamapediatrics.2016.4 732</w:t>
      </w:r>
    </w:p>
    <w:p>
      <w:pPr>
        <w:pStyle w:val="BodyText"/>
        <w:spacing w:before="10"/>
        <w:rPr>
          <w:sz w:val="25"/>
        </w:rPr>
      </w:pPr>
    </w:p>
    <w:p>
      <w:pPr>
        <w:pStyle w:val="BodyText"/>
        <w:ind w:left="640" w:right="667" w:hanging="360"/>
      </w:pPr>
      <w:r>
        <w:rPr/>
        <w:t>Russell ST, Fish JN. Mental health in lesbian, gay, bisexual, and transgender LGBT</w:t>
      </w:r>
      <w:r>
        <w:rPr>
          <w:spacing w:val="-12"/>
        </w:rPr>
        <w:t> </w:t>
      </w:r>
      <w:r>
        <w:rPr/>
        <w:t>youth.</w:t>
      </w:r>
      <w:r>
        <w:rPr>
          <w:spacing w:val="-7"/>
        </w:rPr>
        <w:t> </w:t>
      </w:r>
      <w:r>
        <w:rPr>
          <w:i/>
        </w:rPr>
        <w:t>Annu</w:t>
      </w:r>
      <w:r>
        <w:rPr>
          <w:i/>
          <w:spacing w:val="-6"/>
        </w:rPr>
        <w:t> </w:t>
      </w:r>
      <w:r>
        <w:rPr>
          <w:i/>
        </w:rPr>
        <w:t>Rev</w:t>
      </w:r>
      <w:r>
        <w:rPr>
          <w:i/>
          <w:spacing w:val="-7"/>
        </w:rPr>
        <w:t> </w:t>
      </w:r>
      <w:r>
        <w:rPr>
          <w:i/>
        </w:rPr>
        <w:t>Clin</w:t>
      </w:r>
      <w:r>
        <w:rPr>
          <w:i/>
          <w:spacing w:val="-6"/>
        </w:rPr>
        <w:t> </w:t>
      </w:r>
      <w:r>
        <w:rPr>
          <w:i/>
        </w:rPr>
        <w:t>Psychol.</w:t>
      </w:r>
      <w:r>
        <w:rPr>
          <w:i/>
          <w:spacing w:val="-7"/>
        </w:rPr>
        <w:t> </w:t>
      </w:r>
      <w:r>
        <w:rPr/>
        <w:t>2016;12(1):465-487.</w:t>
      </w:r>
      <w:r>
        <w:rPr>
          <w:spacing w:val="-6"/>
        </w:rPr>
        <w:t> </w:t>
      </w:r>
      <w:r>
        <w:rPr/>
        <w:t>https://doi.org/ </w:t>
      </w:r>
      <w:r>
        <w:rPr>
          <w:spacing w:val="-2"/>
        </w:rPr>
        <w:t>10.1146/annurev-clinpsy021815-093153</w:t>
      </w:r>
    </w:p>
    <w:p>
      <w:pPr>
        <w:pStyle w:val="BodyText"/>
        <w:spacing w:before="9"/>
        <w:rPr>
          <w:sz w:val="25"/>
        </w:rPr>
      </w:pPr>
    </w:p>
    <w:p>
      <w:pPr>
        <w:pStyle w:val="BodyText"/>
        <w:spacing w:before="1"/>
        <w:ind w:left="640" w:right="668" w:hanging="360"/>
      </w:pPr>
      <w:r>
        <w:rPr/>
        <w:t>Meyer IH. Prejudice, social stress, and mental health in lesbian, gay, and bisexual</w:t>
      </w:r>
      <w:r>
        <w:rPr>
          <w:spacing w:val="-6"/>
        </w:rPr>
        <w:t> </w:t>
      </w:r>
      <w:r>
        <w:rPr/>
        <w:t>populations:</w:t>
      </w:r>
      <w:r>
        <w:rPr>
          <w:spacing w:val="-6"/>
        </w:rPr>
        <w:t> </w:t>
      </w:r>
      <w:r>
        <w:rPr/>
        <w:t>Conceptual</w:t>
      </w:r>
      <w:r>
        <w:rPr>
          <w:spacing w:val="-6"/>
        </w:rPr>
        <w:t> </w:t>
      </w:r>
      <w:r>
        <w:rPr/>
        <w:t>issues</w:t>
      </w:r>
      <w:r>
        <w:rPr>
          <w:spacing w:val="-6"/>
        </w:rPr>
        <w:t> </w:t>
      </w:r>
      <w:r>
        <w:rPr/>
        <w:t>and</w:t>
      </w:r>
      <w:r>
        <w:rPr>
          <w:spacing w:val="-6"/>
        </w:rPr>
        <w:t> </w:t>
      </w:r>
      <w:r>
        <w:rPr/>
        <w:t>research</w:t>
      </w:r>
      <w:r>
        <w:rPr>
          <w:spacing w:val="-6"/>
        </w:rPr>
        <w:t> </w:t>
      </w:r>
      <w:r>
        <w:rPr/>
        <w:t>evidence.</w:t>
      </w:r>
      <w:r>
        <w:rPr>
          <w:spacing w:val="-7"/>
        </w:rPr>
        <w:t> </w:t>
      </w:r>
      <w:r>
        <w:rPr>
          <w:i/>
        </w:rPr>
        <w:t>Psychol</w:t>
      </w:r>
      <w:r>
        <w:rPr>
          <w:i/>
        </w:rPr>
        <w:t> bull. </w:t>
      </w:r>
      <w:r>
        <w:rPr/>
        <w:t>2003</w:t>
      </w:r>
      <w:r>
        <w:rPr>
          <w:i/>
        </w:rPr>
        <w:t>;</w:t>
      </w:r>
      <w:r>
        <w:rPr/>
        <w:t>129:674-697. https://doi.org/10.1037/0033-2909.129.5.674</w:t>
      </w:r>
    </w:p>
    <w:p>
      <w:pPr>
        <w:pStyle w:val="BodyText"/>
        <w:spacing w:before="9"/>
        <w:rPr>
          <w:sz w:val="25"/>
        </w:rPr>
      </w:pPr>
    </w:p>
    <w:p>
      <w:pPr>
        <w:spacing w:before="0"/>
        <w:ind w:left="640" w:right="499" w:hanging="360"/>
        <w:jc w:val="left"/>
        <w:rPr>
          <w:sz w:val="28"/>
        </w:rPr>
      </w:pPr>
      <w:r>
        <w:rPr>
          <w:sz w:val="28"/>
        </w:rPr>
        <w:t>American</w:t>
      </w:r>
      <w:r>
        <w:rPr>
          <w:spacing w:val="-2"/>
          <w:sz w:val="28"/>
        </w:rPr>
        <w:t> </w:t>
      </w:r>
      <w:r>
        <w:rPr>
          <w:sz w:val="28"/>
        </w:rPr>
        <w:t>Psychiatric</w:t>
      </w:r>
      <w:r>
        <w:rPr>
          <w:spacing w:val="-17"/>
          <w:sz w:val="28"/>
        </w:rPr>
        <w:t> </w:t>
      </w:r>
      <w:r>
        <w:rPr>
          <w:sz w:val="28"/>
        </w:rPr>
        <w:t>Association.</w:t>
      </w:r>
      <w:r>
        <w:rPr>
          <w:spacing w:val="-3"/>
          <w:sz w:val="28"/>
        </w:rPr>
        <w:t> </w:t>
      </w:r>
      <w:r>
        <w:rPr>
          <w:i/>
          <w:sz w:val="28"/>
        </w:rPr>
        <w:t>Diagnostic</w:t>
      </w:r>
      <w:r>
        <w:rPr>
          <w:i/>
          <w:spacing w:val="-3"/>
          <w:sz w:val="28"/>
        </w:rPr>
        <w:t> </w:t>
      </w:r>
      <w:r>
        <w:rPr>
          <w:i/>
          <w:sz w:val="28"/>
        </w:rPr>
        <w:t>and</w:t>
      </w:r>
      <w:r>
        <w:rPr>
          <w:i/>
          <w:spacing w:val="-2"/>
          <w:sz w:val="28"/>
        </w:rPr>
        <w:t> </w:t>
      </w:r>
      <w:r>
        <w:rPr>
          <w:i/>
          <w:sz w:val="28"/>
        </w:rPr>
        <w:t>statistical</w:t>
      </w:r>
      <w:r>
        <w:rPr>
          <w:i/>
          <w:spacing w:val="-2"/>
          <w:sz w:val="28"/>
        </w:rPr>
        <w:t> </w:t>
      </w:r>
      <w:r>
        <w:rPr>
          <w:i/>
          <w:sz w:val="28"/>
        </w:rPr>
        <w:t>manual</w:t>
      </w:r>
      <w:r>
        <w:rPr>
          <w:i/>
          <w:spacing w:val="-2"/>
          <w:sz w:val="28"/>
        </w:rPr>
        <w:t> </w:t>
      </w:r>
      <w:r>
        <w:rPr>
          <w:i/>
          <w:sz w:val="28"/>
        </w:rPr>
        <w:t>of</w:t>
      </w:r>
      <w:r>
        <w:rPr>
          <w:i/>
          <w:spacing w:val="-2"/>
          <w:sz w:val="28"/>
        </w:rPr>
        <w:t> </w:t>
      </w:r>
      <w:r>
        <w:rPr>
          <w:i/>
          <w:sz w:val="28"/>
        </w:rPr>
        <w:t>mental</w:t>
      </w:r>
      <w:r>
        <w:rPr>
          <w:i/>
          <w:sz w:val="28"/>
        </w:rPr>
        <w:t> disorders,: DSM-5TR. </w:t>
      </w:r>
      <w:r>
        <w:rPr>
          <w:sz w:val="28"/>
        </w:rPr>
        <w:t>5th ed. Text Revision. Washington, DC,</w:t>
      </w:r>
      <w:r>
        <w:rPr>
          <w:spacing w:val="-7"/>
          <w:sz w:val="28"/>
        </w:rPr>
        <w:t> </w:t>
      </w:r>
      <w:r>
        <w:rPr>
          <w:sz w:val="28"/>
        </w:rPr>
        <w:t>American Psychiatric</w:t>
      </w:r>
      <w:r>
        <w:rPr>
          <w:spacing w:val="-18"/>
          <w:sz w:val="28"/>
        </w:rPr>
        <w:t> </w:t>
      </w:r>
      <w:r>
        <w:rPr>
          <w:sz w:val="28"/>
        </w:rPr>
        <w:t>Association;</w:t>
      </w:r>
      <w:r>
        <w:rPr>
          <w:spacing w:val="-17"/>
          <w:sz w:val="28"/>
        </w:rPr>
        <w:t> </w:t>
      </w:r>
      <w:r>
        <w:rPr>
          <w:sz w:val="28"/>
        </w:rPr>
        <w:t>2022.</w:t>
      </w:r>
      <w:r>
        <w:rPr>
          <w:spacing w:val="-18"/>
          <w:sz w:val="28"/>
        </w:rPr>
        <w:t> </w:t>
      </w:r>
      <w:r>
        <w:rPr>
          <w:sz w:val="28"/>
        </w:rPr>
        <w:t>https://doi.org/10.1176/appi.books.97808904 </w:t>
      </w:r>
      <w:r>
        <w:rPr>
          <w:spacing w:val="-2"/>
          <w:sz w:val="28"/>
        </w:rPr>
        <w:t>25787</w:t>
      </w:r>
    </w:p>
    <w:p>
      <w:pPr>
        <w:pStyle w:val="BodyText"/>
        <w:spacing w:before="8"/>
        <w:rPr>
          <w:sz w:val="25"/>
        </w:rPr>
      </w:pPr>
    </w:p>
    <w:p>
      <w:pPr>
        <w:spacing w:before="0"/>
        <w:ind w:left="640" w:right="502" w:hanging="360"/>
        <w:jc w:val="left"/>
        <w:rPr>
          <w:sz w:val="28"/>
        </w:rPr>
      </w:pPr>
      <w:r>
        <w:rPr>
          <w:sz w:val="28"/>
        </w:rPr>
        <w:t>Substance Abuse and Mental Health Services Administration. </w:t>
      </w:r>
      <w:r>
        <w:rPr>
          <w:i/>
          <w:sz w:val="28"/>
        </w:rPr>
        <w:t>Ending</w:t>
      </w:r>
      <w:r>
        <w:rPr>
          <w:i/>
          <w:sz w:val="28"/>
        </w:rPr>
        <w:t> Conversion Therapy: Supporting and Affirming LGBTQ Youth. HHS Publication No. (SMA) 15-4928. </w:t>
      </w:r>
      <w:r>
        <w:rPr>
          <w:sz w:val="28"/>
        </w:rPr>
        <w:t>Substance</w:t>
      </w:r>
      <w:r>
        <w:rPr>
          <w:spacing w:val="-2"/>
          <w:sz w:val="28"/>
        </w:rPr>
        <w:t> </w:t>
      </w:r>
      <w:r>
        <w:rPr>
          <w:sz w:val="28"/>
        </w:rPr>
        <w:t>Abuse and Mental Health Services</w:t>
      </w:r>
      <w:r>
        <w:rPr>
          <w:spacing w:val="-18"/>
          <w:sz w:val="28"/>
        </w:rPr>
        <w:t> </w:t>
      </w:r>
      <w:r>
        <w:rPr>
          <w:sz w:val="28"/>
        </w:rPr>
        <w:t>Administration;</w:t>
      </w:r>
      <w:r>
        <w:rPr>
          <w:spacing w:val="-17"/>
          <w:sz w:val="28"/>
        </w:rPr>
        <w:t> </w:t>
      </w:r>
      <w:r>
        <w:rPr>
          <w:sz w:val="28"/>
        </w:rPr>
        <w:t>2015.</w:t>
      </w:r>
      <w:r>
        <w:rPr>
          <w:spacing w:val="-18"/>
          <w:sz w:val="28"/>
        </w:rPr>
        <w:t> </w:t>
      </w:r>
      <w:r>
        <w:rPr>
          <w:sz w:val="28"/>
        </w:rPr>
        <w:t>https://store.samhsa.gov/sites/default/files/ d7/ priv/sma15-4928.pdf. Accessed February 11, 2022.</w:t>
      </w:r>
    </w:p>
    <w:p>
      <w:pPr>
        <w:pStyle w:val="BodyText"/>
        <w:spacing w:before="5"/>
        <w:rPr>
          <w:sz w:val="25"/>
        </w:rPr>
      </w:pPr>
    </w:p>
    <w:p>
      <w:pPr>
        <w:pStyle w:val="BodyText"/>
        <w:ind w:left="640" w:right="502" w:hanging="360"/>
      </w:pPr>
      <w:r>
        <w:rPr/>
        <w:t>Przeworski</w:t>
      </w:r>
      <w:r>
        <w:rPr>
          <w:spacing w:val="-13"/>
        </w:rPr>
        <w:t> </w:t>
      </w:r>
      <w:r>
        <w:rPr/>
        <w:t>A, Peterson E, Piedra</w:t>
      </w:r>
      <w:r>
        <w:rPr>
          <w:spacing w:val="-13"/>
        </w:rPr>
        <w:t> </w:t>
      </w:r>
      <w:r>
        <w:rPr/>
        <w:t>A.</w:t>
      </w:r>
      <w:r>
        <w:rPr>
          <w:spacing w:val="-13"/>
        </w:rPr>
        <w:t> </w:t>
      </w:r>
      <w:r>
        <w:rPr/>
        <w:t>A</w:t>
      </w:r>
      <w:r>
        <w:rPr>
          <w:spacing w:val="-13"/>
        </w:rPr>
        <w:t> </w:t>
      </w:r>
      <w:r>
        <w:rPr/>
        <w:t>systematic review of the efficacy, harmful</w:t>
      </w:r>
      <w:r>
        <w:rPr>
          <w:spacing w:val="-5"/>
        </w:rPr>
        <w:t> </w:t>
      </w:r>
      <w:r>
        <w:rPr/>
        <w:t>effects,</w:t>
      </w:r>
      <w:r>
        <w:rPr>
          <w:spacing w:val="-5"/>
        </w:rPr>
        <w:t> </w:t>
      </w:r>
      <w:r>
        <w:rPr/>
        <w:t>and</w:t>
      </w:r>
      <w:r>
        <w:rPr>
          <w:spacing w:val="-5"/>
        </w:rPr>
        <w:t> </w:t>
      </w:r>
      <w:r>
        <w:rPr/>
        <w:t>ethical</w:t>
      </w:r>
      <w:r>
        <w:rPr>
          <w:spacing w:val="-5"/>
        </w:rPr>
        <w:t> </w:t>
      </w:r>
      <w:r>
        <w:rPr/>
        <w:t>issues</w:t>
      </w:r>
      <w:r>
        <w:rPr>
          <w:spacing w:val="-5"/>
        </w:rPr>
        <w:t> </w:t>
      </w:r>
      <w:r>
        <w:rPr/>
        <w:t>related</w:t>
      </w:r>
      <w:r>
        <w:rPr>
          <w:spacing w:val="-5"/>
        </w:rPr>
        <w:t> </w:t>
      </w:r>
      <w:r>
        <w:rPr/>
        <w:t>to</w:t>
      </w:r>
      <w:r>
        <w:rPr>
          <w:spacing w:val="-5"/>
        </w:rPr>
        <w:t> </w:t>
      </w:r>
      <w:r>
        <w:rPr/>
        <w:t>sexual</w:t>
      </w:r>
      <w:r>
        <w:rPr>
          <w:spacing w:val="-5"/>
        </w:rPr>
        <w:t> </w:t>
      </w:r>
      <w:r>
        <w:rPr/>
        <w:t>orientation</w:t>
      </w:r>
      <w:r>
        <w:rPr>
          <w:spacing w:val="-5"/>
        </w:rPr>
        <w:t> </w:t>
      </w:r>
      <w:r>
        <w:rPr/>
        <w:t>change efforts. </w:t>
      </w:r>
      <w:r>
        <w:rPr>
          <w:i/>
        </w:rPr>
        <w:t>Clin Psychol. </w:t>
      </w:r>
      <w:r>
        <w:rPr/>
        <w:t>2021;</w:t>
      </w:r>
      <w:r>
        <w:rPr>
          <w:i/>
        </w:rPr>
        <w:t>28</w:t>
      </w:r>
      <w:r>
        <w:rPr/>
        <w:t>(1):81-100. https://doi.org/10.1111/ </w:t>
      </w:r>
      <w:r>
        <w:rPr>
          <w:spacing w:val="-2"/>
        </w:rPr>
        <w:t>cpsp.12377</w:t>
      </w:r>
    </w:p>
    <w:p>
      <w:pPr>
        <w:pStyle w:val="BodyText"/>
        <w:spacing w:before="8"/>
        <w:rPr>
          <w:sz w:val="25"/>
        </w:rPr>
      </w:pPr>
    </w:p>
    <w:p>
      <w:pPr>
        <w:pStyle w:val="BodyText"/>
        <w:ind w:left="640" w:right="502" w:hanging="360"/>
      </w:pPr>
      <w:r>
        <w:rPr/>
        <w:t>Blosnich JR, Henderson ER, Coulter R, Goldbach JT, Meyer IH. Sexual orientation</w:t>
      </w:r>
      <w:r>
        <w:rPr>
          <w:spacing w:val="-6"/>
        </w:rPr>
        <w:t> </w:t>
      </w:r>
      <w:r>
        <w:rPr/>
        <w:t>change</w:t>
      </w:r>
      <w:r>
        <w:rPr>
          <w:spacing w:val="-7"/>
        </w:rPr>
        <w:t> </w:t>
      </w:r>
      <w:r>
        <w:rPr/>
        <w:t>efforts,</w:t>
      </w:r>
      <w:r>
        <w:rPr>
          <w:spacing w:val="-6"/>
        </w:rPr>
        <w:t> </w:t>
      </w:r>
      <w:r>
        <w:rPr/>
        <w:t>adverse</w:t>
      </w:r>
      <w:r>
        <w:rPr>
          <w:spacing w:val="-7"/>
        </w:rPr>
        <w:t> </w:t>
      </w:r>
      <w:r>
        <w:rPr/>
        <w:t>childhood</w:t>
      </w:r>
      <w:r>
        <w:rPr>
          <w:spacing w:val="-6"/>
        </w:rPr>
        <w:t> </w:t>
      </w:r>
      <w:r>
        <w:rPr/>
        <w:t>experiences,</w:t>
      </w:r>
      <w:r>
        <w:rPr>
          <w:spacing w:val="-6"/>
        </w:rPr>
        <w:t> </w:t>
      </w:r>
      <w:r>
        <w:rPr/>
        <w:t>and</w:t>
      </w:r>
      <w:r>
        <w:rPr>
          <w:spacing w:val="-6"/>
        </w:rPr>
        <w:t> </w:t>
      </w:r>
      <w:r>
        <w:rPr/>
        <w:t>suicide</w:t>
      </w:r>
    </w:p>
    <w:p>
      <w:pPr>
        <w:spacing w:after="0"/>
        <w:sectPr>
          <w:pgSz w:w="12240" w:h="15840"/>
          <w:pgMar w:header="0" w:footer="783" w:top="1260" w:bottom="980" w:left="1400" w:right="1180"/>
        </w:sectPr>
      </w:pPr>
    </w:p>
    <w:p>
      <w:pPr>
        <w:pStyle w:val="BodyText"/>
        <w:spacing w:before="66"/>
        <w:ind w:left="640" w:right="1458"/>
      </w:pPr>
      <w:r>
        <w:rPr/>
        <w:t>ideation and attempt among sexual minority adults, United States, 2016-2018.</w:t>
      </w:r>
      <w:r>
        <w:rPr>
          <w:spacing w:val="-9"/>
        </w:rPr>
        <w:t> </w:t>
      </w:r>
      <w:r>
        <w:rPr>
          <w:i/>
        </w:rPr>
        <w:t>Am</w:t>
      </w:r>
      <w:r>
        <w:rPr>
          <w:i/>
          <w:spacing w:val="-9"/>
        </w:rPr>
        <w:t> </w:t>
      </w:r>
      <w:r>
        <w:rPr>
          <w:i/>
        </w:rPr>
        <w:t>J</w:t>
      </w:r>
      <w:r>
        <w:rPr>
          <w:i/>
          <w:spacing w:val="-10"/>
        </w:rPr>
        <w:t> </w:t>
      </w:r>
      <w:r>
        <w:rPr>
          <w:i/>
        </w:rPr>
        <w:t>Public</w:t>
      </w:r>
      <w:r>
        <w:rPr>
          <w:i/>
          <w:spacing w:val="-10"/>
        </w:rPr>
        <w:t> </w:t>
      </w:r>
      <w:r>
        <w:rPr>
          <w:i/>
        </w:rPr>
        <w:t>Health</w:t>
      </w:r>
      <w:r>
        <w:rPr/>
        <w:t>.</w:t>
      </w:r>
      <w:r>
        <w:rPr>
          <w:spacing w:val="-9"/>
        </w:rPr>
        <w:t> </w:t>
      </w:r>
      <w:r>
        <w:rPr/>
        <w:t>2020;110(7):e1-e7.</w:t>
      </w:r>
      <w:r>
        <w:rPr>
          <w:spacing w:val="-9"/>
        </w:rPr>
        <w:t> </w:t>
      </w:r>
      <w:r>
        <w:rPr/>
        <w:t>https://doi.org/ </w:t>
      </w:r>
      <w:r>
        <w:rPr>
          <w:spacing w:val="-2"/>
        </w:rPr>
        <w:t>10.2105/AJPH.2020.305637</w:t>
      </w:r>
    </w:p>
    <w:p>
      <w:pPr>
        <w:pStyle w:val="BodyText"/>
        <w:spacing w:before="9"/>
        <w:rPr>
          <w:sz w:val="25"/>
        </w:rPr>
      </w:pPr>
    </w:p>
    <w:p>
      <w:pPr>
        <w:pStyle w:val="BodyText"/>
        <w:ind w:left="640" w:right="502" w:hanging="360"/>
      </w:pPr>
      <w:r>
        <w:rPr/>
        <w:t>Green</w:t>
      </w:r>
      <w:r>
        <w:rPr>
          <w:spacing w:val="-4"/>
        </w:rPr>
        <w:t> </w:t>
      </w:r>
      <w:r>
        <w:rPr/>
        <w:t>AE, Price-Feeney M, Dorison SH, Pick CJ. Self-reported conversion efforts</w:t>
      </w:r>
      <w:r>
        <w:rPr>
          <w:spacing w:val="-5"/>
        </w:rPr>
        <w:t> </w:t>
      </w:r>
      <w:r>
        <w:rPr/>
        <w:t>and</w:t>
      </w:r>
      <w:r>
        <w:rPr>
          <w:spacing w:val="-5"/>
        </w:rPr>
        <w:t> </w:t>
      </w:r>
      <w:r>
        <w:rPr/>
        <w:t>suicidality</w:t>
      </w:r>
      <w:r>
        <w:rPr>
          <w:spacing w:val="-5"/>
        </w:rPr>
        <w:t> </w:t>
      </w:r>
      <w:r>
        <w:rPr/>
        <w:t>among</w:t>
      </w:r>
      <w:r>
        <w:rPr>
          <w:spacing w:val="-5"/>
        </w:rPr>
        <w:t> </w:t>
      </w:r>
      <w:r>
        <w:rPr/>
        <w:t>US</w:t>
      </w:r>
      <w:r>
        <w:rPr>
          <w:spacing w:val="-5"/>
        </w:rPr>
        <w:t> </w:t>
      </w:r>
      <w:r>
        <w:rPr/>
        <w:t>LGBTQ</w:t>
      </w:r>
      <w:r>
        <w:rPr>
          <w:spacing w:val="-5"/>
        </w:rPr>
        <w:t> </w:t>
      </w:r>
      <w:r>
        <w:rPr/>
        <w:t>youths</w:t>
      </w:r>
      <w:r>
        <w:rPr>
          <w:spacing w:val="-5"/>
        </w:rPr>
        <w:t> </w:t>
      </w:r>
      <w:r>
        <w:rPr/>
        <w:t>and</w:t>
      </w:r>
      <w:r>
        <w:rPr>
          <w:spacing w:val="-5"/>
        </w:rPr>
        <w:t> </w:t>
      </w:r>
      <w:r>
        <w:rPr/>
        <w:t>young</w:t>
      </w:r>
      <w:r>
        <w:rPr>
          <w:spacing w:val="-5"/>
        </w:rPr>
        <w:t> </w:t>
      </w:r>
      <w:r>
        <w:rPr/>
        <w:t>adults,</w:t>
      </w:r>
      <w:r>
        <w:rPr>
          <w:spacing w:val="-5"/>
        </w:rPr>
        <w:t> </w:t>
      </w:r>
      <w:r>
        <w:rPr/>
        <w:t>2018. </w:t>
      </w:r>
      <w:r>
        <w:rPr>
          <w:i/>
        </w:rPr>
        <w:t>Am J Public Health. </w:t>
      </w:r>
      <w:r>
        <w:rPr/>
        <w:t>2020;110(8):1221-1227. https://doi.org/10.2105/ </w:t>
      </w:r>
      <w:r>
        <w:rPr>
          <w:spacing w:val="-2"/>
        </w:rPr>
        <w:t>AJPH.2020.305701</w:t>
      </w:r>
    </w:p>
    <w:p>
      <w:pPr>
        <w:pStyle w:val="BodyText"/>
        <w:spacing w:before="8"/>
        <w:rPr>
          <w:sz w:val="25"/>
        </w:rPr>
      </w:pPr>
    </w:p>
    <w:p>
      <w:pPr>
        <w:pStyle w:val="BodyText"/>
        <w:ind w:left="640" w:hanging="360"/>
      </w:pPr>
      <w:r>
        <w:rPr/>
        <w:t>Ryan</w:t>
      </w:r>
      <w:r>
        <w:rPr>
          <w:spacing w:val="-2"/>
        </w:rPr>
        <w:t> </w:t>
      </w:r>
      <w:r>
        <w:rPr/>
        <w:t>C,</w:t>
      </w:r>
      <w:r>
        <w:rPr>
          <w:spacing w:val="-8"/>
        </w:rPr>
        <w:t> </w:t>
      </w:r>
      <w:r>
        <w:rPr/>
        <w:t>Toomey</w:t>
      </w:r>
      <w:r>
        <w:rPr>
          <w:spacing w:val="-2"/>
        </w:rPr>
        <w:t> </w:t>
      </w:r>
      <w:r>
        <w:rPr/>
        <w:t>RB,</w:t>
      </w:r>
      <w:r>
        <w:rPr>
          <w:spacing w:val="-2"/>
        </w:rPr>
        <w:t> </w:t>
      </w:r>
      <w:r>
        <w:rPr/>
        <w:t>Diaz</w:t>
      </w:r>
      <w:r>
        <w:rPr>
          <w:spacing w:val="-3"/>
        </w:rPr>
        <w:t> </w:t>
      </w:r>
      <w:r>
        <w:rPr/>
        <w:t>RM,</w:t>
      </w:r>
      <w:r>
        <w:rPr>
          <w:spacing w:val="-2"/>
        </w:rPr>
        <w:t> </w:t>
      </w:r>
      <w:r>
        <w:rPr/>
        <w:t>Russell</w:t>
      </w:r>
      <w:r>
        <w:rPr>
          <w:spacing w:val="-2"/>
        </w:rPr>
        <w:t> </w:t>
      </w:r>
      <w:r>
        <w:rPr/>
        <w:t>ST.</w:t>
      </w:r>
      <w:r>
        <w:rPr>
          <w:spacing w:val="-2"/>
        </w:rPr>
        <w:t> </w:t>
      </w:r>
      <w:r>
        <w:rPr/>
        <w:t>Parent-initiated</w:t>
      </w:r>
      <w:r>
        <w:rPr>
          <w:spacing w:val="-2"/>
        </w:rPr>
        <w:t> </w:t>
      </w:r>
      <w:r>
        <w:rPr/>
        <w:t>sexual</w:t>
      </w:r>
      <w:r>
        <w:rPr>
          <w:spacing w:val="-2"/>
        </w:rPr>
        <w:t> </w:t>
      </w:r>
      <w:r>
        <w:rPr/>
        <w:t>orientation change</w:t>
      </w:r>
      <w:r>
        <w:rPr>
          <w:spacing w:val="-6"/>
        </w:rPr>
        <w:t> </w:t>
      </w:r>
      <w:r>
        <w:rPr/>
        <w:t>efforts</w:t>
      </w:r>
      <w:r>
        <w:rPr>
          <w:spacing w:val="-5"/>
        </w:rPr>
        <w:t> </w:t>
      </w:r>
      <w:r>
        <w:rPr/>
        <w:t>with</w:t>
      </w:r>
      <w:r>
        <w:rPr>
          <w:spacing w:val="-5"/>
        </w:rPr>
        <w:t> </w:t>
      </w:r>
      <w:r>
        <w:rPr/>
        <w:t>LGBT</w:t>
      </w:r>
      <w:r>
        <w:rPr>
          <w:spacing w:val="-11"/>
        </w:rPr>
        <w:t> </w:t>
      </w:r>
      <w:r>
        <w:rPr/>
        <w:t>adolescents:</w:t>
      </w:r>
      <w:r>
        <w:rPr>
          <w:spacing w:val="-5"/>
        </w:rPr>
        <w:t> </w:t>
      </w:r>
      <w:r>
        <w:rPr/>
        <w:t>Implications</w:t>
      </w:r>
      <w:r>
        <w:rPr>
          <w:spacing w:val="-5"/>
        </w:rPr>
        <w:t> </w:t>
      </w:r>
      <w:r>
        <w:rPr/>
        <w:t>for</w:t>
      </w:r>
      <w:r>
        <w:rPr>
          <w:spacing w:val="-5"/>
        </w:rPr>
        <w:t> </w:t>
      </w:r>
      <w:r>
        <w:rPr/>
        <w:t>young</w:t>
      </w:r>
      <w:r>
        <w:rPr>
          <w:spacing w:val="-5"/>
        </w:rPr>
        <w:t> </w:t>
      </w:r>
      <w:r>
        <w:rPr/>
        <w:t>adult</w:t>
      </w:r>
      <w:r>
        <w:rPr>
          <w:spacing w:val="-5"/>
        </w:rPr>
        <w:t> </w:t>
      </w:r>
      <w:r>
        <w:rPr/>
        <w:t>mental health and adjustment. </w:t>
      </w:r>
      <w:r>
        <w:rPr>
          <w:i/>
        </w:rPr>
        <w:t>J Homosex. </w:t>
      </w:r>
      <w:r>
        <w:rPr/>
        <w:t>2020;67(2):159-173. https://doi.org/ 10.1080/00918369.2018.1538 407</w:t>
      </w:r>
    </w:p>
    <w:p>
      <w:pPr>
        <w:pStyle w:val="BodyText"/>
        <w:spacing w:before="8"/>
        <w:rPr>
          <w:sz w:val="25"/>
        </w:rPr>
      </w:pPr>
    </w:p>
    <w:p>
      <w:pPr>
        <w:pStyle w:val="BodyText"/>
        <w:ind w:left="640" w:right="502" w:hanging="360"/>
      </w:pPr>
      <w:r>
        <w:rPr/>
        <w:t>Salway T, Ferlatte O, Gesink D, Lachowsky NJ. Prevalence of exposure to sexual orientation change efforts and associated sociodemographic characteristics</w:t>
      </w:r>
      <w:r>
        <w:rPr>
          <w:spacing w:val="-6"/>
        </w:rPr>
        <w:t> </w:t>
      </w:r>
      <w:r>
        <w:rPr/>
        <w:t>and</w:t>
      </w:r>
      <w:r>
        <w:rPr>
          <w:spacing w:val="-6"/>
        </w:rPr>
        <w:t> </w:t>
      </w:r>
      <w:r>
        <w:rPr/>
        <w:t>psychosocial</w:t>
      </w:r>
      <w:r>
        <w:rPr>
          <w:spacing w:val="-6"/>
        </w:rPr>
        <w:t> </w:t>
      </w:r>
      <w:r>
        <w:rPr/>
        <w:t>health</w:t>
      </w:r>
      <w:r>
        <w:rPr>
          <w:spacing w:val="-6"/>
        </w:rPr>
        <w:t> </w:t>
      </w:r>
      <w:r>
        <w:rPr/>
        <w:t>outcomes</w:t>
      </w:r>
      <w:r>
        <w:rPr>
          <w:spacing w:val="-6"/>
        </w:rPr>
        <w:t> </w:t>
      </w:r>
      <w:r>
        <w:rPr/>
        <w:t>among</w:t>
      </w:r>
      <w:r>
        <w:rPr>
          <w:spacing w:val="-6"/>
        </w:rPr>
        <w:t> </w:t>
      </w:r>
      <w:r>
        <w:rPr/>
        <w:t>Canadian</w:t>
      </w:r>
      <w:r>
        <w:rPr>
          <w:spacing w:val="-6"/>
        </w:rPr>
        <w:t> </w:t>
      </w:r>
      <w:r>
        <w:rPr/>
        <w:t>sexual minority men. </w:t>
      </w:r>
      <w:r>
        <w:rPr>
          <w:i/>
        </w:rPr>
        <w:t>Can J Psychiatry</w:t>
      </w:r>
      <w:r>
        <w:rPr/>
        <w:t>. 2020;65(7):502-509. https://doi.org/ </w:t>
      </w:r>
      <w:r>
        <w:rPr>
          <w:spacing w:val="-2"/>
        </w:rPr>
        <w:t>10.1177/0706743720902629</w:t>
      </w:r>
    </w:p>
    <w:p>
      <w:pPr>
        <w:pStyle w:val="BodyText"/>
        <w:spacing w:before="5"/>
        <w:rPr>
          <w:sz w:val="25"/>
        </w:rPr>
      </w:pPr>
    </w:p>
    <w:p>
      <w:pPr>
        <w:pStyle w:val="BodyText"/>
        <w:ind w:left="640" w:hanging="360"/>
      </w:pPr>
      <w:r>
        <w:rPr/>
        <w:t>Alempijevic D, Beriashvili R, Beynon J, et al. Statement of the Independent Forensic</w:t>
      </w:r>
      <w:r>
        <w:rPr>
          <w:spacing w:val="-14"/>
        </w:rPr>
        <w:t> </w:t>
      </w:r>
      <w:r>
        <w:rPr/>
        <w:t>Expert</w:t>
      </w:r>
      <w:r>
        <w:rPr>
          <w:spacing w:val="-13"/>
        </w:rPr>
        <w:t> </w:t>
      </w:r>
      <w:r>
        <w:rPr/>
        <w:t>Group</w:t>
      </w:r>
      <w:r>
        <w:rPr>
          <w:spacing w:val="-13"/>
        </w:rPr>
        <w:t> </w:t>
      </w:r>
      <w:r>
        <w:rPr/>
        <w:t>on</w:t>
      </w:r>
      <w:r>
        <w:rPr>
          <w:spacing w:val="-13"/>
        </w:rPr>
        <w:t> </w:t>
      </w:r>
      <w:r>
        <w:rPr/>
        <w:t>Conversion</w:t>
      </w:r>
      <w:r>
        <w:rPr>
          <w:spacing w:val="-18"/>
        </w:rPr>
        <w:t> </w:t>
      </w:r>
      <w:r>
        <w:rPr/>
        <w:t>Therapy.</w:t>
      </w:r>
      <w:r>
        <w:rPr>
          <w:spacing w:val="-14"/>
        </w:rPr>
        <w:t> </w:t>
      </w:r>
      <w:r>
        <w:rPr>
          <w:i/>
        </w:rPr>
        <w:t>Torture</w:t>
      </w:r>
      <w:r>
        <w:rPr/>
        <w:t>.</w:t>
      </w:r>
      <w:r>
        <w:rPr>
          <w:spacing w:val="-13"/>
        </w:rPr>
        <w:t> </w:t>
      </w:r>
      <w:r>
        <w:rPr/>
        <w:t>2020;30(1):66-78. </w:t>
      </w:r>
      <w:r>
        <w:rPr>
          <w:spacing w:val="-2"/>
        </w:rPr>
        <w:t>https://doi.org/10.7146/torture.v30i1.119654</w:t>
      </w:r>
    </w:p>
    <w:p>
      <w:pPr>
        <w:pStyle w:val="BodyText"/>
        <w:spacing w:before="10"/>
        <w:rPr>
          <w:sz w:val="25"/>
        </w:rPr>
      </w:pPr>
    </w:p>
    <w:p>
      <w:pPr>
        <w:pStyle w:val="BodyText"/>
        <w:ind w:left="640" w:right="502" w:hanging="360"/>
      </w:pPr>
      <w:r>
        <w:rPr/>
        <w:t>United Nations. Independent Expert on protection against violence and discrimination based on sexual orientation and gender identity. 2020. Accessed</w:t>
      </w:r>
      <w:r>
        <w:rPr>
          <w:spacing w:val="-18"/>
        </w:rPr>
        <w:t> </w:t>
      </w:r>
      <w:r>
        <w:rPr/>
        <w:t>February</w:t>
      </w:r>
      <w:r>
        <w:rPr>
          <w:spacing w:val="-17"/>
        </w:rPr>
        <w:t> </w:t>
      </w:r>
      <w:r>
        <w:rPr/>
        <w:t>12,</w:t>
      </w:r>
      <w:r>
        <w:rPr>
          <w:spacing w:val="-18"/>
        </w:rPr>
        <w:t> </w:t>
      </w:r>
      <w:r>
        <w:rPr/>
        <w:t>2022.</w:t>
      </w:r>
      <w:r>
        <w:rPr>
          <w:spacing w:val="-17"/>
        </w:rPr>
        <w:t> </w:t>
      </w:r>
      <w:r>
        <w:rPr/>
        <w:t>https://</w:t>
      </w:r>
      <w:hyperlink r:id="rId78">
        <w:r>
          <w:rPr/>
          <w:t>www.ohchr.org/en/issues/sexualorienta</w:t>
        </w:r>
      </w:hyperlink>
      <w:r>
        <w:rPr/>
        <w:t> </w:t>
      </w:r>
      <w:r>
        <w:rPr>
          <w:spacing w:val="-2"/>
        </w:rPr>
        <w:t>tiongender/pages/index.aspx</w:t>
      </w:r>
    </w:p>
    <w:p>
      <w:pPr>
        <w:pStyle w:val="BodyText"/>
        <w:spacing w:before="7"/>
        <w:rPr>
          <w:sz w:val="25"/>
        </w:rPr>
      </w:pPr>
    </w:p>
    <w:p>
      <w:pPr>
        <w:pStyle w:val="BodyText"/>
        <w:spacing w:before="1"/>
        <w:ind w:left="640" w:right="617" w:hanging="360"/>
      </w:pPr>
      <w:r>
        <w:rPr/>
        <w:t>The White House. Executive Order on</w:t>
      </w:r>
      <w:r>
        <w:rPr>
          <w:spacing w:val="-9"/>
        </w:rPr>
        <w:t> </w:t>
      </w:r>
      <w:r>
        <w:rPr/>
        <w:t>Advancing Equality for Lesbian, Gay, Bisexual,</w:t>
      </w:r>
      <w:r>
        <w:rPr>
          <w:spacing w:val="-14"/>
        </w:rPr>
        <w:t> </w:t>
      </w:r>
      <w:r>
        <w:rPr/>
        <w:t>Transgender,</w:t>
      </w:r>
      <w:r>
        <w:rPr>
          <w:spacing w:val="-9"/>
        </w:rPr>
        <w:t> </w:t>
      </w:r>
      <w:r>
        <w:rPr/>
        <w:t>Queer,</w:t>
      </w:r>
      <w:r>
        <w:rPr>
          <w:spacing w:val="-9"/>
        </w:rPr>
        <w:t> </w:t>
      </w:r>
      <w:r>
        <w:rPr/>
        <w:t>and</w:t>
      </w:r>
      <w:r>
        <w:rPr>
          <w:spacing w:val="-9"/>
        </w:rPr>
        <w:t> </w:t>
      </w:r>
      <w:r>
        <w:rPr/>
        <w:t>Intersex</w:t>
      </w:r>
      <w:r>
        <w:rPr>
          <w:spacing w:val="-9"/>
        </w:rPr>
        <w:t> </w:t>
      </w:r>
      <w:r>
        <w:rPr/>
        <w:t>Individuals.</w:t>
      </w:r>
      <w:r>
        <w:rPr>
          <w:spacing w:val="-9"/>
        </w:rPr>
        <w:t> </w:t>
      </w:r>
      <w:r>
        <w:rPr/>
        <w:t>Published</w:t>
      </w:r>
      <w:r>
        <w:rPr>
          <w:spacing w:val="-9"/>
        </w:rPr>
        <w:t> </w:t>
      </w:r>
      <w:r>
        <w:rPr/>
        <w:t>June</w:t>
      </w:r>
      <w:r>
        <w:rPr>
          <w:spacing w:val="-10"/>
        </w:rPr>
        <w:t> </w:t>
      </w:r>
      <w:r>
        <w:rPr/>
        <w:t>15, 2022. https://</w:t>
      </w:r>
      <w:hyperlink r:id="rId79">
        <w:r>
          <w:rPr/>
          <w:t>www.whitehouse.gov/briefingroom/presidentialactions/</w:t>
        </w:r>
      </w:hyperlink>
      <w:r>
        <w:rPr/>
        <w:t> </w:t>
      </w:r>
      <w:r>
        <w:rPr>
          <w:spacing w:val="-2"/>
        </w:rPr>
        <w:t>2022/06/15/executive-order-onadvancing-equality-for-lesbian-gay- bisexualtransgender</w:t>
      </w:r>
    </w:p>
    <w:p>
      <w:pPr>
        <w:pStyle w:val="BodyText"/>
        <w:spacing w:before="11"/>
        <w:rPr>
          <w:sz w:val="26"/>
        </w:rPr>
      </w:pPr>
    </w:p>
    <w:p>
      <w:pPr>
        <w:pStyle w:val="BodyText"/>
        <w:ind w:left="640" w:right="652" w:hanging="360"/>
      </w:pPr>
      <w:r>
        <w:rPr/>
        <w:t>The White House. Executive Order on Preventing and Combating Discrimination on the Basis of Gender Identity or Sexual Orientation. </w:t>
      </w:r>
      <w:r>
        <w:rPr>
          <w:spacing w:val="-2"/>
        </w:rPr>
        <w:t>https://</w:t>
      </w:r>
      <w:hyperlink r:id="rId80">
        <w:r>
          <w:rPr>
            <w:spacing w:val="-2"/>
          </w:rPr>
          <w:t>www.whitehouse.gov/briefingroom/presidentialactions/2021/01/20/</w:t>
        </w:r>
      </w:hyperlink>
      <w:r>
        <w:rPr>
          <w:spacing w:val="-2"/>
        </w:rPr>
        <w:t> executive-orderpreventing-and-combating-discrimination-onbasis-of- </w:t>
      </w:r>
      <w:r>
        <w:rPr/>
        <w:t>gender-identity-or-sexual-orientation. Published January 20, 2021.</w:t>
      </w:r>
    </w:p>
    <w:p>
      <w:pPr>
        <w:spacing w:after="0"/>
        <w:sectPr>
          <w:pgSz w:w="12240" w:h="15840"/>
          <w:pgMar w:header="0" w:footer="783" w:top="1260" w:bottom="980" w:left="1400" w:right="1180"/>
        </w:sectPr>
      </w:pPr>
    </w:p>
    <w:p>
      <w:pPr>
        <w:spacing w:before="66"/>
        <w:ind w:left="640" w:right="0" w:hanging="360"/>
        <w:jc w:val="left"/>
        <w:rPr>
          <w:sz w:val="28"/>
        </w:rPr>
      </w:pPr>
      <w:r>
        <w:rPr>
          <w:sz w:val="28"/>
        </w:rPr>
        <w:t>Diamond</w:t>
      </w:r>
      <w:r>
        <w:rPr>
          <w:spacing w:val="-13"/>
          <w:sz w:val="28"/>
        </w:rPr>
        <w:t> </w:t>
      </w:r>
      <w:r>
        <w:rPr>
          <w:sz w:val="28"/>
        </w:rPr>
        <w:t>LM.</w:t>
      </w:r>
      <w:r>
        <w:rPr>
          <w:spacing w:val="-8"/>
          <w:sz w:val="28"/>
        </w:rPr>
        <w:t> </w:t>
      </w:r>
      <w:r>
        <w:rPr>
          <w:sz w:val="28"/>
        </w:rPr>
        <w:t>Sexual</w:t>
      </w:r>
      <w:r>
        <w:rPr>
          <w:spacing w:val="-8"/>
          <w:sz w:val="28"/>
        </w:rPr>
        <w:t> </w:t>
      </w:r>
      <w:r>
        <w:rPr>
          <w:sz w:val="28"/>
        </w:rPr>
        <w:t>fluidity.</w:t>
      </w:r>
      <w:r>
        <w:rPr>
          <w:spacing w:val="-8"/>
          <w:sz w:val="28"/>
        </w:rPr>
        <w:t> </w:t>
      </w:r>
      <w:r>
        <w:rPr>
          <w:sz w:val="28"/>
        </w:rPr>
        <w:t>In:</w:t>
      </w:r>
      <w:r>
        <w:rPr>
          <w:spacing w:val="-8"/>
          <w:sz w:val="28"/>
        </w:rPr>
        <w:t> </w:t>
      </w:r>
      <w:r>
        <w:rPr>
          <w:sz w:val="28"/>
        </w:rPr>
        <w:t>Bolin</w:t>
      </w:r>
      <w:r>
        <w:rPr>
          <w:spacing w:val="-18"/>
          <w:sz w:val="28"/>
        </w:rPr>
        <w:t> </w:t>
      </w:r>
      <w:r>
        <w:rPr>
          <w:sz w:val="28"/>
        </w:rPr>
        <w:t>A,</w:t>
      </w:r>
      <w:r>
        <w:rPr>
          <w:spacing w:val="-13"/>
          <w:sz w:val="28"/>
        </w:rPr>
        <w:t> </w:t>
      </w:r>
      <w:r>
        <w:rPr>
          <w:sz w:val="28"/>
        </w:rPr>
        <w:t>Whelehan</w:t>
      </w:r>
      <w:r>
        <w:rPr>
          <w:spacing w:val="-8"/>
          <w:sz w:val="28"/>
        </w:rPr>
        <w:t> </w:t>
      </w:r>
      <w:r>
        <w:rPr>
          <w:sz w:val="28"/>
        </w:rPr>
        <w:t>P,</w:t>
      </w:r>
      <w:r>
        <w:rPr>
          <w:spacing w:val="-8"/>
          <w:sz w:val="28"/>
        </w:rPr>
        <w:t> </w:t>
      </w:r>
      <w:r>
        <w:rPr>
          <w:sz w:val="28"/>
        </w:rPr>
        <w:t>eds.</w:t>
      </w:r>
      <w:r>
        <w:rPr>
          <w:spacing w:val="-9"/>
          <w:sz w:val="28"/>
        </w:rPr>
        <w:t> </w:t>
      </w:r>
      <w:r>
        <w:rPr>
          <w:i/>
          <w:sz w:val="28"/>
        </w:rPr>
        <w:t>The</w:t>
      </w:r>
      <w:r>
        <w:rPr>
          <w:i/>
          <w:spacing w:val="-9"/>
          <w:sz w:val="28"/>
        </w:rPr>
        <w:t> </w:t>
      </w:r>
      <w:r>
        <w:rPr>
          <w:i/>
          <w:sz w:val="28"/>
        </w:rPr>
        <w:t>International</w:t>
      </w:r>
      <w:r>
        <w:rPr>
          <w:i/>
          <w:sz w:val="28"/>
        </w:rPr>
        <w:t> Encyclopedia of Human Sexuality</w:t>
      </w:r>
      <w:r>
        <w:rPr>
          <w:sz w:val="28"/>
        </w:rPr>
        <w:t>. Wiley-Blackwell; 2015. https://doi.org/ 10.1002/9781118896877.wbieh s452</w:t>
      </w:r>
    </w:p>
    <w:p>
      <w:pPr>
        <w:pStyle w:val="BodyText"/>
        <w:spacing w:before="9"/>
        <w:rPr>
          <w:sz w:val="25"/>
        </w:rPr>
      </w:pPr>
    </w:p>
    <w:p>
      <w:pPr>
        <w:pStyle w:val="BodyText"/>
        <w:ind w:left="640" w:right="986" w:hanging="360"/>
      </w:pPr>
      <w:r>
        <w:rPr/>
        <w:t>Vrangalova Z, Savin-Williams RC. Mostly heterosexual and mostly gay/ lesbian:</w:t>
      </w:r>
      <w:r>
        <w:rPr>
          <w:spacing w:val="-8"/>
        </w:rPr>
        <w:t> </w:t>
      </w:r>
      <w:r>
        <w:rPr/>
        <w:t>Evidence</w:t>
      </w:r>
      <w:r>
        <w:rPr>
          <w:spacing w:val="-9"/>
        </w:rPr>
        <w:t> </w:t>
      </w:r>
      <w:r>
        <w:rPr/>
        <w:t>for</w:t>
      </w:r>
      <w:r>
        <w:rPr>
          <w:spacing w:val="-8"/>
        </w:rPr>
        <w:t> </w:t>
      </w:r>
      <w:r>
        <w:rPr/>
        <w:t>new</w:t>
      </w:r>
      <w:r>
        <w:rPr>
          <w:spacing w:val="-8"/>
        </w:rPr>
        <w:t> </w:t>
      </w:r>
      <w:r>
        <w:rPr/>
        <w:t>sexual</w:t>
      </w:r>
      <w:r>
        <w:rPr>
          <w:spacing w:val="-8"/>
        </w:rPr>
        <w:t> </w:t>
      </w:r>
      <w:r>
        <w:rPr/>
        <w:t>orientation</w:t>
      </w:r>
      <w:r>
        <w:rPr>
          <w:spacing w:val="-8"/>
        </w:rPr>
        <w:t> </w:t>
      </w:r>
      <w:r>
        <w:rPr/>
        <w:t>identities.</w:t>
      </w:r>
      <w:r>
        <w:rPr>
          <w:spacing w:val="-9"/>
        </w:rPr>
        <w:t> </w:t>
      </w:r>
      <w:r>
        <w:rPr>
          <w:i/>
        </w:rPr>
        <w:t>Arch</w:t>
      </w:r>
      <w:r>
        <w:rPr>
          <w:i/>
          <w:spacing w:val="-8"/>
        </w:rPr>
        <w:t> </w:t>
      </w:r>
      <w:r>
        <w:rPr>
          <w:i/>
        </w:rPr>
        <w:t>Sex</w:t>
      </w:r>
      <w:r>
        <w:rPr>
          <w:i/>
          <w:spacing w:val="-9"/>
        </w:rPr>
        <w:t> </w:t>
      </w:r>
      <w:r>
        <w:rPr>
          <w:i/>
        </w:rPr>
        <w:t>Behav.</w:t>
      </w:r>
      <w:r>
        <w:rPr>
          <w:i/>
        </w:rPr>
        <w:t> </w:t>
      </w:r>
      <w:r>
        <w:rPr/>
        <w:t>2012</w:t>
      </w:r>
      <w:r>
        <w:rPr>
          <w:i/>
        </w:rPr>
        <w:t>;</w:t>
      </w:r>
      <w:r>
        <w:rPr/>
        <w:t>41(1):85-101. https://doi.org/10.1037/0033-2909.129.5.674</w:t>
      </w:r>
    </w:p>
    <w:p>
      <w:pPr>
        <w:pStyle w:val="BodyText"/>
        <w:spacing w:before="10"/>
        <w:rPr>
          <w:sz w:val="25"/>
        </w:rPr>
      </w:pPr>
    </w:p>
    <w:p>
      <w:pPr>
        <w:spacing w:before="0"/>
        <w:ind w:left="640" w:right="894" w:hanging="360"/>
        <w:jc w:val="both"/>
        <w:rPr>
          <w:sz w:val="28"/>
        </w:rPr>
      </w:pPr>
      <w:r>
        <w:rPr>
          <w:sz w:val="28"/>
        </w:rPr>
        <w:t>American</w:t>
      </w:r>
      <w:r>
        <w:rPr>
          <w:spacing w:val="-10"/>
          <w:sz w:val="28"/>
        </w:rPr>
        <w:t> </w:t>
      </w:r>
      <w:r>
        <w:rPr>
          <w:sz w:val="28"/>
        </w:rPr>
        <w:t>Psychological</w:t>
      </w:r>
      <w:r>
        <w:rPr>
          <w:spacing w:val="-18"/>
          <w:sz w:val="28"/>
        </w:rPr>
        <w:t> </w:t>
      </w:r>
      <w:r>
        <w:rPr>
          <w:sz w:val="28"/>
        </w:rPr>
        <w:t>Association.</w:t>
      </w:r>
      <w:r>
        <w:rPr>
          <w:spacing w:val="-7"/>
          <w:sz w:val="28"/>
        </w:rPr>
        <w:t> </w:t>
      </w:r>
      <w:r>
        <w:rPr>
          <w:i/>
          <w:sz w:val="28"/>
        </w:rPr>
        <w:t>Guidelines</w:t>
      </w:r>
      <w:r>
        <w:rPr>
          <w:i/>
          <w:spacing w:val="-7"/>
          <w:sz w:val="28"/>
        </w:rPr>
        <w:t> </w:t>
      </w:r>
      <w:r>
        <w:rPr>
          <w:i/>
          <w:sz w:val="28"/>
        </w:rPr>
        <w:t>for</w:t>
      </w:r>
      <w:r>
        <w:rPr>
          <w:i/>
          <w:spacing w:val="-7"/>
          <w:sz w:val="28"/>
        </w:rPr>
        <w:t> </w:t>
      </w:r>
      <w:r>
        <w:rPr>
          <w:i/>
          <w:sz w:val="28"/>
        </w:rPr>
        <w:t>psychological</w:t>
      </w:r>
      <w:r>
        <w:rPr>
          <w:i/>
          <w:spacing w:val="-7"/>
          <w:sz w:val="28"/>
        </w:rPr>
        <w:t> </w:t>
      </w:r>
      <w:r>
        <w:rPr>
          <w:i/>
          <w:sz w:val="28"/>
        </w:rPr>
        <w:t>practice</w:t>
      </w:r>
      <w:r>
        <w:rPr>
          <w:i/>
          <w:sz w:val="28"/>
        </w:rPr>
        <w:t> with</w:t>
      </w:r>
      <w:r>
        <w:rPr>
          <w:i/>
          <w:spacing w:val="-5"/>
          <w:sz w:val="28"/>
        </w:rPr>
        <w:t> </w:t>
      </w:r>
      <w:r>
        <w:rPr>
          <w:i/>
          <w:sz w:val="28"/>
        </w:rPr>
        <w:t>transgender</w:t>
      </w:r>
      <w:r>
        <w:rPr>
          <w:i/>
          <w:spacing w:val="-4"/>
          <w:sz w:val="28"/>
        </w:rPr>
        <w:t> </w:t>
      </w:r>
      <w:r>
        <w:rPr>
          <w:i/>
          <w:sz w:val="28"/>
        </w:rPr>
        <w:t>and</w:t>
      </w:r>
      <w:r>
        <w:rPr>
          <w:i/>
          <w:spacing w:val="-4"/>
          <w:sz w:val="28"/>
        </w:rPr>
        <w:t> </w:t>
      </w:r>
      <w:r>
        <w:rPr>
          <w:i/>
          <w:sz w:val="28"/>
        </w:rPr>
        <w:t>gender</w:t>
      </w:r>
      <w:r>
        <w:rPr>
          <w:i/>
          <w:spacing w:val="-4"/>
          <w:sz w:val="28"/>
        </w:rPr>
        <w:t> </w:t>
      </w:r>
      <w:r>
        <w:rPr>
          <w:i/>
          <w:sz w:val="28"/>
        </w:rPr>
        <w:t>nonconforming</w:t>
      </w:r>
      <w:r>
        <w:rPr>
          <w:i/>
          <w:spacing w:val="-4"/>
          <w:sz w:val="28"/>
        </w:rPr>
        <w:t> </w:t>
      </w:r>
      <w:r>
        <w:rPr>
          <w:i/>
          <w:sz w:val="28"/>
        </w:rPr>
        <w:t>people</w:t>
      </w:r>
      <w:r>
        <w:rPr>
          <w:sz w:val="28"/>
        </w:rPr>
        <w:t>.</w:t>
      </w:r>
      <w:r>
        <w:rPr>
          <w:spacing w:val="-18"/>
          <w:sz w:val="28"/>
        </w:rPr>
        <w:t> </w:t>
      </w:r>
      <w:r>
        <w:rPr>
          <w:sz w:val="28"/>
        </w:rPr>
        <w:t>Am</w:t>
      </w:r>
      <w:r>
        <w:rPr>
          <w:spacing w:val="-3"/>
          <w:sz w:val="28"/>
        </w:rPr>
        <w:t> </w:t>
      </w:r>
      <w:r>
        <w:rPr>
          <w:sz w:val="28"/>
        </w:rPr>
        <w:t>Psychol.</w:t>
      </w:r>
      <w:r>
        <w:rPr>
          <w:spacing w:val="-4"/>
          <w:sz w:val="28"/>
        </w:rPr>
        <w:t> </w:t>
      </w:r>
      <w:r>
        <w:rPr>
          <w:sz w:val="28"/>
        </w:rPr>
        <w:t>2015. </w:t>
      </w:r>
      <w:r>
        <w:rPr>
          <w:spacing w:val="-2"/>
          <w:sz w:val="28"/>
        </w:rPr>
        <w:t>https://doi.org/10.1037/a0039906</w:t>
      </w:r>
    </w:p>
    <w:p>
      <w:pPr>
        <w:pStyle w:val="BodyText"/>
        <w:spacing w:before="9"/>
        <w:rPr>
          <w:sz w:val="25"/>
        </w:rPr>
      </w:pPr>
    </w:p>
    <w:p>
      <w:pPr>
        <w:pStyle w:val="BodyText"/>
        <w:spacing w:before="1"/>
        <w:ind w:left="640" w:right="499" w:hanging="360"/>
      </w:pPr>
      <w:r>
        <w:rPr/>
        <w:t>Knudson</w:t>
      </w:r>
      <w:r>
        <w:rPr>
          <w:spacing w:val="-6"/>
        </w:rPr>
        <w:t> </w:t>
      </w:r>
      <w:r>
        <w:rPr/>
        <w:t>G,</w:t>
      </w:r>
      <w:r>
        <w:rPr>
          <w:spacing w:val="-6"/>
        </w:rPr>
        <w:t> </w:t>
      </w:r>
      <w:r>
        <w:rPr/>
        <w:t>De</w:t>
      </w:r>
      <w:r>
        <w:rPr>
          <w:spacing w:val="-7"/>
        </w:rPr>
        <w:t> </w:t>
      </w:r>
      <w:r>
        <w:rPr/>
        <w:t>Cuypere</w:t>
      </w:r>
      <w:r>
        <w:rPr>
          <w:spacing w:val="-7"/>
        </w:rPr>
        <w:t> </w:t>
      </w:r>
      <w:r>
        <w:rPr/>
        <w:t>G,</w:t>
      </w:r>
      <w:r>
        <w:rPr>
          <w:spacing w:val="-6"/>
        </w:rPr>
        <w:t> </w:t>
      </w:r>
      <w:r>
        <w:rPr/>
        <w:t>Bockting</w:t>
      </w:r>
      <w:r>
        <w:rPr>
          <w:spacing w:val="-12"/>
        </w:rPr>
        <w:t> </w:t>
      </w:r>
      <w:r>
        <w:rPr/>
        <w:t>W.</w:t>
      </w:r>
      <w:r>
        <w:rPr>
          <w:spacing w:val="-6"/>
        </w:rPr>
        <w:t> </w:t>
      </w:r>
      <w:r>
        <w:rPr/>
        <w:t>Recommendations</w:t>
      </w:r>
      <w:r>
        <w:rPr>
          <w:spacing w:val="-6"/>
        </w:rPr>
        <w:t> </w:t>
      </w:r>
      <w:r>
        <w:rPr/>
        <w:t>for</w:t>
      </w:r>
      <w:r>
        <w:rPr>
          <w:spacing w:val="-6"/>
        </w:rPr>
        <w:t> </w:t>
      </w:r>
      <w:r>
        <w:rPr/>
        <w:t>revision</w:t>
      </w:r>
      <w:r>
        <w:rPr>
          <w:spacing w:val="-6"/>
        </w:rPr>
        <w:t> </w:t>
      </w:r>
      <w:r>
        <w:rPr/>
        <w:t>of</w:t>
      </w:r>
      <w:r>
        <w:rPr>
          <w:spacing w:val="-6"/>
        </w:rPr>
        <w:t> </w:t>
      </w:r>
      <w:r>
        <w:rPr/>
        <w:t>the DSM diagnoses of gender identity disorders: Consensus statement of the World Professional</w:t>
      </w:r>
      <w:r>
        <w:rPr>
          <w:spacing w:val="-7"/>
        </w:rPr>
        <w:t> </w:t>
      </w:r>
      <w:r>
        <w:rPr/>
        <w:t>Association for Transgender Health. </w:t>
      </w:r>
      <w:r>
        <w:rPr>
          <w:i/>
        </w:rPr>
        <w:t>Int J Transgend</w:t>
      </w:r>
      <w:r>
        <w:rPr>
          <w:i/>
        </w:rPr>
        <w:t> Health</w:t>
      </w:r>
      <w:r>
        <w:rPr/>
        <w:t>.</w:t>
      </w:r>
      <w:r>
        <w:rPr>
          <w:spacing w:val="-18"/>
        </w:rPr>
        <w:t> </w:t>
      </w:r>
      <w:r>
        <w:rPr/>
        <w:t>2010;12(2):115-118.</w:t>
      </w:r>
      <w:r>
        <w:rPr>
          <w:spacing w:val="-17"/>
        </w:rPr>
        <w:t> </w:t>
      </w:r>
      <w:r>
        <w:rPr/>
        <w:t>https://doi.org/10.1080/15532739.2010.50921</w:t>
      </w:r>
    </w:p>
    <w:p>
      <w:pPr>
        <w:pStyle w:val="BodyText"/>
        <w:spacing w:line="314" w:lineRule="exact"/>
        <w:ind w:left="640"/>
      </w:pPr>
      <w:r>
        <w:rPr/>
        <w:t>5</w:t>
      </w:r>
    </w:p>
    <w:p>
      <w:pPr>
        <w:pStyle w:val="BodyText"/>
        <w:spacing w:before="2"/>
        <w:rPr>
          <w:sz w:val="26"/>
        </w:rPr>
      </w:pPr>
    </w:p>
    <w:p>
      <w:pPr>
        <w:pStyle w:val="BodyText"/>
        <w:ind w:left="640" w:right="502" w:hanging="360"/>
      </w:pPr>
      <w:r>
        <w:rPr/>
        <w:t>American</w:t>
      </w:r>
      <w:r>
        <w:rPr>
          <w:spacing w:val="-7"/>
        </w:rPr>
        <w:t> </w:t>
      </w:r>
      <w:r>
        <w:rPr/>
        <w:t>Psychiatric</w:t>
      </w:r>
      <w:r>
        <w:rPr>
          <w:spacing w:val="-18"/>
        </w:rPr>
        <w:t> </w:t>
      </w:r>
      <w:r>
        <w:rPr/>
        <w:t>Association.</w:t>
      </w:r>
      <w:r>
        <w:rPr>
          <w:spacing w:val="-5"/>
        </w:rPr>
        <w:t> </w:t>
      </w:r>
      <w:r>
        <w:rPr/>
        <w:t>Press</w:t>
      </w:r>
      <w:r>
        <w:rPr>
          <w:spacing w:val="-5"/>
        </w:rPr>
        <w:t> </w:t>
      </w:r>
      <w:r>
        <w:rPr/>
        <w:t>release</w:t>
      </w:r>
      <w:r>
        <w:rPr>
          <w:spacing w:val="-6"/>
        </w:rPr>
        <w:t> </w:t>
      </w:r>
      <w:r>
        <w:rPr/>
        <w:t>regarding</w:t>
      </w:r>
      <w:r>
        <w:rPr>
          <w:spacing w:val="-5"/>
        </w:rPr>
        <w:t> </w:t>
      </w:r>
      <w:r>
        <w:rPr/>
        <w:t>“Removal</w:t>
      </w:r>
      <w:r>
        <w:rPr>
          <w:spacing w:val="-5"/>
        </w:rPr>
        <w:t> </w:t>
      </w:r>
      <w:r>
        <w:rPr/>
        <w:t>of</w:t>
      </w:r>
      <w:r>
        <w:rPr>
          <w:spacing w:val="-5"/>
        </w:rPr>
        <w:t> </w:t>
      </w:r>
      <w:r>
        <w:rPr/>
        <w:t>the diagnosis of homosexuality from the second edition of the Diagnostic Statistical Manual.” December 15, 1973.</w:t>
      </w:r>
    </w:p>
    <w:p>
      <w:pPr>
        <w:pStyle w:val="BodyText"/>
        <w:spacing w:before="9"/>
        <w:rPr>
          <w:sz w:val="25"/>
        </w:rPr>
      </w:pPr>
    </w:p>
    <w:p>
      <w:pPr>
        <w:pStyle w:val="BodyText"/>
        <w:ind w:left="640" w:right="499" w:hanging="360"/>
      </w:pPr>
      <w:r>
        <w:rPr/>
        <w:t>Conger JJ. Proceedings of the American Psychological Association, Incorporated, for the year 1974: Minutes of the annual meeting of the Council</w:t>
      </w:r>
      <w:r>
        <w:rPr>
          <w:spacing w:val="-7"/>
        </w:rPr>
        <w:t> </w:t>
      </w:r>
      <w:r>
        <w:rPr/>
        <w:t>of</w:t>
      </w:r>
      <w:r>
        <w:rPr>
          <w:spacing w:val="-7"/>
        </w:rPr>
        <w:t> </w:t>
      </w:r>
      <w:r>
        <w:rPr/>
        <w:t>Representatives.</w:t>
      </w:r>
      <w:r>
        <w:rPr>
          <w:spacing w:val="-8"/>
        </w:rPr>
        <w:t> </w:t>
      </w:r>
      <w:r>
        <w:rPr>
          <w:i/>
        </w:rPr>
        <w:t>Am</w:t>
      </w:r>
      <w:r>
        <w:rPr>
          <w:i/>
          <w:spacing w:val="-7"/>
        </w:rPr>
        <w:t> </w:t>
      </w:r>
      <w:r>
        <w:rPr>
          <w:i/>
        </w:rPr>
        <w:t>Psychol</w:t>
      </w:r>
      <w:r>
        <w:rPr/>
        <w:t>.</w:t>
      </w:r>
      <w:r>
        <w:rPr>
          <w:spacing w:val="-7"/>
        </w:rPr>
        <w:t> </w:t>
      </w:r>
      <w:r>
        <w:rPr/>
        <w:t>1975;30:620-651.</w:t>
      </w:r>
      <w:r>
        <w:rPr>
          <w:spacing w:val="-7"/>
        </w:rPr>
        <w:t> </w:t>
      </w:r>
      <w:r>
        <w:rPr/>
        <w:t>https://doi.org/ </w:t>
      </w:r>
      <w:r>
        <w:rPr>
          <w:spacing w:val="-2"/>
        </w:rPr>
        <w:t>10.1037/h0078455</w:t>
      </w:r>
    </w:p>
    <w:p>
      <w:pPr>
        <w:pStyle w:val="BodyText"/>
        <w:spacing w:before="8"/>
        <w:rPr>
          <w:sz w:val="25"/>
        </w:rPr>
      </w:pPr>
    </w:p>
    <w:p>
      <w:pPr>
        <w:spacing w:before="0"/>
        <w:ind w:left="640" w:right="940" w:hanging="360"/>
        <w:jc w:val="left"/>
        <w:rPr>
          <w:sz w:val="28"/>
        </w:rPr>
      </w:pPr>
      <w:r>
        <w:rPr>
          <w:sz w:val="28"/>
        </w:rPr>
        <w:t>American Psychological</w:t>
      </w:r>
      <w:r>
        <w:rPr>
          <w:spacing w:val="-5"/>
          <w:sz w:val="28"/>
        </w:rPr>
        <w:t> </w:t>
      </w:r>
      <w:r>
        <w:rPr>
          <w:sz w:val="28"/>
        </w:rPr>
        <w:t>Association. </w:t>
      </w:r>
      <w:r>
        <w:rPr>
          <w:i/>
          <w:sz w:val="28"/>
        </w:rPr>
        <w:t>APA resolution on gender identity</w:t>
      </w:r>
      <w:r>
        <w:rPr>
          <w:i/>
          <w:sz w:val="28"/>
        </w:rPr>
        <w:t> change</w:t>
      </w:r>
      <w:r>
        <w:rPr>
          <w:i/>
          <w:spacing w:val="-18"/>
          <w:sz w:val="28"/>
        </w:rPr>
        <w:t> </w:t>
      </w:r>
      <w:r>
        <w:rPr>
          <w:i/>
          <w:sz w:val="28"/>
        </w:rPr>
        <w:t>efforts</w:t>
      </w:r>
      <w:r>
        <w:rPr>
          <w:sz w:val="28"/>
        </w:rPr>
        <w:t>.</w:t>
      </w:r>
      <w:r>
        <w:rPr>
          <w:spacing w:val="-10"/>
          <w:sz w:val="28"/>
        </w:rPr>
        <w:t> </w:t>
      </w:r>
      <w:r>
        <w:rPr>
          <w:sz w:val="28"/>
        </w:rPr>
        <w:t>2021.</w:t>
      </w:r>
      <w:r>
        <w:rPr>
          <w:spacing w:val="-18"/>
          <w:sz w:val="28"/>
        </w:rPr>
        <w:t> </w:t>
      </w:r>
      <w:r>
        <w:rPr>
          <w:sz w:val="28"/>
        </w:rPr>
        <w:t>Accessed</w:t>
      </w:r>
      <w:r>
        <w:rPr>
          <w:spacing w:val="-10"/>
          <w:sz w:val="28"/>
        </w:rPr>
        <w:t> </w:t>
      </w:r>
      <w:r>
        <w:rPr>
          <w:sz w:val="28"/>
        </w:rPr>
        <w:t>February</w:t>
      </w:r>
      <w:r>
        <w:rPr>
          <w:spacing w:val="-11"/>
          <w:sz w:val="28"/>
        </w:rPr>
        <w:t> </w:t>
      </w:r>
      <w:r>
        <w:rPr>
          <w:sz w:val="28"/>
        </w:rPr>
        <w:t>11,</w:t>
      </w:r>
      <w:r>
        <w:rPr>
          <w:spacing w:val="-11"/>
          <w:sz w:val="28"/>
        </w:rPr>
        <w:t> </w:t>
      </w:r>
      <w:r>
        <w:rPr>
          <w:sz w:val="28"/>
        </w:rPr>
        <w:t>2022.</w:t>
      </w:r>
      <w:r>
        <w:rPr>
          <w:spacing w:val="-11"/>
          <w:sz w:val="28"/>
        </w:rPr>
        <w:t> </w:t>
      </w:r>
      <w:r>
        <w:rPr>
          <w:sz w:val="28"/>
        </w:rPr>
        <w:t>https://</w:t>
      </w:r>
      <w:hyperlink r:id="rId81">
        <w:r>
          <w:rPr>
            <w:sz w:val="28"/>
          </w:rPr>
          <w:t>www.apa.org/</w:t>
        </w:r>
      </w:hyperlink>
      <w:r>
        <w:rPr>
          <w:sz w:val="28"/>
        </w:rPr>
        <w:t> </w:t>
      </w:r>
      <w:r>
        <w:rPr>
          <w:spacing w:val="-2"/>
          <w:sz w:val="28"/>
        </w:rPr>
        <w:t>about/policy/resolutiongender-identity-change-efforts.pdf</w:t>
      </w:r>
    </w:p>
    <w:p>
      <w:pPr>
        <w:pStyle w:val="BodyText"/>
        <w:spacing w:before="9"/>
        <w:rPr>
          <w:sz w:val="25"/>
        </w:rPr>
      </w:pPr>
    </w:p>
    <w:p>
      <w:pPr>
        <w:spacing w:before="1"/>
        <w:ind w:left="640" w:right="836" w:hanging="360"/>
        <w:jc w:val="left"/>
        <w:rPr>
          <w:sz w:val="28"/>
        </w:rPr>
      </w:pPr>
      <w:r>
        <w:rPr>
          <w:sz w:val="28"/>
        </w:rPr>
        <w:t>American Psychological</w:t>
      </w:r>
      <w:r>
        <w:rPr>
          <w:spacing w:val="-7"/>
          <w:sz w:val="28"/>
        </w:rPr>
        <w:t> </w:t>
      </w:r>
      <w:r>
        <w:rPr>
          <w:sz w:val="28"/>
        </w:rPr>
        <w:t>Association. </w:t>
      </w:r>
      <w:r>
        <w:rPr>
          <w:i/>
          <w:sz w:val="28"/>
        </w:rPr>
        <w:t>APA resolution on sexual orientation</w:t>
      </w:r>
      <w:r>
        <w:rPr>
          <w:i/>
          <w:sz w:val="28"/>
        </w:rPr>
        <w:t> change</w:t>
      </w:r>
      <w:r>
        <w:rPr>
          <w:i/>
          <w:spacing w:val="-18"/>
          <w:sz w:val="28"/>
        </w:rPr>
        <w:t> </w:t>
      </w:r>
      <w:r>
        <w:rPr>
          <w:i/>
          <w:sz w:val="28"/>
        </w:rPr>
        <w:t>efforts</w:t>
      </w:r>
      <w:r>
        <w:rPr>
          <w:sz w:val="28"/>
        </w:rPr>
        <w:t>.</w:t>
      </w:r>
      <w:r>
        <w:rPr>
          <w:spacing w:val="-17"/>
          <w:sz w:val="28"/>
        </w:rPr>
        <w:t> </w:t>
      </w:r>
      <w:r>
        <w:rPr>
          <w:sz w:val="28"/>
        </w:rPr>
        <w:t>2021.</w:t>
      </w:r>
      <w:r>
        <w:rPr>
          <w:spacing w:val="-18"/>
          <w:sz w:val="28"/>
        </w:rPr>
        <w:t> </w:t>
      </w:r>
      <w:r>
        <w:rPr>
          <w:sz w:val="28"/>
        </w:rPr>
        <w:t>https://</w:t>
      </w:r>
      <w:hyperlink r:id="rId82">
        <w:r>
          <w:rPr>
            <w:sz w:val="28"/>
          </w:rPr>
          <w:t>www.apa.org/about/policy/resolutionsexual-</w:t>
        </w:r>
      </w:hyperlink>
      <w:r>
        <w:rPr>
          <w:sz w:val="28"/>
        </w:rPr>
        <w:t> orientation-change-efforts.pdf. Accessed February 11, 2022.</w:t>
      </w:r>
    </w:p>
    <w:p>
      <w:pPr>
        <w:pStyle w:val="BodyText"/>
        <w:spacing w:before="9"/>
        <w:rPr>
          <w:sz w:val="25"/>
        </w:rPr>
      </w:pPr>
    </w:p>
    <w:p>
      <w:pPr>
        <w:spacing w:before="0"/>
        <w:ind w:left="640" w:right="0" w:hanging="360"/>
        <w:jc w:val="left"/>
        <w:rPr>
          <w:sz w:val="28"/>
        </w:rPr>
      </w:pPr>
      <w:r>
        <w:rPr>
          <w:sz w:val="28"/>
        </w:rPr>
        <w:t>American Psychological</w:t>
      </w:r>
      <w:r>
        <w:rPr>
          <w:spacing w:val="-2"/>
          <w:sz w:val="28"/>
        </w:rPr>
        <w:t> </w:t>
      </w:r>
      <w:r>
        <w:rPr>
          <w:sz w:val="28"/>
        </w:rPr>
        <w:t>Association. </w:t>
      </w:r>
      <w:r>
        <w:rPr>
          <w:i/>
          <w:sz w:val="28"/>
        </w:rPr>
        <w:t>Report of the American Psychological</w:t>
      </w:r>
      <w:r>
        <w:rPr>
          <w:i/>
          <w:sz w:val="28"/>
        </w:rPr>
        <w:t> Association Task Force on Appropriate Therapeutic Responses to Sexual Orientation</w:t>
      </w:r>
      <w:r>
        <w:rPr>
          <w:sz w:val="28"/>
        </w:rPr>
        <w:t>.</w:t>
      </w:r>
      <w:r>
        <w:rPr>
          <w:spacing w:val="-17"/>
          <w:sz w:val="28"/>
        </w:rPr>
        <w:t> </w:t>
      </w:r>
      <w:r>
        <w:rPr>
          <w:sz w:val="28"/>
        </w:rPr>
        <w:t>2009.</w:t>
      </w:r>
      <w:r>
        <w:rPr>
          <w:spacing w:val="-18"/>
          <w:sz w:val="28"/>
        </w:rPr>
        <w:t> </w:t>
      </w:r>
      <w:r>
        <w:rPr>
          <w:sz w:val="28"/>
        </w:rPr>
        <w:t>Accessed</w:t>
      </w:r>
      <w:r>
        <w:rPr>
          <w:spacing w:val="-10"/>
          <w:sz w:val="28"/>
        </w:rPr>
        <w:t> </w:t>
      </w:r>
      <w:r>
        <w:rPr>
          <w:sz w:val="28"/>
        </w:rPr>
        <w:t>March</w:t>
      </w:r>
      <w:r>
        <w:rPr>
          <w:spacing w:val="-11"/>
          <w:sz w:val="28"/>
        </w:rPr>
        <w:t> </w:t>
      </w:r>
      <w:r>
        <w:rPr>
          <w:sz w:val="28"/>
        </w:rPr>
        <w:t>26,</w:t>
      </w:r>
      <w:r>
        <w:rPr>
          <w:spacing w:val="-11"/>
          <w:sz w:val="28"/>
        </w:rPr>
        <w:t> </w:t>
      </w:r>
      <w:r>
        <w:rPr>
          <w:sz w:val="28"/>
        </w:rPr>
        <w:t>2022.</w:t>
      </w:r>
      <w:r>
        <w:rPr>
          <w:spacing w:val="-11"/>
          <w:sz w:val="28"/>
        </w:rPr>
        <w:t> </w:t>
      </w:r>
      <w:r>
        <w:rPr>
          <w:sz w:val="28"/>
        </w:rPr>
        <w:t>https://</w:t>
      </w:r>
      <w:hyperlink r:id="rId83">
        <w:r>
          <w:rPr>
            <w:sz w:val="28"/>
          </w:rPr>
          <w:t>www.apa.org/pi/lgbt/</w:t>
        </w:r>
      </w:hyperlink>
      <w:r>
        <w:rPr>
          <w:sz w:val="28"/>
        </w:rPr>
        <w:t> resources/therap eutic-response.pdf</w:t>
      </w:r>
    </w:p>
    <w:p>
      <w:pPr>
        <w:pStyle w:val="BodyText"/>
        <w:spacing w:before="8"/>
        <w:rPr>
          <w:sz w:val="25"/>
        </w:rPr>
      </w:pPr>
    </w:p>
    <w:p>
      <w:pPr>
        <w:pStyle w:val="BodyText"/>
        <w:ind w:left="640" w:hanging="360"/>
        <w:rPr>
          <w:i/>
        </w:rPr>
      </w:pPr>
      <w:r>
        <w:rPr/>
        <w:t>Coleman E, Bockting W, Botzer M, et al. Standards of care for the health of transsexual,</w:t>
      </w:r>
      <w:r>
        <w:rPr>
          <w:spacing w:val="-13"/>
        </w:rPr>
        <w:t> </w:t>
      </w:r>
      <w:r>
        <w:rPr/>
        <w:t>transgender,</w:t>
      </w:r>
      <w:r>
        <w:rPr>
          <w:spacing w:val="-13"/>
        </w:rPr>
        <w:t> </w:t>
      </w:r>
      <w:r>
        <w:rPr/>
        <w:t>and</w:t>
      </w:r>
      <w:r>
        <w:rPr>
          <w:spacing w:val="-13"/>
        </w:rPr>
        <w:t> </w:t>
      </w:r>
      <w:r>
        <w:rPr/>
        <w:t>gender-nonconforming</w:t>
      </w:r>
      <w:r>
        <w:rPr>
          <w:spacing w:val="-13"/>
        </w:rPr>
        <w:t> </w:t>
      </w:r>
      <w:r>
        <w:rPr/>
        <w:t>people,</w:t>
      </w:r>
      <w:r>
        <w:rPr>
          <w:spacing w:val="-18"/>
        </w:rPr>
        <w:t> </w:t>
      </w:r>
      <w:r>
        <w:rPr/>
        <w:t>Version</w:t>
      </w:r>
      <w:r>
        <w:rPr>
          <w:spacing w:val="-12"/>
        </w:rPr>
        <w:t> </w:t>
      </w:r>
      <w:r>
        <w:rPr/>
        <w:t>7.</w:t>
      </w:r>
      <w:r>
        <w:rPr>
          <w:spacing w:val="-13"/>
        </w:rPr>
        <w:t> </w:t>
      </w:r>
      <w:r>
        <w:rPr>
          <w:i/>
        </w:rPr>
        <w:t>Int</w:t>
      </w:r>
    </w:p>
    <w:p>
      <w:pPr>
        <w:spacing w:after="0"/>
        <w:sectPr>
          <w:pgSz w:w="12240" w:h="15840"/>
          <w:pgMar w:header="0" w:footer="783" w:top="1260" w:bottom="980" w:left="1400" w:right="1180"/>
        </w:sectPr>
      </w:pPr>
    </w:p>
    <w:p>
      <w:pPr>
        <w:spacing w:before="66"/>
        <w:ind w:left="640" w:right="0" w:firstLine="0"/>
        <w:jc w:val="left"/>
        <w:rPr>
          <w:sz w:val="28"/>
        </w:rPr>
      </w:pPr>
      <w:r>
        <w:rPr>
          <w:i/>
          <w:sz w:val="28"/>
        </w:rPr>
        <w:t>J</w:t>
      </w:r>
      <w:r>
        <w:rPr>
          <w:i/>
          <w:spacing w:val="-15"/>
          <w:sz w:val="28"/>
        </w:rPr>
        <w:t> </w:t>
      </w:r>
      <w:r>
        <w:rPr>
          <w:i/>
          <w:sz w:val="28"/>
        </w:rPr>
        <w:t>Transgend</w:t>
      </w:r>
      <w:r>
        <w:rPr>
          <w:i/>
          <w:spacing w:val="-15"/>
          <w:sz w:val="28"/>
        </w:rPr>
        <w:t> </w:t>
      </w:r>
      <w:r>
        <w:rPr>
          <w:i/>
          <w:sz w:val="28"/>
        </w:rPr>
        <w:t>Health.</w:t>
      </w:r>
      <w:r>
        <w:rPr>
          <w:i/>
          <w:spacing w:val="-15"/>
          <w:sz w:val="28"/>
        </w:rPr>
        <w:t> </w:t>
      </w:r>
      <w:r>
        <w:rPr>
          <w:sz w:val="28"/>
        </w:rPr>
        <w:t>2012;13(4):165-232.</w:t>
      </w:r>
      <w:r>
        <w:rPr>
          <w:spacing w:val="-15"/>
          <w:sz w:val="28"/>
        </w:rPr>
        <w:t> </w:t>
      </w:r>
      <w:r>
        <w:rPr>
          <w:sz w:val="28"/>
        </w:rPr>
        <w:t>https://doi.org/ 10.1080/15532739.2011.7008 73</w:t>
      </w:r>
    </w:p>
    <w:p>
      <w:pPr>
        <w:pStyle w:val="BodyText"/>
        <w:rPr>
          <w:sz w:val="26"/>
        </w:rPr>
      </w:pPr>
    </w:p>
    <w:p>
      <w:pPr>
        <w:pStyle w:val="BodyText"/>
        <w:ind w:left="640" w:right="882" w:hanging="360"/>
        <w:rPr>
          <w:i/>
        </w:rPr>
      </w:pPr>
      <w:r>
        <w:rPr/>
        <w:t>Moskowitz</w:t>
      </w:r>
      <w:r>
        <w:rPr>
          <w:spacing w:val="-18"/>
        </w:rPr>
        <w:t> </w:t>
      </w:r>
      <w:r>
        <w:rPr/>
        <w:t>DA,</w:t>
      </w:r>
      <w:r>
        <w:rPr>
          <w:spacing w:val="-7"/>
        </w:rPr>
        <w:t> </w:t>
      </w:r>
      <w:r>
        <w:rPr/>
        <w:t>Rendina</w:t>
      </w:r>
      <w:r>
        <w:rPr>
          <w:spacing w:val="-8"/>
        </w:rPr>
        <w:t> </w:t>
      </w:r>
      <w:r>
        <w:rPr/>
        <w:t>HJ,</w:t>
      </w:r>
      <w:r>
        <w:rPr>
          <w:spacing w:val="-18"/>
        </w:rPr>
        <w:t> </w:t>
      </w:r>
      <w:r>
        <w:rPr/>
        <w:t>Alvarado</w:t>
      </w:r>
      <w:r>
        <w:rPr>
          <w:spacing w:val="-17"/>
        </w:rPr>
        <w:t> </w:t>
      </w:r>
      <w:r>
        <w:rPr/>
        <w:t>Avila</w:t>
      </w:r>
      <w:r>
        <w:rPr>
          <w:spacing w:val="-18"/>
        </w:rPr>
        <w:t> </w:t>
      </w:r>
      <w:r>
        <w:rPr/>
        <w:t>A,</w:t>
      </w:r>
      <w:r>
        <w:rPr>
          <w:spacing w:val="-7"/>
        </w:rPr>
        <w:t> </w:t>
      </w:r>
      <w:r>
        <w:rPr/>
        <w:t>Mustanski</w:t>
      </w:r>
      <w:r>
        <w:rPr>
          <w:spacing w:val="-7"/>
        </w:rPr>
        <w:t> </w:t>
      </w:r>
      <w:r>
        <w:rPr/>
        <w:t>B.</w:t>
      </w:r>
      <w:r>
        <w:rPr>
          <w:spacing w:val="-7"/>
        </w:rPr>
        <w:t> </w:t>
      </w:r>
      <w:r>
        <w:rPr/>
        <w:t>Demographic and social factors impacting coming out as a sexual minority among Generation-Z teenage boys. </w:t>
      </w:r>
      <w:r>
        <w:rPr>
          <w:i/>
        </w:rPr>
        <w:t>Psychol Sex Orientat Gend Divers.</w:t>
      </w:r>
    </w:p>
    <w:p>
      <w:pPr>
        <w:pStyle w:val="BodyText"/>
        <w:spacing w:line="316" w:lineRule="exact"/>
        <w:ind w:left="640"/>
      </w:pPr>
      <w:r>
        <w:rPr/>
        <w:t>2022;9(2):179– 189. </w:t>
      </w:r>
      <w:r>
        <w:rPr>
          <w:spacing w:val="-2"/>
        </w:rPr>
        <w:t>https://doi.org/10.1037/sgd000048.</w:t>
      </w:r>
    </w:p>
    <w:p>
      <w:pPr>
        <w:pStyle w:val="BodyText"/>
        <w:spacing w:before="2"/>
        <w:rPr>
          <w:sz w:val="26"/>
        </w:rPr>
      </w:pPr>
    </w:p>
    <w:p>
      <w:pPr>
        <w:pStyle w:val="BodyText"/>
        <w:ind w:left="640" w:hanging="360"/>
      </w:pPr>
      <w:r>
        <w:rPr/>
        <w:t>Pew</w:t>
      </w:r>
      <w:r>
        <w:rPr>
          <w:spacing w:val="-10"/>
        </w:rPr>
        <w:t> </w:t>
      </w:r>
      <w:r>
        <w:rPr/>
        <w:t>Research</w:t>
      </w:r>
      <w:r>
        <w:rPr>
          <w:spacing w:val="-5"/>
        </w:rPr>
        <w:t> </w:t>
      </w:r>
      <w:r>
        <w:rPr/>
        <w:t>Center.</w:t>
      </w:r>
      <w:r>
        <w:rPr>
          <w:spacing w:val="-11"/>
        </w:rPr>
        <w:t> </w:t>
      </w:r>
      <w:r>
        <w:rPr/>
        <w:t>The</w:t>
      </w:r>
      <w:r>
        <w:rPr>
          <w:spacing w:val="-6"/>
        </w:rPr>
        <w:t> </w:t>
      </w:r>
      <w:r>
        <w:rPr/>
        <w:t>coming</w:t>
      </w:r>
      <w:r>
        <w:rPr>
          <w:spacing w:val="-5"/>
        </w:rPr>
        <w:t> </w:t>
      </w:r>
      <w:r>
        <w:rPr/>
        <w:t>out</w:t>
      </w:r>
      <w:r>
        <w:rPr>
          <w:spacing w:val="-5"/>
        </w:rPr>
        <w:t> </w:t>
      </w:r>
      <w:r>
        <w:rPr/>
        <w:t>experience.</w:t>
      </w:r>
      <w:r>
        <w:rPr>
          <w:spacing w:val="-5"/>
        </w:rPr>
        <w:t> </w:t>
      </w:r>
      <w:r>
        <w:rPr/>
        <w:t>In:</w:t>
      </w:r>
      <w:r>
        <w:rPr>
          <w:spacing w:val="-18"/>
        </w:rPr>
        <w:t> </w:t>
      </w:r>
      <w:r>
        <w:rPr/>
        <w:t>A</w:t>
      </w:r>
      <w:r>
        <w:rPr>
          <w:spacing w:val="-17"/>
        </w:rPr>
        <w:t> </w:t>
      </w:r>
      <w:r>
        <w:rPr/>
        <w:t>Survey</w:t>
      </w:r>
      <w:r>
        <w:rPr>
          <w:spacing w:val="-5"/>
        </w:rPr>
        <w:t> </w:t>
      </w:r>
      <w:r>
        <w:rPr/>
        <w:t>of</w:t>
      </w:r>
      <w:r>
        <w:rPr>
          <w:spacing w:val="-5"/>
        </w:rPr>
        <w:t> </w:t>
      </w:r>
      <w:r>
        <w:rPr/>
        <w:t>LGBT Americans:</w:t>
      </w:r>
      <w:r>
        <w:rPr>
          <w:spacing w:val="-4"/>
        </w:rPr>
        <w:t> </w:t>
      </w:r>
      <w:r>
        <w:rPr/>
        <w:t>Attitudes, Experiences and Values in Changing Times.</w:t>
      </w:r>
    </w:p>
    <w:p>
      <w:pPr>
        <w:pStyle w:val="BodyText"/>
        <w:spacing w:line="237" w:lineRule="auto"/>
        <w:ind w:left="640" w:right="617"/>
      </w:pPr>
      <w:r>
        <w:rPr/>
        <w:t>Washington DC: Pew Research Center, June 2013.</w:t>
      </w:r>
      <w:r>
        <w:rPr>
          <w:spacing w:val="-7"/>
        </w:rPr>
        <w:t> </w:t>
      </w:r>
      <w:r>
        <w:rPr/>
        <w:t>Accessed March 20, </w:t>
      </w:r>
      <w:r>
        <w:rPr>
          <w:spacing w:val="-2"/>
        </w:rPr>
        <w:t>2023. https://</w:t>
      </w:r>
      <w:hyperlink r:id="rId84">
        <w:r>
          <w:rPr>
            <w:spacing w:val="-2"/>
          </w:rPr>
          <w:t>www.pewresearch.org/socialtrends/2013/06/13/chapter-3-the-</w:t>
        </w:r>
      </w:hyperlink>
      <w:r>
        <w:rPr>
          <w:spacing w:val="-2"/>
        </w:rPr>
        <w:t> coming-outexperience/</w:t>
      </w:r>
    </w:p>
    <w:p>
      <w:pPr>
        <w:pStyle w:val="BodyText"/>
        <w:spacing w:before="4"/>
        <w:rPr>
          <w:sz w:val="26"/>
        </w:rPr>
      </w:pPr>
    </w:p>
    <w:p>
      <w:pPr>
        <w:pStyle w:val="BodyText"/>
        <w:spacing w:line="321" w:lineRule="exact"/>
        <w:ind w:left="280"/>
      </w:pPr>
      <w:r>
        <w:rPr/>
        <w:t>Jones</w:t>
      </w:r>
      <w:r>
        <w:rPr>
          <w:spacing w:val="-2"/>
        </w:rPr>
        <w:t> </w:t>
      </w:r>
      <w:r>
        <w:rPr/>
        <w:t>JM.</w:t>
      </w:r>
      <w:r>
        <w:rPr>
          <w:spacing w:val="-1"/>
        </w:rPr>
        <w:t> </w:t>
      </w:r>
      <w:r>
        <w:rPr/>
        <w:t>U.S.</w:t>
      </w:r>
      <w:r>
        <w:rPr>
          <w:spacing w:val="-1"/>
        </w:rPr>
        <w:t> </w:t>
      </w:r>
      <w:r>
        <w:rPr/>
        <w:t>LGBT</w:t>
      </w:r>
      <w:r>
        <w:rPr>
          <w:spacing w:val="-7"/>
        </w:rPr>
        <w:t> </w:t>
      </w:r>
      <w:r>
        <w:rPr/>
        <w:t>identification</w:t>
      </w:r>
      <w:r>
        <w:rPr>
          <w:spacing w:val="-1"/>
        </w:rPr>
        <w:t> </w:t>
      </w:r>
      <w:r>
        <w:rPr/>
        <w:t>steady</w:t>
      </w:r>
      <w:r>
        <w:rPr>
          <w:spacing w:val="-1"/>
        </w:rPr>
        <w:t> </w:t>
      </w:r>
      <w:r>
        <w:rPr/>
        <w:t>at</w:t>
      </w:r>
      <w:r>
        <w:rPr>
          <w:spacing w:val="-1"/>
        </w:rPr>
        <w:t> </w:t>
      </w:r>
      <w:r>
        <w:rPr/>
        <w:t>7.2%.</w:t>
      </w:r>
      <w:r>
        <w:rPr>
          <w:spacing w:val="-1"/>
        </w:rPr>
        <w:t> </w:t>
      </w:r>
      <w:r>
        <w:rPr/>
        <w:t>Gallup</w:t>
      </w:r>
      <w:r>
        <w:rPr>
          <w:spacing w:val="-1"/>
        </w:rPr>
        <w:t> </w:t>
      </w:r>
      <w:r>
        <w:rPr/>
        <w:t>February</w:t>
      </w:r>
      <w:r>
        <w:rPr>
          <w:spacing w:val="-1"/>
        </w:rPr>
        <w:t> </w:t>
      </w:r>
      <w:r>
        <w:rPr/>
        <w:t>22,</w:t>
      </w:r>
      <w:r>
        <w:rPr>
          <w:spacing w:val="-1"/>
        </w:rPr>
        <w:t> </w:t>
      </w:r>
      <w:r>
        <w:rPr>
          <w:spacing w:val="-2"/>
        </w:rPr>
        <w:t>2023.</w:t>
      </w:r>
    </w:p>
    <w:p>
      <w:pPr>
        <w:pStyle w:val="BodyText"/>
        <w:ind w:left="640" w:right="1785"/>
      </w:pPr>
      <w:r>
        <w:rPr/>
        <w:t>Accessed</w:t>
      </w:r>
      <w:r>
        <w:rPr>
          <w:spacing w:val="-10"/>
        </w:rPr>
        <w:t> </w:t>
      </w:r>
      <w:r>
        <w:rPr/>
        <w:t>March</w:t>
      </w:r>
      <w:r>
        <w:rPr>
          <w:spacing w:val="-10"/>
        </w:rPr>
        <w:t> </w:t>
      </w:r>
      <w:r>
        <w:rPr/>
        <w:t>20,</w:t>
      </w:r>
      <w:r>
        <w:rPr>
          <w:spacing w:val="-10"/>
        </w:rPr>
        <w:t> </w:t>
      </w:r>
      <w:r>
        <w:rPr/>
        <w:t>2023.</w:t>
      </w:r>
      <w:r>
        <w:rPr>
          <w:spacing w:val="-10"/>
        </w:rPr>
        <w:t> </w:t>
      </w:r>
      <w:r>
        <w:rPr/>
        <w:t>https://news.gallup.com/poll/470708/ </w:t>
      </w:r>
      <w:r>
        <w:rPr>
          <w:spacing w:val="-2"/>
        </w:rPr>
        <w:t>lgbtidentification-steady.aspx.</w:t>
      </w:r>
    </w:p>
    <w:p>
      <w:pPr>
        <w:pStyle w:val="BodyText"/>
        <w:spacing w:before="4"/>
        <w:rPr>
          <w:sz w:val="27"/>
        </w:rPr>
      </w:pPr>
    </w:p>
    <w:p>
      <w:pPr>
        <w:pStyle w:val="BodyText"/>
        <w:ind w:left="640" w:right="502" w:hanging="360"/>
      </w:pPr>
      <w:r>
        <w:rPr/>
        <w:t>Adelson SL,</w:t>
      </w:r>
      <w:r>
        <w:rPr>
          <w:spacing w:val="-1"/>
        </w:rPr>
        <w:t> </w:t>
      </w:r>
      <w:r>
        <w:rPr/>
        <w:t>American</w:t>
      </w:r>
      <w:r>
        <w:rPr>
          <w:spacing w:val="-1"/>
        </w:rPr>
        <w:t> </w:t>
      </w:r>
      <w:r>
        <w:rPr/>
        <w:t>Academy of Child and</w:t>
      </w:r>
      <w:r>
        <w:rPr>
          <w:spacing w:val="-1"/>
        </w:rPr>
        <w:t> </w:t>
      </w:r>
      <w:r>
        <w:rPr/>
        <w:t>Adolescent Psychiatry (AACAP) Committee on Quality Issues (CQI). Practice parameter on gay, lesbian, or bisexual sexual orientation, gender nonconformity, and gender discordance in children and adolescents. </w:t>
      </w:r>
      <w:r>
        <w:rPr>
          <w:i/>
        </w:rPr>
        <w:t>J Am Acad Child Adolesc</w:t>
      </w:r>
      <w:r>
        <w:rPr>
          <w:i/>
        </w:rPr>
        <w:t> Psychiatry</w:t>
      </w:r>
      <w:r>
        <w:rPr/>
        <w:t>.</w:t>
      </w:r>
      <w:r>
        <w:rPr>
          <w:spacing w:val="-18"/>
        </w:rPr>
        <w:t> </w:t>
      </w:r>
      <w:r>
        <w:rPr/>
        <w:t>2012;51(9):957-974.</w:t>
      </w:r>
      <w:r>
        <w:rPr>
          <w:spacing w:val="-17"/>
        </w:rPr>
        <w:t> </w:t>
      </w:r>
      <w:r>
        <w:rPr/>
        <w:t>https://doi.org/10.1016/j.jaac.2012.07.004</w:t>
      </w:r>
    </w:p>
    <w:p>
      <w:pPr>
        <w:pStyle w:val="BodyText"/>
        <w:spacing w:before="6"/>
        <w:rPr>
          <w:sz w:val="25"/>
        </w:rPr>
      </w:pPr>
    </w:p>
    <w:p>
      <w:pPr>
        <w:pStyle w:val="BodyText"/>
        <w:ind w:left="640" w:right="960" w:hanging="360"/>
      </w:pPr>
      <w:r>
        <w:rPr/>
        <w:t>Calzo JP, Blashill</w:t>
      </w:r>
      <w:r>
        <w:rPr>
          <w:spacing w:val="-8"/>
        </w:rPr>
        <w:t> </w:t>
      </w:r>
      <w:r>
        <w:rPr/>
        <w:t>AJ. Child sexual orientation and gender identity in the Adolescent</w:t>
      </w:r>
      <w:r>
        <w:rPr>
          <w:spacing w:val="-10"/>
        </w:rPr>
        <w:t> </w:t>
      </w:r>
      <w:r>
        <w:rPr/>
        <w:t>Brain</w:t>
      </w:r>
      <w:r>
        <w:rPr>
          <w:spacing w:val="-10"/>
        </w:rPr>
        <w:t> </w:t>
      </w:r>
      <w:r>
        <w:rPr/>
        <w:t>Cognitive</w:t>
      </w:r>
      <w:r>
        <w:rPr>
          <w:spacing w:val="-11"/>
        </w:rPr>
        <w:t> </w:t>
      </w:r>
      <w:r>
        <w:rPr/>
        <w:t>Development</w:t>
      </w:r>
      <w:r>
        <w:rPr>
          <w:spacing w:val="-10"/>
        </w:rPr>
        <w:t> </w:t>
      </w:r>
      <w:r>
        <w:rPr/>
        <w:t>Cohort</w:t>
      </w:r>
      <w:r>
        <w:rPr>
          <w:spacing w:val="-10"/>
        </w:rPr>
        <w:t> </w:t>
      </w:r>
      <w:r>
        <w:rPr/>
        <w:t>Study.</w:t>
      </w:r>
      <w:r>
        <w:rPr>
          <w:spacing w:val="-11"/>
        </w:rPr>
        <w:t> </w:t>
      </w:r>
      <w:r>
        <w:rPr>
          <w:i/>
        </w:rPr>
        <w:t>JAMA</w:t>
      </w:r>
      <w:r>
        <w:rPr>
          <w:i/>
          <w:spacing w:val="-15"/>
        </w:rPr>
        <w:t> </w:t>
      </w:r>
      <w:r>
        <w:rPr>
          <w:i/>
        </w:rPr>
        <w:t>Pediatr.</w:t>
      </w:r>
      <w:r>
        <w:rPr>
          <w:i/>
        </w:rPr>
        <w:t> </w:t>
      </w:r>
      <w:r>
        <w:rPr/>
        <w:t>2018;172(11):1090-1092.</w:t>
      </w:r>
      <w:r>
        <w:rPr>
          <w:spacing w:val="-13"/>
        </w:rPr>
        <w:t> </w:t>
      </w:r>
      <w:r>
        <w:rPr>
          <w:spacing w:val="-2"/>
        </w:rPr>
        <w:t>https://doi.org/10.1001/jamapediatrics.2018.2</w:t>
      </w:r>
    </w:p>
    <w:p>
      <w:pPr>
        <w:pStyle w:val="BodyText"/>
        <w:spacing w:line="316" w:lineRule="exact"/>
        <w:ind w:left="640"/>
      </w:pPr>
      <w:r>
        <w:rPr>
          <w:spacing w:val="-5"/>
        </w:rPr>
        <w:t>496</w:t>
      </w:r>
    </w:p>
    <w:p>
      <w:pPr>
        <w:pStyle w:val="BodyText"/>
        <w:spacing w:before="2"/>
        <w:rPr>
          <w:sz w:val="26"/>
        </w:rPr>
      </w:pPr>
    </w:p>
    <w:p>
      <w:pPr>
        <w:pStyle w:val="BodyText"/>
        <w:ind w:left="640" w:right="694" w:hanging="360"/>
        <w:jc w:val="both"/>
      </w:pPr>
      <w:r>
        <w:rPr/>
        <w:t>National</w:t>
      </w:r>
      <w:r>
        <w:rPr>
          <w:spacing w:val="-13"/>
        </w:rPr>
        <w:t> </w:t>
      </w:r>
      <w:r>
        <w:rPr/>
        <w:t>Academies of Sciences, Engineering, and Medicine. </w:t>
      </w:r>
      <w:r>
        <w:rPr>
          <w:i/>
        </w:rPr>
        <w:t>Understanding</w:t>
      </w:r>
      <w:r>
        <w:rPr>
          <w:i/>
        </w:rPr>
        <w:t> the Well-Being of LGBTQI+ Populations</w:t>
      </w:r>
      <w:r>
        <w:rPr/>
        <w:t>.</w:t>
      </w:r>
      <w:r>
        <w:rPr>
          <w:spacing w:val="-2"/>
        </w:rPr>
        <w:t> </w:t>
      </w:r>
      <w:r>
        <w:rPr/>
        <w:t>Washington, DC:</w:t>
      </w:r>
      <w:r>
        <w:rPr>
          <w:spacing w:val="-2"/>
        </w:rPr>
        <w:t> </w:t>
      </w:r>
      <w:r>
        <w:rPr/>
        <w:t>The National Academies</w:t>
      </w:r>
      <w:r>
        <w:rPr>
          <w:spacing w:val="-11"/>
        </w:rPr>
        <w:t> </w:t>
      </w:r>
      <w:r>
        <w:rPr/>
        <w:t>Press;</w:t>
      </w:r>
      <w:r>
        <w:rPr>
          <w:spacing w:val="-11"/>
        </w:rPr>
        <w:t> </w:t>
      </w:r>
      <w:r>
        <w:rPr/>
        <w:t>2020.</w:t>
      </w:r>
      <w:r>
        <w:rPr>
          <w:spacing w:val="-11"/>
        </w:rPr>
        <w:t> </w:t>
      </w:r>
      <w:r>
        <w:rPr/>
        <w:t>https://nap.nationalacademies.org/catalog/25</w:t>
      </w:r>
      <w:r>
        <w:rPr>
          <w:spacing w:val="-11"/>
        </w:rPr>
        <w:t> </w:t>
      </w:r>
      <w:r>
        <w:rPr/>
        <w:t>877/ </w:t>
      </w:r>
      <w:r>
        <w:rPr>
          <w:spacing w:val="-2"/>
        </w:rPr>
        <w:t>understanding-the-well-being-of-lgbtqipopulations.</w:t>
      </w:r>
    </w:p>
    <w:p>
      <w:pPr>
        <w:pStyle w:val="BodyText"/>
        <w:spacing w:before="8"/>
        <w:rPr>
          <w:sz w:val="25"/>
        </w:rPr>
      </w:pPr>
    </w:p>
    <w:p>
      <w:pPr>
        <w:pStyle w:val="BodyText"/>
        <w:ind w:left="640" w:right="499" w:hanging="360"/>
      </w:pPr>
      <w:r>
        <w:rPr/>
        <w:t>Bränström R, Pachankis JE. Country-level structural stigma, identity concealment,</w:t>
      </w:r>
      <w:r>
        <w:rPr>
          <w:spacing w:val="-6"/>
        </w:rPr>
        <w:t> </w:t>
      </w:r>
      <w:r>
        <w:rPr/>
        <w:t>and</w:t>
      </w:r>
      <w:r>
        <w:rPr>
          <w:spacing w:val="-6"/>
        </w:rPr>
        <w:t> </w:t>
      </w:r>
      <w:r>
        <w:rPr/>
        <w:t>day-to-day</w:t>
      </w:r>
      <w:r>
        <w:rPr>
          <w:spacing w:val="-6"/>
        </w:rPr>
        <w:t> </w:t>
      </w:r>
      <w:r>
        <w:rPr/>
        <w:t>discrimination</w:t>
      </w:r>
      <w:r>
        <w:rPr>
          <w:spacing w:val="-6"/>
        </w:rPr>
        <w:t> </w:t>
      </w:r>
      <w:r>
        <w:rPr/>
        <w:t>as</w:t>
      </w:r>
      <w:r>
        <w:rPr>
          <w:spacing w:val="-6"/>
        </w:rPr>
        <w:t> </w:t>
      </w:r>
      <w:r>
        <w:rPr/>
        <w:t>determinants</w:t>
      </w:r>
      <w:r>
        <w:rPr>
          <w:spacing w:val="-6"/>
        </w:rPr>
        <w:t> </w:t>
      </w:r>
      <w:r>
        <w:rPr/>
        <w:t>of</w:t>
      </w:r>
      <w:r>
        <w:rPr>
          <w:spacing w:val="-6"/>
        </w:rPr>
        <w:t> </w:t>
      </w:r>
      <w:r>
        <w:rPr/>
        <w:t>transgender people's life satisfaction. </w:t>
      </w:r>
      <w:r>
        <w:rPr>
          <w:i/>
        </w:rPr>
        <w:t>Soc Psychiatry Psychiatr Epidemiol</w:t>
      </w:r>
      <w:r>
        <w:rPr/>
        <w:t>.</w:t>
      </w:r>
    </w:p>
    <w:p>
      <w:pPr>
        <w:pStyle w:val="BodyText"/>
        <w:spacing w:line="316" w:lineRule="exact"/>
        <w:ind w:left="640"/>
      </w:pPr>
      <w:r>
        <w:rPr/>
        <w:t>2021;56(9):1537-1545.</w:t>
      </w:r>
      <w:r>
        <w:rPr>
          <w:spacing w:val="-7"/>
        </w:rPr>
        <w:t> </w:t>
      </w:r>
      <w:r>
        <w:rPr/>
        <w:t>https://doi.org/10.1007/s00127-021-02036-</w:t>
      </w:r>
      <w:r>
        <w:rPr>
          <w:spacing w:val="-10"/>
        </w:rPr>
        <w:t>6</w:t>
      </w:r>
    </w:p>
    <w:p>
      <w:pPr>
        <w:pStyle w:val="BodyText"/>
        <w:spacing w:before="2"/>
        <w:rPr>
          <w:sz w:val="26"/>
        </w:rPr>
      </w:pPr>
    </w:p>
    <w:p>
      <w:pPr>
        <w:pStyle w:val="BodyText"/>
        <w:ind w:left="640" w:right="502" w:hanging="360"/>
      </w:pPr>
      <w:r>
        <w:rPr/>
        <w:t>Camacho G, Reinka MA, Quinn DM. Disclosure and concealment of stigmatized</w:t>
      </w:r>
      <w:r>
        <w:rPr>
          <w:spacing w:val="-8"/>
        </w:rPr>
        <w:t> </w:t>
      </w:r>
      <w:r>
        <w:rPr/>
        <w:t>identities.</w:t>
      </w:r>
      <w:r>
        <w:rPr>
          <w:spacing w:val="-8"/>
        </w:rPr>
        <w:t> </w:t>
      </w:r>
      <w:r>
        <w:rPr>
          <w:i/>
        </w:rPr>
        <w:t>Curr</w:t>
      </w:r>
      <w:r>
        <w:rPr>
          <w:i/>
          <w:spacing w:val="-8"/>
        </w:rPr>
        <w:t> </w:t>
      </w:r>
      <w:r>
        <w:rPr>
          <w:i/>
        </w:rPr>
        <w:t>Opin</w:t>
      </w:r>
      <w:r>
        <w:rPr>
          <w:i/>
          <w:spacing w:val="-8"/>
        </w:rPr>
        <w:t> </w:t>
      </w:r>
      <w:r>
        <w:rPr>
          <w:i/>
        </w:rPr>
        <w:t>Psychol</w:t>
      </w:r>
      <w:r>
        <w:rPr/>
        <w:t>.</w:t>
      </w:r>
      <w:r>
        <w:rPr>
          <w:spacing w:val="-8"/>
        </w:rPr>
        <w:t> </w:t>
      </w:r>
      <w:r>
        <w:rPr/>
        <w:t>2020;31:28-32.</w:t>
      </w:r>
      <w:r>
        <w:rPr>
          <w:spacing w:val="-8"/>
        </w:rPr>
        <w:t> </w:t>
      </w:r>
      <w:r>
        <w:rPr/>
        <w:t>https://doi.org/ </w:t>
      </w:r>
      <w:r>
        <w:rPr>
          <w:spacing w:val="-2"/>
        </w:rPr>
        <w:t>10.1016/j.copsyc.2019.07.031</w:t>
      </w:r>
    </w:p>
    <w:p>
      <w:pPr>
        <w:spacing w:after="0"/>
        <w:sectPr>
          <w:pgSz w:w="12240" w:h="15840"/>
          <w:pgMar w:header="0" w:footer="783" w:top="1260" w:bottom="980" w:left="1400" w:right="1180"/>
        </w:sectPr>
      </w:pPr>
    </w:p>
    <w:p>
      <w:pPr>
        <w:pStyle w:val="BodyText"/>
        <w:spacing w:before="66"/>
        <w:ind w:left="640" w:right="668" w:hanging="360"/>
      </w:pPr>
      <w:r>
        <w:rPr/>
        <w:t>Poushter J, Kent N. The global divide on homosexuality persists. Pew Research</w:t>
      </w:r>
      <w:r>
        <w:rPr>
          <w:spacing w:val="-10"/>
        </w:rPr>
        <w:t> </w:t>
      </w:r>
      <w:r>
        <w:rPr/>
        <w:t>Center</w:t>
      </w:r>
      <w:r>
        <w:rPr>
          <w:spacing w:val="-10"/>
        </w:rPr>
        <w:t> </w:t>
      </w:r>
      <w:r>
        <w:rPr/>
        <w:t>Report.</w:t>
      </w:r>
      <w:r>
        <w:rPr>
          <w:spacing w:val="-10"/>
        </w:rPr>
        <w:t> </w:t>
      </w:r>
      <w:r>
        <w:rPr/>
        <w:t>June</w:t>
      </w:r>
      <w:r>
        <w:rPr>
          <w:spacing w:val="-11"/>
        </w:rPr>
        <w:t> </w:t>
      </w:r>
      <w:r>
        <w:rPr/>
        <w:t>25,</w:t>
      </w:r>
      <w:r>
        <w:rPr>
          <w:spacing w:val="-10"/>
        </w:rPr>
        <w:t> </w:t>
      </w:r>
      <w:r>
        <w:rPr/>
        <w:t>2020.</w:t>
      </w:r>
      <w:r>
        <w:rPr>
          <w:spacing w:val="-10"/>
        </w:rPr>
        <w:t> </w:t>
      </w:r>
      <w:r>
        <w:rPr/>
        <w:t>https://</w:t>
      </w:r>
      <w:hyperlink r:id="rId85">
        <w:r>
          <w:rPr/>
          <w:t>www.pewresearch.org/</w:t>
        </w:r>
      </w:hyperlink>
      <w:r>
        <w:rPr/>
        <w:t> global/2020/06/ 25/global-divide-on-homosexuality-persists/</w:t>
      </w:r>
    </w:p>
    <w:p>
      <w:pPr>
        <w:pStyle w:val="BodyText"/>
        <w:spacing w:before="9"/>
        <w:rPr>
          <w:sz w:val="25"/>
        </w:rPr>
      </w:pPr>
    </w:p>
    <w:p>
      <w:pPr>
        <w:pStyle w:val="BodyText"/>
        <w:ind w:left="640" w:right="499" w:hanging="360"/>
      </w:pPr>
      <w:r>
        <w:rPr/>
        <w:t>Kuper</w:t>
      </w:r>
      <w:r>
        <w:rPr>
          <w:spacing w:val="-4"/>
        </w:rPr>
        <w:t> </w:t>
      </w:r>
      <w:r>
        <w:rPr/>
        <w:t>LE,</w:t>
      </w:r>
      <w:r>
        <w:rPr>
          <w:spacing w:val="-4"/>
        </w:rPr>
        <w:t> </w:t>
      </w:r>
      <w:r>
        <w:rPr/>
        <w:t>Lindley</w:t>
      </w:r>
      <w:r>
        <w:rPr>
          <w:spacing w:val="-4"/>
        </w:rPr>
        <w:t> </w:t>
      </w:r>
      <w:r>
        <w:rPr/>
        <w:t>L,</w:t>
      </w:r>
      <w:r>
        <w:rPr>
          <w:spacing w:val="-4"/>
        </w:rPr>
        <w:t> </w:t>
      </w:r>
      <w:r>
        <w:rPr/>
        <w:t>Lopez</w:t>
      </w:r>
      <w:r>
        <w:rPr>
          <w:spacing w:val="-5"/>
        </w:rPr>
        <w:t> </w:t>
      </w:r>
      <w:r>
        <w:rPr/>
        <w:t>X.</w:t>
      </w:r>
      <w:r>
        <w:rPr>
          <w:spacing w:val="-4"/>
        </w:rPr>
        <w:t> </w:t>
      </w:r>
      <w:r>
        <w:rPr/>
        <w:t>Exploring</w:t>
      </w:r>
      <w:r>
        <w:rPr>
          <w:spacing w:val="-4"/>
        </w:rPr>
        <w:t> </w:t>
      </w:r>
      <w:r>
        <w:rPr/>
        <w:t>the</w:t>
      </w:r>
      <w:r>
        <w:rPr>
          <w:spacing w:val="-5"/>
        </w:rPr>
        <w:t> </w:t>
      </w:r>
      <w:r>
        <w:rPr/>
        <w:t>gender</w:t>
      </w:r>
      <w:r>
        <w:rPr>
          <w:spacing w:val="-4"/>
        </w:rPr>
        <w:t> </w:t>
      </w:r>
      <w:r>
        <w:rPr/>
        <w:t>development</w:t>
      </w:r>
      <w:r>
        <w:rPr>
          <w:spacing w:val="-4"/>
        </w:rPr>
        <w:t> </w:t>
      </w:r>
      <w:r>
        <w:rPr/>
        <w:t>histories</w:t>
      </w:r>
      <w:r>
        <w:rPr>
          <w:spacing w:val="-4"/>
        </w:rPr>
        <w:t> </w:t>
      </w:r>
      <w:r>
        <w:rPr/>
        <w:t>of children</w:t>
      </w:r>
      <w:r>
        <w:rPr>
          <w:spacing w:val="-5"/>
        </w:rPr>
        <w:t> </w:t>
      </w:r>
      <w:r>
        <w:rPr/>
        <w:t>and</w:t>
      </w:r>
      <w:r>
        <w:rPr>
          <w:spacing w:val="-5"/>
        </w:rPr>
        <w:t> </w:t>
      </w:r>
      <w:r>
        <w:rPr/>
        <w:t>adolescents</w:t>
      </w:r>
      <w:r>
        <w:rPr>
          <w:spacing w:val="-5"/>
        </w:rPr>
        <w:t> </w:t>
      </w:r>
      <w:r>
        <w:rPr/>
        <w:t>presenting</w:t>
      </w:r>
      <w:r>
        <w:rPr>
          <w:spacing w:val="-5"/>
        </w:rPr>
        <w:t> </w:t>
      </w:r>
      <w:r>
        <w:rPr/>
        <w:t>for</w:t>
      </w:r>
      <w:r>
        <w:rPr>
          <w:spacing w:val="-5"/>
        </w:rPr>
        <w:t> </w:t>
      </w:r>
      <w:r>
        <w:rPr/>
        <w:t>gender</w:t>
      </w:r>
      <w:r>
        <w:rPr>
          <w:spacing w:val="-5"/>
        </w:rPr>
        <w:t> </w:t>
      </w:r>
      <w:r>
        <w:rPr/>
        <w:t>affirming</w:t>
      </w:r>
      <w:r>
        <w:rPr>
          <w:spacing w:val="-5"/>
        </w:rPr>
        <w:t> </w:t>
      </w:r>
      <w:r>
        <w:rPr/>
        <w:t>medical</w:t>
      </w:r>
      <w:r>
        <w:rPr>
          <w:spacing w:val="-5"/>
        </w:rPr>
        <w:t> </w:t>
      </w:r>
      <w:r>
        <w:rPr/>
        <w:t>care.</w:t>
      </w:r>
      <w:r>
        <w:rPr>
          <w:spacing w:val="-6"/>
        </w:rPr>
        <w:t> </w:t>
      </w:r>
      <w:r>
        <w:rPr>
          <w:i/>
        </w:rPr>
        <w:t>Clin</w:t>
      </w:r>
      <w:r>
        <w:rPr>
          <w:i/>
        </w:rPr>
        <w:t> Pract Pediatr Psychol. </w:t>
      </w:r>
      <w:r>
        <w:rPr/>
        <w:t>2019;</w:t>
      </w:r>
      <w:r>
        <w:rPr>
          <w:i/>
        </w:rPr>
        <w:t>7</w:t>
      </w:r>
      <w:r>
        <w:rPr/>
        <w:t>(3):217-228. https://doi.org/10.1037/ </w:t>
      </w:r>
      <w:r>
        <w:rPr>
          <w:spacing w:val="-2"/>
        </w:rPr>
        <w:t>cpp0000290</w:t>
      </w:r>
    </w:p>
    <w:p>
      <w:pPr>
        <w:pStyle w:val="BodyText"/>
        <w:spacing w:before="8"/>
        <w:rPr>
          <w:sz w:val="25"/>
        </w:rPr>
      </w:pPr>
    </w:p>
    <w:p>
      <w:pPr>
        <w:pStyle w:val="BodyText"/>
        <w:ind w:left="640" w:hanging="360"/>
      </w:pPr>
      <w:r>
        <w:rPr/>
        <w:t>Olson KR, Gülgöz S. Early findings from the TransYouth Project: Gender development</w:t>
      </w:r>
      <w:r>
        <w:rPr>
          <w:spacing w:val="-6"/>
        </w:rPr>
        <w:t> </w:t>
      </w:r>
      <w:r>
        <w:rPr/>
        <w:t>in</w:t>
      </w:r>
      <w:r>
        <w:rPr>
          <w:spacing w:val="-6"/>
        </w:rPr>
        <w:t> </w:t>
      </w:r>
      <w:r>
        <w:rPr/>
        <w:t>transgender</w:t>
      </w:r>
      <w:r>
        <w:rPr>
          <w:spacing w:val="-6"/>
        </w:rPr>
        <w:t> </w:t>
      </w:r>
      <w:r>
        <w:rPr/>
        <w:t>children.</w:t>
      </w:r>
      <w:r>
        <w:rPr>
          <w:spacing w:val="-6"/>
        </w:rPr>
        <w:t> </w:t>
      </w:r>
      <w:r>
        <w:rPr>
          <w:i/>
        </w:rPr>
        <w:t>Child</w:t>
      </w:r>
      <w:r>
        <w:rPr>
          <w:i/>
          <w:spacing w:val="-6"/>
        </w:rPr>
        <w:t> </w:t>
      </w:r>
      <w:r>
        <w:rPr>
          <w:i/>
        </w:rPr>
        <w:t>Dev</w:t>
      </w:r>
      <w:r>
        <w:rPr>
          <w:i/>
          <w:spacing w:val="-6"/>
        </w:rPr>
        <w:t> </w:t>
      </w:r>
      <w:r>
        <w:rPr>
          <w:i/>
        </w:rPr>
        <w:t>Persp</w:t>
      </w:r>
      <w:r>
        <w:rPr/>
        <w:t>.</w:t>
      </w:r>
      <w:r>
        <w:rPr>
          <w:spacing w:val="-6"/>
        </w:rPr>
        <w:t> </w:t>
      </w:r>
      <w:r>
        <w:rPr/>
        <w:t>2018;12(2):93-97. </w:t>
      </w:r>
      <w:r>
        <w:rPr>
          <w:spacing w:val="-2"/>
        </w:rPr>
        <w:t>https://doi.org/10.1111/cdep.12268</w:t>
      </w:r>
    </w:p>
    <w:p>
      <w:pPr>
        <w:pStyle w:val="BodyText"/>
        <w:spacing w:before="9"/>
        <w:rPr>
          <w:sz w:val="25"/>
        </w:rPr>
      </w:pPr>
    </w:p>
    <w:p>
      <w:pPr>
        <w:pStyle w:val="BodyText"/>
        <w:spacing w:line="321" w:lineRule="exact" w:before="1"/>
        <w:ind w:left="280"/>
      </w:pPr>
      <w:r>
        <w:rPr/>
        <w:t>Katz-Wise</w:t>
      </w:r>
      <w:r>
        <w:rPr>
          <w:spacing w:val="-6"/>
        </w:rPr>
        <w:t> </w:t>
      </w:r>
      <w:r>
        <w:rPr/>
        <w:t>SL,</w:t>
      </w:r>
      <w:r>
        <w:rPr>
          <w:spacing w:val="-2"/>
        </w:rPr>
        <w:t> </w:t>
      </w:r>
      <w:r>
        <w:rPr/>
        <w:t>Budge</w:t>
      </w:r>
      <w:r>
        <w:rPr>
          <w:spacing w:val="-3"/>
        </w:rPr>
        <w:t> </w:t>
      </w:r>
      <w:r>
        <w:rPr/>
        <w:t>SL,</w:t>
      </w:r>
      <w:r>
        <w:rPr>
          <w:spacing w:val="-2"/>
        </w:rPr>
        <w:t> </w:t>
      </w:r>
      <w:r>
        <w:rPr/>
        <w:t>Orovecz</w:t>
      </w:r>
      <w:r>
        <w:rPr>
          <w:spacing w:val="-4"/>
        </w:rPr>
        <w:t> </w:t>
      </w:r>
      <w:r>
        <w:rPr/>
        <w:t>JJ,</w:t>
      </w:r>
      <w:r>
        <w:rPr>
          <w:spacing w:val="-2"/>
        </w:rPr>
        <w:t> </w:t>
      </w:r>
      <w:r>
        <w:rPr/>
        <w:t>Nguyen</w:t>
      </w:r>
      <w:r>
        <w:rPr>
          <w:spacing w:val="-2"/>
        </w:rPr>
        <w:t> </w:t>
      </w:r>
      <w:r>
        <w:rPr/>
        <w:t>B,</w:t>
      </w:r>
      <w:r>
        <w:rPr>
          <w:spacing w:val="-2"/>
        </w:rPr>
        <w:t> </w:t>
      </w:r>
      <w:r>
        <w:rPr/>
        <w:t>Nava-Coulter</w:t>
      </w:r>
      <w:r>
        <w:rPr>
          <w:spacing w:val="-2"/>
        </w:rPr>
        <w:t> </w:t>
      </w:r>
      <w:r>
        <w:rPr/>
        <w:t>B,</w:t>
      </w:r>
      <w:r>
        <w:rPr>
          <w:spacing w:val="-8"/>
        </w:rPr>
        <w:t> </w:t>
      </w:r>
      <w:r>
        <w:rPr>
          <w:spacing w:val="-2"/>
        </w:rPr>
        <w:t>Thomson</w:t>
      </w:r>
    </w:p>
    <w:p>
      <w:pPr>
        <w:pStyle w:val="BodyText"/>
        <w:ind w:left="640" w:right="502"/>
      </w:pPr>
      <w:r>
        <w:rPr/>
        <w:t>K.</w:t>
      </w:r>
      <w:r>
        <w:rPr>
          <w:spacing w:val="-4"/>
        </w:rPr>
        <w:t> </w:t>
      </w:r>
      <w:r>
        <w:rPr/>
        <w:t>Imagining</w:t>
      </w:r>
      <w:r>
        <w:rPr>
          <w:spacing w:val="-4"/>
        </w:rPr>
        <w:t> </w:t>
      </w:r>
      <w:r>
        <w:rPr/>
        <w:t>the</w:t>
      </w:r>
      <w:r>
        <w:rPr>
          <w:spacing w:val="-5"/>
        </w:rPr>
        <w:t> </w:t>
      </w:r>
      <w:r>
        <w:rPr/>
        <w:t>future:</w:t>
      </w:r>
      <w:r>
        <w:rPr>
          <w:spacing w:val="-4"/>
        </w:rPr>
        <w:t> </w:t>
      </w:r>
      <w:r>
        <w:rPr/>
        <w:t>Perspectives</w:t>
      </w:r>
      <w:r>
        <w:rPr>
          <w:spacing w:val="-4"/>
        </w:rPr>
        <w:t> </w:t>
      </w:r>
      <w:r>
        <w:rPr/>
        <w:t>among</w:t>
      </w:r>
      <w:r>
        <w:rPr>
          <w:spacing w:val="-4"/>
        </w:rPr>
        <w:t> </w:t>
      </w:r>
      <w:r>
        <w:rPr/>
        <w:t>youth</w:t>
      </w:r>
      <w:r>
        <w:rPr>
          <w:spacing w:val="-4"/>
        </w:rPr>
        <w:t> </w:t>
      </w:r>
      <w:r>
        <w:rPr/>
        <w:t>and</w:t>
      </w:r>
      <w:r>
        <w:rPr>
          <w:spacing w:val="-4"/>
        </w:rPr>
        <w:t> </w:t>
      </w:r>
      <w:r>
        <w:rPr/>
        <w:t>caregivers</w:t>
      </w:r>
      <w:r>
        <w:rPr>
          <w:spacing w:val="-4"/>
        </w:rPr>
        <w:t> </w:t>
      </w:r>
      <w:r>
        <w:rPr/>
        <w:t>in</w:t>
      </w:r>
      <w:r>
        <w:rPr>
          <w:spacing w:val="-4"/>
        </w:rPr>
        <w:t> </w:t>
      </w:r>
      <w:r>
        <w:rPr/>
        <w:t>the trans youth family study. </w:t>
      </w:r>
      <w:r>
        <w:rPr>
          <w:i/>
        </w:rPr>
        <w:t>J Couns Psychol</w:t>
      </w:r>
      <w:r>
        <w:rPr/>
        <w:t>. 2017;64(1):26-40. https:// </w:t>
      </w:r>
      <w:r>
        <w:rPr>
          <w:spacing w:val="-2"/>
        </w:rPr>
        <w:t>doi.org/10.1037/cou0000186</w:t>
      </w:r>
    </w:p>
    <w:p>
      <w:pPr>
        <w:pStyle w:val="BodyText"/>
        <w:spacing w:before="8"/>
        <w:rPr>
          <w:sz w:val="25"/>
        </w:rPr>
      </w:pPr>
    </w:p>
    <w:p>
      <w:pPr>
        <w:pStyle w:val="BodyText"/>
        <w:ind w:left="640" w:right="499" w:hanging="360"/>
      </w:pPr>
      <w:r>
        <w:rPr/>
        <w:t>Kuper LE, Wright L, Mustanski B. Gender identity development among transgender</w:t>
      </w:r>
      <w:r>
        <w:rPr>
          <w:spacing w:val="-10"/>
        </w:rPr>
        <w:t> </w:t>
      </w:r>
      <w:r>
        <w:rPr/>
        <w:t>and</w:t>
      </w:r>
      <w:r>
        <w:rPr>
          <w:spacing w:val="-7"/>
        </w:rPr>
        <w:t> </w:t>
      </w:r>
      <w:r>
        <w:rPr/>
        <w:t>gender</w:t>
      </w:r>
      <w:r>
        <w:rPr>
          <w:spacing w:val="-7"/>
        </w:rPr>
        <w:t> </w:t>
      </w:r>
      <w:r>
        <w:rPr/>
        <w:t>nonconforming</w:t>
      </w:r>
      <w:r>
        <w:rPr>
          <w:spacing w:val="-7"/>
        </w:rPr>
        <w:t> </w:t>
      </w:r>
      <w:r>
        <w:rPr/>
        <w:t>emerging</w:t>
      </w:r>
      <w:r>
        <w:rPr>
          <w:spacing w:val="-7"/>
        </w:rPr>
        <w:t> </w:t>
      </w:r>
      <w:r>
        <w:rPr/>
        <w:t>adults:</w:t>
      </w:r>
      <w:r>
        <w:rPr>
          <w:spacing w:val="-18"/>
        </w:rPr>
        <w:t> </w:t>
      </w:r>
      <w:r>
        <w:rPr/>
        <w:t>An</w:t>
      </w:r>
      <w:r>
        <w:rPr>
          <w:spacing w:val="-6"/>
        </w:rPr>
        <w:t> </w:t>
      </w:r>
      <w:r>
        <w:rPr/>
        <w:t>intersectional approach. </w:t>
      </w:r>
      <w:r>
        <w:rPr>
          <w:i/>
        </w:rPr>
        <w:t>Int J Transgend. </w:t>
      </w:r>
      <w:r>
        <w:rPr/>
        <w:t>2018;19(4):436-455. https://doi.org/ 10.1080/15532739.2018.1443 869</w:t>
      </w:r>
    </w:p>
    <w:p>
      <w:pPr>
        <w:pStyle w:val="BodyText"/>
        <w:spacing w:before="8"/>
        <w:rPr>
          <w:sz w:val="25"/>
        </w:rPr>
      </w:pPr>
    </w:p>
    <w:p>
      <w:pPr>
        <w:spacing w:before="0"/>
        <w:ind w:left="640" w:right="497" w:hanging="360"/>
        <w:jc w:val="left"/>
        <w:rPr>
          <w:sz w:val="28"/>
        </w:rPr>
      </w:pPr>
      <w:r>
        <w:rPr>
          <w:sz w:val="28"/>
        </w:rPr>
        <w:t>Ehrensaft</w:t>
      </w:r>
      <w:r>
        <w:rPr>
          <w:spacing w:val="-4"/>
          <w:sz w:val="28"/>
        </w:rPr>
        <w:t> </w:t>
      </w:r>
      <w:r>
        <w:rPr>
          <w:sz w:val="28"/>
        </w:rPr>
        <w:t>D.</w:t>
      </w:r>
      <w:r>
        <w:rPr>
          <w:spacing w:val="-4"/>
          <w:sz w:val="28"/>
        </w:rPr>
        <w:t> </w:t>
      </w:r>
      <w:r>
        <w:rPr>
          <w:sz w:val="28"/>
        </w:rPr>
        <w:t>Exploring</w:t>
      </w:r>
      <w:r>
        <w:rPr>
          <w:spacing w:val="-4"/>
          <w:sz w:val="28"/>
        </w:rPr>
        <w:t> </w:t>
      </w:r>
      <w:r>
        <w:rPr>
          <w:sz w:val="28"/>
        </w:rPr>
        <w:t>gender</w:t>
      </w:r>
      <w:r>
        <w:rPr>
          <w:spacing w:val="-4"/>
          <w:sz w:val="28"/>
        </w:rPr>
        <w:t> </w:t>
      </w:r>
      <w:r>
        <w:rPr>
          <w:sz w:val="28"/>
        </w:rPr>
        <w:t>expansive</w:t>
      </w:r>
      <w:r>
        <w:rPr>
          <w:spacing w:val="-5"/>
          <w:sz w:val="28"/>
        </w:rPr>
        <w:t> </w:t>
      </w:r>
      <w:r>
        <w:rPr>
          <w:sz w:val="28"/>
        </w:rPr>
        <w:t>expressions</w:t>
      </w:r>
      <w:r>
        <w:rPr>
          <w:spacing w:val="-4"/>
          <w:sz w:val="28"/>
        </w:rPr>
        <w:t> </w:t>
      </w:r>
      <w:r>
        <w:rPr>
          <w:sz w:val="28"/>
        </w:rPr>
        <w:t>versus</w:t>
      </w:r>
      <w:r>
        <w:rPr>
          <w:spacing w:val="-4"/>
          <w:sz w:val="28"/>
        </w:rPr>
        <w:t> </w:t>
      </w:r>
      <w:r>
        <w:rPr>
          <w:sz w:val="28"/>
        </w:rPr>
        <w:t>asserting</w:t>
      </w:r>
      <w:r>
        <w:rPr>
          <w:spacing w:val="-4"/>
          <w:sz w:val="28"/>
        </w:rPr>
        <w:t> </w:t>
      </w:r>
      <w:r>
        <w:rPr>
          <w:sz w:val="28"/>
        </w:rPr>
        <w:t>a</w:t>
      </w:r>
      <w:r>
        <w:rPr>
          <w:spacing w:val="-5"/>
          <w:sz w:val="28"/>
        </w:rPr>
        <w:t> </w:t>
      </w:r>
      <w:r>
        <w:rPr>
          <w:sz w:val="28"/>
        </w:rPr>
        <w:t>gender identity. In: Keo-Meier C, Ehrensaft D, eds. </w:t>
      </w:r>
      <w:r>
        <w:rPr>
          <w:i/>
          <w:sz w:val="28"/>
        </w:rPr>
        <w:t>The gender affirmative model:</w:t>
      </w:r>
      <w:r>
        <w:rPr>
          <w:i/>
          <w:sz w:val="28"/>
        </w:rPr>
        <w:t> An interdisciplinary approach to supporting transgender and gender expansive children</w:t>
      </w:r>
      <w:r>
        <w:rPr>
          <w:sz w:val="28"/>
        </w:rPr>
        <w:t>. American Psychological Association; 2018:37-53. </w:t>
      </w:r>
      <w:r>
        <w:rPr>
          <w:spacing w:val="-2"/>
          <w:sz w:val="28"/>
        </w:rPr>
        <w:t>https://doi.org/10.1037/0000095-003</w:t>
      </w:r>
    </w:p>
    <w:p>
      <w:pPr>
        <w:pStyle w:val="BodyText"/>
        <w:spacing w:before="5"/>
        <w:rPr>
          <w:sz w:val="25"/>
        </w:rPr>
      </w:pPr>
    </w:p>
    <w:p>
      <w:pPr>
        <w:pStyle w:val="BodyText"/>
        <w:spacing w:before="1"/>
        <w:ind w:left="640" w:right="502" w:hanging="360"/>
        <w:rPr>
          <w:i/>
        </w:rPr>
      </w:pPr>
      <w:r>
        <w:rPr/>
        <w:t>Olson</w:t>
      </w:r>
      <w:r>
        <w:rPr>
          <w:spacing w:val="-8"/>
        </w:rPr>
        <w:t> </w:t>
      </w:r>
      <w:r>
        <w:rPr/>
        <w:t>KR,</w:t>
      </w:r>
      <w:r>
        <w:rPr>
          <w:spacing w:val="-5"/>
        </w:rPr>
        <w:t> </w:t>
      </w:r>
      <w:r>
        <w:rPr/>
        <w:t>Durwood</w:t>
      </w:r>
      <w:r>
        <w:rPr>
          <w:spacing w:val="-5"/>
        </w:rPr>
        <w:t> </w:t>
      </w:r>
      <w:r>
        <w:rPr/>
        <w:t>L,</w:t>
      </w:r>
      <w:r>
        <w:rPr>
          <w:spacing w:val="-5"/>
        </w:rPr>
        <w:t> </w:t>
      </w:r>
      <w:r>
        <w:rPr/>
        <w:t>Horton</w:t>
      </w:r>
      <w:r>
        <w:rPr>
          <w:spacing w:val="-5"/>
        </w:rPr>
        <w:t> </w:t>
      </w:r>
      <w:r>
        <w:rPr/>
        <w:t>R,</w:t>
      </w:r>
      <w:r>
        <w:rPr>
          <w:spacing w:val="-5"/>
        </w:rPr>
        <w:t> </w:t>
      </w:r>
      <w:r>
        <w:rPr/>
        <w:t>Gallagher</w:t>
      </w:r>
      <w:r>
        <w:rPr>
          <w:spacing w:val="-5"/>
        </w:rPr>
        <w:t> </w:t>
      </w:r>
      <w:r>
        <w:rPr/>
        <w:t>N,</w:t>
      </w:r>
      <w:r>
        <w:rPr>
          <w:spacing w:val="-5"/>
        </w:rPr>
        <w:t> </w:t>
      </w:r>
      <w:r>
        <w:rPr/>
        <w:t>Devor</w:t>
      </w:r>
      <w:r>
        <w:rPr>
          <w:spacing w:val="-18"/>
        </w:rPr>
        <w:t> </w:t>
      </w:r>
      <w:r>
        <w:rPr/>
        <w:t>AH.</w:t>
      </w:r>
      <w:r>
        <w:rPr>
          <w:spacing w:val="-5"/>
        </w:rPr>
        <w:t> </w:t>
      </w:r>
      <w:r>
        <w:rPr/>
        <w:t>Children’s</w:t>
      </w:r>
      <w:r>
        <w:rPr>
          <w:spacing w:val="-5"/>
        </w:rPr>
        <w:t> </w:t>
      </w:r>
      <w:r>
        <w:rPr/>
        <w:t>gender five years after their initial childhood social transitions. </w:t>
      </w:r>
      <w:r>
        <w:rPr>
          <w:i/>
        </w:rPr>
        <w:t>Pediatrics.</w:t>
      </w:r>
    </w:p>
    <w:p>
      <w:pPr>
        <w:pStyle w:val="BodyText"/>
        <w:spacing w:line="318" w:lineRule="exact"/>
        <w:ind w:left="640"/>
      </w:pPr>
      <w:r>
        <w:rPr/>
        <w:t>2022;50(2):e2021056082.</w:t>
      </w:r>
      <w:r>
        <w:rPr>
          <w:spacing w:val="-12"/>
        </w:rPr>
        <w:t> </w:t>
      </w:r>
      <w:r>
        <w:rPr/>
        <w:t>https://doi.org/10.1542/peds.2021-</w:t>
      </w:r>
      <w:r>
        <w:rPr>
          <w:spacing w:val="-2"/>
        </w:rPr>
        <w:t>056082</w:t>
      </w:r>
    </w:p>
    <w:p>
      <w:pPr>
        <w:pStyle w:val="BodyText"/>
        <w:spacing w:before="1"/>
        <w:rPr>
          <w:sz w:val="26"/>
        </w:rPr>
      </w:pPr>
    </w:p>
    <w:p>
      <w:pPr>
        <w:pStyle w:val="BodyText"/>
        <w:spacing w:before="1"/>
        <w:ind w:left="640" w:right="502" w:hanging="360"/>
      </w:pPr>
      <w:r>
        <w:rPr/>
        <w:t>Turban JL, Dolotina B, Freitag TM, King D, Keuroghilian</w:t>
      </w:r>
      <w:r>
        <w:rPr>
          <w:spacing w:val="-6"/>
        </w:rPr>
        <w:t> </w:t>
      </w:r>
      <w:r>
        <w:rPr/>
        <w:t>AS.</w:t>
      </w:r>
      <w:r>
        <w:rPr>
          <w:spacing w:val="-6"/>
        </w:rPr>
        <w:t> </w:t>
      </w:r>
      <w:r>
        <w:rPr/>
        <w:t>Age of realization</w:t>
      </w:r>
      <w:r>
        <w:rPr>
          <w:spacing w:val="-5"/>
        </w:rPr>
        <w:t> </w:t>
      </w:r>
      <w:r>
        <w:rPr/>
        <w:t>and</w:t>
      </w:r>
      <w:r>
        <w:rPr>
          <w:spacing w:val="-5"/>
        </w:rPr>
        <w:t> </w:t>
      </w:r>
      <w:r>
        <w:rPr/>
        <w:t>disclosure</w:t>
      </w:r>
      <w:r>
        <w:rPr>
          <w:spacing w:val="-5"/>
        </w:rPr>
        <w:t> </w:t>
      </w:r>
      <w:r>
        <w:rPr/>
        <w:t>of</w:t>
      </w:r>
      <w:r>
        <w:rPr>
          <w:spacing w:val="-5"/>
        </w:rPr>
        <w:t> </w:t>
      </w:r>
      <w:r>
        <w:rPr/>
        <w:t>gender</w:t>
      </w:r>
      <w:r>
        <w:rPr>
          <w:spacing w:val="-5"/>
        </w:rPr>
        <w:t> </w:t>
      </w:r>
      <w:r>
        <w:rPr/>
        <w:t>identity</w:t>
      </w:r>
      <w:r>
        <w:rPr>
          <w:spacing w:val="-5"/>
        </w:rPr>
        <w:t> </w:t>
      </w:r>
      <w:r>
        <w:rPr/>
        <w:t>among</w:t>
      </w:r>
      <w:r>
        <w:rPr>
          <w:spacing w:val="-5"/>
        </w:rPr>
        <w:t> </w:t>
      </w:r>
      <w:r>
        <w:rPr/>
        <w:t>transgender</w:t>
      </w:r>
      <w:r>
        <w:rPr>
          <w:spacing w:val="-5"/>
        </w:rPr>
        <w:t> </w:t>
      </w:r>
      <w:r>
        <w:rPr/>
        <w:t>adults.</w:t>
      </w:r>
      <w:r>
        <w:rPr>
          <w:spacing w:val="-5"/>
        </w:rPr>
        <w:t> </w:t>
      </w:r>
      <w:r>
        <w:rPr>
          <w:i/>
        </w:rPr>
        <w:t>J</w:t>
      </w:r>
      <w:r>
        <w:rPr>
          <w:i/>
        </w:rPr>
        <w:t> Adolesc Health</w:t>
      </w:r>
      <w:r>
        <w:rPr/>
        <w:t>. 2023. https://doi.org/10.1016/j.jadohealth.2023.01. 023</w:t>
      </w:r>
    </w:p>
    <w:p>
      <w:pPr>
        <w:pStyle w:val="BodyText"/>
        <w:spacing w:before="9"/>
        <w:rPr>
          <w:sz w:val="25"/>
        </w:rPr>
      </w:pPr>
    </w:p>
    <w:p>
      <w:pPr>
        <w:pStyle w:val="BodyText"/>
        <w:ind w:left="640" w:right="920" w:hanging="360"/>
      </w:pPr>
      <w:r>
        <w:rPr/>
        <w:t>Li</w:t>
      </w:r>
      <w:r>
        <w:rPr>
          <w:spacing w:val="-7"/>
        </w:rPr>
        <w:t> </w:t>
      </w:r>
      <w:r>
        <w:rPr/>
        <w:t>G,</w:t>
      </w:r>
      <w:r>
        <w:rPr>
          <w:spacing w:val="-7"/>
        </w:rPr>
        <w:t> </w:t>
      </w:r>
      <w:r>
        <w:rPr/>
        <w:t>Kung</w:t>
      </w:r>
      <w:r>
        <w:rPr>
          <w:spacing w:val="-7"/>
        </w:rPr>
        <w:t> </w:t>
      </w:r>
      <w:r>
        <w:rPr/>
        <w:t>KT,</w:t>
      </w:r>
      <w:r>
        <w:rPr>
          <w:spacing w:val="-7"/>
        </w:rPr>
        <w:t> </w:t>
      </w:r>
      <w:r>
        <w:rPr/>
        <w:t>Hines</w:t>
      </w:r>
      <w:r>
        <w:rPr>
          <w:spacing w:val="-7"/>
        </w:rPr>
        <w:t> </w:t>
      </w:r>
      <w:r>
        <w:rPr/>
        <w:t>M.</w:t>
      </w:r>
      <w:r>
        <w:rPr>
          <w:spacing w:val="-7"/>
        </w:rPr>
        <w:t> </w:t>
      </w:r>
      <w:r>
        <w:rPr/>
        <w:t>Childhood</w:t>
      </w:r>
      <w:r>
        <w:rPr>
          <w:spacing w:val="-7"/>
        </w:rPr>
        <w:t> </w:t>
      </w:r>
      <w:r>
        <w:rPr/>
        <w:t>gender-typed</w:t>
      </w:r>
      <w:r>
        <w:rPr>
          <w:spacing w:val="-7"/>
        </w:rPr>
        <w:t> </w:t>
      </w:r>
      <w:r>
        <w:rPr/>
        <w:t>behavior</w:t>
      </w:r>
      <w:r>
        <w:rPr>
          <w:spacing w:val="-7"/>
        </w:rPr>
        <w:t> </w:t>
      </w:r>
      <w:r>
        <w:rPr/>
        <w:t>and</w:t>
      </w:r>
      <w:r>
        <w:rPr>
          <w:spacing w:val="-7"/>
        </w:rPr>
        <w:t> </w:t>
      </w:r>
      <w:r>
        <w:rPr/>
        <w:t>adolescent sexual orientation:</w:t>
      </w:r>
      <w:r>
        <w:rPr>
          <w:spacing w:val="-13"/>
        </w:rPr>
        <w:t> </w:t>
      </w:r>
      <w:r>
        <w:rPr/>
        <w:t>A</w:t>
      </w:r>
      <w:r>
        <w:rPr>
          <w:spacing w:val="-13"/>
        </w:rPr>
        <w:t> </w:t>
      </w:r>
      <w:r>
        <w:rPr/>
        <w:t>longitudinal population-based study. </w:t>
      </w:r>
      <w:r>
        <w:rPr>
          <w:i/>
        </w:rPr>
        <w:t>Dev Psychol</w:t>
      </w:r>
      <w:r>
        <w:rPr/>
        <w:t>. 2017;53(4):764-777. https://doi.org/10.1037/dev0000281</w:t>
      </w:r>
    </w:p>
    <w:p>
      <w:pPr>
        <w:spacing w:after="0"/>
        <w:sectPr>
          <w:pgSz w:w="12240" w:h="15840"/>
          <w:pgMar w:header="0" w:footer="783" w:top="1260" w:bottom="980" w:left="1400" w:right="1180"/>
        </w:sectPr>
      </w:pPr>
    </w:p>
    <w:p>
      <w:pPr>
        <w:pStyle w:val="BodyText"/>
        <w:spacing w:before="66"/>
        <w:ind w:left="640" w:right="544" w:hanging="360"/>
      </w:pPr>
      <w:r>
        <w:rPr/>
        <w:t>Xu</w:t>
      </w:r>
      <w:r>
        <w:rPr>
          <w:spacing w:val="-17"/>
        </w:rPr>
        <w:t> </w:t>
      </w:r>
      <w:r>
        <w:rPr/>
        <w:t>Y,</w:t>
      </w:r>
      <w:r>
        <w:rPr>
          <w:spacing w:val="-7"/>
        </w:rPr>
        <w:t> </w:t>
      </w:r>
      <w:r>
        <w:rPr/>
        <w:t>Norton</w:t>
      </w:r>
      <w:r>
        <w:rPr>
          <w:spacing w:val="-7"/>
        </w:rPr>
        <w:t> </w:t>
      </w:r>
      <w:r>
        <w:rPr/>
        <w:t>S,</w:t>
      </w:r>
      <w:r>
        <w:rPr>
          <w:spacing w:val="-7"/>
        </w:rPr>
        <w:t> </w:t>
      </w:r>
      <w:r>
        <w:rPr/>
        <w:t>Rahman</w:t>
      </w:r>
      <w:r>
        <w:rPr>
          <w:spacing w:val="-7"/>
        </w:rPr>
        <w:t> </w:t>
      </w:r>
      <w:r>
        <w:rPr/>
        <w:t>Q.</w:t>
      </w:r>
      <w:r>
        <w:rPr>
          <w:spacing w:val="-7"/>
        </w:rPr>
        <w:t> </w:t>
      </w:r>
      <w:r>
        <w:rPr/>
        <w:t>Childhood</w:t>
      </w:r>
      <w:r>
        <w:rPr>
          <w:spacing w:val="-7"/>
        </w:rPr>
        <w:t> </w:t>
      </w:r>
      <w:r>
        <w:rPr/>
        <w:t>gender</w:t>
      </w:r>
      <w:r>
        <w:rPr>
          <w:spacing w:val="-7"/>
        </w:rPr>
        <w:t> </w:t>
      </w:r>
      <w:r>
        <w:rPr/>
        <w:t>nonconformity</w:t>
      </w:r>
      <w:r>
        <w:rPr>
          <w:spacing w:val="-7"/>
        </w:rPr>
        <w:t> </w:t>
      </w:r>
      <w:r>
        <w:rPr/>
        <w:t>and</w:t>
      </w:r>
      <w:r>
        <w:rPr>
          <w:spacing w:val="-7"/>
        </w:rPr>
        <w:t> </w:t>
      </w:r>
      <w:r>
        <w:rPr/>
        <w:t>the</w:t>
      </w:r>
      <w:r>
        <w:rPr>
          <w:spacing w:val="-8"/>
        </w:rPr>
        <w:t> </w:t>
      </w:r>
      <w:r>
        <w:rPr/>
        <w:t>stability of self-reported sexual orientation from adolescence to young adulthood in a birth cohort. </w:t>
      </w:r>
      <w:r>
        <w:rPr>
          <w:i/>
        </w:rPr>
        <w:t>Dev Psychol</w:t>
      </w:r>
      <w:r>
        <w:rPr/>
        <w:t>. 2021;57(4):557-569. https://doi.org/10.1037/ </w:t>
      </w:r>
      <w:r>
        <w:rPr>
          <w:spacing w:val="-2"/>
        </w:rPr>
        <w:t>dev0001164</w:t>
      </w:r>
    </w:p>
    <w:p>
      <w:pPr>
        <w:pStyle w:val="BodyText"/>
        <w:spacing w:before="7"/>
        <w:rPr>
          <w:sz w:val="25"/>
        </w:rPr>
      </w:pPr>
    </w:p>
    <w:p>
      <w:pPr>
        <w:pStyle w:val="BodyText"/>
        <w:ind w:left="640" w:right="502" w:hanging="360"/>
      </w:pPr>
      <w:r>
        <w:rPr/>
        <w:t>Hässler T, Glazier JJ, Olson KR. Consistency of gender identity and preferences</w:t>
      </w:r>
      <w:r>
        <w:rPr>
          <w:spacing w:val="-7"/>
        </w:rPr>
        <w:t> </w:t>
      </w:r>
      <w:r>
        <w:rPr/>
        <w:t>across</w:t>
      </w:r>
      <w:r>
        <w:rPr>
          <w:spacing w:val="-5"/>
        </w:rPr>
        <w:t> </w:t>
      </w:r>
      <w:r>
        <w:rPr/>
        <w:t>time:</w:t>
      </w:r>
      <w:r>
        <w:rPr>
          <w:spacing w:val="-18"/>
        </w:rPr>
        <w:t> </w:t>
      </w:r>
      <w:r>
        <w:rPr/>
        <w:t>An</w:t>
      </w:r>
      <w:r>
        <w:rPr>
          <w:spacing w:val="-5"/>
        </w:rPr>
        <w:t> </w:t>
      </w:r>
      <w:r>
        <w:rPr/>
        <w:t>exploration</w:t>
      </w:r>
      <w:r>
        <w:rPr>
          <w:spacing w:val="-5"/>
        </w:rPr>
        <w:t> </w:t>
      </w:r>
      <w:r>
        <w:rPr/>
        <w:t>among</w:t>
      </w:r>
      <w:r>
        <w:rPr>
          <w:spacing w:val="-5"/>
        </w:rPr>
        <w:t> </w:t>
      </w:r>
      <w:r>
        <w:rPr/>
        <w:t>cisgender</w:t>
      </w:r>
      <w:r>
        <w:rPr>
          <w:spacing w:val="-5"/>
        </w:rPr>
        <w:t> </w:t>
      </w:r>
      <w:r>
        <w:rPr/>
        <w:t>and</w:t>
      </w:r>
      <w:r>
        <w:rPr>
          <w:spacing w:val="-5"/>
        </w:rPr>
        <w:t> </w:t>
      </w:r>
      <w:r>
        <w:rPr/>
        <w:t>transgender children. </w:t>
      </w:r>
      <w:r>
        <w:rPr>
          <w:i/>
        </w:rPr>
        <w:t>Dev Psychol</w:t>
      </w:r>
      <w:r>
        <w:rPr/>
        <w:t>. 2022;58(11):2184-2196. https://doi.org/10.1037/ </w:t>
      </w:r>
      <w:r>
        <w:rPr>
          <w:spacing w:val="-2"/>
        </w:rPr>
        <w:t>dev0001419</w:t>
      </w:r>
    </w:p>
    <w:p>
      <w:pPr>
        <w:pStyle w:val="BodyText"/>
        <w:spacing w:before="8"/>
        <w:rPr>
          <w:sz w:val="25"/>
        </w:rPr>
      </w:pPr>
    </w:p>
    <w:p>
      <w:pPr>
        <w:pStyle w:val="BodyText"/>
        <w:ind w:left="640" w:hanging="360"/>
      </w:pPr>
      <w:r>
        <w:rPr/>
        <w:t>Rosenwohl-Mack</w:t>
      </w:r>
      <w:r>
        <w:rPr>
          <w:spacing w:val="-18"/>
        </w:rPr>
        <w:t> </w:t>
      </w:r>
      <w:r>
        <w:rPr/>
        <w:t>A,</w:t>
      </w:r>
      <w:r>
        <w:rPr>
          <w:spacing w:val="-17"/>
        </w:rPr>
        <w:t> </w:t>
      </w:r>
      <w:r>
        <w:rPr/>
        <w:t>Tamar-Mattis</w:t>
      </w:r>
      <w:r>
        <w:rPr>
          <w:spacing w:val="-10"/>
        </w:rPr>
        <w:t> </w:t>
      </w:r>
      <w:r>
        <w:rPr/>
        <w:t>S,</w:t>
      </w:r>
      <w:r>
        <w:rPr>
          <w:spacing w:val="-6"/>
        </w:rPr>
        <w:t> </w:t>
      </w:r>
      <w:r>
        <w:rPr/>
        <w:t>Baratz</w:t>
      </w:r>
      <w:r>
        <w:rPr>
          <w:spacing w:val="-18"/>
        </w:rPr>
        <w:t> </w:t>
      </w:r>
      <w:r>
        <w:rPr/>
        <w:t>AB,</w:t>
      </w:r>
      <w:r>
        <w:rPr>
          <w:spacing w:val="-5"/>
        </w:rPr>
        <w:t> </w:t>
      </w:r>
      <w:r>
        <w:rPr/>
        <w:t>et</w:t>
      </w:r>
      <w:r>
        <w:rPr>
          <w:spacing w:val="-6"/>
        </w:rPr>
        <w:t> </w:t>
      </w:r>
      <w:r>
        <w:rPr/>
        <w:t>al.</w:t>
      </w:r>
      <w:r>
        <w:rPr>
          <w:spacing w:val="-18"/>
        </w:rPr>
        <w:t> </w:t>
      </w:r>
      <w:r>
        <w:rPr/>
        <w:t>A</w:t>
      </w:r>
      <w:r>
        <w:rPr>
          <w:spacing w:val="-17"/>
        </w:rPr>
        <w:t> </w:t>
      </w:r>
      <w:r>
        <w:rPr/>
        <w:t>national</w:t>
      </w:r>
      <w:r>
        <w:rPr>
          <w:spacing w:val="-6"/>
        </w:rPr>
        <w:t> </w:t>
      </w:r>
      <w:r>
        <w:rPr/>
        <w:t>study</w:t>
      </w:r>
      <w:r>
        <w:rPr>
          <w:spacing w:val="-6"/>
        </w:rPr>
        <w:t> </w:t>
      </w:r>
      <w:r>
        <w:rPr/>
        <w:t>on</w:t>
      </w:r>
      <w:r>
        <w:rPr>
          <w:spacing w:val="-6"/>
        </w:rPr>
        <w:t> </w:t>
      </w:r>
      <w:r>
        <w:rPr/>
        <w:t>the physical and mental health of intersex adults in the U.S. </w:t>
      </w:r>
      <w:r>
        <w:rPr>
          <w:i/>
        </w:rPr>
        <w:t>PLoS One</w:t>
      </w:r>
      <w:r>
        <w:rPr/>
        <w:t>.</w:t>
      </w:r>
    </w:p>
    <w:p>
      <w:pPr>
        <w:pStyle w:val="BodyText"/>
        <w:spacing w:line="237" w:lineRule="auto"/>
        <w:ind w:left="640"/>
      </w:pPr>
      <w:r>
        <w:rPr/>
        <w:t>2020;15(10):e0240088.</w:t>
      </w:r>
      <w:r>
        <w:rPr>
          <w:spacing w:val="-9"/>
        </w:rPr>
        <w:t> </w:t>
      </w:r>
      <w:r>
        <w:rPr/>
        <w:t>Published</w:t>
      </w:r>
      <w:r>
        <w:rPr>
          <w:spacing w:val="-9"/>
        </w:rPr>
        <w:t> </w:t>
      </w:r>
      <w:r>
        <w:rPr/>
        <w:t>2020</w:t>
      </w:r>
      <w:r>
        <w:rPr>
          <w:spacing w:val="-9"/>
        </w:rPr>
        <w:t> </w:t>
      </w:r>
      <w:r>
        <w:rPr/>
        <w:t>Oct</w:t>
      </w:r>
      <w:r>
        <w:rPr>
          <w:spacing w:val="-9"/>
        </w:rPr>
        <w:t> </w:t>
      </w:r>
      <w:r>
        <w:rPr/>
        <w:t>9.</w:t>
      </w:r>
      <w:r>
        <w:rPr>
          <w:spacing w:val="-9"/>
        </w:rPr>
        <w:t> </w:t>
      </w:r>
      <w:r>
        <w:rPr/>
        <w:t>https://doi.org/10.1371/ </w:t>
      </w:r>
      <w:r>
        <w:rPr>
          <w:spacing w:val="-2"/>
        </w:rPr>
        <w:t>journal.pone.0240088</w:t>
      </w:r>
    </w:p>
    <w:p>
      <w:pPr>
        <w:pStyle w:val="BodyText"/>
        <w:spacing w:before="2"/>
        <w:rPr>
          <w:sz w:val="26"/>
        </w:rPr>
      </w:pPr>
    </w:p>
    <w:p>
      <w:pPr>
        <w:pStyle w:val="BodyText"/>
        <w:spacing w:before="1"/>
        <w:ind w:left="640" w:right="704" w:hanging="360"/>
      </w:pPr>
      <w:r>
        <w:rPr/>
        <w:t>U.S. Department of Health and Human Services. Request for Information on Promising</w:t>
      </w:r>
      <w:r>
        <w:rPr>
          <w:spacing w:val="-7"/>
        </w:rPr>
        <w:t> </w:t>
      </w:r>
      <w:r>
        <w:rPr/>
        <w:t>Practices</w:t>
      </w:r>
      <w:r>
        <w:rPr>
          <w:spacing w:val="-5"/>
        </w:rPr>
        <w:t> </w:t>
      </w:r>
      <w:r>
        <w:rPr/>
        <w:t>for</w:t>
      </w:r>
      <w:r>
        <w:rPr>
          <w:spacing w:val="-18"/>
        </w:rPr>
        <w:t> </w:t>
      </w:r>
      <w:r>
        <w:rPr/>
        <w:t>Advancing</w:t>
      </w:r>
      <w:r>
        <w:rPr>
          <w:spacing w:val="-5"/>
        </w:rPr>
        <w:t> </w:t>
      </w:r>
      <w:r>
        <w:rPr/>
        <w:t>Health</w:t>
      </w:r>
      <w:r>
        <w:rPr>
          <w:spacing w:val="-5"/>
        </w:rPr>
        <w:t> </w:t>
      </w:r>
      <w:r>
        <w:rPr/>
        <w:t>Equity</w:t>
      </w:r>
      <w:r>
        <w:rPr>
          <w:spacing w:val="-5"/>
        </w:rPr>
        <w:t> </w:t>
      </w:r>
      <w:r>
        <w:rPr/>
        <w:t>for</w:t>
      </w:r>
      <w:r>
        <w:rPr>
          <w:spacing w:val="-5"/>
        </w:rPr>
        <w:t> </w:t>
      </w:r>
      <w:r>
        <w:rPr/>
        <w:t>Intersex</w:t>
      </w:r>
      <w:r>
        <w:rPr>
          <w:spacing w:val="-5"/>
        </w:rPr>
        <w:t> </w:t>
      </w:r>
      <w:r>
        <w:rPr/>
        <w:t>Individuals. 2023-02826 </w:t>
      </w:r>
      <w:r>
        <w:rPr>
          <w:i/>
        </w:rPr>
        <w:t>Fed. Reg</w:t>
      </w:r>
      <w:r>
        <w:rPr/>
        <w:t>. Page #8876 (February 10, 2023). https:// </w:t>
      </w:r>
      <w:hyperlink r:id="rId86">
        <w:r>
          <w:rPr/>
          <w:t>www.federalregister.gov/d/202302826/page-8876.</w:t>
        </w:r>
      </w:hyperlink>
      <w:r>
        <w:rPr/>
        <w:t> Accessed March 20, </w:t>
      </w:r>
      <w:r>
        <w:rPr>
          <w:spacing w:val="-2"/>
        </w:rPr>
        <w:t>2023.</w:t>
      </w:r>
    </w:p>
    <w:p>
      <w:pPr>
        <w:pStyle w:val="BodyText"/>
        <w:spacing w:before="5"/>
        <w:rPr>
          <w:sz w:val="25"/>
        </w:rPr>
      </w:pPr>
    </w:p>
    <w:p>
      <w:pPr>
        <w:pStyle w:val="BodyText"/>
        <w:ind w:left="640" w:right="668" w:hanging="360"/>
      </w:pPr>
      <w:r>
        <w:rPr/>
        <w:t>Mills-Koonce WR, Rehder PD, McCurdy</w:t>
      </w:r>
      <w:r>
        <w:rPr>
          <w:spacing w:val="-4"/>
        </w:rPr>
        <w:t> </w:t>
      </w:r>
      <w:r>
        <w:rPr/>
        <w:t>AL. The significance of parenting and</w:t>
      </w:r>
      <w:r>
        <w:rPr>
          <w:spacing w:val="-5"/>
        </w:rPr>
        <w:t> </w:t>
      </w:r>
      <w:r>
        <w:rPr/>
        <w:t>parent–child</w:t>
      </w:r>
      <w:r>
        <w:rPr>
          <w:spacing w:val="-5"/>
        </w:rPr>
        <w:t> </w:t>
      </w:r>
      <w:r>
        <w:rPr/>
        <w:t>relationships</w:t>
      </w:r>
      <w:r>
        <w:rPr>
          <w:spacing w:val="-5"/>
        </w:rPr>
        <w:t> </w:t>
      </w:r>
      <w:r>
        <w:rPr/>
        <w:t>for</w:t>
      </w:r>
      <w:r>
        <w:rPr>
          <w:spacing w:val="-5"/>
        </w:rPr>
        <w:t> </w:t>
      </w:r>
      <w:r>
        <w:rPr/>
        <w:t>sexual</w:t>
      </w:r>
      <w:r>
        <w:rPr>
          <w:spacing w:val="-5"/>
        </w:rPr>
        <w:t> </w:t>
      </w:r>
      <w:r>
        <w:rPr/>
        <w:t>and</w:t>
      </w:r>
      <w:r>
        <w:rPr>
          <w:spacing w:val="-5"/>
        </w:rPr>
        <w:t> </w:t>
      </w:r>
      <w:r>
        <w:rPr/>
        <w:t>gender</w:t>
      </w:r>
      <w:r>
        <w:rPr>
          <w:spacing w:val="-5"/>
        </w:rPr>
        <w:t> </w:t>
      </w:r>
      <w:r>
        <w:rPr/>
        <w:t>minority</w:t>
      </w:r>
      <w:r>
        <w:rPr>
          <w:spacing w:val="-5"/>
        </w:rPr>
        <w:t> </w:t>
      </w:r>
      <w:r>
        <w:rPr/>
        <w:t>adolescents. </w:t>
      </w:r>
      <w:r>
        <w:rPr>
          <w:i/>
        </w:rPr>
        <w:t>J Res Adolesc</w:t>
      </w:r>
      <w:r>
        <w:rPr/>
        <w:t>. 2018;28(3):637649. https://doi.org/10.1111/jora.12404</w:t>
      </w:r>
    </w:p>
    <w:p>
      <w:pPr>
        <w:pStyle w:val="BodyText"/>
        <w:spacing w:before="10"/>
        <w:rPr>
          <w:sz w:val="25"/>
        </w:rPr>
      </w:pPr>
    </w:p>
    <w:p>
      <w:pPr>
        <w:spacing w:before="0"/>
        <w:ind w:left="640" w:right="502" w:hanging="360"/>
        <w:jc w:val="left"/>
        <w:rPr>
          <w:sz w:val="28"/>
        </w:rPr>
      </w:pPr>
      <w:r>
        <w:rPr>
          <w:sz w:val="28"/>
        </w:rPr>
        <w:t>Kosciw JG, Clark CM, Truong NL, Zongrone</w:t>
      </w:r>
      <w:r>
        <w:rPr>
          <w:spacing w:val="-6"/>
          <w:sz w:val="28"/>
        </w:rPr>
        <w:t> </w:t>
      </w:r>
      <w:r>
        <w:rPr>
          <w:sz w:val="28"/>
        </w:rPr>
        <w:t>AD. </w:t>
      </w:r>
      <w:r>
        <w:rPr>
          <w:i/>
          <w:sz w:val="28"/>
        </w:rPr>
        <w:t>The 2019 National School</w:t>
      </w:r>
      <w:r>
        <w:rPr>
          <w:i/>
          <w:sz w:val="28"/>
        </w:rPr>
        <w:t> Climate</w:t>
      </w:r>
      <w:r>
        <w:rPr>
          <w:i/>
          <w:spacing w:val="-10"/>
          <w:sz w:val="28"/>
        </w:rPr>
        <w:t> </w:t>
      </w:r>
      <w:r>
        <w:rPr>
          <w:i/>
          <w:sz w:val="28"/>
        </w:rPr>
        <w:t>Survey:</w:t>
      </w:r>
      <w:r>
        <w:rPr>
          <w:i/>
          <w:spacing w:val="-10"/>
          <w:sz w:val="28"/>
        </w:rPr>
        <w:t> </w:t>
      </w:r>
      <w:r>
        <w:rPr>
          <w:i/>
          <w:sz w:val="28"/>
        </w:rPr>
        <w:t>The</w:t>
      </w:r>
      <w:r>
        <w:rPr>
          <w:i/>
          <w:spacing w:val="-10"/>
          <w:sz w:val="28"/>
        </w:rPr>
        <w:t> </w:t>
      </w:r>
      <w:r>
        <w:rPr>
          <w:i/>
          <w:sz w:val="28"/>
        </w:rPr>
        <w:t>experiences</w:t>
      </w:r>
      <w:r>
        <w:rPr>
          <w:i/>
          <w:spacing w:val="-10"/>
          <w:sz w:val="28"/>
        </w:rPr>
        <w:t> </w:t>
      </w:r>
      <w:r>
        <w:rPr>
          <w:i/>
          <w:sz w:val="28"/>
        </w:rPr>
        <w:t>of</w:t>
      </w:r>
      <w:r>
        <w:rPr>
          <w:i/>
          <w:spacing w:val="-10"/>
          <w:sz w:val="28"/>
        </w:rPr>
        <w:t> </w:t>
      </w:r>
      <w:r>
        <w:rPr>
          <w:i/>
          <w:sz w:val="28"/>
        </w:rPr>
        <w:t>lesbian,</w:t>
      </w:r>
      <w:r>
        <w:rPr>
          <w:i/>
          <w:spacing w:val="-10"/>
          <w:sz w:val="28"/>
        </w:rPr>
        <w:t> </w:t>
      </w:r>
      <w:r>
        <w:rPr>
          <w:i/>
          <w:sz w:val="28"/>
        </w:rPr>
        <w:t>gay,</w:t>
      </w:r>
      <w:r>
        <w:rPr>
          <w:i/>
          <w:spacing w:val="-10"/>
          <w:sz w:val="28"/>
        </w:rPr>
        <w:t> </w:t>
      </w:r>
      <w:r>
        <w:rPr>
          <w:i/>
          <w:sz w:val="28"/>
        </w:rPr>
        <w:t>bisexual,</w:t>
      </w:r>
      <w:r>
        <w:rPr>
          <w:i/>
          <w:spacing w:val="-10"/>
          <w:sz w:val="28"/>
        </w:rPr>
        <w:t> </w:t>
      </w:r>
      <w:r>
        <w:rPr>
          <w:i/>
          <w:sz w:val="28"/>
        </w:rPr>
        <w:t>transgender,</w:t>
      </w:r>
      <w:r>
        <w:rPr>
          <w:i/>
          <w:spacing w:val="-10"/>
          <w:sz w:val="28"/>
        </w:rPr>
        <w:t> </w:t>
      </w:r>
      <w:r>
        <w:rPr>
          <w:i/>
          <w:sz w:val="28"/>
        </w:rPr>
        <w:t>and queer youth in our nation</w:t>
      </w:r>
      <w:r>
        <w:rPr>
          <w:sz w:val="28"/>
        </w:rPr>
        <w:t>’</w:t>
      </w:r>
      <w:r>
        <w:rPr>
          <w:i/>
          <w:sz w:val="28"/>
        </w:rPr>
        <w:t>s schools</w:t>
      </w:r>
      <w:r>
        <w:rPr>
          <w:sz w:val="28"/>
        </w:rPr>
        <w:t>. GLSEN; 2020.</w:t>
      </w:r>
      <w:r>
        <w:rPr>
          <w:spacing w:val="-13"/>
          <w:sz w:val="28"/>
        </w:rPr>
        <w:t> </w:t>
      </w:r>
      <w:r>
        <w:rPr>
          <w:sz w:val="28"/>
        </w:rPr>
        <w:t>Accessed February 11, 2022. https://</w:t>
      </w:r>
      <w:hyperlink r:id="rId87">
        <w:r>
          <w:rPr>
            <w:sz w:val="28"/>
          </w:rPr>
          <w:t>www.glsen.org/research/2019-nationalschool-climate-survey</w:t>
        </w:r>
      </w:hyperlink>
    </w:p>
    <w:p>
      <w:pPr>
        <w:pStyle w:val="BodyText"/>
        <w:spacing w:before="7"/>
        <w:rPr>
          <w:sz w:val="25"/>
        </w:rPr>
      </w:pPr>
    </w:p>
    <w:p>
      <w:pPr>
        <w:pStyle w:val="BodyText"/>
        <w:spacing w:before="1"/>
        <w:ind w:left="640" w:hanging="360"/>
      </w:pPr>
      <w:r>
        <w:rPr/>
        <w:t>Green</w:t>
      </w:r>
      <w:r>
        <w:rPr>
          <w:spacing w:val="-3"/>
        </w:rPr>
        <w:t> </w:t>
      </w:r>
      <w:r>
        <w:rPr/>
        <w:t>AE, Price-Feeney M, Dorison SH.</w:t>
      </w:r>
      <w:r>
        <w:rPr>
          <w:spacing w:val="-3"/>
        </w:rPr>
        <w:t> </w:t>
      </w:r>
      <w:r>
        <w:rPr/>
        <w:t>Association of sexual orientation acceptance with reduced suicide attempts among lesbian, gay, bisexual, transgender,</w:t>
      </w:r>
      <w:r>
        <w:rPr>
          <w:spacing w:val="-9"/>
        </w:rPr>
        <w:t> </w:t>
      </w:r>
      <w:r>
        <w:rPr/>
        <w:t>queer,</w:t>
      </w:r>
      <w:r>
        <w:rPr>
          <w:spacing w:val="-9"/>
        </w:rPr>
        <w:t> </w:t>
      </w:r>
      <w:r>
        <w:rPr/>
        <w:t>and</w:t>
      </w:r>
      <w:r>
        <w:rPr>
          <w:spacing w:val="-9"/>
        </w:rPr>
        <w:t> </w:t>
      </w:r>
      <w:r>
        <w:rPr/>
        <w:t>questioning</w:t>
      </w:r>
      <w:r>
        <w:rPr>
          <w:spacing w:val="-9"/>
        </w:rPr>
        <w:t> </w:t>
      </w:r>
      <w:r>
        <w:rPr/>
        <w:t>youth.</w:t>
      </w:r>
      <w:r>
        <w:rPr>
          <w:spacing w:val="-10"/>
        </w:rPr>
        <w:t> </w:t>
      </w:r>
      <w:r>
        <w:rPr>
          <w:i/>
        </w:rPr>
        <w:t>LGBT</w:t>
      </w:r>
      <w:r>
        <w:rPr>
          <w:i/>
          <w:spacing w:val="-14"/>
        </w:rPr>
        <w:t> </w:t>
      </w:r>
      <w:r>
        <w:rPr>
          <w:i/>
        </w:rPr>
        <w:t>Health.</w:t>
      </w:r>
      <w:r>
        <w:rPr>
          <w:i/>
          <w:spacing w:val="-10"/>
        </w:rPr>
        <w:t> </w:t>
      </w:r>
      <w:r>
        <w:rPr/>
        <w:t>2021;8(1):26-31. </w:t>
      </w:r>
      <w:r>
        <w:rPr>
          <w:spacing w:val="-2"/>
        </w:rPr>
        <w:t>https://doi.org/10.1089/lgbt.2020.0248</w:t>
      </w:r>
    </w:p>
    <w:p>
      <w:pPr>
        <w:pStyle w:val="BodyText"/>
        <w:spacing w:before="7"/>
        <w:rPr>
          <w:sz w:val="25"/>
        </w:rPr>
      </w:pPr>
    </w:p>
    <w:p>
      <w:pPr>
        <w:pStyle w:val="BodyText"/>
        <w:ind w:left="640" w:right="748" w:hanging="360"/>
      </w:pPr>
      <w:r>
        <w:rPr/>
        <w:t>Vance SR, Ehrensaft D, Rosenthal SM. Psychological and medical care of gender</w:t>
      </w:r>
      <w:r>
        <w:rPr>
          <w:spacing w:val="-12"/>
        </w:rPr>
        <w:t> </w:t>
      </w:r>
      <w:r>
        <w:rPr/>
        <w:t>nonconforming</w:t>
      </w:r>
      <w:r>
        <w:rPr>
          <w:spacing w:val="-12"/>
        </w:rPr>
        <w:t> </w:t>
      </w:r>
      <w:r>
        <w:rPr/>
        <w:t>youth.</w:t>
      </w:r>
      <w:r>
        <w:rPr>
          <w:spacing w:val="-13"/>
        </w:rPr>
        <w:t> </w:t>
      </w:r>
      <w:r>
        <w:rPr>
          <w:i/>
        </w:rPr>
        <w:t>Pediatrics.</w:t>
      </w:r>
      <w:r>
        <w:rPr>
          <w:i/>
          <w:spacing w:val="-13"/>
        </w:rPr>
        <w:t> </w:t>
      </w:r>
      <w:r>
        <w:rPr/>
        <w:t>2014;134(6):1184-1192.</w:t>
      </w:r>
      <w:r>
        <w:rPr>
          <w:spacing w:val="-12"/>
        </w:rPr>
        <w:t> </w:t>
      </w:r>
      <w:r>
        <w:rPr/>
        <w:t>https:// </w:t>
      </w:r>
      <w:r>
        <w:rPr>
          <w:spacing w:val="-2"/>
        </w:rPr>
        <w:t>doi.org/10.1542/peds.2014-0772</w:t>
      </w:r>
    </w:p>
    <w:p>
      <w:pPr>
        <w:pStyle w:val="BodyText"/>
        <w:spacing w:before="10"/>
        <w:rPr>
          <w:sz w:val="25"/>
        </w:rPr>
      </w:pPr>
    </w:p>
    <w:p>
      <w:pPr>
        <w:pStyle w:val="BodyText"/>
        <w:ind w:left="640" w:hanging="360"/>
        <w:rPr>
          <w:i/>
        </w:rPr>
      </w:pPr>
      <w:r>
        <w:rPr/>
        <w:t>Gibson</w:t>
      </w:r>
      <w:r>
        <w:rPr>
          <w:spacing w:val="-4"/>
        </w:rPr>
        <w:t> </w:t>
      </w:r>
      <w:r>
        <w:rPr/>
        <w:t>DJ,</w:t>
      </w:r>
      <w:r>
        <w:rPr>
          <w:spacing w:val="-4"/>
        </w:rPr>
        <w:t> </w:t>
      </w:r>
      <w:r>
        <w:rPr/>
        <w:t>Glazier</w:t>
      </w:r>
      <w:r>
        <w:rPr>
          <w:spacing w:val="-4"/>
        </w:rPr>
        <w:t> </w:t>
      </w:r>
      <w:r>
        <w:rPr/>
        <w:t>JJ,</w:t>
      </w:r>
      <w:r>
        <w:rPr>
          <w:spacing w:val="-4"/>
        </w:rPr>
        <w:t> </w:t>
      </w:r>
      <w:r>
        <w:rPr/>
        <w:t>Olson</w:t>
      </w:r>
      <w:r>
        <w:rPr>
          <w:spacing w:val="-4"/>
        </w:rPr>
        <w:t> </w:t>
      </w:r>
      <w:r>
        <w:rPr/>
        <w:t>KR.</w:t>
      </w:r>
      <w:r>
        <w:rPr>
          <w:spacing w:val="-4"/>
        </w:rPr>
        <w:t> </w:t>
      </w:r>
      <w:r>
        <w:rPr/>
        <w:t>Evaluation</w:t>
      </w:r>
      <w:r>
        <w:rPr>
          <w:spacing w:val="-4"/>
        </w:rPr>
        <w:t> </w:t>
      </w:r>
      <w:r>
        <w:rPr/>
        <w:t>of</w:t>
      </w:r>
      <w:r>
        <w:rPr>
          <w:spacing w:val="-4"/>
        </w:rPr>
        <w:t> </w:t>
      </w:r>
      <w:r>
        <w:rPr/>
        <w:t>anxiety</w:t>
      </w:r>
      <w:r>
        <w:rPr>
          <w:spacing w:val="-4"/>
        </w:rPr>
        <w:t> </w:t>
      </w:r>
      <w:r>
        <w:rPr/>
        <w:t>and</w:t>
      </w:r>
      <w:r>
        <w:rPr>
          <w:spacing w:val="-4"/>
        </w:rPr>
        <w:t> </w:t>
      </w:r>
      <w:r>
        <w:rPr/>
        <w:t>depression</w:t>
      </w:r>
      <w:r>
        <w:rPr>
          <w:spacing w:val="-4"/>
        </w:rPr>
        <w:t> </w:t>
      </w:r>
      <w:r>
        <w:rPr/>
        <w:t>in</w:t>
      </w:r>
      <w:r>
        <w:rPr>
          <w:spacing w:val="-4"/>
        </w:rPr>
        <w:t> </w:t>
      </w:r>
      <w:r>
        <w:rPr/>
        <w:t>a community sample of transgender youth. </w:t>
      </w:r>
      <w:r>
        <w:rPr>
          <w:i/>
        </w:rPr>
        <w:t>JAMA Netw Open.</w:t>
      </w:r>
    </w:p>
    <w:p>
      <w:pPr>
        <w:spacing w:after="0"/>
        <w:sectPr>
          <w:pgSz w:w="12240" w:h="15840"/>
          <w:pgMar w:header="0" w:footer="783" w:top="1260" w:bottom="980" w:left="1400" w:right="1180"/>
        </w:sectPr>
      </w:pPr>
    </w:p>
    <w:p>
      <w:pPr>
        <w:pStyle w:val="BodyText"/>
        <w:spacing w:before="66"/>
        <w:ind w:left="640" w:right="673"/>
      </w:pPr>
      <w:r>
        <w:rPr/>
        <w:t>2021;4(4):e214739-e214739.</w:t>
      </w:r>
      <w:r>
        <w:rPr>
          <w:spacing w:val="-18"/>
        </w:rPr>
        <w:t> </w:t>
      </w:r>
      <w:r>
        <w:rPr/>
        <w:t>https://doi.org/10.1001/jamanetworkopen.20 </w:t>
      </w:r>
      <w:r>
        <w:rPr>
          <w:spacing w:val="-2"/>
        </w:rPr>
        <w:t>21.4739</w:t>
      </w:r>
    </w:p>
    <w:p>
      <w:pPr>
        <w:pStyle w:val="BodyText"/>
        <w:rPr>
          <w:sz w:val="26"/>
        </w:rPr>
      </w:pPr>
    </w:p>
    <w:p>
      <w:pPr>
        <w:pStyle w:val="BodyText"/>
        <w:ind w:left="640" w:right="502" w:hanging="360"/>
      </w:pPr>
      <w:r>
        <w:rPr/>
        <w:t>Russell ST, Pollitt</w:t>
      </w:r>
      <w:r>
        <w:rPr>
          <w:spacing w:val="-9"/>
        </w:rPr>
        <w:t> </w:t>
      </w:r>
      <w:r>
        <w:rPr/>
        <w:t>AM, Li G, Grossman</w:t>
      </w:r>
      <w:r>
        <w:rPr>
          <w:spacing w:val="-9"/>
        </w:rPr>
        <w:t> </w:t>
      </w:r>
      <w:r>
        <w:rPr/>
        <w:t>AH. Chosen name use is linked to reduced depressive symptoms, suicidal ideation, and suicidal behavior among</w:t>
      </w:r>
      <w:r>
        <w:rPr>
          <w:spacing w:val="-5"/>
        </w:rPr>
        <w:t> </w:t>
      </w:r>
      <w:r>
        <w:rPr/>
        <w:t>transgender</w:t>
      </w:r>
      <w:r>
        <w:rPr>
          <w:spacing w:val="-5"/>
        </w:rPr>
        <w:t> </w:t>
      </w:r>
      <w:r>
        <w:rPr/>
        <w:t>youth.</w:t>
      </w:r>
      <w:r>
        <w:rPr>
          <w:spacing w:val="-6"/>
        </w:rPr>
        <w:t> </w:t>
      </w:r>
      <w:r>
        <w:rPr>
          <w:i/>
        </w:rPr>
        <w:t>J</w:t>
      </w:r>
      <w:r>
        <w:rPr>
          <w:i/>
          <w:spacing w:val="-11"/>
        </w:rPr>
        <w:t> </w:t>
      </w:r>
      <w:r>
        <w:rPr>
          <w:i/>
        </w:rPr>
        <w:t>Adolesc</w:t>
      </w:r>
      <w:r>
        <w:rPr>
          <w:i/>
          <w:spacing w:val="-6"/>
        </w:rPr>
        <w:t> </w:t>
      </w:r>
      <w:r>
        <w:rPr>
          <w:i/>
        </w:rPr>
        <w:t>Health.</w:t>
      </w:r>
      <w:r>
        <w:rPr>
          <w:i/>
          <w:spacing w:val="-6"/>
        </w:rPr>
        <w:t> </w:t>
      </w:r>
      <w:r>
        <w:rPr/>
        <w:t>2018;63(4):503-505.</w:t>
      </w:r>
      <w:r>
        <w:rPr>
          <w:spacing w:val="-5"/>
        </w:rPr>
        <w:t> </w:t>
      </w:r>
      <w:r>
        <w:rPr/>
        <w:t>https:// doi.org/10.1016/j.jadohealth.2018.02.0 03</w:t>
      </w:r>
    </w:p>
    <w:p>
      <w:pPr>
        <w:pStyle w:val="BodyText"/>
        <w:spacing w:before="7"/>
        <w:rPr>
          <w:sz w:val="25"/>
        </w:rPr>
      </w:pPr>
    </w:p>
    <w:p>
      <w:pPr>
        <w:pStyle w:val="BodyText"/>
        <w:spacing w:before="1"/>
        <w:ind w:left="640" w:right="791" w:hanging="360"/>
      </w:pPr>
      <w:r>
        <w:rPr/>
        <w:t>Pariseau EM, Chevalier L, Long KA, Clapham R, Edwards-Leeper L, Tishelman</w:t>
      </w:r>
      <w:r>
        <w:rPr>
          <w:spacing w:val="-18"/>
        </w:rPr>
        <w:t> </w:t>
      </w:r>
      <w:r>
        <w:rPr/>
        <w:t>AC.</w:t>
      </w:r>
      <w:r>
        <w:rPr>
          <w:spacing w:val="-16"/>
        </w:rPr>
        <w:t> </w:t>
      </w:r>
      <w:r>
        <w:rPr/>
        <w:t>The</w:t>
      </w:r>
      <w:r>
        <w:rPr>
          <w:spacing w:val="-8"/>
        </w:rPr>
        <w:t> </w:t>
      </w:r>
      <w:r>
        <w:rPr/>
        <w:t>relationship</w:t>
      </w:r>
      <w:r>
        <w:rPr>
          <w:spacing w:val="-7"/>
        </w:rPr>
        <w:t> </w:t>
      </w:r>
      <w:r>
        <w:rPr/>
        <w:t>between</w:t>
      </w:r>
      <w:r>
        <w:rPr>
          <w:spacing w:val="-7"/>
        </w:rPr>
        <w:t> </w:t>
      </w:r>
      <w:r>
        <w:rPr/>
        <w:t>family</w:t>
      </w:r>
      <w:r>
        <w:rPr>
          <w:spacing w:val="-7"/>
        </w:rPr>
        <w:t> </w:t>
      </w:r>
      <w:r>
        <w:rPr/>
        <w:t>acceptance-rejection</w:t>
      </w:r>
      <w:r>
        <w:rPr>
          <w:spacing w:val="-7"/>
        </w:rPr>
        <w:t> </w:t>
      </w:r>
      <w:r>
        <w:rPr/>
        <w:t>and transgender youth psychosocial functioning. </w:t>
      </w:r>
      <w:r>
        <w:rPr>
          <w:i/>
        </w:rPr>
        <w:t>Clin Pract Pediatr Psychol</w:t>
      </w:r>
      <w:r>
        <w:rPr/>
        <w:t>. 2019;7(3):267-277. https://doi.org/10.1037/cpp0000291</w:t>
      </w:r>
    </w:p>
    <w:p>
      <w:pPr>
        <w:pStyle w:val="BodyText"/>
        <w:spacing w:before="7"/>
        <w:rPr>
          <w:sz w:val="25"/>
        </w:rPr>
      </w:pPr>
    </w:p>
    <w:p>
      <w:pPr>
        <w:pStyle w:val="BodyText"/>
        <w:ind w:left="640" w:right="502" w:hanging="360"/>
      </w:pPr>
      <w:r>
        <w:rPr/>
        <w:t>Blashill</w:t>
      </w:r>
      <w:r>
        <w:rPr>
          <w:spacing w:val="-18"/>
        </w:rPr>
        <w:t> </w:t>
      </w:r>
      <w:r>
        <w:rPr/>
        <w:t>AJ,</w:t>
      </w:r>
      <w:r>
        <w:rPr>
          <w:spacing w:val="-13"/>
        </w:rPr>
        <w:t> </w:t>
      </w:r>
      <w:r>
        <w:rPr/>
        <w:t>Fox</w:t>
      </w:r>
      <w:r>
        <w:rPr>
          <w:spacing w:val="-7"/>
        </w:rPr>
        <w:t> </w:t>
      </w:r>
      <w:r>
        <w:rPr/>
        <w:t>K,</w:t>
      </w:r>
      <w:r>
        <w:rPr>
          <w:spacing w:val="-7"/>
        </w:rPr>
        <w:t> </w:t>
      </w:r>
      <w:r>
        <w:rPr/>
        <w:t>Feinstein</w:t>
      </w:r>
      <w:r>
        <w:rPr>
          <w:spacing w:val="-7"/>
        </w:rPr>
        <w:t> </w:t>
      </w:r>
      <w:r>
        <w:rPr/>
        <w:t>BA,</w:t>
      </w:r>
      <w:r>
        <w:rPr>
          <w:spacing w:val="-18"/>
        </w:rPr>
        <w:t> </w:t>
      </w:r>
      <w:r>
        <w:rPr/>
        <w:t>Albright</w:t>
      </w:r>
      <w:r>
        <w:rPr>
          <w:spacing w:val="-6"/>
        </w:rPr>
        <w:t> </w:t>
      </w:r>
      <w:r>
        <w:rPr/>
        <w:t>CA,</w:t>
      </w:r>
      <w:r>
        <w:rPr>
          <w:spacing w:val="-7"/>
        </w:rPr>
        <w:t> </w:t>
      </w:r>
      <w:r>
        <w:rPr/>
        <w:t>Calzo</w:t>
      </w:r>
      <w:r>
        <w:rPr>
          <w:spacing w:val="-7"/>
        </w:rPr>
        <w:t> </w:t>
      </w:r>
      <w:r>
        <w:rPr/>
        <w:t>JP.</w:t>
      </w:r>
      <w:r>
        <w:rPr>
          <w:spacing w:val="-7"/>
        </w:rPr>
        <w:t> </w:t>
      </w:r>
      <w:r>
        <w:rPr/>
        <w:t>Nonsuicidal</w:t>
      </w:r>
      <w:r>
        <w:rPr>
          <w:spacing w:val="-7"/>
        </w:rPr>
        <w:t> </w:t>
      </w:r>
      <w:r>
        <w:rPr/>
        <w:t>self- injury, suicide ideation, and suicide attempts among sexual minority children. </w:t>
      </w:r>
      <w:r>
        <w:rPr>
          <w:i/>
        </w:rPr>
        <w:t>J Consult Clin Psychol. </w:t>
      </w:r>
      <w:r>
        <w:rPr/>
        <w:t>2021;89(2):73–80. https://doi.org/ </w:t>
      </w:r>
      <w:r>
        <w:rPr>
          <w:spacing w:val="-2"/>
        </w:rPr>
        <w:t>10.1037/ccp0000624</w:t>
      </w:r>
    </w:p>
    <w:p>
      <w:pPr>
        <w:pStyle w:val="BodyText"/>
        <w:spacing w:before="8"/>
        <w:rPr>
          <w:sz w:val="25"/>
        </w:rPr>
      </w:pPr>
    </w:p>
    <w:p>
      <w:pPr>
        <w:pStyle w:val="BodyText"/>
        <w:ind w:left="640" w:right="502" w:hanging="360"/>
        <w:rPr>
          <w:i/>
        </w:rPr>
      </w:pPr>
      <w:r>
        <w:rPr/>
        <w:t>La</w:t>
      </w:r>
      <w:r>
        <w:rPr>
          <w:spacing w:val="-13"/>
        </w:rPr>
        <w:t> </w:t>
      </w:r>
      <w:r>
        <w:rPr/>
        <w:t>Roi</w:t>
      </w:r>
      <w:r>
        <w:rPr>
          <w:spacing w:val="-8"/>
        </w:rPr>
        <w:t> </w:t>
      </w:r>
      <w:r>
        <w:rPr/>
        <w:t>C,</w:t>
      </w:r>
      <w:r>
        <w:rPr>
          <w:spacing w:val="-8"/>
        </w:rPr>
        <w:t> </w:t>
      </w:r>
      <w:r>
        <w:rPr/>
        <w:t>Kretschmer</w:t>
      </w:r>
      <w:r>
        <w:rPr>
          <w:spacing w:val="-13"/>
        </w:rPr>
        <w:t> </w:t>
      </w:r>
      <w:r>
        <w:rPr/>
        <w:t>T,</w:t>
      </w:r>
      <w:r>
        <w:rPr>
          <w:spacing w:val="-8"/>
        </w:rPr>
        <w:t> </w:t>
      </w:r>
      <w:r>
        <w:rPr/>
        <w:t>Dijkstra</w:t>
      </w:r>
      <w:r>
        <w:rPr>
          <w:spacing w:val="-9"/>
        </w:rPr>
        <w:t> </w:t>
      </w:r>
      <w:r>
        <w:rPr/>
        <w:t>JK,</w:t>
      </w:r>
      <w:r>
        <w:rPr>
          <w:spacing w:val="-13"/>
        </w:rPr>
        <w:t> </w:t>
      </w:r>
      <w:r>
        <w:rPr/>
        <w:t>Veenstra</w:t>
      </w:r>
      <w:r>
        <w:rPr>
          <w:spacing w:val="-9"/>
        </w:rPr>
        <w:t> </w:t>
      </w:r>
      <w:r>
        <w:rPr/>
        <w:t>R,</w:t>
      </w:r>
      <w:r>
        <w:rPr>
          <w:spacing w:val="-8"/>
        </w:rPr>
        <w:t> </w:t>
      </w:r>
      <w:r>
        <w:rPr/>
        <w:t>Oldehinkel</w:t>
      </w:r>
      <w:r>
        <w:rPr>
          <w:spacing w:val="-18"/>
        </w:rPr>
        <w:t> </w:t>
      </w:r>
      <w:r>
        <w:rPr/>
        <w:t>AJ.</w:t>
      </w:r>
      <w:r>
        <w:rPr>
          <w:spacing w:val="-7"/>
        </w:rPr>
        <w:t> </w:t>
      </w:r>
      <w:r>
        <w:rPr/>
        <w:t>Disparities</w:t>
      </w:r>
      <w:r>
        <w:rPr>
          <w:spacing w:val="-8"/>
        </w:rPr>
        <w:t> </w:t>
      </w:r>
      <w:r>
        <w:rPr/>
        <w:t>in depressive symptoms between heterosexual and lesbian, gay, and bisexual youth in a Dutch cohort: The TRAILS Study. </w:t>
      </w:r>
      <w:r>
        <w:rPr>
          <w:i/>
        </w:rPr>
        <w:t>J Youth Adolesc.</w:t>
      </w:r>
    </w:p>
    <w:p>
      <w:pPr>
        <w:pStyle w:val="BodyText"/>
        <w:spacing w:line="316" w:lineRule="exact"/>
        <w:ind w:left="640"/>
      </w:pPr>
      <w:r>
        <w:rPr/>
        <w:t>2016;45:440-456.</w:t>
      </w:r>
      <w:r>
        <w:rPr>
          <w:spacing w:val="-7"/>
        </w:rPr>
        <w:t> </w:t>
      </w:r>
      <w:r>
        <w:rPr/>
        <w:t>https://doi.org/10.1007/s10964-015-0403-</w:t>
      </w:r>
      <w:r>
        <w:rPr>
          <w:spacing w:val="-5"/>
        </w:rPr>
        <w:t>0\</w:t>
      </w:r>
    </w:p>
    <w:p>
      <w:pPr>
        <w:pStyle w:val="BodyText"/>
        <w:spacing w:before="2"/>
        <w:rPr>
          <w:sz w:val="26"/>
        </w:rPr>
      </w:pPr>
    </w:p>
    <w:p>
      <w:pPr>
        <w:pStyle w:val="BodyText"/>
        <w:ind w:left="640" w:right="503" w:hanging="360"/>
      </w:pPr>
      <w:r>
        <w:rPr/>
        <w:t>Schuster</w:t>
      </w:r>
      <w:r>
        <w:rPr>
          <w:spacing w:val="-5"/>
        </w:rPr>
        <w:t> </w:t>
      </w:r>
      <w:r>
        <w:rPr/>
        <w:t>MA,</w:t>
      </w:r>
      <w:r>
        <w:rPr>
          <w:spacing w:val="-3"/>
        </w:rPr>
        <w:t> </w:t>
      </w:r>
      <w:r>
        <w:rPr/>
        <w:t>Bogart</w:t>
      </w:r>
      <w:r>
        <w:rPr>
          <w:spacing w:val="-3"/>
        </w:rPr>
        <w:t> </w:t>
      </w:r>
      <w:r>
        <w:rPr/>
        <w:t>LM,</w:t>
      </w:r>
      <w:r>
        <w:rPr>
          <w:spacing w:val="-3"/>
        </w:rPr>
        <w:t> </w:t>
      </w:r>
      <w:r>
        <w:rPr/>
        <w:t>Elliott</w:t>
      </w:r>
      <w:r>
        <w:rPr>
          <w:spacing w:val="-3"/>
        </w:rPr>
        <w:t> </w:t>
      </w:r>
      <w:r>
        <w:rPr/>
        <w:t>MN,</w:t>
      </w:r>
      <w:r>
        <w:rPr>
          <w:spacing w:val="-3"/>
        </w:rPr>
        <w:t> </w:t>
      </w:r>
      <w:r>
        <w:rPr/>
        <w:t>et</w:t>
      </w:r>
      <w:r>
        <w:rPr>
          <w:spacing w:val="-3"/>
        </w:rPr>
        <w:t> </w:t>
      </w:r>
      <w:r>
        <w:rPr/>
        <w:t>al.</w:t>
      </w:r>
      <w:r>
        <w:rPr>
          <w:spacing w:val="-18"/>
        </w:rPr>
        <w:t> </w:t>
      </w:r>
      <w:r>
        <w:rPr/>
        <w:t>A</w:t>
      </w:r>
      <w:r>
        <w:rPr>
          <w:spacing w:val="-17"/>
        </w:rPr>
        <w:t> </w:t>
      </w:r>
      <w:r>
        <w:rPr/>
        <w:t>longitudinal</w:t>
      </w:r>
      <w:r>
        <w:rPr>
          <w:spacing w:val="-3"/>
        </w:rPr>
        <w:t> </w:t>
      </w:r>
      <w:r>
        <w:rPr/>
        <w:t>study</w:t>
      </w:r>
      <w:r>
        <w:rPr>
          <w:spacing w:val="-3"/>
        </w:rPr>
        <w:t> </w:t>
      </w:r>
      <w:r>
        <w:rPr/>
        <w:t>of</w:t>
      </w:r>
      <w:r>
        <w:rPr>
          <w:spacing w:val="-3"/>
        </w:rPr>
        <w:t> </w:t>
      </w:r>
      <w:r>
        <w:rPr/>
        <w:t>bullying</w:t>
      </w:r>
      <w:r>
        <w:rPr>
          <w:spacing w:val="-3"/>
        </w:rPr>
        <w:t> </w:t>
      </w:r>
      <w:r>
        <w:rPr/>
        <w:t>of sexual-minority youth. </w:t>
      </w:r>
      <w:r>
        <w:rPr>
          <w:i/>
        </w:rPr>
        <w:t>N Engl J Med. </w:t>
      </w:r>
      <w:r>
        <w:rPr/>
        <w:t>2015;372:18721874. https://doi.org/ </w:t>
      </w:r>
      <w:r>
        <w:rPr>
          <w:spacing w:val="-2"/>
        </w:rPr>
        <w:t>10.1056/NEJMc1413064</w:t>
      </w:r>
    </w:p>
    <w:p>
      <w:pPr>
        <w:pStyle w:val="BodyText"/>
        <w:rPr>
          <w:sz w:val="30"/>
        </w:rPr>
      </w:pPr>
    </w:p>
    <w:p>
      <w:pPr>
        <w:pStyle w:val="BodyText"/>
        <w:spacing w:before="1"/>
        <w:rPr>
          <w:sz w:val="25"/>
        </w:rPr>
      </w:pPr>
    </w:p>
    <w:p>
      <w:pPr>
        <w:pStyle w:val="BodyText"/>
        <w:spacing w:before="1"/>
        <w:ind w:left="640" w:right="709" w:hanging="360"/>
        <w:jc w:val="both"/>
      </w:pPr>
      <w:r>
        <w:rPr/>
        <w:t>Luk</w:t>
      </w:r>
      <w:r>
        <w:rPr>
          <w:spacing w:val="-7"/>
        </w:rPr>
        <w:t> </w:t>
      </w:r>
      <w:r>
        <w:rPr/>
        <w:t>JW,</w:t>
      </w:r>
      <w:r>
        <w:rPr>
          <w:spacing w:val="-7"/>
        </w:rPr>
        <w:t> </w:t>
      </w:r>
      <w:r>
        <w:rPr/>
        <w:t>Gilman</w:t>
      </w:r>
      <w:r>
        <w:rPr>
          <w:spacing w:val="-7"/>
        </w:rPr>
        <w:t> </w:t>
      </w:r>
      <w:r>
        <w:rPr/>
        <w:t>SE,</w:t>
      </w:r>
      <w:r>
        <w:rPr>
          <w:spacing w:val="-7"/>
        </w:rPr>
        <w:t> </w:t>
      </w:r>
      <w:r>
        <w:rPr/>
        <w:t>Haynie</w:t>
      </w:r>
      <w:r>
        <w:rPr>
          <w:spacing w:val="-8"/>
        </w:rPr>
        <w:t> </w:t>
      </w:r>
      <w:r>
        <w:rPr/>
        <w:t>DL,</w:t>
      </w:r>
      <w:r>
        <w:rPr>
          <w:spacing w:val="-7"/>
        </w:rPr>
        <w:t> </w:t>
      </w:r>
      <w:r>
        <w:rPr/>
        <w:t>Simons-Morton</w:t>
      </w:r>
      <w:r>
        <w:rPr>
          <w:spacing w:val="-7"/>
        </w:rPr>
        <w:t> </w:t>
      </w:r>
      <w:r>
        <w:rPr/>
        <w:t>BG.</w:t>
      </w:r>
      <w:r>
        <w:rPr>
          <w:spacing w:val="-7"/>
        </w:rPr>
        <w:t> </w:t>
      </w:r>
      <w:r>
        <w:rPr/>
        <w:t>Sexual</w:t>
      </w:r>
      <w:r>
        <w:rPr>
          <w:spacing w:val="-7"/>
        </w:rPr>
        <w:t> </w:t>
      </w:r>
      <w:r>
        <w:rPr/>
        <w:t>orientation</w:t>
      </w:r>
      <w:r>
        <w:rPr>
          <w:spacing w:val="-7"/>
        </w:rPr>
        <w:t> </w:t>
      </w:r>
      <w:r>
        <w:rPr/>
        <w:t>and depressive symptoms in adolescents. </w:t>
      </w:r>
      <w:r>
        <w:rPr>
          <w:i/>
        </w:rPr>
        <w:t>Pediatrics</w:t>
      </w:r>
      <w:r>
        <w:rPr/>
        <w:t>. 2018;141(5):e20173309. </w:t>
      </w:r>
      <w:r>
        <w:rPr>
          <w:spacing w:val="-2"/>
        </w:rPr>
        <w:t>https://doi.org/10.1542/peds.2017-3309</w:t>
      </w:r>
    </w:p>
    <w:p>
      <w:pPr>
        <w:pStyle w:val="BodyText"/>
        <w:spacing w:before="9"/>
        <w:rPr>
          <w:sz w:val="25"/>
        </w:rPr>
      </w:pPr>
    </w:p>
    <w:p>
      <w:pPr>
        <w:pStyle w:val="BodyText"/>
        <w:ind w:left="640" w:right="668" w:hanging="360"/>
      </w:pPr>
      <w:r>
        <w:rPr/>
        <w:t>Plöderl</w:t>
      </w:r>
      <w:r>
        <w:rPr>
          <w:spacing w:val="-18"/>
        </w:rPr>
        <w:t> </w:t>
      </w:r>
      <w:r>
        <w:rPr/>
        <w:t>M,</w:t>
      </w:r>
      <w:r>
        <w:rPr>
          <w:spacing w:val="-13"/>
        </w:rPr>
        <w:t> </w:t>
      </w:r>
      <w:r>
        <w:rPr/>
        <w:t>Tremblay</w:t>
      </w:r>
      <w:r>
        <w:rPr>
          <w:spacing w:val="-9"/>
        </w:rPr>
        <w:t> </w:t>
      </w:r>
      <w:r>
        <w:rPr/>
        <w:t>P.</w:t>
      </w:r>
      <w:r>
        <w:rPr>
          <w:spacing w:val="-9"/>
        </w:rPr>
        <w:t> </w:t>
      </w:r>
      <w:r>
        <w:rPr/>
        <w:t>Mental</w:t>
      </w:r>
      <w:r>
        <w:rPr>
          <w:spacing w:val="-9"/>
        </w:rPr>
        <w:t> </w:t>
      </w:r>
      <w:r>
        <w:rPr/>
        <w:t>health</w:t>
      </w:r>
      <w:r>
        <w:rPr>
          <w:spacing w:val="-9"/>
        </w:rPr>
        <w:t> </w:t>
      </w:r>
      <w:r>
        <w:rPr/>
        <w:t>of</w:t>
      </w:r>
      <w:r>
        <w:rPr>
          <w:spacing w:val="-9"/>
        </w:rPr>
        <w:t> </w:t>
      </w:r>
      <w:r>
        <w:rPr/>
        <w:t>sexual</w:t>
      </w:r>
      <w:r>
        <w:rPr>
          <w:spacing w:val="-9"/>
        </w:rPr>
        <w:t> </w:t>
      </w:r>
      <w:r>
        <w:rPr/>
        <w:t>minorities.</w:t>
      </w:r>
      <w:r>
        <w:rPr>
          <w:spacing w:val="-18"/>
        </w:rPr>
        <w:t> </w:t>
      </w:r>
      <w:r>
        <w:rPr/>
        <w:t>A</w:t>
      </w:r>
      <w:r>
        <w:rPr>
          <w:spacing w:val="-17"/>
        </w:rPr>
        <w:t> </w:t>
      </w:r>
      <w:r>
        <w:rPr/>
        <w:t>systematic review. </w:t>
      </w:r>
      <w:r>
        <w:rPr>
          <w:i/>
        </w:rPr>
        <w:t>Int Rev Psychiatry. </w:t>
      </w:r>
      <w:r>
        <w:rPr/>
        <w:t>2015;27(5), 367–385. https://doi.org/ 10.3109/09540261.2015.10839 49</w:t>
      </w:r>
    </w:p>
    <w:p>
      <w:pPr>
        <w:pStyle w:val="BodyText"/>
        <w:spacing w:before="10"/>
        <w:rPr>
          <w:sz w:val="25"/>
        </w:rPr>
      </w:pPr>
    </w:p>
    <w:p>
      <w:pPr>
        <w:pStyle w:val="BodyText"/>
        <w:ind w:left="640" w:right="813" w:hanging="360"/>
        <w:jc w:val="both"/>
      </w:pPr>
      <w:r>
        <w:rPr/>
        <w:t>Raifman J, Charlton BM,</w:t>
      </w:r>
      <w:r>
        <w:rPr>
          <w:spacing w:val="-15"/>
        </w:rPr>
        <w:t> </w:t>
      </w:r>
      <w:r>
        <w:rPr/>
        <w:t>Arrington-Sanders R, et al. Sexual orientation and suicide</w:t>
      </w:r>
      <w:r>
        <w:rPr>
          <w:spacing w:val="-6"/>
        </w:rPr>
        <w:t> </w:t>
      </w:r>
      <w:r>
        <w:rPr/>
        <w:t>attempt</w:t>
      </w:r>
      <w:r>
        <w:rPr>
          <w:spacing w:val="-6"/>
        </w:rPr>
        <w:t> </w:t>
      </w:r>
      <w:r>
        <w:rPr/>
        <w:t>disparities</w:t>
      </w:r>
      <w:r>
        <w:rPr>
          <w:spacing w:val="-6"/>
        </w:rPr>
        <w:t> </w:t>
      </w:r>
      <w:r>
        <w:rPr/>
        <w:t>among</w:t>
      </w:r>
      <w:r>
        <w:rPr>
          <w:spacing w:val="-6"/>
        </w:rPr>
        <w:t> </w:t>
      </w:r>
      <w:r>
        <w:rPr/>
        <w:t>us</w:t>
      </w:r>
      <w:r>
        <w:rPr>
          <w:spacing w:val="-6"/>
        </w:rPr>
        <w:t> </w:t>
      </w:r>
      <w:r>
        <w:rPr/>
        <w:t>adolescents:</w:t>
      </w:r>
      <w:r>
        <w:rPr>
          <w:spacing w:val="-6"/>
        </w:rPr>
        <w:t> </w:t>
      </w:r>
      <w:r>
        <w:rPr/>
        <w:t>2009–2017.</w:t>
      </w:r>
      <w:r>
        <w:rPr>
          <w:spacing w:val="-6"/>
        </w:rPr>
        <w:t> </w:t>
      </w:r>
      <w:r>
        <w:rPr>
          <w:i/>
        </w:rPr>
        <w:t>Pediatrics.</w:t>
      </w:r>
      <w:r>
        <w:rPr>
          <w:i/>
        </w:rPr>
        <w:t> </w:t>
      </w:r>
      <w:r>
        <w:rPr/>
        <w:t>2020;145(3):e20191658. https://doi.org/10.1542/peds.2019-1658</w:t>
      </w:r>
    </w:p>
    <w:p>
      <w:pPr>
        <w:pStyle w:val="BodyText"/>
        <w:spacing w:before="9"/>
        <w:rPr>
          <w:sz w:val="25"/>
        </w:rPr>
      </w:pPr>
    </w:p>
    <w:p>
      <w:pPr>
        <w:pStyle w:val="BodyText"/>
        <w:ind w:left="640" w:right="696" w:hanging="360"/>
        <w:jc w:val="both"/>
      </w:pPr>
      <w:r>
        <w:rPr/>
        <w:t>Johns MM, Lowry R, Rasberry CN, et al. Violence victimization, substance use,</w:t>
      </w:r>
      <w:r>
        <w:rPr>
          <w:spacing w:val="-2"/>
        </w:rPr>
        <w:t> </w:t>
      </w:r>
      <w:r>
        <w:rPr/>
        <w:t>and</w:t>
      </w:r>
      <w:r>
        <w:rPr>
          <w:spacing w:val="-1"/>
        </w:rPr>
        <w:t> </w:t>
      </w:r>
      <w:r>
        <w:rPr/>
        <w:t>suicide</w:t>
      </w:r>
      <w:r>
        <w:rPr>
          <w:spacing w:val="-2"/>
        </w:rPr>
        <w:t> </w:t>
      </w:r>
      <w:r>
        <w:rPr/>
        <w:t>risk</w:t>
      </w:r>
      <w:r>
        <w:rPr>
          <w:spacing w:val="-1"/>
        </w:rPr>
        <w:t> </w:t>
      </w:r>
      <w:r>
        <w:rPr/>
        <w:t>among</w:t>
      </w:r>
      <w:r>
        <w:rPr>
          <w:spacing w:val="-1"/>
        </w:rPr>
        <w:t> </w:t>
      </w:r>
      <w:r>
        <w:rPr/>
        <w:t>sexual</w:t>
      </w:r>
      <w:r>
        <w:rPr>
          <w:spacing w:val="-1"/>
        </w:rPr>
        <w:t> </w:t>
      </w:r>
      <w:r>
        <w:rPr/>
        <w:t>minority</w:t>
      </w:r>
      <w:r>
        <w:rPr>
          <w:spacing w:val="-1"/>
        </w:rPr>
        <w:t> </w:t>
      </w:r>
      <w:r>
        <w:rPr/>
        <w:t>high</w:t>
      </w:r>
      <w:r>
        <w:rPr>
          <w:spacing w:val="-1"/>
        </w:rPr>
        <w:t> </w:t>
      </w:r>
      <w:r>
        <w:rPr/>
        <w:t>school</w:t>
      </w:r>
      <w:r>
        <w:rPr>
          <w:spacing w:val="-1"/>
        </w:rPr>
        <w:t> </w:t>
      </w:r>
      <w:r>
        <w:rPr/>
        <w:t>students—</w:t>
      </w:r>
      <w:r>
        <w:rPr>
          <w:spacing w:val="-2"/>
        </w:rPr>
        <w:t>United</w:t>
      </w:r>
    </w:p>
    <w:p>
      <w:pPr>
        <w:spacing w:after="0"/>
        <w:jc w:val="both"/>
        <w:sectPr>
          <w:pgSz w:w="12240" w:h="15840"/>
          <w:pgMar w:header="0" w:footer="783" w:top="1260" w:bottom="980" w:left="1400" w:right="1180"/>
        </w:sectPr>
      </w:pPr>
    </w:p>
    <w:p>
      <w:pPr>
        <w:spacing w:before="66"/>
        <w:ind w:left="640" w:right="0" w:firstLine="0"/>
        <w:jc w:val="left"/>
        <w:rPr>
          <w:sz w:val="28"/>
        </w:rPr>
      </w:pPr>
      <w:r>
        <w:rPr>
          <w:sz w:val="28"/>
        </w:rPr>
        <w:t>States,</w:t>
      </w:r>
      <w:r>
        <w:rPr>
          <w:spacing w:val="-7"/>
          <w:sz w:val="28"/>
        </w:rPr>
        <w:t> </w:t>
      </w:r>
      <w:r>
        <w:rPr>
          <w:sz w:val="28"/>
        </w:rPr>
        <w:t>2015–2017.</w:t>
      </w:r>
      <w:r>
        <w:rPr>
          <w:spacing w:val="-7"/>
          <w:sz w:val="28"/>
        </w:rPr>
        <w:t> </w:t>
      </w:r>
      <w:r>
        <w:rPr>
          <w:i/>
          <w:sz w:val="28"/>
        </w:rPr>
        <w:t>MMWR</w:t>
      </w:r>
      <w:r>
        <w:rPr>
          <w:i/>
          <w:spacing w:val="-8"/>
          <w:sz w:val="28"/>
        </w:rPr>
        <w:t> </w:t>
      </w:r>
      <w:r>
        <w:rPr>
          <w:i/>
          <w:sz w:val="28"/>
        </w:rPr>
        <w:t>Morb</w:t>
      </w:r>
      <w:r>
        <w:rPr>
          <w:i/>
          <w:spacing w:val="-7"/>
          <w:sz w:val="28"/>
        </w:rPr>
        <w:t> </w:t>
      </w:r>
      <w:r>
        <w:rPr>
          <w:i/>
          <w:sz w:val="28"/>
        </w:rPr>
        <w:t>Mortal</w:t>
      </w:r>
      <w:r>
        <w:rPr>
          <w:i/>
          <w:spacing w:val="-7"/>
          <w:sz w:val="28"/>
        </w:rPr>
        <w:t> </w:t>
      </w:r>
      <w:r>
        <w:rPr>
          <w:i/>
          <w:sz w:val="28"/>
        </w:rPr>
        <w:t>Wkly</w:t>
      </w:r>
      <w:r>
        <w:rPr>
          <w:i/>
          <w:spacing w:val="-8"/>
          <w:sz w:val="28"/>
        </w:rPr>
        <w:t> </w:t>
      </w:r>
      <w:r>
        <w:rPr>
          <w:i/>
          <w:sz w:val="28"/>
        </w:rPr>
        <w:t>Rep</w:t>
      </w:r>
      <w:r>
        <w:rPr>
          <w:sz w:val="28"/>
        </w:rPr>
        <w:t>.</w:t>
      </w:r>
      <w:r>
        <w:rPr>
          <w:spacing w:val="-7"/>
          <w:sz w:val="28"/>
        </w:rPr>
        <w:t> </w:t>
      </w:r>
      <w:r>
        <w:rPr>
          <w:sz w:val="28"/>
        </w:rPr>
        <w:t>2018;67(43):1211. </w:t>
      </w:r>
      <w:r>
        <w:rPr>
          <w:spacing w:val="-2"/>
          <w:sz w:val="28"/>
        </w:rPr>
        <w:t>https://doi.org/10.15585/mmwr.mm6743a4</w:t>
      </w:r>
    </w:p>
    <w:p>
      <w:pPr>
        <w:pStyle w:val="BodyText"/>
        <w:rPr>
          <w:sz w:val="26"/>
        </w:rPr>
      </w:pPr>
    </w:p>
    <w:p>
      <w:pPr>
        <w:pStyle w:val="BodyText"/>
        <w:ind w:left="640" w:hanging="360"/>
      </w:pPr>
      <w:r>
        <w:rPr/>
        <w:t>Price-Feeney M, Green</w:t>
      </w:r>
      <w:r>
        <w:rPr>
          <w:spacing w:val="-7"/>
        </w:rPr>
        <w:t> </w:t>
      </w:r>
      <w:r>
        <w:rPr/>
        <w:t>AE, Dorison S. Understanding the mental health of transgender</w:t>
      </w:r>
      <w:r>
        <w:rPr>
          <w:spacing w:val="-5"/>
        </w:rPr>
        <w:t> </w:t>
      </w:r>
      <w:r>
        <w:rPr/>
        <w:t>and</w:t>
      </w:r>
      <w:r>
        <w:rPr>
          <w:spacing w:val="-5"/>
        </w:rPr>
        <w:t> </w:t>
      </w:r>
      <w:r>
        <w:rPr/>
        <w:t>nonbinary</w:t>
      </w:r>
      <w:r>
        <w:rPr>
          <w:spacing w:val="-5"/>
        </w:rPr>
        <w:t> </w:t>
      </w:r>
      <w:r>
        <w:rPr/>
        <w:t>youth.</w:t>
      </w:r>
      <w:r>
        <w:rPr>
          <w:spacing w:val="-6"/>
        </w:rPr>
        <w:t> </w:t>
      </w:r>
      <w:r>
        <w:rPr>
          <w:i/>
        </w:rPr>
        <w:t>J</w:t>
      </w:r>
      <w:r>
        <w:rPr>
          <w:i/>
          <w:spacing w:val="-11"/>
        </w:rPr>
        <w:t> </w:t>
      </w:r>
      <w:r>
        <w:rPr>
          <w:i/>
        </w:rPr>
        <w:t>Adolesc</w:t>
      </w:r>
      <w:r>
        <w:rPr>
          <w:i/>
          <w:spacing w:val="-6"/>
        </w:rPr>
        <w:t> </w:t>
      </w:r>
      <w:r>
        <w:rPr>
          <w:i/>
        </w:rPr>
        <w:t>Health.</w:t>
      </w:r>
      <w:r>
        <w:rPr>
          <w:i/>
          <w:spacing w:val="-6"/>
        </w:rPr>
        <w:t> </w:t>
      </w:r>
      <w:r>
        <w:rPr/>
        <w:t>2020;66(6):684-690. https://doi.org/10.1016/j.jadohealth.2019.11.3 14</w:t>
      </w:r>
    </w:p>
    <w:p>
      <w:pPr>
        <w:pStyle w:val="BodyText"/>
        <w:spacing w:before="9"/>
        <w:rPr>
          <w:sz w:val="25"/>
        </w:rPr>
      </w:pPr>
    </w:p>
    <w:p>
      <w:pPr>
        <w:pStyle w:val="BodyText"/>
        <w:spacing w:before="1"/>
        <w:ind w:left="640" w:right="499" w:hanging="360"/>
      </w:pPr>
      <w:r>
        <w:rPr/>
        <w:t>Craig SL,</w:t>
      </w:r>
      <w:r>
        <w:rPr>
          <w:spacing w:val="-7"/>
        </w:rPr>
        <w:t> </w:t>
      </w:r>
      <w:r>
        <w:rPr/>
        <w:t>Austin</w:t>
      </w:r>
      <w:r>
        <w:rPr>
          <w:spacing w:val="-7"/>
        </w:rPr>
        <w:t> </w:t>
      </w:r>
      <w:r>
        <w:rPr/>
        <w:t>A, Levenson J, Leung VW, Eaton</w:t>
      </w:r>
      <w:r>
        <w:rPr>
          <w:spacing w:val="-7"/>
        </w:rPr>
        <w:t> </w:t>
      </w:r>
      <w:r>
        <w:rPr/>
        <w:t>AD, D’Souza SA. Frequencies</w:t>
      </w:r>
      <w:r>
        <w:rPr>
          <w:spacing w:val="-5"/>
        </w:rPr>
        <w:t> </w:t>
      </w:r>
      <w:r>
        <w:rPr/>
        <w:t>and</w:t>
      </w:r>
      <w:r>
        <w:rPr>
          <w:spacing w:val="-5"/>
        </w:rPr>
        <w:t> </w:t>
      </w:r>
      <w:r>
        <w:rPr/>
        <w:t>patterns</w:t>
      </w:r>
      <w:r>
        <w:rPr>
          <w:spacing w:val="-5"/>
        </w:rPr>
        <w:t> </w:t>
      </w:r>
      <w:r>
        <w:rPr/>
        <w:t>of</w:t>
      </w:r>
      <w:r>
        <w:rPr>
          <w:spacing w:val="-5"/>
        </w:rPr>
        <w:t> </w:t>
      </w:r>
      <w:r>
        <w:rPr/>
        <w:t>adverse</w:t>
      </w:r>
      <w:r>
        <w:rPr>
          <w:spacing w:val="-6"/>
        </w:rPr>
        <w:t> </w:t>
      </w:r>
      <w:r>
        <w:rPr/>
        <w:t>childhood</w:t>
      </w:r>
      <w:r>
        <w:rPr>
          <w:spacing w:val="-5"/>
        </w:rPr>
        <w:t> </w:t>
      </w:r>
      <w:r>
        <w:rPr/>
        <w:t>events</w:t>
      </w:r>
      <w:r>
        <w:rPr>
          <w:spacing w:val="-5"/>
        </w:rPr>
        <w:t> </w:t>
      </w:r>
      <w:r>
        <w:rPr/>
        <w:t>in</w:t>
      </w:r>
      <w:r>
        <w:rPr>
          <w:spacing w:val="-5"/>
        </w:rPr>
        <w:t> </w:t>
      </w:r>
      <w:r>
        <w:rPr/>
        <w:t>LGBTQ+</w:t>
      </w:r>
      <w:r>
        <w:rPr>
          <w:spacing w:val="-5"/>
        </w:rPr>
        <w:t> </w:t>
      </w:r>
      <w:r>
        <w:rPr/>
        <w:t>youth. </w:t>
      </w:r>
      <w:r>
        <w:rPr>
          <w:i/>
        </w:rPr>
        <w:t>Child Abuse Negl. </w:t>
      </w:r>
      <w:r>
        <w:rPr/>
        <w:t>2020;107(104623). https://doi.org/10.1016/ </w:t>
      </w:r>
      <w:r>
        <w:rPr>
          <w:spacing w:val="-2"/>
        </w:rPr>
        <w:t>j.chiabu.2020.104623</w:t>
      </w:r>
    </w:p>
    <w:p>
      <w:pPr>
        <w:pStyle w:val="BodyText"/>
        <w:spacing w:before="7"/>
        <w:rPr>
          <w:sz w:val="25"/>
        </w:rPr>
      </w:pPr>
    </w:p>
    <w:p>
      <w:pPr>
        <w:pStyle w:val="BodyText"/>
        <w:ind w:left="640" w:right="605" w:hanging="360"/>
      </w:pPr>
      <w:r>
        <w:rPr/>
        <w:t>Hatchel</w:t>
      </w:r>
      <w:r>
        <w:rPr>
          <w:spacing w:val="-3"/>
        </w:rPr>
        <w:t> </w:t>
      </w:r>
      <w:r>
        <w:rPr/>
        <w:t>T,</w:t>
      </w:r>
      <w:r>
        <w:rPr>
          <w:spacing w:val="-3"/>
        </w:rPr>
        <w:t> </w:t>
      </w:r>
      <w:r>
        <w:rPr/>
        <w:t>Valido</w:t>
      </w:r>
      <w:r>
        <w:rPr>
          <w:spacing w:val="-14"/>
        </w:rPr>
        <w:t> </w:t>
      </w:r>
      <w:r>
        <w:rPr/>
        <w:t>A, De Pedro KT, Huang</w:t>
      </w:r>
      <w:r>
        <w:rPr>
          <w:spacing w:val="-9"/>
        </w:rPr>
        <w:t> </w:t>
      </w:r>
      <w:r>
        <w:rPr/>
        <w:t>Y, Espelage DL. Minority stress among transgender adolescents: The role of peer victimization, school belonging,</w:t>
      </w:r>
      <w:r>
        <w:rPr>
          <w:spacing w:val="-7"/>
        </w:rPr>
        <w:t> </w:t>
      </w:r>
      <w:r>
        <w:rPr/>
        <w:t>and</w:t>
      </w:r>
      <w:r>
        <w:rPr>
          <w:spacing w:val="-7"/>
        </w:rPr>
        <w:t> </w:t>
      </w:r>
      <w:r>
        <w:rPr/>
        <w:t>ethnicity.</w:t>
      </w:r>
      <w:r>
        <w:rPr>
          <w:spacing w:val="-8"/>
        </w:rPr>
        <w:t> </w:t>
      </w:r>
      <w:r>
        <w:rPr>
          <w:i/>
        </w:rPr>
        <w:t>J</w:t>
      </w:r>
      <w:r>
        <w:rPr>
          <w:i/>
          <w:spacing w:val="-8"/>
        </w:rPr>
        <w:t> </w:t>
      </w:r>
      <w:r>
        <w:rPr>
          <w:i/>
        </w:rPr>
        <w:t>Child</w:t>
      </w:r>
      <w:r>
        <w:rPr>
          <w:i/>
          <w:spacing w:val="-7"/>
        </w:rPr>
        <w:t> </w:t>
      </w:r>
      <w:r>
        <w:rPr>
          <w:i/>
        </w:rPr>
        <w:t>Fam</w:t>
      </w:r>
      <w:r>
        <w:rPr>
          <w:i/>
          <w:spacing w:val="-7"/>
        </w:rPr>
        <w:t> </w:t>
      </w:r>
      <w:r>
        <w:rPr>
          <w:i/>
        </w:rPr>
        <w:t>Stud.</w:t>
      </w:r>
      <w:r>
        <w:rPr>
          <w:i/>
          <w:spacing w:val="-8"/>
        </w:rPr>
        <w:t> </w:t>
      </w:r>
      <w:r>
        <w:rPr/>
        <w:t>2019</w:t>
      </w:r>
      <w:r>
        <w:rPr>
          <w:i/>
        </w:rPr>
        <w:t>;</w:t>
      </w:r>
      <w:r>
        <w:rPr/>
        <w:t>28(9):2467-2476.</w:t>
      </w:r>
      <w:r>
        <w:rPr>
          <w:spacing w:val="-7"/>
        </w:rPr>
        <w:t> </w:t>
      </w:r>
      <w:r>
        <w:rPr/>
        <w:t>https:// </w:t>
      </w:r>
      <w:r>
        <w:rPr>
          <w:spacing w:val="-2"/>
        </w:rPr>
        <w:t>doi.org/10.1007/s10826-018-1168-3</w:t>
      </w:r>
    </w:p>
    <w:p>
      <w:pPr>
        <w:pStyle w:val="BodyText"/>
        <w:spacing w:before="8"/>
        <w:rPr>
          <w:sz w:val="25"/>
        </w:rPr>
      </w:pPr>
    </w:p>
    <w:p>
      <w:pPr>
        <w:pStyle w:val="BodyText"/>
        <w:ind w:left="640" w:right="634" w:hanging="360"/>
      </w:pPr>
      <w:r>
        <w:rPr/>
        <w:t>Baams</w:t>
      </w:r>
      <w:r>
        <w:rPr>
          <w:spacing w:val="-6"/>
        </w:rPr>
        <w:t> </w:t>
      </w:r>
      <w:r>
        <w:rPr/>
        <w:t>L,</w:t>
      </w:r>
      <w:r>
        <w:rPr>
          <w:spacing w:val="-12"/>
        </w:rPr>
        <w:t> </w:t>
      </w:r>
      <w:r>
        <w:rPr/>
        <w:t>Wilson</w:t>
      </w:r>
      <w:r>
        <w:rPr>
          <w:spacing w:val="-6"/>
        </w:rPr>
        <w:t> </w:t>
      </w:r>
      <w:r>
        <w:rPr/>
        <w:t>B,</w:t>
      </w:r>
      <w:r>
        <w:rPr>
          <w:spacing w:val="-6"/>
        </w:rPr>
        <w:t> </w:t>
      </w:r>
      <w:r>
        <w:rPr/>
        <w:t>Russell</w:t>
      </w:r>
      <w:r>
        <w:rPr>
          <w:spacing w:val="-6"/>
        </w:rPr>
        <w:t> </w:t>
      </w:r>
      <w:r>
        <w:rPr/>
        <w:t>ST.</w:t>
      </w:r>
      <w:r>
        <w:rPr>
          <w:spacing w:val="-6"/>
        </w:rPr>
        <w:t> </w:t>
      </w:r>
      <w:r>
        <w:rPr/>
        <w:t>LGBTQ</w:t>
      </w:r>
      <w:r>
        <w:rPr>
          <w:spacing w:val="-6"/>
        </w:rPr>
        <w:t> </w:t>
      </w:r>
      <w:r>
        <w:rPr/>
        <w:t>youth</w:t>
      </w:r>
      <w:r>
        <w:rPr>
          <w:spacing w:val="-6"/>
        </w:rPr>
        <w:t> </w:t>
      </w:r>
      <w:r>
        <w:rPr/>
        <w:t>in</w:t>
      </w:r>
      <w:r>
        <w:rPr>
          <w:spacing w:val="-6"/>
        </w:rPr>
        <w:t> </w:t>
      </w:r>
      <w:r>
        <w:rPr/>
        <w:t>unstable</w:t>
      </w:r>
      <w:r>
        <w:rPr>
          <w:spacing w:val="-7"/>
        </w:rPr>
        <w:t> </w:t>
      </w:r>
      <w:r>
        <w:rPr/>
        <w:t>housing</w:t>
      </w:r>
      <w:r>
        <w:rPr>
          <w:spacing w:val="-6"/>
        </w:rPr>
        <w:t> </w:t>
      </w:r>
      <w:r>
        <w:rPr/>
        <w:t>and</w:t>
      </w:r>
      <w:r>
        <w:rPr>
          <w:spacing w:val="-6"/>
        </w:rPr>
        <w:t> </w:t>
      </w:r>
      <w:r>
        <w:rPr/>
        <w:t>foster care. </w:t>
      </w:r>
      <w:r>
        <w:rPr>
          <w:i/>
        </w:rPr>
        <w:t>Pediatrics</w:t>
      </w:r>
      <w:r>
        <w:rPr/>
        <w:t>. 2019;143(3):e20174211. https://doi.org/10.1542/ </w:t>
      </w:r>
      <w:r>
        <w:rPr>
          <w:spacing w:val="-2"/>
        </w:rPr>
        <w:t>peds.2017-4211</w:t>
      </w:r>
    </w:p>
    <w:p>
      <w:pPr>
        <w:pStyle w:val="BodyText"/>
        <w:spacing w:before="9"/>
        <w:rPr>
          <w:sz w:val="25"/>
        </w:rPr>
      </w:pPr>
    </w:p>
    <w:p>
      <w:pPr>
        <w:pStyle w:val="BodyText"/>
        <w:ind w:left="640" w:right="648" w:hanging="360"/>
      </w:pPr>
      <w:r>
        <w:rPr/>
        <w:t>Connolly MD, Zervos MJ, Barone CJ, Johnson CC, Joseph CL. The mental health</w:t>
      </w:r>
      <w:r>
        <w:rPr>
          <w:spacing w:val="-6"/>
        </w:rPr>
        <w:t> </w:t>
      </w:r>
      <w:r>
        <w:rPr/>
        <w:t>of</w:t>
      </w:r>
      <w:r>
        <w:rPr>
          <w:spacing w:val="-4"/>
        </w:rPr>
        <w:t> </w:t>
      </w:r>
      <w:r>
        <w:rPr/>
        <w:t>transgender</w:t>
      </w:r>
      <w:r>
        <w:rPr>
          <w:spacing w:val="-4"/>
        </w:rPr>
        <w:t> </w:t>
      </w:r>
      <w:r>
        <w:rPr/>
        <w:t>youth:</w:t>
      </w:r>
      <w:r>
        <w:rPr>
          <w:spacing w:val="-18"/>
        </w:rPr>
        <w:t> </w:t>
      </w:r>
      <w:r>
        <w:rPr/>
        <w:t>Advances</w:t>
      </w:r>
      <w:r>
        <w:rPr>
          <w:spacing w:val="-4"/>
        </w:rPr>
        <w:t> </w:t>
      </w:r>
      <w:r>
        <w:rPr/>
        <w:t>in</w:t>
      </w:r>
      <w:r>
        <w:rPr>
          <w:spacing w:val="-4"/>
        </w:rPr>
        <w:t> </w:t>
      </w:r>
      <w:r>
        <w:rPr/>
        <w:t>understanding.</w:t>
      </w:r>
      <w:r>
        <w:rPr>
          <w:spacing w:val="-5"/>
        </w:rPr>
        <w:t> </w:t>
      </w:r>
      <w:r>
        <w:rPr>
          <w:i/>
        </w:rPr>
        <w:t>J</w:t>
      </w:r>
      <w:r>
        <w:rPr>
          <w:i/>
          <w:spacing w:val="-10"/>
        </w:rPr>
        <w:t> </w:t>
      </w:r>
      <w:r>
        <w:rPr>
          <w:i/>
        </w:rPr>
        <w:t>Adolesc</w:t>
      </w:r>
      <w:r>
        <w:rPr>
          <w:i/>
          <w:spacing w:val="-5"/>
        </w:rPr>
        <w:t> </w:t>
      </w:r>
      <w:r>
        <w:rPr>
          <w:i/>
        </w:rPr>
        <w:t>Health</w:t>
      </w:r>
      <w:r>
        <w:rPr/>
        <w:t>. 2016;59(5):489-495. https://doi.org/10.1016/j.jadohealth.2016.06.0 12</w:t>
      </w:r>
    </w:p>
    <w:p>
      <w:pPr>
        <w:pStyle w:val="BodyText"/>
        <w:spacing w:before="10"/>
        <w:rPr>
          <w:sz w:val="25"/>
        </w:rPr>
      </w:pPr>
    </w:p>
    <w:p>
      <w:pPr>
        <w:pStyle w:val="BodyText"/>
        <w:ind w:left="640" w:right="502" w:hanging="360"/>
      </w:pPr>
      <w:r>
        <w:rPr/>
        <w:t>Delozier</w:t>
      </w:r>
      <w:r>
        <w:rPr>
          <w:spacing w:val="-5"/>
        </w:rPr>
        <w:t> </w:t>
      </w:r>
      <w:r>
        <w:rPr/>
        <w:t>AM, Kamody RC, Rodgers S, Chen D. Health disparities in transgender and gender expansive adolescents:</w:t>
      </w:r>
      <w:r>
        <w:rPr>
          <w:spacing w:val="-4"/>
        </w:rPr>
        <w:t> </w:t>
      </w:r>
      <w:r>
        <w:rPr/>
        <w:t>A</w:t>
      </w:r>
      <w:r>
        <w:rPr>
          <w:spacing w:val="-4"/>
        </w:rPr>
        <w:t> </w:t>
      </w:r>
      <w:r>
        <w:rPr/>
        <w:t>topical review from a minority</w:t>
      </w:r>
      <w:r>
        <w:rPr>
          <w:spacing w:val="-5"/>
        </w:rPr>
        <w:t> </w:t>
      </w:r>
      <w:r>
        <w:rPr/>
        <w:t>stress</w:t>
      </w:r>
      <w:r>
        <w:rPr>
          <w:spacing w:val="-5"/>
        </w:rPr>
        <w:t> </w:t>
      </w:r>
      <w:r>
        <w:rPr/>
        <w:t>framework.</w:t>
      </w:r>
      <w:r>
        <w:rPr>
          <w:spacing w:val="-6"/>
        </w:rPr>
        <w:t> </w:t>
      </w:r>
      <w:r>
        <w:rPr>
          <w:i/>
        </w:rPr>
        <w:t>J</w:t>
      </w:r>
      <w:r>
        <w:rPr>
          <w:i/>
          <w:spacing w:val="-6"/>
        </w:rPr>
        <w:t> </w:t>
      </w:r>
      <w:r>
        <w:rPr>
          <w:i/>
        </w:rPr>
        <w:t>Pediatr</w:t>
      </w:r>
      <w:r>
        <w:rPr>
          <w:i/>
          <w:spacing w:val="-5"/>
        </w:rPr>
        <w:t> </w:t>
      </w:r>
      <w:r>
        <w:rPr>
          <w:i/>
        </w:rPr>
        <w:t>Psychol</w:t>
      </w:r>
      <w:r>
        <w:rPr/>
        <w:t>.</w:t>
      </w:r>
      <w:r>
        <w:rPr>
          <w:spacing w:val="-5"/>
        </w:rPr>
        <w:t> </w:t>
      </w:r>
      <w:r>
        <w:rPr/>
        <w:t>2020;45(8):842-847.</w:t>
      </w:r>
      <w:r>
        <w:rPr>
          <w:spacing w:val="-5"/>
        </w:rPr>
        <w:t> </w:t>
      </w:r>
      <w:r>
        <w:rPr/>
        <w:t>https:// </w:t>
      </w:r>
      <w:r>
        <w:rPr>
          <w:spacing w:val="-2"/>
        </w:rPr>
        <w:t>doi.org/10.1093/jpepsy/jsaa040</w:t>
      </w:r>
    </w:p>
    <w:p>
      <w:pPr>
        <w:pStyle w:val="BodyText"/>
        <w:spacing w:before="7"/>
        <w:rPr>
          <w:sz w:val="25"/>
        </w:rPr>
      </w:pPr>
    </w:p>
    <w:p>
      <w:pPr>
        <w:pStyle w:val="BodyText"/>
        <w:spacing w:before="1"/>
        <w:ind w:left="640" w:right="1212" w:hanging="360"/>
        <w:jc w:val="both"/>
      </w:pPr>
      <w:r>
        <w:rPr/>
        <w:t>Olson</w:t>
      </w:r>
      <w:r>
        <w:rPr>
          <w:spacing w:val="-4"/>
        </w:rPr>
        <w:t> </w:t>
      </w:r>
      <w:r>
        <w:rPr/>
        <w:t>KR,</w:t>
      </w:r>
      <w:r>
        <w:rPr>
          <w:spacing w:val="-4"/>
        </w:rPr>
        <w:t> </w:t>
      </w:r>
      <w:r>
        <w:rPr/>
        <w:t>Durwood</w:t>
      </w:r>
      <w:r>
        <w:rPr>
          <w:spacing w:val="-4"/>
        </w:rPr>
        <w:t> </w:t>
      </w:r>
      <w:r>
        <w:rPr/>
        <w:t>L,</w:t>
      </w:r>
      <w:r>
        <w:rPr>
          <w:spacing w:val="-4"/>
        </w:rPr>
        <w:t> </w:t>
      </w:r>
      <w:r>
        <w:rPr/>
        <w:t>DeMeules</w:t>
      </w:r>
      <w:r>
        <w:rPr>
          <w:spacing w:val="-4"/>
        </w:rPr>
        <w:t> </w:t>
      </w:r>
      <w:r>
        <w:rPr/>
        <w:t>M,</w:t>
      </w:r>
      <w:r>
        <w:rPr>
          <w:spacing w:val="-4"/>
        </w:rPr>
        <w:t> </w:t>
      </w:r>
      <w:r>
        <w:rPr/>
        <w:t>McLaughlin</w:t>
      </w:r>
      <w:r>
        <w:rPr>
          <w:spacing w:val="-4"/>
        </w:rPr>
        <w:t> </w:t>
      </w:r>
      <w:r>
        <w:rPr/>
        <w:t>KA.</w:t>
      </w:r>
      <w:r>
        <w:rPr>
          <w:spacing w:val="-4"/>
        </w:rPr>
        <w:t> </w:t>
      </w:r>
      <w:r>
        <w:rPr/>
        <w:t>Mental</w:t>
      </w:r>
      <w:r>
        <w:rPr>
          <w:spacing w:val="-4"/>
        </w:rPr>
        <w:t> </w:t>
      </w:r>
      <w:r>
        <w:rPr/>
        <w:t>health</w:t>
      </w:r>
      <w:r>
        <w:rPr>
          <w:spacing w:val="-4"/>
        </w:rPr>
        <w:t> </w:t>
      </w:r>
      <w:r>
        <w:rPr/>
        <w:t>of transgender children who are supported in their identities. </w:t>
      </w:r>
      <w:r>
        <w:rPr>
          <w:i/>
        </w:rPr>
        <w:t>Pediatrics</w:t>
      </w:r>
      <w:r>
        <w:rPr/>
        <w:t>. 2016;137(3):e20153223. https://doi.org/10.1542/peds.2015-3223</w:t>
      </w:r>
    </w:p>
    <w:p>
      <w:pPr>
        <w:pStyle w:val="BodyText"/>
        <w:spacing w:before="9"/>
        <w:rPr>
          <w:sz w:val="25"/>
        </w:rPr>
      </w:pPr>
    </w:p>
    <w:p>
      <w:pPr>
        <w:pStyle w:val="BodyText"/>
        <w:ind w:left="640" w:right="502" w:hanging="360"/>
      </w:pPr>
      <w:r>
        <w:rPr/>
        <w:t>Tankersley</w:t>
      </w:r>
      <w:r>
        <w:rPr>
          <w:spacing w:val="-18"/>
        </w:rPr>
        <w:t> </w:t>
      </w:r>
      <w:r>
        <w:rPr/>
        <w:t>AP,</w:t>
      </w:r>
      <w:r>
        <w:rPr>
          <w:spacing w:val="-17"/>
        </w:rPr>
        <w:t> </w:t>
      </w:r>
      <w:r>
        <w:rPr/>
        <w:t>Grafsky</w:t>
      </w:r>
      <w:r>
        <w:rPr>
          <w:spacing w:val="-11"/>
        </w:rPr>
        <w:t> </w:t>
      </w:r>
      <w:r>
        <w:rPr/>
        <w:t>EL,</w:t>
      </w:r>
      <w:r>
        <w:rPr>
          <w:spacing w:val="-11"/>
        </w:rPr>
        <w:t> </w:t>
      </w:r>
      <w:r>
        <w:rPr/>
        <w:t>Dike</w:t>
      </w:r>
      <w:r>
        <w:rPr>
          <w:spacing w:val="-12"/>
        </w:rPr>
        <w:t> </w:t>
      </w:r>
      <w:r>
        <w:rPr/>
        <w:t>J,</w:t>
      </w:r>
      <w:r>
        <w:rPr>
          <w:spacing w:val="-11"/>
        </w:rPr>
        <w:t> </w:t>
      </w:r>
      <w:r>
        <w:rPr/>
        <w:t>Jones</w:t>
      </w:r>
      <w:r>
        <w:rPr>
          <w:spacing w:val="-11"/>
        </w:rPr>
        <w:t> </w:t>
      </w:r>
      <w:r>
        <w:rPr/>
        <w:t>RT.</w:t>
      </w:r>
      <w:r>
        <w:rPr>
          <w:spacing w:val="-11"/>
        </w:rPr>
        <w:t> </w:t>
      </w:r>
      <w:r>
        <w:rPr/>
        <w:t>Risk</w:t>
      </w:r>
      <w:r>
        <w:rPr>
          <w:spacing w:val="-11"/>
        </w:rPr>
        <w:t> </w:t>
      </w:r>
      <w:r>
        <w:rPr/>
        <w:t>and</w:t>
      </w:r>
      <w:r>
        <w:rPr>
          <w:spacing w:val="-11"/>
        </w:rPr>
        <w:t> </w:t>
      </w:r>
      <w:r>
        <w:rPr/>
        <w:t>resilience</w:t>
      </w:r>
      <w:r>
        <w:rPr>
          <w:spacing w:val="-12"/>
        </w:rPr>
        <w:t> </w:t>
      </w:r>
      <w:r>
        <w:rPr/>
        <w:t>factors</w:t>
      </w:r>
      <w:r>
        <w:rPr>
          <w:spacing w:val="-11"/>
        </w:rPr>
        <w:t> </w:t>
      </w:r>
      <w:r>
        <w:rPr/>
        <w:t>for mental health among transgender and gender nonconforming (TGNC) youth: a systematic review. </w:t>
      </w:r>
      <w:r>
        <w:rPr>
          <w:i/>
        </w:rPr>
        <w:t>Clin Child Fam Psychol Rev</w:t>
      </w:r>
      <w:r>
        <w:rPr/>
        <w:t>.</w:t>
      </w:r>
    </w:p>
    <w:p>
      <w:pPr>
        <w:pStyle w:val="BodyText"/>
        <w:spacing w:line="316" w:lineRule="exact"/>
        <w:ind w:left="640"/>
      </w:pPr>
      <w:r>
        <w:rPr/>
        <w:t>2021;24(2):183-206.</w:t>
      </w:r>
      <w:r>
        <w:rPr>
          <w:spacing w:val="-7"/>
        </w:rPr>
        <w:t> </w:t>
      </w:r>
      <w:r>
        <w:rPr/>
        <w:t>https://doi.org/10.1007/s10567-021-00344-</w:t>
      </w:r>
      <w:r>
        <w:rPr>
          <w:spacing w:val="-10"/>
        </w:rPr>
        <w:t>6</w:t>
      </w:r>
    </w:p>
    <w:p>
      <w:pPr>
        <w:pStyle w:val="BodyText"/>
        <w:spacing w:before="2"/>
        <w:rPr>
          <w:sz w:val="26"/>
        </w:rPr>
      </w:pPr>
    </w:p>
    <w:p>
      <w:pPr>
        <w:pStyle w:val="BodyText"/>
        <w:ind w:left="640" w:right="604" w:hanging="360"/>
        <w:rPr>
          <w:i/>
        </w:rPr>
      </w:pPr>
      <w:r>
        <w:rPr/>
        <w:t>Parmar DD, Tabler J, Okumura MJ, Nagata JM. Investigating protective factors</w:t>
      </w:r>
      <w:r>
        <w:rPr>
          <w:spacing w:val="-4"/>
        </w:rPr>
        <w:t> </w:t>
      </w:r>
      <w:r>
        <w:rPr/>
        <w:t>associated</w:t>
      </w:r>
      <w:r>
        <w:rPr>
          <w:spacing w:val="-4"/>
        </w:rPr>
        <w:t> </w:t>
      </w:r>
      <w:r>
        <w:rPr/>
        <w:t>with</w:t>
      </w:r>
      <w:r>
        <w:rPr>
          <w:spacing w:val="-4"/>
        </w:rPr>
        <w:t> </w:t>
      </w:r>
      <w:r>
        <w:rPr/>
        <w:t>mental</w:t>
      </w:r>
      <w:r>
        <w:rPr>
          <w:spacing w:val="-4"/>
        </w:rPr>
        <w:t> </w:t>
      </w:r>
      <w:r>
        <w:rPr/>
        <w:t>health</w:t>
      </w:r>
      <w:r>
        <w:rPr>
          <w:spacing w:val="-4"/>
        </w:rPr>
        <w:t> </w:t>
      </w:r>
      <w:r>
        <w:rPr/>
        <w:t>outcomes</w:t>
      </w:r>
      <w:r>
        <w:rPr>
          <w:spacing w:val="-4"/>
        </w:rPr>
        <w:t> </w:t>
      </w:r>
      <w:r>
        <w:rPr/>
        <w:t>in</w:t>
      </w:r>
      <w:r>
        <w:rPr>
          <w:spacing w:val="-4"/>
        </w:rPr>
        <w:t> </w:t>
      </w:r>
      <w:r>
        <w:rPr/>
        <w:t>sexual</w:t>
      </w:r>
      <w:r>
        <w:rPr>
          <w:spacing w:val="-4"/>
        </w:rPr>
        <w:t> </w:t>
      </w:r>
      <w:r>
        <w:rPr/>
        <w:t>minority</w:t>
      </w:r>
      <w:r>
        <w:rPr>
          <w:spacing w:val="-4"/>
        </w:rPr>
        <w:t> </w:t>
      </w:r>
      <w:r>
        <w:rPr/>
        <w:t>youth.</w:t>
      </w:r>
      <w:r>
        <w:rPr>
          <w:spacing w:val="-5"/>
        </w:rPr>
        <w:t> </w:t>
      </w:r>
      <w:r>
        <w:rPr>
          <w:i/>
        </w:rPr>
        <w:t>J</w:t>
      </w:r>
    </w:p>
    <w:p>
      <w:pPr>
        <w:spacing w:after="0"/>
        <w:sectPr>
          <w:pgSz w:w="12240" w:h="15840"/>
          <w:pgMar w:header="0" w:footer="783" w:top="1260" w:bottom="980" w:left="1400" w:right="1180"/>
        </w:sectPr>
      </w:pPr>
    </w:p>
    <w:p>
      <w:pPr>
        <w:pStyle w:val="BodyText"/>
        <w:spacing w:before="66"/>
        <w:ind w:left="640"/>
      </w:pPr>
      <w:r>
        <w:rPr>
          <w:i/>
        </w:rPr>
        <w:t>Adolesc</w:t>
      </w:r>
      <w:r>
        <w:rPr>
          <w:i/>
          <w:spacing w:val="-15"/>
        </w:rPr>
        <w:t> </w:t>
      </w:r>
      <w:r>
        <w:rPr>
          <w:i/>
        </w:rPr>
        <w:t>Health</w:t>
      </w:r>
      <w:r>
        <w:rPr/>
        <w:t>.</w:t>
      </w:r>
      <w:r>
        <w:rPr>
          <w:spacing w:val="-14"/>
        </w:rPr>
        <w:t> </w:t>
      </w:r>
      <w:r>
        <w:rPr/>
        <w:t>2022;170(30):470-477.</w:t>
      </w:r>
      <w:r>
        <w:rPr>
          <w:spacing w:val="-14"/>
        </w:rPr>
        <w:t> </w:t>
      </w:r>
      <w:r>
        <w:rPr/>
        <w:t>https://doi.org/10.1016/ j.jadohealth.2021.10. 004</w:t>
      </w:r>
    </w:p>
    <w:p>
      <w:pPr>
        <w:pStyle w:val="BodyText"/>
        <w:rPr>
          <w:sz w:val="26"/>
        </w:rPr>
      </w:pPr>
    </w:p>
    <w:p>
      <w:pPr>
        <w:pStyle w:val="BodyText"/>
        <w:ind w:left="640" w:right="502" w:hanging="360"/>
      </w:pPr>
      <w:r>
        <w:rPr/>
        <w:t>Edwards-Leeper</w:t>
      </w:r>
      <w:r>
        <w:rPr>
          <w:spacing w:val="-9"/>
        </w:rPr>
        <w:t> </w:t>
      </w:r>
      <w:r>
        <w:rPr/>
        <w:t>L,</w:t>
      </w:r>
      <w:r>
        <w:rPr>
          <w:spacing w:val="-9"/>
        </w:rPr>
        <w:t> </w:t>
      </w:r>
      <w:r>
        <w:rPr/>
        <w:t>Spack</w:t>
      </w:r>
      <w:r>
        <w:rPr>
          <w:spacing w:val="-9"/>
        </w:rPr>
        <w:t> </w:t>
      </w:r>
      <w:r>
        <w:rPr/>
        <w:t>NP.</w:t>
      </w:r>
      <w:r>
        <w:rPr>
          <w:spacing w:val="-9"/>
        </w:rPr>
        <w:t> </w:t>
      </w:r>
      <w:r>
        <w:rPr/>
        <w:t>Psychological</w:t>
      </w:r>
      <w:r>
        <w:rPr>
          <w:spacing w:val="-9"/>
        </w:rPr>
        <w:t> </w:t>
      </w:r>
      <w:r>
        <w:rPr/>
        <w:t>evaluation</w:t>
      </w:r>
      <w:r>
        <w:rPr>
          <w:spacing w:val="-9"/>
        </w:rPr>
        <w:t> </w:t>
      </w:r>
      <w:r>
        <w:rPr/>
        <w:t>and</w:t>
      </w:r>
      <w:r>
        <w:rPr>
          <w:spacing w:val="-9"/>
        </w:rPr>
        <w:t> </w:t>
      </w:r>
      <w:r>
        <w:rPr/>
        <w:t>medical</w:t>
      </w:r>
      <w:r>
        <w:rPr>
          <w:spacing w:val="-9"/>
        </w:rPr>
        <w:t> </w:t>
      </w:r>
      <w:r>
        <w:rPr/>
        <w:t>treatment of</w:t>
      </w:r>
      <w:r>
        <w:rPr>
          <w:spacing w:val="-2"/>
        </w:rPr>
        <w:t> </w:t>
      </w:r>
      <w:r>
        <w:rPr/>
        <w:t>transgender</w:t>
      </w:r>
      <w:r>
        <w:rPr>
          <w:spacing w:val="-2"/>
        </w:rPr>
        <w:t> </w:t>
      </w:r>
      <w:r>
        <w:rPr/>
        <w:t>youth</w:t>
      </w:r>
      <w:r>
        <w:rPr>
          <w:spacing w:val="-2"/>
        </w:rPr>
        <w:t> </w:t>
      </w:r>
      <w:r>
        <w:rPr/>
        <w:t>in</w:t>
      </w:r>
      <w:r>
        <w:rPr>
          <w:spacing w:val="-2"/>
        </w:rPr>
        <w:t> </w:t>
      </w:r>
      <w:r>
        <w:rPr/>
        <w:t>an</w:t>
      </w:r>
      <w:r>
        <w:rPr>
          <w:spacing w:val="-2"/>
        </w:rPr>
        <w:t> </w:t>
      </w:r>
      <w:r>
        <w:rPr/>
        <w:t>interdisciplinary</w:t>
      </w:r>
      <w:r>
        <w:rPr>
          <w:spacing w:val="-2"/>
        </w:rPr>
        <w:t> </w:t>
      </w:r>
      <w:r>
        <w:rPr/>
        <w:t>“Gender</w:t>
      </w:r>
      <w:r>
        <w:rPr>
          <w:spacing w:val="-2"/>
        </w:rPr>
        <w:t> </w:t>
      </w:r>
      <w:r>
        <w:rPr/>
        <w:t>Management</w:t>
      </w:r>
      <w:r>
        <w:rPr>
          <w:spacing w:val="-2"/>
        </w:rPr>
        <w:t> </w:t>
      </w:r>
      <w:r>
        <w:rPr/>
        <w:t>Service” (GeMS) in a major pediatric center. </w:t>
      </w:r>
      <w:r>
        <w:rPr>
          <w:i/>
        </w:rPr>
        <w:t>J Homosex. </w:t>
      </w:r>
      <w:r>
        <w:rPr/>
        <w:t>2012;59(3):321-336. https://doi.org/10.1080/00918369.2012.65330 2</w:t>
      </w:r>
    </w:p>
    <w:p>
      <w:pPr>
        <w:pStyle w:val="BodyText"/>
        <w:spacing w:before="7"/>
        <w:rPr>
          <w:sz w:val="25"/>
        </w:rPr>
      </w:pPr>
    </w:p>
    <w:p>
      <w:pPr>
        <w:pStyle w:val="BodyText"/>
        <w:spacing w:before="1"/>
        <w:ind w:left="640" w:hanging="360"/>
      </w:pPr>
      <w:r>
        <w:rPr/>
        <w:t>American Psychological</w:t>
      </w:r>
      <w:r>
        <w:rPr>
          <w:spacing w:val="-3"/>
        </w:rPr>
        <w:t> </w:t>
      </w:r>
      <w:r>
        <w:rPr/>
        <w:t>Association. Resolution on appropriate therapeutic response</w:t>
      </w:r>
      <w:r>
        <w:rPr>
          <w:spacing w:val="-8"/>
        </w:rPr>
        <w:t> </w:t>
      </w:r>
      <w:r>
        <w:rPr/>
        <w:t>to</w:t>
      </w:r>
      <w:r>
        <w:rPr>
          <w:spacing w:val="-5"/>
        </w:rPr>
        <w:t> </w:t>
      </w:r>
      <w:r>
        <w:rPr/>
        <w:t>sexual</w:t>
      </w:r>
      <w:r>
        <w:rPr>
          <w:spacing w:val="-5"/>
        </w:rPr>
        <w:t> </w:t>
      </w:r>
      <w:r>
        <w:rPr/>
        <w:t>orientation</w:t>
      </w:r>
      <w:r>
        <w:rPr>
          <w:spacing w:val="-5"/>
        </w:rPr>
        <w:t> </w:t>
      </w:r>
      <w:r>
        <w:rPr/>
        <w:t>distress</w:t>
      </w:r>
      <w:r>
        <w:rPr>
          <w:spacing w:val="-5"/>
        </w:rPr>
        <w:t> </w:t>
      </w:r>
      <w:r>
        <w:rPr/>
        <w:t>and</w:t>
      </w:r>
      <w:r>
        <w:rPr>
          <w:spacing w:val="-5"/>
        </w:rPr>
        <w:t> </w:t>
      </w:r>
      <w:r>
        <w:rPr/>
        <w:t>change</w:t>
      </w:r>
      <w:r>
        <w:rPr>
          <w:spacing w:val="-6"/>
        </w:rPr>
        <w:t> </w:t>
      </w:r>
      <w:r>
        <w:rPr/>
        <w:t>efforts.</w:t>
      </w:r>
      <w:r>
        <w:rPr>
          <w:spacing w:val="-5"/>
        </w:rPr>
        <w:t> </w:t>
      </w:r>
      <w:r>
        <w:rPr/>
        <w:t>2009.</w:t>
      </w:r>
      <w:r>
        <w:rPr>
          <w:spacing w:val="-18"/>
        </w:rPr>
        <w:t> </w:t>
      </w:r>
      <w:r>
        <w:rPr/>
        <w:t>Accessed February 12, 2022. https://</w:t>
      </w:r>
      <w:hyperlink r:id="rId88">
        <w:r>
          <w:rPr/>
          <w:t>www.apa.org/about/policy/sexualorientation</w:t>
        </w:r>
      </w:hyperlink>
    </w:p>
    <w:p>
      <w:pPr>
        <w:pStyle w:val="BodyText"/>
        <w:spacing w:before="3"/>
        <w:rPr>
          <w:sz w:val="27"/>
        </w:rPr>
      </w:pPr>
    </w:p>
    <w:p>
      <w:pPr>
        <w:pStyle w:val="BodyText"/>
        <w:ind w:left="640" w:right="892" w:hanging="360"/>
      </w:pPr>
      <w:r>
        <w:rPr/>
        <w:t>Byne</w:t>
      </w:r>
      <w:r>
        <w:rPr>
          <w:spacing w:val="-1"/>
        </w:rPr>
        <w:t> </w:t>
      </w:r>
      <w:r>
        <w:rPr/>
        <w:t>W, Bradley SJ, Coleman E, et al. Report of the</w:t>
      </w:r>
      <w:r>
        <w:rPr>
          <w:spacing w:val="-12"/>
        </w:rPr>
        <w:t> </w:t>
      </w:r>
      <w:r>
        <w:rPr/>
        <w:t>APA</w:t>
      </w:r>
      <w:r>
        <w:rPr>
          <w:spacing w:val="-17"/>
        </w:rPr>
        <w:t> </w:t>
      </w:r>
      <w:r>
        <w:rPr/>
        <w:t>Task Force on treatment</w:t>
      </w:r>
      <w:r>
        <w:rPr>
          <w:spacing w:val="-11"/>
        </w:rPr>
        <w:t> </w:t>
      </w:r>
      <w:r>
        <w:rPr/>
        <w:t>of</w:t>
      </w:r>
      <w:r>
        <w:rPr>
          <w:spacing w:val="-11"/>
        </w:rPr>
        <w:t> </w:t>
      </w:r>
      <w:r>
        <w:rPr/>
        <w:t>gender</w:t>
      </w:r>
      <w:r>
        <w:rPr>
          <w:spacing w:val="-11"/>
        </w:rPr>
        <w:t> </w:t>
      </w:r>
      <w:r>
        <w:rPr/>
        <w:t>identity</w:t>
      </w:r>
      <w:r>
        <w:rPr>
          <w:spacing w:val="-11"/>
        </w:rPr>
        <w:t> </w:t>
      </w:r>
      <w:r>
        <w:rPr/>
        <w:t>disorder.</w:t>
      </w:r>
      <w:r>
        <w:rPr>
          <w:spacing w:val="-12"/>
        </w:rPr>
        <w:t> </w:t>
      </w:r>
      <w:r>
        <w:rPr>
          <w:i/>
        </w:rPr>
        <w:t>Arch</w:t>
      </w:r>
      <w:r>
        <w:rPr>
          <w:i/>
          <w:spacing w:val="-11"/>
        </w:rPr>
        <w:t> </w:t>
      </w:r>
      <w:r>
        <w:rPr>
          <w:i/>
        </w:rPr>
        <w:t>Sex</w:t>
      </w:r>
      <w:r>
        <w:rPr>
          <w:i/>
          <w:spacing w:val="-12"/>
        </w:rPr>
        <w:t> </w:t>
      </w:r>
      <w:r>
        <w:rPr>
          <w:i/>
        </w:rPr>
        <w:t>Behav.</w:t>
      </w:r>
      <w:r>
        <w:rPr>
          <w:i/>
          <w:spacing w:val="-12"/>
        </w:rPr>
        <w:t> </w:t>
      </w:r>
      <w:r>
        <w:rPr/>
        <w:t>2012</w:t>
      </w:r>
      <w:r>
        <w:rPr>
          <w:i/>
        </w:rPr>
        <w:t>;</w:t>
      </w:r>
      <w:r>
        <w:rPr/>
        <w:t>41:759-796. </w:t>
      </w:r>
      <w:r>
        <w:rPr>
          <w:spacing w:val="-2"/>
        </w:rPr>
        <w:t>https://doi.org/10.1007/s10508-012-9975-x</w:t>
      </w:r>
    </w:p>
    <w:p>
      <w:pPr>
        <w:pStyle w:val="BodyText"/>
        <w:spacing w:before="10"/>
        <w:rPr>
          <w:sz w:val="25"/>
        </w:rPr>
      </w:pPr>
    </w:p>
    <w:p>
      <w:pPr>
        <w:pStyle w:val="BodyText"/>
        <w:ind w:left="640" w:right="546" w:hanging="360"/>
      </w:pPr>
      <w:r>
        <w:rPr/>
        <w:t>Lopez X, Marinkovic M, Eimicke T, Rosenthal SM, Olshan JS, &amp; Pediatric Endocrine Society Transgender Health Special Interest Group. Statement on</w:t>
      </w:r>
      <w:r>
        <w:rPr>
          <w:spacing w:val="-5"/>
        </w:rPr>
        <w:t> </w:t>
      </w:r>
      <w:r>
        <w:rPr/>
        <w:t>gender-affirmative</w:t>
      </w:r>
      <w:r>
        <w:rPr>
          <w:spacing w:val="-6"/>
        </w:rPr>
        <w:t> </w:t>
      </w:r>
      <w:r>
        <w:rPr/>
        <w:t>approach</w:t>
      </w:r>
      <w:r>
        <w:rPr>
          <w:spacing w:val="-5"/>
        </w:rPr>
        <w:t> </w:t>
      </w:r>
      <w:r>
        <w:rPr/>
        <w:t>to</w:t>
      </w:r>
      <w:r>
        <w:rPr>
          <w:spacing w:val="-5"/>
        </w:rPr>
        <w:t> </w:t>
      </w:r>
      <w:r>
        <w:rPr/>
        <w:t>care</w:t>
      </w:r>
      <w:r>
        <w:rPr>
          <w:spacing w:val="-6"/>
        </w:rPr>
        <w:t> </w:t>
      </w:r>
      <w:r>
        <w:rPr/>
        <w:t>from</w:t>
      </w:r>
      <w:r>
        <w:rPr>
          <w:spacing w:val="-5"/>
        </w:rPr>
        <w:t> </w:t>
      </w:r>
      <w:r>
        <w:rPr/>
        <w:t>the</w:t>
      </w:r>
      <w:r>
        <w:rPr>
          <w:spacing w:val="-6"/>
        </w:rPr>
        <w:t> </w:t>
      </w:r>
      <w:r>
        <w:rPr/>
        <w:t>pediatric</w:t>
      </w:r>
      <w:r>
        <w:rPr>
          <w:spacing w:val="-6"/>
        </w:rPr>
        <w:t> </w:t>
      </w:r>
      <w:r>
        <w:rPr/>
        <w:t>endocrine</w:t>
      </w:r>
      <w:r>
        <w:rPr>
          <w:spacing w:val="-6"/>
        </w:rPr>
        <w:t> </w:t>
      </w:r>
      <w:r>
        <w:rPr/>
        <w:t>society special interest group on transgender health. </w:t>
      </w:r>
      <w:r>
        <w:rPr>
          <w:i/>
        </w:rPr>
        <w:t>Curr Opin Pediatr</w:t>
      </w:r>
      <w:r>
        <w:rPr/>
        <w:t>.</w:t>
      </w:r>
    </w:p>
    <w:p>
      <w:pPr>
        <w:pStyle w:val="BodyText"/>
        <w:spacing w:line="314" w:lineRule="exact"/>
        <w:ind w:left="640"/>
      </w:pPr>
      <w:r>
        <w:rPr>
          <w:spacing w:val="-2"/>
        </w:rPr>
        <w:t>2017;29(4):475-480.</w:t>
      </w:r>
      <w:r>
        <w:rPr>
          <w:spacing w:val="38"/>
        </w:rPr>
        <w:t> </w:t>
      </w:r>
      <w:r>
        <w:rPr>
          <w:spacing w:val="-2"/>
        </w:rPr>
        <w:t>https://doi.org/10.1097/MOP.0000000000000</w:t>
      </w:r>
      <w:r>
        <w:rPr>
          <w:spacing w:val="41"/>
        </w:rPr>
        <w:t> </w:t>
      </w:r>
      <w:r>
        <w:rPr>
          <w:spacing w:val="-5"/>
        </w:rPr>
        <w:t>516</w:t>
      </w:r>
    </w:p>
    <w:p>
      <w:pPr>
        <w:pStyle w:val="BodyText"/>
        <w:spacing w:before="2"/>
        <w:rPr>
          <w:sz w:val="26"/>
        </w:rPr>
      </w:pPr>
    </w:p>
    <w:p>
      <w:pPr>
        <w:spacing w:before="0"/>
        <w:ind w:left="640" w:right="499" w:hanging="360"/>
        <w:jc w:val="left"/>
        <w:rPr>
          <w:sz w:val="28"/>
        </w:rPr>
      </w:pPr>
      <w:r>
        <w:rPr>
          <w:sz w:val="28"/>
        </w:rPr>
        <w:t>American</w:t>
      </w:r>
      <w:r>
        <w:rPr>
          <w:spacing w:val="-9"/>
          <w:sz w:val="28"/>
        </w:rPr>
        <w:t> </w:t>
      </w:r>
      <w:r>
        <w:rPr>
          <w:sz w:val="28"/>
        </w:rPr>
        <w:t>Psychological</w:t>
      </w:r>
      <w:r>
        <w:rPr>
          <w:spacing w:val="-18"/>
          <w:sz w:val="28"/>
        </w:rPr>
        <w:t> </w:t>
      </w:r>
      <w:r>
        <w:rPr>
          <w:sz w:val="28"/>
        </w:rPr>
        <w:t>Association.</w:t>
      </w:r>
      <w:r>
        <w:rPr>
          <w:spacing w:val="-6"/>
          <w:sz w:val="28"/>
        </w:rPr>
        <w:t> </w:t>
      </w:r>
      <w:r>
        <w:rPr>
          <w:i/>
          <w:sz w:val="28"/>
        </w:rPr>
        <w:t>Ethical</w:t>
      </w:r>
      <w:r>
        <w:rPr>
          <w:i/>
          <w:spacing w:val="-6"/>
          <w:sz w:val="28"/>
        </w:rPr>
        <w:t> </w:t>
      </w:r>
      <w:r>
        <w:rPr>
          <w:i/>
          <w:sz w:val="28"/>
        </w:rPr>
        <w:t>Principles</w:t>
      </w:r>
      <w:r>
        <w:rPr>
          <w:i/>
          <w:spacing w:val="-6"/>
          <w:sz w:val="28"/>
        </w:rPr>
        <w:t> </w:t>
      </w:r>
      <w:r>
        <w:rPr>
          <w:i/>
          <w:sz w:val="28"/>
        </w:rPr>
        <w:t>of</w:t>
      </w:r>
      <w:r>
        <w:rPr>
          <w:i/>
          <w:spacing w:val="-6"/>
          <w:sz w:val="28"/>
        </w:rPr>
        <w:t> </w:t>
      </w:r>
      <w:r>
        <w:rPr>
          <w:i/>
          <w:sz w:val="28"/>
        </w:rPr>
        <w:t>Psychologists</w:t>
      </w:r>
      <w:r>
        <w:rPr>
          <w:i/>
          <w:spacing w:val="-6"/>
          <w:sz w:val="28"/>
        </w:rPr>
        <w:t> </w:t>
      </w:r>
      <w:r>
        <w:rPr>
          <w:i/>
          <w:sz w:val="28"/>
        </w:rPr>
        <w:t>and</w:t>
      </w:r>
      <w:r>
        <w:rPr>
          <w:i/>
          <w:sz w:val="28"/>
        </w:rPr>
        <w:t> Code of Conduct</w:t>
      </w:r>
      <w:r>
        <w:rPr>
          <w:sz w:val="28"/>
        </w:rPr>
        <w:t>. 2017. https://</w:t>
      </w:r>
      <w:hyperlink r:id="rId89">
        <w:r>
          <w:rPr>
            <w:sz w:val="28"/>
          </w:rPr>
          <w:t>www.apa.org/ethics/code/ethics-</w:t>
        </w:r>
      </w:hyperlink>
      <w:r>
        <w:rPr>
          <w:sz w:val="28"/>
        </w:rPr>
        <w:t> code2017.pdf. Accessed February 12, 2022.</w:t>
      </w:r>
    </w:p>
    <w:p>
      <w:pPr>
        <w:pStyle w:val="BodyText"/>
        <w:spacing w:before="9"/>
        <w:rPr>
          <w:sz w:val="25"/>
        </w:rPr>
      </w:pPr>
    </w:p>
    <w:p>
      <w:pPr>
        <w:pStyle w:val="BodyText"/>
        <w:ind w:left="640" w:right="763" w:hanging="360"/>
      </w:pPr>
      <w:r>
        <w:rPr/>
        <w:t>Rafferty J,</w:t>
      </w:r>
      <w:r>
        <w:rPr>
          <w:spacing w:val="-5"/>
        </w:rPr>
        <w:t> </w:t>
      </w:r>
      <w:r>
        <w:rPr/>
        <w:t>AAP Committee on Psychosocial</w:t>
      </w:r>
      <w:r>
        <w:rPr>
          <w:spacing w:val="-5"/>
        </w:rPr>
        <w:t> </w:t>
      </w:r>
      <w:r>
        <w:rPr/>
        <w:t>Aspects of Child and Family Health,</w:t>
      </w:r>
      <w:r>
        <w:rPr>
          <w:spacing w:val="-8"/>
        </w:rPr>
        <w:t> </w:t>
      </w:r>
      <w:r>
        <w:rPr/>
        <w:t>AAP</w:t>
      </w:r>
      <w:r>
        <w:rPr>
          <w:spacing w:val="-3"/>
        </w:rPr>
        <w:t> </w:t>
      </w:r>
      <w:r>
        <w:rPr/>
        <w:t>Committee on</w:t>
      </w:r>
      <w:r>
        <w:rPr>
          <w:spacing w:val="-8"/>
        </w:rPr>
        <w:t> </w:t>
      </w:r>
      <w:r>
        <w:rPr/>
        <w:t>Adolescence,</w:t>
      </w:r>
      <w:r>
        <w:rPr>
          <w:spacing w:val="-8"/>
        </w:rPr>
        <w:t> </w:t>
      </w:r>
      <w:r>
        <w:rPr/>
        <w:t>AAP</w:t>
      </w:r>
      <w:r>
        <w:rPr>
          <w:spacing w:val="-3"/>
        </w:rPr>
        <w:t> </w:t>
      </w:r>
      <w:r>
        <w:rPr/>
        <w:t>Section on Lesbian, Gay, Bisexual,</w:t>
      </w:r>
      <w:r>
        <w:rPr>
          <w:spacing w:val="-10"/>
        </w:rPr>
        <w:t> </w:t>
      </w:r>
      <w:r>
        <w:rPr/>
        <w:t>and</w:t>
      </w:r>
      <w:r>
        <w:rPr>
          <w:spacing w:val="-16"/>
        </w:rPr>
        <w:t> </w:t>
      </w:r>
      <w:r>
        <w:rPr/>
        <w:t>Transgender</w:t>
      </w:r>
      <w:r>
        <w:rPr>
          <w:spacing w:val="-10"/>
        </w:rPr>
        <w:t> </w:t>
      </w:r>
      <w:r>
        <w:rPr/>
        <w:t>Health</w:t>
      </w:r>
      <w:r>
        <w:rPr>
          <w:spacing w:val="-10"/>
        </w:rPr>
        <w:t> </w:t>
      </w:r>
      <w:r>
        <w:rPr/>
        <w:t>and</w:t>
      </w:r>
      <w:r>
        <w:rPr>
          <w:spacing w:val="-16"/>
        </w:rPr>
        <w:t> </w:t>
      </w:r>
      <w:r>
        <w:rPr/>
        <w:t>Wellness.</w:t>
      </w:r>
      <w:r>
        <w:rPr>
          <w:spacing w:val="-10"/>
        </w:rPr>
        <w:t> </w:t>
      </w:r>
      <w:r>
        <w:rPr/>
        <w:t>Ensuring</w:t>
      </w:r>
      <w:r>
        <w:rPr>
          <w:spacing w:val="-10"/>
        </w:rPr>
        <w:t> </w:t>
      </w:r>
      <w:r>
        <w:rPr/>
        <w:t>comprehensive care and support for transgender and gender-diverse children and adolescents. </w:t>
      </w:r>
      <w:r>
        <w:rPr>
          <w:i/>
        </w:rPr>
        <w:t>Pediatrics</w:t>
      </w:r>
      <w:r>
        <w:rPr/>
        <w:t>. 2018;142(4):e20182162. https://doi.org/10.1542/ </w:t>
      </w:r>
      <w:r>
        <w:rPr>
          <w:spacing w:val="-2"/>
        </w:rPr>
        <w:t>peds.2018-2162</w:t>
      </w:r>
    </w:p>
    <w:p>
      <w:pPr>
        <w:pStyle w:val="BodyText"/>
        <w:spacing w:before="4"/>
        <w:rPr>
          <w:sz w:val="25"/>
        </w:rPr>
      </w:pPr>
    </w:p>
    <w:p>
      <w:pPr>
        <w:pStyle w:val="BodyText"/>
        <w:ind w:left="640" w:right="502" w:hanging="360"/>
      </w:pPr>
      <w:r>
        <w:rPr/>
        <w:t>Keo-Meier C, Ehrensaft D, eds. The gender affirmative model:</w:t>
      </w:r>
      <w:r>
        <w:rPr>
          <w:spacing w:val="-4"/>
        </w:rPr>
        <w:t> </w:t>
      </w:r>
      <w:r>
        <w:rPr/>
        <w:t>An interdisciplinary</w:t>
      </w:r>
      <w:r>
        <w:rPr>
          <w:spacing w:val="-6"/>
        </w:rPr>
        <w:t> </w:t>
      </w:r>
      <w:r>
        <w:rPr/>
        <w:t>approach</w:t>
      </w:r>
      <w:r>
        <w:rPr>
          <w:spacing w:val="-6"/>
        </w:rPr>
        <w:t> </w:t>
      </w:r>
      <w:r>
        <w:rPr/>
        <w:t>to</w:t>
      </w:r>
      <w:r>
        <w:rPr>
          <w:spacing w:val="-6"/>
        </w:rPr>
        <w:t> </w:t>
      </w:r>
      <w:r>
        <w:rPr/>
        <w:t>supporting</w:t>
      </w:r>
      <w:r>
        <w:rPr>
          <w:spacing w:val="-6"/>
        </w:rPr>
        <w:t> </w:t>
      </w:r>
      <w:r>
        <w:rPr/>
        <w:t>transgender</w:t>
      </w:r>
      <w:r>
        <w:rPr>
          <w:spacing w:val="-6"/>
        </w:rPr>
        <w:t> </w:t>
      </w:r>
      <w:r>
        <w:rPr/>
        <w:t>and</w:t>
      </w:r>
      <w:r>
        <w:rPr>
          <w:spacing w:val="-6"/>
        </w:rPr>
        <w:t> </w:t>
      </w:r>
      <w:r>
        <w:rPr/>
        <w:t>gender</w:t>
      </w:r>
      <w:r>
        <w:rPr>
          <w:spacing w:val="-6"/>
        </w:rPr>
        <w:t> </w:t>
      </w:r>
      <w:r>
        <w:rPr/>
        <w:t>expansive children. American Psychological Association; 2018.</w:t>
      </w:r>
    </w:p>
    <w:p>
      <w:pPr>
        <w:pStyle w:val="BodyText"/>
        <w:spacing w:before="10"/>
        <w:rPr>
          <w:sz w:val="25"/>
        </w:rPr>
      </w:pPr>
    </w:p>
    <w:p>
      <w:pPr>
        <w:pStyle w:val="BodyText"/>
        <w:ind w:left="640" w:right="544" w:hanging="360"/>
      </w:pPr>
      <w:r>
        <w:rPr/>
        <w:t>de</w:t>
      </w:r>
      <w:r>
        <w:rPr>
          <w:spacing w:val="-18"/>
        </w:rPr>
        <w:t> </w:t>
      </w:r>
      <w:r>
        <w:rPr/>
        <w:t>Vries</w:t>
      </w:r>
      <w:r>
        <w:rPr>
          <w:spacing w:val="-17"/>
        </w:rPr>
        <w:t> </w:t>
      </w:r>
      <w:r>
        <w:rPr/>
        <w:t>ALC,</w:t>
      </w:r>
      <w:r>
        <w:rPr>
          <w:spacing w:val="-8"/>
        </w:rPr>
        <w:t> </w:t>
      </w:r>
      <w:r>
        <w:rPr/>
        <w:t>Richards</w:t>
      </w:r>
      <w:r>
        <w:rPr>
          <w:spacing w:val="-7"/>
        </w:rPr>
        <w:t> </w:t>
      </w:r>
      <w:r>
        <w:rPr/>
        <w:t>C,</w:t>
      </w:r>
      <w:r>
        <w:rPr>
          <w:spacing w:val="-12"/>
        </w:rPr>
        <w:t> </w:t>
      </w:r>
      <w:r>
        <w:rPr/>
        <w:t>Tishelman</w:t>
      </w:r>
      <w:r>
        <w:rPr>
          <w:spacing w:val="-18"/>
        </w:rPr>
        <w:t> </w:t>
      </w:r>
      <w:r>
        <w:rPr/>
        <w:t>AC,</w:t>
      </w:r>
      <w:r>
        <w:rPr>
          <w:spacing w:val="-6"/>
        </w:rPr>
        <w:t> </w:t>
      </w:r>
      <w:r>
        <w:rPr/>
        <w:t>et</w:t>
      </w:r>
      <w:r>
        <w:rPr>
          <w:spacing w:val="-7"/>
        </w:rPr>
        <w:t> </w:t>
      </w:r>
      <w:r>
        <w:rPr/>
        <w:t>al.</w:t>
      </w:r>
      <w:r>
        <w:rPr>
          <w:spacing w:val="-7"/>
        </w:rPr>
        <w:t> </w:t>
      </w:r>
      <w:r>
        <w:rPr/>
        <w:t>Bell</w:t>
      </w:r>
      <w:r>
        <w:rPr>
          <w:spacing w:val="-7"/>
        </w:rPr>
        <w:t> </w:t>
      </w:r>
      <w:r>
        <w:rPr/>
        <w:t>v</w:t>
      </w:r>
      <w:r>
        <w:rPr>
          <w:spacing w:val="-12"/>
        </w:rPr>
        <w:t> </w:t>
      </w:r>
      <w:r>
        <w:rPr/>
        <w:t>Tavistock</w:t>
      </w:r>
      <w:r>
        <w:rPr>
          <w:spacing w:val="-7"/>
        </w:rPr>
        <w:t> </w:t>
      </w:r>
      <w:r>
        <w:rPr/>
        <w:t>and</w:t>
      </w:r>
      <w:r>
        <w:rPr>
          <w:spacing w:val="-7"/>
        </w:rPr>
        <w:t> </w:t>
      </w:r>
      <w:r>
        <w:rPr/>
        <w:t>Portman NHS Foundation</w:t>
      </w:r>
      <w:r>
        <w:rPr>
          <w:spacing w:val="-1"/>
        </w:rPr>
        <w:t> </w:t>
      </w:r>
      <w:r>
        <w:rPr/>
        <w:t>Trust [2020] EWHC 3274:</w:t>
      </w:r>
      <w:r>
        <w:rPr>
          <w:spacing w:val="-1"/>
        </w:rPr>
        <w:t> </w:t>
      </w:r>
      <w:r>
        <w:rPr/>
        <w:t>Weighing current knowledge and uncertainties in decisions about gender-related treatment for transgender adolescents. </w:t>
      </w:r>
      <w:r>
        <w:rPr>
          <w:i/>
        </w:rPr>
        <w:t>Int J Transgend Health. </w:t>
      </w:r>
      <w:r>
        <w:rPr/>
        <w:t>2021</w:t>
      </w:r>
      <w:r>
        <w:rPr>
          <w:i/>
        </w:rPr>
        <w:t>;</w:t>
      </w:r>
      <w:r>
        <w:rPr/>
        <w:t>22(3):217-224. https://doi.org/10.1080/26895269.2021.19043 30</w:t>
      </w:r>
    </w:p>
    <w:p>
      <w:pPr>
        <w:spacing w:after="0"/>
        <w:sectPr>
          <w:pgSz w:w="12240" w:h="15840"/>
          <w:pgMar w:header="0" w:footer="783" w:top="1260" w:bottom="980" w:left="1400" w:right="1180"/>
        </w:sectPr>
      </w:pPr>
    </w:p>
    <w:p>
      <w:pPr>
        <w:pStyle w:val="BodyText"/>
        <w:spacing w:before="66"/>
        <w:ind w:left="640" w:hanging="360"/>
      </w:pPr>
      <w:r>
        <w:rPr/>
        <w:t>Chen D, Berona J, Chan</w:t>
      </w:r>
      <w:r>
        <w:rPr>
          <w:spacing w:val="-8"/>
        </w:rPr>
        <w:t> </w:t>
      </w:r>
      <w:r>
        <w:rPr/>
        <w:t>Y-M, Ehrensaft D, et al. Psychosocial functioning in transgender</w:t>
      </w:r>
      <w:r>
        <w:rPr>
          <w:spacing w:val="-5"/>
        </w:rPr>
        <w:t> </w:t>
      </w:r>
      <w:r>
        <w:rPr/>
        <w:t>youth</w:t>
      </w:r>
      <w:r>
        <w:rPr>
          <w:spacing w:val="-5"/>
        </w:rPr>
        <w:t> </w:t>
      </w:r>
      <w:r>
        <w:rPr/>
        <w:t>after</w:t>
      </w:r>
      <w:r>
        <w:rPr>
          <w:spacing w:val="-5"/>
        </w:rPr>
        <w:t> </w:t>
      </w:r>
      <w:r>
        <w:rPr/>
        <w:t>2</w:t>
      </w:r>
      <w:r>
        <w:rPr>
          <w:spacing w:val="-5"/>
        </w:rPr>
        <w:t> </w:t>
      </w:r>
      <w:r>
        <w:rPr/>
        <w:t>years</w:t>
      </w:r>
      <w:r>
        <w:rPr>
          <w:spacing w:val="-5"/>
        </w:rPr>
        <w:t> </w:t>
      </w:r>
      <w:r>
        <w:rPr/>
        <w:t>of</w:t>
      </w:r>
      <w:r>
        <w:rPr>
          <w:spacing w:val="-5"/>
        </w:rPr>
        <w:t> </w:t>
      </w:r>
      <w:r>
        <w:rPr/>
        <w:t>hormones.</w:t>
      </w:r>
      <w:r>
        <w:rPr>
          <w:spacing w:val="-6"/>
        </w:rPr>
        <w:t> </w:t>
      </w:r>
      <w:r>
        <w:rPr>
          <w:i/>
        </w:rPr>
        <w:t>NEJM</w:t>
      </w:r>
      <w:r>
        <w:rPr/>
        <w:t>.</w:t>
      </w:r>
      <w:r>
        <w:rPr>
          <w:spacing w:val="-5"/>
        </w:rPr>
        <w:t> </w:t>
      </w:r>
      <w:r>
        <w:rPr/>
        <w:t>2023;388(3):240-250. </w:t>
      </w:r>
      <w:r>
        <w:rPr>
          <w:spacing w:val="-2"/>
        </w:rPr>
        <w:t>https://doi.org/10.1056/NEJMoa2206297</w:t>
      </w:r>
    </w:p>
    <w:p>
      <w:pPr>
        <w:pStyle w:val="BodyText"/>
        <w:spacing w:before="9"/>
        <w:rPr>
          <w:sz w:val="25"/>
        </w:rPr>
      </w:pPr>
    </w:p>
    <w:p>
      <w:pPr>
        <w:spacing w:before="0"/>
        <w:ind w:left="640" w:right="512" w:hanging="360"/>
        <w:jc w:val="left"/>
        <w:rPr>
          <w:sz w:val="28"/>
        </w:rPr>
      </w:pPr>
      <w:r>
        <w:rPr>
          <w:sz w:val="28"/>
        </w:rPr>
        <w:t>Leibowitz</w:t>
      </w:r>
      <w:r>
        <w:rPr>
          <w:spacing w:val="-2"/>
          <w:sz w:val="28"/>
        </w:rPr>
        <w:t> </w:t>
      </w:r>
      <w:r>
        <w:rPr>
          <w:sz w:val="28"/>
        </w:rPr>
        <w:t>S.</w:t>
      </w:r>
      <w:r>
        <w:rPr>
          <w:spacing w:val="-1"/>
          <w:sz w:val="28"/>
        </w:rPr>
        <w:t> </w:t>
      </w:r>
      <w:r>
        <w:rPr>
          <w:sz w:val="28"/>
        </w:rPr>
        <w:t>Social</w:t>
      </w:r>
      <w:r>
        <w:rPr>
          <w:spacing w:val="-1"/>
          <w:sz w:val="28"/>
        </w:rPr>
        <w:t> </w:t>
      </w:r>
      <w:r>
        <w:rPr>
          <w:sz w:val="28"/>
        </w:rPr>
        <w:t>Gender</w:t>
      </w:r>
      <w:r>
        <w:rPr>
          <w:spacing w:val="-7"/>
          <w:sz w:val="28"/>
        </w:rPr>
        <w:t> </w:t>
      </w:r>
      <w:r>
        <w:rPr>
          <w:sz w:val="28"/>
        </w:rPr>
        <w:t>Transition</w:t>
      </w:r>
      <w:r>
        <w:rPr>
          <w:spacing w:val="-1"/>
          <w:sz w:val="28"/>
        </w:rPr>
        <w:t> </w:t>
      </w:r>
      <w:r>
        <w:rPr>
          <w:sz w:val="28"/>
        </w:rPr>
        <w:t>and</w:t>
      </w:r>
      <w:r>
        <w:rPr>
          <w:spacing w:val="-1"/>
          <w:sz w:val="28"/>
        </w:rPr>
        <w:t> </w:t>
      </w:r>
      <w:r>
        <w:rPr>
          <w:sz w:val="28"/>
        </w:rPr>
        <w:t>the</w:t>
      </w:r>
      <w:r>
        <w:rPr>
          <w:spacing w:val="-2"/>
          <w:sz w:val="28"/>
        </w:rPr>
        <w:t> </w:t>
      </w:r>
      <w:r>
        <w:rPr>
          <w:sz w:val="28"/>
        </w:rPr>
        <w:t>Psychological</w:t>
      </w:r>
      <w:r>
        <w:rPr>
          <w:spacing w:val="-1"/>
          <w:sz w:val="28"/>
        </w:rPr>
        <w:t> </w:t>
      </w:r>
      <w:r>
        <w:rPr>
          <w:sz w:val="28"/>
        </w:rPr>
        <w:t>Interventions.</w:t>
      </w:r>
      <w:r>
        <w:rPr>
          <w:spacing w:val="-1"/>
          <w:sz w:val="28"/>
        </w:rPr>
        <w:t> </w:t>
      </w:r>
      <w:r>
        <w:rPr>
          <w:sz w:val="28"/>
        </w:rPr>
        <w:t>In: Janssen</w:t>
      </w:r>
      <w:r>
        <w:rPr>
          <w:spacing w:val="-18"/>
          <w:sz w:val="28"/>
        </w:rPr>
        <w:t> </w:t>
      </w:r>
      <w:r>
        <w:rPr>
          <w:sz w:val="28"/>
        </w:rPr>
        <w:t>A,</w:t>
      </w:r>
      <w:r>
        <w:rPr>
          <w:spacing w:val="-7"/>
          <w:sz w:val="28"/>
        </w:rPr>
        <w:t> </w:t>
      </w:r>
      <w:r>
        <w:rPr>
          <w:sz w:val="28"/>
        </w:rPr>
        <w:t>Leibowitz</w:t>
      </w:r>
      <w:r>
        <w:rPr>
          <w:spacing w:val="-6"/>
          <w:sz w:val="28"/>
        </w:rPr>
        <w:t> </w:t>
      </w:r>
      <w:r>
        <w:rPr>
          <w:sz w:val="28"/>
        </w:rPr>
        <w:t>S,</w:t>
      </w:r>
      <w:r>
        <w:rPr>
          <w:spacing w:val="-5"/>
          <w:sz w:val="28"/>
        </w:rPr>
        <w:t> </w:t>
      </w:r>
      <w:r>
        <w:rPr>
          <w:sz w:val="28"/>
        </w:rPr>
        <w:t>eds.</w:t>
      </w:r>
      <w:r>
        <w:rPr>
          <w:spacing w:val="-5"/>
          <w:sz w:val="28"/>
        </w:rPr>
        <w:t> </w:t>
      </w:r>
      <w:r>
        <w:rPr>
          <w:i/>
          <w:sz w:val="28"/>
        </w:rPr>
        <w:t>Affirmative</w:t>
      </w:r>
      <w:r>
        <w:rPr>
          <w:i/>
          <w:spacing w:val="-6"/>
          <w:sz w:val="28"/>
        </w:rPr>
        <w:t> </w:t>
      </w:r>
      <w:r>
        <w:rPr>
          <w:i/>
          <w:sz w:val="28"/>
        </w:rPr>
        <w:t>mental</w:t>
      </w:r>
      <w:r>
        <w:rPr>
          <w:i/>
          <w:spacing w:val="-5"/>
          <w:sz w:val="28"/>
        </w:rPr>
        <w:t> </w:t>
      </w:r>
      <w:r>
        <w:rPr>
          <w:i/>
          <w:sz w:val="28"/>
        </w:rPr>
        <w:t>health</w:t>
      </w:r>
      <w:r>
        <w:rPr>
          <w:i/>
          <w:spacing w:val="-5"/>
          <w:sz w:val="28"/>
        </w:rPr>
        <w:t> </w:t>
      </w:r>
      <w:r>
        <w:rPr>
          <w:i/>
          <w:sz w:val="28"/>
        </w:rPr>
        <w:t>care</w:t>
      </w:r>
      <w:r>
        <w:rPr>
          <w:i/>
          <w:spacing w:val="-6"/>
          <w:sz w:val="28"/>
        </w:rPr>
        <w:t> </w:t>
      </w:r>
      <w:r>
        <w:rPr>
          <w:i/>
          <w:sz w:val="28"/>
        </w:rPr>
        <w:t>for</w:t>
      </w:r>
      <w:r>
        <w:rPr>
          <w:i/>
          <w:spacing w:val="-5"/>
          <w:sz w:val="28"/>
        </w:rPr>
        <w:t> </w:t>
      </w:r>
      <w:r>
        <w:rPr>
          <w:i/>
          <w:sz w:val="28"/>
        </w:rPr>
        <w:t>transgender</w:t>
      </w:r>
      <w:r>
        <w:rPr>
          <w:i/>
          <w:sz w:val="28"/>
        </w:rPr>
        <w:t> and gender diverse youth</w:t>
      </w:r>
      <w:r>
        <w:rPr>
          <w:sz w:val="28"/>
        </w:rPr>
        <w:t>. Springer; 2018:31-47. https://doi.org/ </w:t>
      </w:r>
      <w:r>
        <w:rPr>
          <w:spacing w:val="-2"/>
          <w:sz w:val="28"/>
        </w:rPr>
        <w:t>10.1007/978-3-319-78307-9_2</w:t>
      </w:r>
    </w:p>
    <w:p>
      <w:pPr>
        <w:pStyle w:val="BodyText"/>
        <w:spacing w:before="8"/>
        <w:rPr>
          <w:sz w:val="25"/>
        </w:rPr>
      </w:pPr>
    </w:p>
    <w:p>
      <w:pPr>
        <w:pStyle w:val="BodyText"/>
        <w:ind w:left="640" w:right="502" w:hanging="360"/>
      </w:pPr>
      <w:r>
        <w:rPr/>
        <w:t>Green</w:t>
      </w:r>
      <w:r>
        <w:rPr>
          <w:spacing w:val="-18"/>
        </w:rPr>
        <w:t> </w:t>
      </w:r>
      <w:r>
        <w:rPr/>
        <w:t>AE,</w:t>
      </w:r>
      <w:r>
        <w:rPr>
          <w:spacing w:val="-14"/>
        </w:rPr>
        <w:t> </w:t>
      </w:r>
      <w:r>
        <w:rPr/>
        <w:t>DeChants</w:t>
      </w:r>
      <w:r>
        <w:rPr>
          <w:spacing w:val="-7"/>
        </w:rPr>
        <w:t> </w:t>
      </w:r>
      <w:r>
        <w:rPr/>
        <w:t>JP,</w:t>
      </w:r>
      <w:r>
        <w:rPr>
          <w:spacing w:val="-7"/>
        </w:rPr>
        <w:t> </w:t>
      </w:r>
      <w:r>
        <w:rPr/>
        <w:t>Price</w:t>
      </w:r>
      <w:r>
        <w:rPr>
          <w:spacing w:val="-8"/>
        </w:rPr>
        <w:t> </w:t>
      </w:r>
      <w:r>
        <w:rPr/>
        <w:t>MN,</w:t>
      </w:r>
      <w:r>
        <w:rPr>
          <w:spacing w:val="-7"/>
        </w:rPr>
        <w:t> </w:t>
      </w:r>
      <w:r>
        <w:rPr/>
        <w:t>Davis</w:t>
      </w:r>
      <w:r>
        <w:rPr>
          <w:spacing w:val="-7"/>
        </w:rPr>
        <w:t> </w:t>
      </w:r>
      <w:r>
        <w:rPr/>
        <w:t>CK.</w:t>
      </w:r>
      <w:r>
        <w:rPr>
          <w:spacing w:val="-7"/>
        </w:rPr>
        <w:t> </w:t>
      </w:r>
      <w:r>
        <w:rPr/>
        <w:t>2021.</w:t>
      </w:r>
      <w:r>
        <w:rPr>
          <w:spacing w:val="-18"/>
        </w:rPr>
        <w:t> </w:t>
      </w:r>
      <w:r>
        <w:rPr/>
        <w:t>Association</w:t>
      </w:r>
      <w:r>
        <w:rPr>
          <w:spacing w:val="-7"/>
        </w:rPr>
        <w:t> </w:t>
      </w:r>
      <w:r>
        <w:rPr/>
        <w:t>of</w:t>
      </w:r>
      <w:r>
        <w:rPr>
          <w:spacing w:val="-7"/>
        </w:rPr>
        <w:t> </w:t>
      </w:r>
      <w:r>
        <w:rPr/>
        <w:t>gender- affirming hormone therapy with depression, thoughts of suicide, and attempted suicide among transgender and nonbinary youth. </w:t>
      </w:r>
      <w:r>
        <w:rPr>
          <w:i/>
        </w:rPr>
        <w:t>J Adolesc</w:t>
      </w:r>
      <w:r>
        <w:rPr>
          <w:i/>
        </w:rPr>
        <w:t> Health</w:t>
      </w:r>
      <w:r>
        <w:rPr/>
        <w:t>. 2021;S1054-139X(21)00568-1. https://doi.org/10.1016/ j.jadohealth.2021.10. 036</w:t>
      </w:r>
    </w:p>
    <w:p>
      <w:pPr>
        <w:pStyle w:val="BodyText"/>
        <w:spacing w:before="6"/>
        <w:rPr>
          <w:sz w:val="25"/>
        </w:rPr>
      </w:pPr>
    </w:p>
    <w:p>
      <w:pPr>
        <w:pStyle w:val="BodyText"/>
        <w:ind w:left="640" w:right="515" w:hanging="360"/>
      </w:pPr>
      <w:r>
        <w:rPr/>
        <w:t>Allen LR, Watson LB, Egan</w:t>
      </w:r>
      <w:r>
        <w:rPr>
          <w:spacing w:val="-8"/>
        </w:rPr>
        <w:t> </w:t>
      </w:r>
      <w:r>
        <w:rPr/>
        <w:t>AM, Moser CN. Well-being and suicidality among transgender youth after gender-affirming hormones. </w:t>
      </w:r>
      <w:r>
        <w:rPr>
          <w:i/>
        </w:rPr>
        <w:t>Clin Pract</w:t>
      </w:r>
      <w:r>
        <w:rPr>
          <w:i/>
        </w:rPr>
        <w:t> Pediatr</w:t>
      </w:r>
      <w:r>
        <w:rPr>
          <w:i/>
          <w:spacing w:val="-8"/>
        </w:rPr>
        <w:t> </w:t>
      </w:r>
      <w:r>
        <w:rPr>
          <w:i/>
        </w:rPr>
        <w:t>Psychol</w:t>
      </w:r>
      <w:r>
        <w:rPr/>
        <w:t>.</w:t>
      </w:r>
      <w:r>
        <w:rPr>
          <w:spacing w:val="-6"/>
        </w:rPr>
        <w:t> </w:t>
      </w:r>
      <w:r>
        <w:rPr/>
        <w:t>2019;7(3):302-311.</w:t>
      </w:r>
      <w:r>
        <w:rPr>
          <w:spacing w:val="-5"/>
        </w:rPr>
        <w:t> </w:t>
      </w:r>
      <w:r>
        <w:rPr>
          <w:spacing w:val="-2"/>
        </w:rPr>
        <w:t>https://doi.org/10.1037/cpp0000288</w:t>
      </w:r>
    </w:p>
    <w:p>
      <w:pPr>
        <w:pStyle w:val="BodyText"/>
        <w:spacing w:before="9"/>
        <w:rPr>
          <w:sz w:val="25"/>
        </w:rPr>
      </w:pPr>
    </w:p>
    <w:p>
      <w:pPr>
        <w:pStyle w:val="BodyText"/>
        <w:spacing w:line="321" w:lineRule="exact"/>
        <w:ind w:left="280"/>
      </w:pPr>
      <w:r>
        <w:rPr/>
        <w:t>Giordano</w:t>
      </w:r>
      <w:r>
        <w:rPr>
          <w:spacing w:val="-2"/>
        </w:rPr>
        <w:t> </w:t>
      </w:r>
      <w:r>
        <w:rPr/>
        <w:t>S,</w:t>
      </w:r>
      <w:r>
        <w:rPr>
          <w:spacing w:val="-1"/>
        </w:rPr>
        <w:t> </w:t>
      </w:r>
      <w:r>
        <w:rPr/>
        <w:t>Holm</w:t>
      </w:r>
      <w:r>
        <w:rPr>
          <w:spacing w:val="-1"/>
        </w:rPr>
        <w:t> </w:t>
      </w:r>
      <w:r>
        <w:rPr/>
        <w:t>S.</w:t>
      </w:r>
      <w:r>
        <w:rPr>
          <w:spacing w:val="-2"/>
        </w:rPr>
        <w:t> </w:t>
      </w:r>
      <w:r>
        <w:rPr/>
        <w:t>Is</w:t>
      </w:r>
      <w:r>
        <w:rPr>
          <w:spacing w:val="-1"/>
        </w:rPr>
        <w:t> </w:t>
      </w:r>
      <w:r>
        <w:rPr/>
        <w:t>puberty</w:t>
      </w:r>
      <w:r>
        <w:rPr>
          <w:spacing w:val="-1"/>
        </w:rPr>
        <w:t> </w:t>
      </w:r>
      <w:r>
        <w:rPr/>
        <w:t>delaying</w:t>
      </w:r>
      <w:r>
        <w:rPr>
          <w:spacing w:val="-2"/>
        </w:rPr>
        <w:t> </w:t>
      </w:r>
      <w:r>
        <w:rPr/>
        <w:t>treatment</w:t>
      </w:r>
      <w:r>
        <w:rPr>
          <w:spacing w:val="-1"/>
        </w:rPr>
        <w:t> </w:t>
      </w:r>
      <w:r>
        <w:rPr/>
        <w:t>'experimental</w:t>
      </w:r>
      <w:r>
        <w:rPr>
          <w:spacing w:val="-1"/>
        </w:rPr>
        <w:t> </w:t>
      </w:r>
      <w:r>
        <w:rPr>
          <w:spacing w:val="-2"/>
        </w:rPr>
        <w:t>treatment'?</w:t>
      </w:r>
    </w:p>
    <w:p>
      <w:pPr>
        <w:spacing w:line="320" w:lineRule="exact" w:before="0"/>
        <w:ind w:left="640" w:right="0" w:firstLine="0"/>
        <w:jc w:val="left"/>
        <w:rPr>
          <w:sz w:val="28"/>
        </w:rPr>
      </w:pPr>
      <w:r>
        <w:rPr>
          <w:i/>
          <w:sz w:val="28"/>
        </w:rPr>
        <w:t>Int</w:t>
      </w:r>
      <w:r>
        <w:rPr>
          <w:i/>
          <w:spacing w:val="-7"/>
          <w:sz w:val="28"/>
        </w:rPr>
        <w:t> </w:t>
      </w:r>
      <w:r>
        <w:rPr>
          <w:i/>
          <w:sz w:val="28"/>
        </w:rPr>
        <w:t>J</w:t>
      </w:r>
      <w:r>
        <w:rPr>
          <w:i/>
          <w:spacing w:val="-5"/>
          <w:sz w:val="28"/>
        </w:rPr>
        <w:t> </w:t>
      </w:r>
      <w:r>
        <w:rPr>
          <w:i/>
          <w:sz w:val="28"/>
        </w:rPr>
        <w:t>Transgend</w:t>
      </w:r>
      <w:r>
        <w:rPr>
          <w:i/>
          <w:spacing w:val="-4"/>
          <w:sz w:val="28"/>
        </w:rPr>
        <w:t> </w:t>
      </w:r>
      <w:r>
        <w:rPr>
          <w:i/>
          <w:sz w:val="28"/>
        </w:rPr>
        <w:t>Health</w:t>
      </w:r>
      <w:r>
        <w:rPr>
          <w:sz w:val="28"/>
        </w:rPr>
        <w:t>.</w:t>
      </w:r>
      <w:r>
        <w:rPr>
          <w:spacing w:val="-4"/>
          <w:sz w:val="28"/>
        </w:rPr>
        <w:t> </w:t>
      </w:r>
      <w:r>
        <w:rPr>
          <w:sz w:val="28"/>
        </w:rPr>
        <w:t>2020;21(2):113-121.</w:t>
      </w:r>
      <w:r>
        <w:rPr>
          <w:spacing w:val="-4"/>
          <w:sz w:val="28"/>
        </w:rPr>
        <w:t> </w:t>
      </w:r>
      <w:r>
        <w:rPr>
          <w:sz w:val="28"/>
        </w:rPr>
        <w:t>Published</w:t>
      </w:r>
      <w:r>
        <w:rPr>
          <w:spacing w:val="-5"/>
          <w:sz w:val="28"/>
        </w:rPr>
        <w:t> </w:t>
      </w:r>
      <w:r>
        <w:rPr>
          <w:sz w:val="28"/>
        </w:rPr>
        <w:t>2020</w:t>
      </w:r>
      <w:r>
        <w:rPr>
          <w:spacing w:val="-17"/>
          <w:sz w:val="28"/>
        </w:rPr>
        <w:t> </w:t>
      </w:r>
      <w:r>
        <w:rPr>
          <w:sz w:val="28"/>
        </w:rPr>
        <w:t>Apr</w:t>
      </w:r>
      <w:r>
        <w:rPr>
          <w:spacing w:val="-4"/>
          <w:sz w:val="28"/>
        </w:rPr>
        <w:t> </w:t>
      </w:r>
      <w:r>
        <w:rPr>
          <w:spacing w:val="-5"/>
          <w:sz w:val="28"/>
        </w:rPr>
        <w:t>11.</w:t>
      </w:r>
    </w:p>
    <w:p>
      <w:pPr>
        <w:pStyle w:val="BodyText"/>
        <w:spacing w:line="321" w:lineRule="exact"/>
        <w:ind w:left="640"/>
      </w:pPr>
      <w:r>
        <w:rPr/>
        <w:t>https://doi.org/10.1080/26895269.2020.1747</w:t>
      </w:r>
      <w:r>
        <w:rPr>
          <w:spacing w:val="-7"/>
        </w:rPr>
        <w:t> </w:t>
      </w:r>
      <w:r>
        <w:rPr>
          <w:spacing w:val="-5"/>
        </w:rPr>
        <w:t>768</w:t>
      </w:r>
    </w:p>
    <w:p>
      <w:pPr>
        <w:pStyle w:val="BodyText"/>
        <w:spacing w:before="2"/>
        <w:rPr>
          <w:sz w:val="26"/>
        </w:rPr>
      </w:pPr>
    </w:p>
    <w:p>
      <w:pPr>
        <w:pStyle w:val="BodyText"/>
        <w:ind w:left="640" w:right="502" w:hanging="360"/>
      </w:pPr>
      <w:r>
        <w:rPr/>
        <w:t>Kreukels</w:t>
      </w:r>
      <w:r>
        <w:rPr>
          <w:spacing w:val="-12"/>
        </w:rPr>
        <w:t> </w:t>
      </w:r>
      <w:r>
        <w:rPr/>
        <w:t>BP,</w:t>
      </w:r>
      <w:r>
        <w:rPr>
          <w:spacing w:val="-12"/>
        </w:rPr>
        <w:t> </w:t>
      </w:r>
      <w:r>
        <w:rPr/>
        <w:t>Cohen-Kettenis</w:t>
      </w:r>
      <w:r>
        <w:rPr>
          <w:spacing w:val="-12"/>
        </w:rPr>
        <w:t> </w:t>
      </w:r>
      <w:r>
        <w:rPr/>
        <w:t>PT.</w:t>
      </w:r>
      <w:r>
        <w:rPr>
          <w:spacing w:val="-12"/>
        </w:rPr>
        <w:t> </w:t>
      </w:r>
      <w:r>
        <w:rPr/>
        <w:t>Puberty</w:t>
      </w:r>
      <w:r>
        <w:rPr>
          <w:spacing w:val="-12"/>
        </w:rPr>
        <w:t> </w:t>
      </w:r>
      <w:r>
        <w:rPr/>
        <w:t>suppression</w:t>
      </w:r>
      <w:r>
        <w:rPr>
          <w:spacing w:val="-12"/>
        </w:rPr>
        <w:t> </w:t>
      </w:r>
      <w:r>
        <w:rPr/>
        <w:t>in</w:t>
      </w:r>
      <w:r>
        <w:rPr>
          <w:spacing w:val="-12"/>
        </w:rPr>
        <w:t> </w:t>
      </w:r>
      <w:r>
        <w:rPr/>
        <w:t>gender</w:t>
      </w:r>
      <w:r>
        <w:rPr>
          <w:spacing w:val="-12"/>
        </w:rPr>
        <w:t> </w:t>
      </w:r>
      <w:r>
        <w:rPr/>
        <w:t>identity disorder: the Amsterdam experience. </w:t>
      </w:r>
      <w:r>
        <w:rPr>
          <w:i/>
        </w:rPr>
        <w:t>Nat Rev Endocrinol</w:t>
      </w:r>
      <w:r>
        <w:rPr/>
        <w:t>.</w:t>
      </w:r>
    </w:p>
    <w:p>
      <w:pPr>
        <w:pStyle w:val="BodyText"/>
        <w:spacing w:line="318" w:lineRule="exact"/>
        <w:ind w:left="640"/>
      </w:pPr>
      <w:r>
        <w:rPr/>
        <w:t>2011;7(8):466-472.</w:t>
      </w:r>
      <w:r>
        <w:rPr>
          <w:spacing w:val="-13"/>
        </w:rPr>
        <w:t> </w:t>
      </w:r>
      <w:r>
        <w:rPr>
          <w:spacing w:val="-2"/>
        </w:rPr>
        <w:t>https://doi.org/10.1038/nrendo.2011.78</w:t>
      </w:r>
    </w:p>
    <w:p>
      <w:pPr>
        <w:pStyle w:val="BodyText"/>
        <w:spacing w:before="2"/>
        <w:rPr>
          <w:sz w:val="26"/>
        </w:rPr>
      </w:pPr>
    </w:p>
    <w:p>
      <w:pPr>
        <w:pStyle w:val="BodyText"/>
        <w:ind w:left="640" w:right="668" w:hanging="360"/>
      </w:pPr>
      <w:r>
        <w:rPr/>
        <w:t>Raifman</w:t>
      </w:r>
      <w:r>
        <w:rPr>
          <w:spacing w:val="-1"/>
        </w:rPr>
        <w:t> </w:t>
      </w:r>
      <w:r>
        <w:rPr/>
        <w:t>J,</w:t>
      </w:r>
      <w:r>
        <w:rPr>
          <w:spacing w:val="-1"/>
        </w:rPr>
        <w:t> </w:t>
      </w:r>
      <w:r>
        <w:rPr/>
        <w:t>Moscoe</w:t>
      </w:r>
      <w:r>
        <w:rPr>
          <w:spacing w:val="-2"/>
        </w:rPr>
        <w:t> </w:t>
      </w:r>
      <w:r>
        <w:rPr/>
        <w:t>E,</w:t>
      </w:r>
      <w:r>
        <w:rPr>
          <w:spacing w:val="-17"/>
        </w:rPr>
        <w:t> </w:t>
      </w:r>
      <w:r>
        <w:rPr/>
        <w:t>Austin</w:t>
      </w:r>
      <w:r>
        <w:rPr>
          <w:spacing w:val="-1"/>
        </w:rPr>
        <w:t> </w:t>
      </w:r>
      <w:r>
        <w:rPr/>
        <w:t>SB,</w:t>
      </w:r>
      <w:r>
        <w:rPr>
          <w:spacing w:val="-1"/>
        </w:rPr>
        <w:t> </w:t>
      </w:r>
      <w:r>
        <w:rPr/>
        <w:t>Hatzenbuehler</w:t>
      </w:r>
      <w:r>
        <w:rPr>
          <w:spacing w:val="-1"/>
        </w:rPr>
        <w:t> </w:t>
      </w:r>
      <w:r>
        <w:rPr/>
        <w:t>ML,</w:t>
      </w:r>
      <w:r>
        <w:rPr>
          <w:spacing w:val="-1"/>
        </w:rPr>
        <w:t> </w:t>
      </w:r>
      <w:r>
        <w:rPr/>
        <w:t>Galea</w:t>
      </w:r>
      <w:r>
        <w:rPr>
          <w:spacing w:val="-2"/>
        </w:rPr>
        <w:t> </w:t>
      </w:r>
      <w:r>
        <w:rPr/>
        <w:t>S.</w:t>
      </w:r>
      <w:r>
        <w:rPr>
          <w:spacing w:val="-1"/>
        </w:rPr>
        <w:t> </w:t>
      </w:r>
      <w:r>
        <w:rPr/>
        <w:t>State</w:t>
      </w:r>
      <w:r>
        <w:rPr>
          <w:spacing w:val="-2"/>
        </w:rPr>
        <w:t> </w:t>
      </w:r>
      <w:r>
        <w:rPr/>
        <w:t>laws permitting denial of services to same-sex couples and mental distress among</w:t>
      </w:r>
      <w:r>
        <w:rPr>
          <w:spacing w:val="-18"/>
        </w:rPr>
        <w:t> </w:t>
      </w:r>
      <w:r>
        <w:rPr/>
        <w:t>sexual</w:t>
      </w:r>
      <w:r>
        <w:rPr>
          <w:spacing w:val="-17"/>
        </w:rPr>
        <w:t> </w:t>
      </w:r>
      <w:r>
        <w:rPr/>
        <w:t>minority</w:t>
      </w:r>
      <w:r>
        <w:rPr>
          <w:spacing w:val="-13"/>
        </w:rPr>
        <w:t> </w:t>
      </w:r>
      <w:r>
        <w:rPr/>
        <w:t>adults:</w:t>
      </w:r>
      <w:r>
        <w:rPr>
          <w:spacing w:val="-18"/>
        </w:rPr>
        <w:t> </w:t>
      </w:r>
      <w:r>
        <w:rPr/>
        <w:t>A</w:t>
      </w:r>
      <w:r>
        <w:rPr>
          <w:spacing w:val="-17"/>
        </w:rPr>
        <w:t> </w:t>
      </w:r>
      <w:r>
        <w:rPr/>
        <w:t>difference-in-difference-indifferences analysis. </w:t>
      </w:r>
      <w:r>
        <w:rPr>
          <w:i/>
        </w:rPr>
        <w:t>JAMA Psychiatry. </w:t>
      </w:r>
      <w:r>
        <w:rPr/>
        <w:t>2018;75:671-677. https://doi.org/10.1001/ jamapsychiatry.2018.0 757</w:t>
      </w:r>
    </w:p>
    <w:p>
      <w:pPr>
        <w:pStyle w:val="BodyText"/>
        <w:spacing w:before="6"/>
        <w:rPr>
          <w:sz w:val="25"/>
        </w:rPr>
      </w:pPr>
    </w:p>
    <w:p>
      <w:pPr>
        <w:pStyle w:val="BodyText"/>
        <w:ind w:left="640" w:right="673" w:hanging="360"/>
      </w:pPr>
      <w:r>
        <w:rPr/>
        <w:t>National</w:t>
      </w:r>
      <w:r>
        <w:rPr>
          <w:spacing w:val="-5"/>
        </w:rPr>
        <w:t> </w:t>
      </w:r>
      <w:r>
        <w:rPr/>
        <w:t>Association of Social Workers. Code of Ethics. 2021.</w:t>
      </w:r>
      <w:r>
        <w:rPr>
          <w:spacing w:val="-5"/>
        </w:rPr>
        <w:t> </w:t>
      </w:r>
      <w:r>
        <w:rPr/>
        <w:t>Accessed February</w:t>
      </w:r>
      <w:r>
        <w:rPr>
          <w:spacing w:val="-16"/>
        </w:rPr>
        <w:t> </w:t>
      </w:r>
      <w:r>
        <w:rPr/>
        <w:t>12,</w:t>
      </w:r>
      <w:r>
        <w:rPr>
          <w:spacing w:val="-16"/>
        </w:rPr>
        <w:t> </w:t>
      </w:r>
      <w:r>
        <w:rPr/>
        <w:t>2022.</w:t>
      </w:r>
      <w:r>
        <w:rPr>
          <w:spacing w:val="-16"/>
        </w:rPr>
        <w:t> </w:t>
      </w:r>
      <w:r>
        <w:rPr/>
        <w:t>https://</w:t>
      </w:r>
      <w:hyperlink r:id="rId90">
        <w:r>
          <w:rPr/>
          <w:t>www.socialworkers.org/About/Ethics/C</w:t>
        </w:r>
      </w:hyperlink>
      <w:r>
        <w:rPr>
          <w:spacing w:val="-16"/>
        </w:rPr>
        <w:t> </w:t>
      </w:r>
      <w:r>
        <w:rPr/>
        <w:t>ode-of- </w:t>
      </w:r>
      <w:r>
        <w:rPr>
          <w:spacing w:val="-2"/>
        </w:rPr>
        <w:t>Ethics/Code-of-Ethics-English</w:t>
      </w:r>
    </w:p>
    <w:p>
      <w:pPr>
        <w:pStyle w:val="BodyText"/>
        <w:spacing w:before="4"/>
        <w:rPr>
          <w:sz w:val="27"/>
        </w:rPr>
      </w:pPr>
    </w:p>
    <w:p>
      <w:pPr>
        <w:pStyle w:val="BodyText"/>
        <w:ind w:left="640" w:right="502" w:hanging="360"/>
      </w:pPr>
      <w:r>
        <w:rPr/>
        <w:t>American Counseling Association. Resolution on Reparative Therapy/ Conversion Therapy/Sexual Orientation Change Efforts (SOCE) as a Significant</w:t>
      </w:r>
      <w:r>
        <w:rPr>
          <w:spacing w:val="-11"/>
        </w:rPr>
        <w:t> </w:t>
      </w:r>
      <w:r>
        <w:rPr/>
        <w:t>and</w:t>
      </w:r>
      <w:r>
        <w:rPr>
          <w:spacing w:val="-6"/>
        </w:rPr>
        <w:t> </w:t>
      </w:r>
      <w:r>
        <w:rPr/>
        <w:t>Serious</w:t>
      </w:r>
      <w:r>
        <w:rPr>
          <w:spacing w:val="-11"/>
        </w:rPr>
        <w:t> </w:t>
      </w:r>
      <w:r>
        <w:rPr/>
        <w:t>Violation</w:t>
      </w:r>
      <w:r>
        <w:rPr>
          <w:spacing w:val="-6"/>
        </w:rPr>
        <w:t> </w:t>
      </w:r>
      <w:r>
        <w:rPr/>
        <w:t>of</w:t>
      </w:r>
      <w:r>
        <w:rPr>
          <w:spacing w:val="-6"/>
        </w:rPr>
        <w:t> </w:t>
      </w:r>
      <w:r>
        <w:rPr/>
        <w:t>the</w:t>
      </w:r>
      <w:r>
        <w:rPr>
          <w:spacing w:val="-18"/>
        </w:rPr>
        <w:t> </w:t>
      </w:r>
      <w:r>
        <w:rPr/>
        <w:t>ACA</w:t>
      </w:r>
      <w:r>
        <w:rPr>
          <w:spacing w:val="-17"/>
        </w:rPr>
        <w:t> </w:t>
      </w:r>
      <w:r>
        <w:rPr/>
        <w:t>Code</w:t>
      </w:r>
      <w:r>
        <w:rPr>
          <w:spacing w:val="-7"/>
        </w:rPr>
        <w:t> </w:t>
      </w:r>
      <w:r>
        <w:rPr/>
        <w:t>of</w:t>
      </w:r>
      <w:r>
        <w:rPr>
          <w:spacing w:val="-6"/>
        </w:rPr>
        <w:t> </w:t>
      </w:r>
      <w:r>
        <w:rPr/>
        <w:t>Ethics,</w:t>
      </w:r>
      <w:r>
        <w:rPr>
          <w:spacing w:val="-6"/>
        </w:rPr>
        <w:t> </w:t>
      </w:r>
      <w:r>
        <w:rPr/>
        <w:t>Governing Council</w:t>
      </w:r>
      <w:r>
        <w:rPr>
          <w:spacing w:val="-4"/>
        </w:rPr>
        <w:t> </w:t>
      </w:r>
      <w:r>
        <w:rPr/>
        <w:t>Meeting.</w:t>
      </w:r>
      <w:r>
        <w:rPr>
          <w:spacing w:val="-1"/>
        </w:rPr>
        <w:t> </w:t>
      </w:r>
      <w:r>
        <w:rPr/>
        <w:t>December</w:t>
      </w:r>
      <w:r>
        <w:rPr>
          <w:spacing w:val="-2"/>
        </w:rPr>
        <w:t> </w:t>
      </w:r>
      <w:r>
        <w:rPr/>
        <w:t>19,</w:t>
      </w:r>
      <w:r>
        <w:rPr>
          <w:spacing w:val="-1"/>
        </w:rPr>
        <w:t> </w:t>
      </w:r>
      <w:r>
        <w:rPr/>
        <w:t>2017.</w:t>
      </w:r>
      <w:r>
        <w:rPr>
          <w:spacing w:val="-1"/>
        </w:rPr>
        <w:t> </w:t>
      </w:r>
      <w:r>
        <w:rPr>
          <w:spacing w:val="-2"/>
        </w:rPr>
        <w:t>https://</w:t>
      </w:r>
      <w:hyperlink r:id="rId91">
        <w:r>
          <w:rPr>
            <w:spacing w:val="-2"/>
          </w:rPr>
          <w:t>www.counseling.org/docs/</w:t>
        </w:r>
      </w:hyperlink>
    </w:p>
    <w:p>
      <w:pPr>
        <w:spacing w:after="0"/>
        <w:sectPr>
          <w:pgSz w:w="12240" w:h="15840"/>
          <w:pgMar w:header="0" w:footer="783" w:top="1260" w:bottom="980" w:left="1400" w:right="1180"/>
        </w:sectPr>
      </w:pPr>
    </w:p>
    <w:p>
      <w:pPr>
        <w:pStyle w:val="BodyText"/>
        <w:spacing w:before="66"/>
        <w:ind w:left="640"/>
      </w:pPr>
      <w:r>
        <w:rPr>
          <w:spacing w:val="-2"/>
        </w:rPr>
        <w:t>defaultsource/default-document-library/reparativetherapy-resoltution- </w:t>
      </w:r>
      <w:r>
        <w:rPr/>
        <w:t>letterhead_edited.pdf?sfvrsn=8ed562c_4.</w:t>
      </w:r>
      <w:r>
        <w:rPr>
          <w:spacing w:val="-18"/>
        </w:rPr>
        <w:t> </w:t>
      </w:r>
      <w:r>
        <w:rPr/>
        <w:t>Accessed</w:t>
      </w:r>
      <w:r>
        <w:rPr>
          <w:spacing w:val="-16"/>
        </w:rPr>
        <w:t> </w:t>
      </w:r>
      <w:r>
        <w:rPr/>
        <w:t>February</w:t>
      </w:r>
      <w:r>
        <w:rPr>
          <w:spacing w:val="-9"/>
        </w:rPr>
        <w:t> </w:t>
      </w:r>
      <w:r>
        <w:rPr/>
        <w:t>12,</w:t>
      </w:r>
      <w:r>
        <w:rPr>
          <w:spacing w:val="-10"/>
        </w:rPr>
        <w:t> </w:t>
      </w:r>
      <w:r>
        <w:rPr/>
        <w:t>2022.</w:t>
      </w:r>
    </w:p>
    <w:p>
      <w:pPr>
        <w:pStyle w:val="BodyText"/>
        <w:rPr>
          <w:sz w:val="26"/>
        </w:rPr>
      </w:pPr>
    </w:p>
    <w:p>
      <w:pPr>
        <w:pStyle w:val="BodyText"/>
        <w:ind w:left="640" w:right="660" w:hanging="360"/>
      </w:pPr>
      <w:r>
        <w:rPr/>
        <w:t>American</w:t>
      </w:r>
      <w:r>
        <w:rPr>
          <w:spacing w:val="-18"/>
        </w:rPr>
        <w:t> </w:t>
      </w:r>
      <w:r>
        <w:rPr/>
        <w:t>Academy</w:t>
      </w:r>
      <w:r>
        <w:rPr>
          <w:spacing w:val="-7"/>
        </w:rPr>
        <w:t> </w:t>
      </w:r>
      <w:r>
        <w:rPr/>
        <w:t>of</w:t>
      </w:r>
      <w:r>
        <w:rPr>
          <w:spacing w:val="-5"/>
        </w:rPr>
        <w:t> </w:t>
      </w:r>
      <w:r>
        <w:rPr/>
        <w:t>Pediatrics</w:t>
      </w:r>
      <w:r>
        <w:rPr>
          <w:spacing w:val="-5"/>
        </w:rPr>
        <w:t> </w:t>
      </w:r>
      <w:r>
        <w:rPr/>
        <w:t>Committee</w:t>
      </w:r>
      <w:r>
        <w:rPr>
          <w:spacing w:val="-6"/>
        </w:rPr>
        <w:t> </w:t>
      </w:r>
      <w:r>
        <w:rPr/>
        <w:t>on</w:t>
      </w:r>
      <w:r>
        <w:rPr>
          <w:spacing w:val="-5"/>
        </w:rPr>
        <w:t> </w:t>
      </w:r>
      <w:r>
        <w:rPr/>
        <w:t>Bioethics.</w:t>
      </w:r>
      <w:r>
        <w:rPr>
          <w:spacing w:val="-5"/>
        </w:rPr>
        <w:t> </w:t>
      </w:r>
      <w:r>
        <w:rPr/>
        <w:t>Professionalism</w:t>
      </w:r>
      <w:r>
        <w:rPr>
          <w:spacing w:val="-5"/>
        </w:rPr>
        <w:t> </w:t>
      </w:r>
      <w:r>
        <w:rPr/>
        <w:t>in Pediatrics: Statement of Principles. </w:t>
      </w:r>
      <w:r>
        <w:rPr>
          <w:i/>
        </w:rPr>
        <w:t>Pediatrics. </w:t>
      </w:r>
      <w:r>
        <w:rPr/>
        <w:t>2007;120(4):895–897. </w:t>
      </w:r>
      <w:r>
        <w:rPr>
          <w:spacing w:val="-2"/>
        </w:rPr>
        <w:t>https://doi.org/10.1542/peds.2007-2229</w:t>
      </w:r>
    </w:p>
    <w:p>
      <w:pPr>
        <w:pStyle w:val="BodyText"/>
        <w:spacing w:before="9"/>
        <w:rPr>
          <w:sz w:val="25"/>
        </w:rPr>
      </w:pPr>
    </w:p>
    <w:p>
      <w:pPr>
        <w:pStyle w:val="BodyText"/>
        <w:spacing w:before="1"/>
        <w:ind w:left="640" w:right="912" w:hanging="360"/>
        <w:jc w:val="both"/>
      </w:pPr>
      <w:r>
        <w:rPr/>
        <w:t>Hopkins</w:t>
      </w:r>
      <w:r>
        <w:rPr>
          <w:spacing w:val="-14"/>
        </w:rPr>
        <w:t> </w:t>
      </w:r>
      <w:r>
        <w:rPr/>
        <w:t>A, Fitzpatrick R, Foster</w:t>
      </w:r>
      <w:r>
        <w:rPr>
          <w:spacing w:val="-14"/>
        </w:rPr>
        <w:t> </w:t>
      </w:r>
      <w:r>
        <w:rPr/>
        <w:t>A, et al.</w:t>
      </w:r>
      <w:r>
        <w:rPr>
          <w:spacing w:val="-3"/>
        </w:rPr>
        <w:t> </w:t>
      </w:r>
      <w:r>
        <w:rPr/>
        <w:t>What do we mean by appropriate health</w:t>
      </w:r>
      <w:r>
        <w:rPr>
          <w:spacing w:val="-12"/>
        </w:rPr>
        <w:t> </w:t>
      </w:r>
      <w:r>
        <w:rPr/>
        <w:t>care?</w:t>
      </w:r>
      <w:r>
        <w:rPr>
          <w:spacing w:val="-8"/>
        </w:rPr>
        <w:t> </w:t>
      </w:r>
      <w:r>
        <w:rPr>
          <w:i/>
        </w:rPr>
        <w:t>Quality</w:t>
      </w:r>
      <w:r>
        <w:rPr>
          <w:i/>
          <w:spacing w:val="-9"/>
        </w:rPr>
        <w:t> </w:t>
      </w:r>
      <w:r>
        <w:rPr>
          <w:i/>
        </w:rPr>
        <w:t>in</w:t>
      </w:r>
      <w:r>
        <w:rPr>
          <w:i/>
          <w:spacing w:val="-8"/>
        </w:rPr>
        <w:t> </w:t>
      </w:r>
      <w:r>
        <w:rPr>
          <w:i/>
        </w:rPr>
        <w:t>Health</w:t>
      </w:r>
      <w:r>
        <w:rPr>
          <w:i/>
          <w:spacing w:val="-8"/>
        </w:rPr>
        <w:t> </w:t>
      </w:r>
      <w:r>
        <w:rPr>
          <w:i/>
        </w:rPr>
        <w:t>Care</w:t>
      </w:r>
      <w:r>
        <w:rPr>
          <w:i/>
          <w:spacing w:val="-8"/>
        </w:rPr>
        <w:t> </w:t>
      </w:r>
      <w:r>
        <w:rPr/>
        <w:t>1993;2:117-123.</w:t>
      </w:r>
      <w:r>
        <w:rPr>
          <w:spacing w:val="-18"/>
        </w:rPr>
        <w:t> </w:t>
      </w:r>
      <w:r>
        <w:rPr/>
        <w:t>Accessed</w:t>
      </w:r>
      <w:r>
        <w:rPr>
          <w:spacing w:val="-7"/>
        </w:rPr>
        <w:t> </w:t>
      </w:r>
      <w:r>
        <w:rPr/>
        <w:t>February 12, 2022. https://doi.org/10.1136/qshc.2.2.117</w:t>
      </w:r>
    </w:p>
    <w:p>
      <w:pPr>
        <w:pStyle w:val="BodyText"/>
        <w:spacing w:before="9"/>
        <w:rPr>
          <w:sz w:val="25"/>
        </w:rPr>
      </w:pPr>
    </w:p>
    <w:p>
      <w:pPr>
        <w:spacing w:before="0"/>
        <w:ind w:left="640" w:right="883" w:hanging="360"/>
        <w:jc w:val="both"/>
        <w:rPr>
          <w:sz w:val="28"/>
        </w:rPr>
      </w:pPr>
      <w:r>
        <w:rPr>
          <w:sz w:val="28"/>
        </w:rPr>
        <w:t>Rogers</w:t>
      </w:r>
      <w:r>
        <w:rPr>
          <w:spacing w:val="-8"/>
          <w:sz w:val="28"/>
        </w:rPr>
        <w:t> </w:t>
      </w:r>
      <w:r>
        <w:rPr>
          <w:sz w:val="28"/>
        </w:rPr>
        <w:t>C.</w:t>
      </w:r>
      <w:r>
        <w:rPr>
          <w:spacing w:val="-9"/>
          <w:sz w:val="28"/>
        </w:rPr>
        <w:t> </w:t>
      </w:r>
      <w:r>
        <w:rPr>
          <w:i/>
          <w:sz w:val="28"/>
        </w:rPr>
        <w:t>Client-Centered</w:t>
      </w:r>
      <w:r>
        <w:rPr>
          <w:i/>
          <w:spacing w:val="-8"/>
          <w:sz w:val="28"/>
        </w:rPr>
        <w:t> </w:t>
      </w:r>
      <w:r>
        <w:rPr>
          <w:i/>
          <w:sz w:val="28"/>
        </w:rPr>
        <w:t>Therapy:</w:t>
      </w:r>
      <w:r>
        <w:rPr>
          <w:i/>
          <w:spacing w:val="-8"/>
          <w:sz w:val="28"/>
        </w:rPr>
        <w:t> </w:t>
      </w:r>
      <w:r>
        <w:rPr>
          <w:i/>
          <w:sz w:val="28"/>
        </w:rPr>
        <w:t>Its</w:t>
      </w:r>
      <w:r>
        <w:rPr>
          <w:i/>
          <w:spacing w:val="-8"/>
          <w:sz w:val="28"/>
        </w:rPr>
        <w:t> </w:t>
      </w:r>
      <w:r>
        <w:rPr>
          <w:i/>
          <w:sz w:val="28"/>
        </w:rPr>
        <w:t>Current</w:t>
      </w:r>
      <w:r>
        <w:rPr>
          <w:i/>
          <w:spacing w:val="-8"/>
          <w:sz w:val="28"/>
        </w:rPr>
        <w:t> </w:t>
      </w:r>
      <w:r>
        <w:rPr>
          <w:i/>
          <w:sz w:val="28"/>
        </w:rPr>
        <w:t>Practice,</w:t>
      </w:r>
      <w:r>
        <w:rPr>
          <w:i/>
          <w:spacing w:val="-8"/>
          <w:sz w:val="28"/>
        </w:rPr>
        <w:t> </w:t>
      </w:r>
      <w:r>
        <w:rPr>
          <w:i/>
          <w:sz w:val="28"/>
        </w:rPr>
        <w:t>Implications,</w:t>
      </w:r>
      <w:r>
        <w:rPr>
          <w:i/>
          <w:spacing w:val="-8"/>
          <w:sz w:val="28"/>
        </w:rPr>
        <w:t> </w:t>
      </w:r>
      <w:r>
        <w:rPr>
          <w:i/>
          <w:sz w:val="28"/>
        </w:rPr>
        <w:t>and</w:t>
      </w:r>
      <w:r>
        <w:rPr>
          <w:i/>
          <w:sz w:val="28"/>
        </w:rPr>
        <w:t> Theory</w:t>
      </w:r>
      <w:r>
        <w:rPr>
          <w:sz w:val="28"/>
        </w:rPr>
        <w:t>. Houghton Mifflin; 1951.</w:t>
      </w:r>
    </w:p>
    <w:p>
      <w:pPr>
        <w:pStyle w:val="BodyText"/>
        <w:rPr>
          <w:sz w:val="26"/>
        </w:rPr>
      </w:pPr>
    </w:p>
    <w:p>
      <w:pPr>
        <w:spacing w:before="0"/>
        <w:ind w:left="640" w:right="502" w:hanging="360"/>
        <w:jc w:val="left"/>
        <w:rPr>
          <w:sz w:val="28"/>
        </w:rPr>
      </w:pPr>
      <w:r>
        <w:rPr>
          <w:sz w:val="28"/>
        </w:rPr>
        <w:t>Zucker KJ. Gender identity development and issues. </w:t>
      </w:r>
      <w:r>
        <w:rPr>
          <w:i/>
          <w:sz w:val="28"/>
        </w:rPr>
        <w:t>Child</w:t>
      </w:r>
      <w:r>
        <w:rPr>
          <w:i/>
          <w:spacing w:val="-1"/>
          <w:sz w:val="28"/>
        </w:rPr>
        <w:t> </w:t>
      </w:r>
      <w:r>
        <w:rPr>
          <w:i/>
          <w:sz w:val="28"/>
        </w:rPr>
        <w:t>Adolesc Psychiatr</w:t>
      </w:r>
      <w:r>
        <w:rPr>
          <w:i/>
          <w:sz w:val="28"/>
        </w:rPr>
        <w:t> Clin</w:t>
      </w:r>
      <w:r>
        <w:rPr>
          <w:i/>
          <w:spacing w:val="-3"/>
          <w:sz w:val="28"/>
        </w:rPr>
        <w:t> </w:t>
      </w:r>
      <w:r>
        <w:rPr>
          <w:i/>
          <w:sz w:val="28"/>
        </w:rPr>
        <w:t>N</w:t>
      </w:r>
      <w:r>
        <w:rPr>
          <w:i/>
          <w:spacing w:val="-6"/>
          <w:sz w:val="28"/>
        </w:rPr>
        <w:t> </w:t>
      </w:r>
      <w:r>
        <w:rPr>
          <w:i/>
          <w:sz w:val="28"/>
        </w:rPr>
        <w:t>Am.</w:t>
      </w:r>
      <w:r>
        <w:rPr>
          <w:i/>
          <w:spacing w:val="-1"/>
          <w:sz w:val="28"/>
        </w:rPr>
        <w:t> </w:t>
      </w:r>
      <w:r>
        <w:rPr>
          <w:sz w:val="28"/>
        </w:rPr>
        <w:t>2004</w:t>
      </w:r>
      <w:r>
        <w:rPr>
          <w:i/>
          <w:sz w:val="28"/>
        </w:rPr>
        <w:t>;13</w:t>
      </w:r>
      <w:r>
        <w:rPr>
          <w:sz w:val="28"/>
        </w:rPr>
        <w:t>(3):551-568. </w:t>
      </w:r>
      <w:r>
        <w:rPr>
          <w:spacing w:val="-2"/>
          <w:sz w:val="28"/>
        </w:rPr>
        <w:t>https://doi.org/10.1016/j.chc.2004.02.006</w:t>
      </w:r>
    </w:p>
    <w:p>
      <w:pPr>
        <w:pStyle w:val="BodyText"/>
        <w:rPr>
          <w:sz w:val="26"/>
        </w:rPr>
      </w:pPr>
    </w:p>
    <w:p>
      <w:pPr>
        <w:pStyle w:val="BodyText"/>
        <w:ind w:left="640" w:right="668" w:hanging="360"/>
      </w:pPr>
      <w:r>
        <w:rPr/>
        <w:t>Bradshaw K, Dehlin JP, Crowell KA, Galliher RV, Bradshaw</w:t>
      </w:r>
      <w:r>
        <w:rPr>
          <w:spacing w:val="-2"/>
        </w:rPr>
        <w:t> </w:t>
      </w:r>
      <w:r>
        <w:rPr/>
        <w:t>WS. Sexual orientation</w:t>
      </w:r>
      <w:r>
        <w:rPr>
          <w:spacing w:val="-6"/>
        </w:rPr>
        <w:t> </w:t>
      </w:r>
      <w:r>
        <w:rPr/>
        <w:t>change</w:t>
      </w:r>
      <w:r>
        <w:rPr>
          <w:spacing w:val="-7"/>
        </w:rPr>
        <w:t> </w:t>
      </w:r>
      <w:r>
        <w:rPr/>
        <w:t>efforts</w:t>
      </w:r>
      <w:r>
        <w:rPr>
          <w:spacing w:val="-6"/>
        </w:rPr>
        <w:t> </w:t>
      </w:r>
      <w:r>
        <w:rPr/>
        <w:t>through</w:t>
      </w:r>
      <w:r>
        <w:rPr>
          <w:spacing w:val="-6"/>
        </w:rPr>
        <w:t> </w:t>
      </w:r>
      <w:r>
        <w:rPr/>
        <w:t>psychotherapy</w:t>
      </w:r>
      <w:r>
        <w:rPr>
          <w:spacing w:val="-6"/>
        </w:rPr>
        <w:t> </w:t>
      </w:r>
      <w:r>
        <w:rPr/>
        <w:t>for</w:t>
      </w:r>
      <w:r>
        <w:rPr>
          <w:spacing w:val="-6"/>
        </w:rPr>
        <w:t> </w:t>
      </w:r>
      <w:r>
        <w:rPr/>
        <w:t>LGBQ</w:t>
      </w:r>
      <w:r>
        <w:rPr>
          <w:spacing w:val="-6"/>
        </w:rPr>
        <w:t> </w:t>
      </w:r>
      <w:r>
        <w:rPr/>
        <w:t>individuals affiliated with the Church of Jesus Christ of Latter-day Saints. </w:t>
      </w:r>
      <w:r>
        <w:rPr>
          <w:i/>
        </w:rPr>
        <w:t>J Sex</w:t>
      </w:r>
      <w:r>
        <w:rPr>
          <w:i/>
        </w:rPr>
        <w:t> Marital Ther</w:t>
      </w:r>
      <w:r>
        <w:rPr/>
        <w:t>. 2015;41(4):391-412. https://doi.org/ 10.1080/0092623X.2014.9159 07</w:t>
      </w:r>
    </w:p>
    <w:p>
      <w:pPr>
        <w:pStyle w:val="BodyText"/>
        <w:spacing w:before="6"/>
        <w:rPr>
          <w:sz w:val="25"/>
        </w:rPr>
      </w:pPr>
    </w:p>
    <w:p>
      <w:pPr>
        <w:pStyle w:val="BodyText"/>
        <w:ind w:left="640" w:right="502" w:hanging="360"/>
      </w:pPr>
      <w:r>
        <w:rPr/>
        <w:t>Dehlin JP, Galliher RV, Bradshaw</w:t>
      </w:r>
      <w:r>
        <w:rPr>
          <w:spacing w:val="-1"/>
        </w:rPr>
        <w:t> </w:t>
      </w:r>
      <w:r>
        <w:rPr/>
        <w:t>WS, Hyde DC, Crowell KA. Sexual orientation</w:t>
      </w:r>
      <w:r>
        <w:rPr>
          <w:spacing w:val="-5"/>
        </w:rPr>
        <w:t> </w:t>
      </w:r>
      <w:r>
        <w:rPr/>
        <w:t>change</w:t>
      </w:r>
      <w:r>
        <w:rPr>
          <w:spacing w:val="-6"/>
        </w:rPr>
        <w:t> </w:t>
      </w:r>
      <w:r>
        <w:rPr/>
        <w:t>efforts</w:t>
      </w:r>
      <w:r>
        <w:rPr>
          <w:spacing w:val="-5"/>
        </w:rPr>
        <w:t> </w:t>
      </w:r>
      <w:r>
        <w:rPr/>
        <w:t>among</w:t>
      </w:r>
      <w:r>
        <w:rPr>
          <w:spacing w:val="-5"/>
        </w:rPr>
        <w:t> </w:t>
      </w:r>
      <w:r>
        <w:rPr/>
        <w:t>current</w:t>
      </w:r>
      <w:r>
        <w:rPr>
          <w:spacing w:val="-5"/>
        </w:rPr>
        <w:t> </w:t>
      </w:r>
      <w:r>
        <w:rPr/>
        <w:t>or</w:t>
      </w:r>
      <w:r>
        <w:rPr>
          <w:spacing w:val="-5"/>
        </w:rPr>
        <w:t> </w:t>
      </w:r>
      <w:r>
        <w:rPr/>
        <w:t>former</w:t>
      </w:r>
      <w:r>
        <w:rPr>
          <w:spacing w:val="-5"/>
        </w:rPr>
        <w:t> </w:t>
      </w:r>
      <w:r>
        <w:rPr/>
        <w:t>LDS</w:t>
      </w:r>
      <w:r>
        <w:rPr>
          <w:spacing w:val="-5"/>
        </w:rPr>
        <w:t> </w:t>
      </w:r>
      <w:r>
        <w:rPr/>
        <w:t>church</w:t>
      </w:r>
      <w:r>
        <w:rPr>
          <w:spacing w:val="-5"/>
        </w:rPr>
        <w:t> </w:t>
      </w:r>
      <w:r>
        <w:rPr/>
        <w:t>members.</w:t>
      </w:r>
      <w:r>
        <w:rPr>
          <w:spacing w:val="-6"/>
        </w:rPr>
        <w:t> </w:t>
      </w:r>
      <w:r>
        <w:rPr>
          <w:i/>
        </w:rPr>
        <w:t>J</w:t>
      </w:r>
      <w:r>
        <w:rPr>
          <w:i/>
        </w:rPr>
        <w:t> Couns Psychol</w:t>
      </w:r>
      <w:r>
        <w:rPr/>
        <w:t>. 2015;62(2):95105. https://doi.org/10.1037/cou0000011</w:t>
      </w:r>
    </w:p>
    <w:p>
      <w:pPr>
        <w:pStyle w:val="BodyText"/>
        <w:spacing w:before="9"/>
        <w:rPr>
          <w:sz w:val="25"/>
        </w:rPr>
      </w:pPr>
    </w:p>
    <w:p>
      <w:pPr>
        <w:pStyle w:val="BodyText"/>
        <w:spacing w:before="1"/>
        <w:ind w:left="640" w:hanging="360"/>
      </w:pPr>
      <w:r>
        <w:rPr/>
        <w:t>Fjelstrom</w:t>
      </w:r>
      <w:r>
        <w:rPr>
          <w:spacing w:val="-6"/>
        </w:rPr>
        <w:t> </w:t>
      </w:r>
      <w:r>
        <w:rPr/>
        <w:t>J.</w:t>
      </w:r>
      <w:r>
        <w:rPr>
          <w:spacing w:val="-6"/>
        </w:rPr>
        <w:t> </w:t>
      </w:r>
      <w:r>
        <w:rPr/>
        <w:t>Sexual</w:t>
      </w:r>
      <w:r>
        <w:rPr>
          <w:spacing w:val="-6"/>
        </w:rPr>
        <w:t> </w:t>
      </w:r>
      <w:r>
        <w:rPr/>
        <w:t>orientation</w:t>
      </w:r>
      <w:r>
        <w:rPr>
          <w:spacing w:val="-6"/>
        </w:rPr>
        <w:t> </w:t>
      </w:r>
      <w:r>
        <w:rPr/>
        <w:t>change</w:t>
      </w:r>
      <w:r>
        <w:rPr>
          <w:spacing w:val="-7"/>
        </w:rPr>
        <w:t> </w:t>
      </w:r>
      <w:r>
        <w:rPr/>
        <w:t>efforts</w:t>
      </w:r>
      <w:r>
        <w:rPr>
          <w:spacing w:val="-6"/>
        </w:rPr>
        <w:t> </w:t>
      </w:r>
      <w:r>
        <w:rPr/>
        <w:t>and</w:t>
      </w:r>
      <w:r>
        <w:rPr>
          <w:spacing w:val="-6"/>
        </w:rPr>
        <w:t> </w:t>
      </w:r>
      <w:r>
        <w:rPr/>
        <w:t>the</w:t>
      </w:r>
      <w:r>
        <w:rPr>
          <w:spacing w:val="-7"/>
        </w:rPr>
        <w:t> </w:t>
      </w:r>
      <w:r>
        <w:rPr/>
        <w:t>search</w:t>
      </w:r>
      <w:r>
        <w:rPr>
          <w:spacing w:val="-6"/>
        </w:rPr>
        <w:t> </w:t>
      </w:r>
      <w:r>
        <w:rPr/>
        <w:t>for</w:t>
      </w:r>
      <w:r>
        <w:rPr>
          <w:spacing w:val="-6"/>
        </w:rPr>
        <w:t> </w:t>
      </w:r>
      <w:r>
        <w:rPr/>
        <w:t>authenticity.</w:t>
      </w:r>
      <w:r>
        <w:rPr>
          <w:spacing w:val="-7"/>
        </w:rPr>
        <w:t> </w:t>
      </w:r>
      <w:r>
        <w:rPr>
          <w:i/>
        </w:rPr>
        <w:t>J</w:t>
      </w:r>
      <w:r>
        <w:rPr>
          <w:i/>
        </w:rPr>
        <w:t> Homosex. </w:t>
      </w:r>
      <w:r>
        <w:rPr/>
        <w:t>2013</w:t>
      </w:r>
      <w:r>
        <w:rPr>
          <w:i/>
        </w:rPr>
        <w:t>;</w:t>
      </w:r>
      <w:r>
        <w:rPr/>
        <w:t>60(6):801-827. https://doi.org/</w:t>
      </w:r>
    </w:p>
    <w:p>
      <w:pPr>
        <w:pStyle w:val="BodyText"/>
        <w:spacing w:line="318" w:lineRule="exact"/>
        <w:ind w:left="640"/>
      </w:pPr>
      <w:r>
        <w:rPr/>
        <w:t>10.1080/00918369.2013.77483 </w:t>
      </w:r>
      <w:r>
        <w:rPr>
          <w:spacing w:val="-10"/>
        </w:rPr>
        <w:t>0</w:t>
      </w:r>
    </w:p>
    <w:p>
      <w:pPr>
        <w:pStyle w:val="BodyText"/>
        <w:spacing w:before="1"/>
        <w:rPr>
          <w:sz w:val="26"/>
        </w:rPr>
      </w:pPr>
    </w:p>
    <w:p>
      <w:pPr>
        <w:pStyle w:val="BodyText"/>
        <w:spacing w:before="1"/>
        <w:ind w:left="640" w:right="499" w:hanging="360"/>
      </w:pPr>
      <w:r>
        <w:rPr/>
        <w:t>Flentje</w:t>
      </w:r>
      <w:r>
        <w:rPr>
          <w:spacing w:val="-5"/>
        </w:rPr>
        <w:t> </w:t>
      </w:r>
      <w:r>
        <w:rPr/>
        <w:t>A, Heck NC, Cochran BN. Experiences of ex-ex-gay individuals in sexual reorientation therapy: Reasons for seeking treatment, perceived helpfulness</w:t>
      </w:r>
      <w:r>
        <w:rPr>
          <w:spacing w:val="-6"/>
        </w:rPr>
        <w:t> </w:t>
      </w:r>
      <w:r>
        <w:rPr/>
        <w:t>and</w:t>
      </w:r>
      <w:r>
        <w:rPr>
          <w:spacing w:val="-6"/>
        </w:rPr>
        <w:t> </w:t>
      </w:r>
      <w:r>
        <w:rPr/>
        <w:t>harmfulness</w:t>
      </w:r>
      <w:r>
        <w:rPr>
          <w:spacing w:val="-6"/>
        </w:rPr>
        <w:t> </w:t>
      </w:r>
      <w:r>
        <w:rPr/>
        <w:t>of</w:t>
      </w:r>
      <w:r>
        <w:rPr>
          <w:spacing w:val="-6"/>
        </w:rPr>
        <w:t> </w:t>
      </w:r>
      <w:r>
        <w:rPr/>
        <w:t>treatment,</w:t>
      </w:r>
      <w:r>
        <w:rPr>
          <w:spacing w:val="-6"/>
        </w:rPr>
        <w:t> </w:t>
      </w:r>
      <w:r>
        <w:rPr/>
        <w:t>and</w:t>
      </w:r>
      <w:r>
        <w:rPr>
          <w:spacing w:val="-6"/>
        </w:rPr>
        <w:t> </w:t>
      </w:r>
      <w:r>
        <w:rPr/>
        <w:t>post-treatment</w:t>
      </w:r>
      <w:r>
        <w:rPr>
          <w:spacing w:val="-6"/>
        </w:rPr>
        <w:t> </w:t>
      </w:r>
      <w:r>
        <w:rPr/>
        <w:t>identification. </w:t>
      </w:r>
      <w:r>
        <w:rPr>
          <w:i/>
        </w:rPr>
        <w:t>J Homosex</w:t>
      </w:r>
      <w:r>
        <w:rPr/>
        <w:t>. 2014;61(9):12421268. https://doi.org/ 10.1080/00918369.2014.92676 3</w:t>
      </w:r>
    </w:p>
    <w:p>
      <w:pPr>
        <w:pStyle w:val="BodyText"/>
        <w:spacing w:before="5"/>
        <w:rPr>
          <w:sz w:val="25"/>
        </w:rPr>
      </w:pPr>
    </w:p>
    <w:p>
      <w:pPr>
        <w:pStyle w:val="BodyText"/>
        <w:ind w:left="640" w:right="502" w:hanging="360"/>
      </w:pPr>
      <w:r>
        <w:rPr/>
        <w:t>Goodyear T, Kinitz DJ, Dromer E, et al. "They want you to kill your inner queer but somehow leave the human alive": Delineating the impacts of sexual</w:t>
      </w:r>
      <w:r>
        <w:rPr>
          <w:spacing w:val="-5"/>
        </w:rPr>
        <w:t> </w:t>
      </w:r>
      <w:r>
        <w:rPr/>
        <w:t>orientation</w:t>
      </w:r>
      <w:r>
        <w:rPr>
          <w:spacing w:val="-5"/>
        </w:rPr>
        <w:t> </w:t>
      </w:r>
      <w:r>
        <w:rPr/>
        <w:t>and</w:t>
      </w:r>
      <w:r>
        <w:rPr>
          <w:spacing w:val="-5"/>
        </w:rPr>
        <w:t> </w:t>
      </w:r>
      <w:r>
        <w:rPr/>
        <w:t>gender</w:t>
      </w:r>
      <w:r>
        <w:rPr>
          <w:spacing w:val="-5"/>
        </w:rPr>
        <w:t> </w:t>
      </w:r>
      <w:r>
        <w:rPr/>
        <w:t>identity</w:t>
      </w:r>
      <w:r>
        <w:rPr>
          <w:spacing w:val="-5"/>
        </w:rPr>
        <w:t> </w:t>
      </w:r>
      <w:r>
        <w:rPr/>
        <w:t>and</w:t>
      </w:r>
      <w:r>
        <w:rPr>
          <w:spacing w:val="-5"/>
        </w:rPr>
        <w:t> </w:t>
      </w:r>
      <w:r>
        <w:rPr/>
        <w:t>expression</w:t>
      </w:r>
      <w:r>
        <w:rPr>
          <w:spacing w:val="-5"/>
        </w:rPr>
        <w:t> </w:t>
      </w:r>
      <w:r>
        <w:rPr/>
        <w:t>change</w:t>
      </w:r>
      <w:r>
        <w:rPr>
          <w:spacing w:val="-5"/>
        </w:rPr>
        <w:t> </w:t>
      </w:r>
      <w:r>
        <w:rPr/>
        <w:t>efforts.</w:t>
      </w:r>
      <w:r>
        <w:rPr>
          <w:spacing w:val="-5"/>
        </w:rPr>
        <w:t> </w:t>
      </w:r>
      <w:r>
        <w:rPr>
          <w:i/>
        </w:rPr>
        <w:t>J</w:t>
      </w:r>
      <w:r>
        <w:rPr>
          <w:i/>
          <w:spacing w:val="-5"/>
        </w:rPr>
        <w:t> </w:t>
      </w:r>
      <w:r>
        <w:rPr>
          <w:i/>
        </w:rPr>
        <w:t>Sex</w:t>
      </w:r>
      <w:r>
        <w:rPr>
          <w:i/>
        </w:rPr>
        <w:t> Res</w:t>
      </w:r>
      <w:r>
        <w:rPr/>
        <w:t>. 2021;1-11. https://doi.org/10.1080/00224499.2021.19106 16</w:t>
      </w:r>
    </w:p>
    <w:p>
      <w:pPr>
        <w:spacing w:after="0"/>
        <w:sectPr>
          <w:pgSz w:w="12240" w:h="15840"/>
          <w:pgMar w:header="0" w:footer="783" w:top="1260" w:bottom="980" w:left="1400" w:right="1180"/>
        </w:sectPr>
      </w:pPr>
    </w:p>
    <w:p>
      <w:pPr>
        <w:pStyle w:val="BodyText"/>
        <w:spacing w:before="66"/>
        <w:ind w:left="640" w:right="499" w:hanging="360"/>
        <w:rPr>
          <w:i/>
        </w:rPr>
      </w:pPr>
      <w:r>
        <w:rPr/>
        <w:t>Higbee</w:t>
      </w:r>
      <w:r>
        <w:rPr>
          <w:spacing w:val="-6"/>
        </w:rPr>
        <w:t> </w:t>
      </w:r>
      <w:r>
        <w:rPr/>
        <w:t>M,</w:t>
      </w:r>
      <w:r>
        <w:rPr>
          <w:spacing w:val="-11"/>
        </w:rPr>
        <w:t> </w:t>
      </w:r>
      <w:r>
        <w:rPr/>
        <w:t>Wright</w:t>
      </w:r>
      <w:r>
        <w:rPr>
          <w:spacing w:val="-5"/>
        </w:rPr>
        <w:t> </w:t>
      </w:r>
      <w:r>
        <w:rPr/>
        <w:t>ER,</w:t>
      </w:r>
      <w:r>
        <w:rPr>
          <w:spacing w:val="-5"/>
        </w:rPr>
        <w:t> </w:t>
      </w:r>
      <w:r>
        <w:rPr/>
        <w:t>Roemerman</w:t>
      </w:r>
      <w:r>
        <w:rPr>
          <w:spacing w:val="-5"/>
        </w:rPr>
        <w:t> </w:t>
      </w:r>
      <w:r>
        <w:rPr/>
        <w:t>RM.</w:t>
      </w:r>
      <w:r>
        <w:rPr>
          <w:spacing w:val="-5"/>
        </w:rPr>
        <w:t> </w:t>
      </w:r>
      <w:r>
        <w:rPr/>
        <w:t>Conversion</w:t>
      </w:r>
      <w:r>
        <w:rPr>
          <w:spacing w:val="-5"/>
        </w:rPr>
        <w:t> </w:t>
      </w:r>
      <w:r>
        <w:rPr/>
        <w:t>therapy</w:t>
      </w:r>
      <w:r>
        <w:rPr>
          <w:spacing w:val="-5"/>
        </w:rPr>
        <w:t> </w:t>
      </w:r>
      <w:r>
        <w:rPr/>
        <w:t>in</w:t>
      </w:r>
      <w:r>
        <w:rPr>
          <w:spacing w:val="-5"/>
        </w:rPr>
        <w:t> </w:t>
      </w:r>
      <w:r>
        <w:rPr/>
        <w:t>the</w:t>
      </w:r>
      <w:r>
        <w:rPr>
          <w:spacing w:val="-6"/>
        </w:rPr>
        <w:t> </w:t>
      </w:r>
      <w:r>
        <w:rPr/>
        <w:t>Southern United States: Prevalence and experiences of the survivors. </w:t>
      </w:r>
      <w:r>
        <w:rPr>
          <w:i/>
        </w:rPr>
        <w:t>J Homosex.</w:t>
      </w:r>
    </w:p>
    <w:p>
      <w:pPr>
        <w:pStyle w:val="BodyText"/>
        <w:spacing w:line="318" w:lineRule="exact"/>
        <w:ind w:left="640"/>
      </w:pPr>
      <w:r>
        <w:rPr/>
        <w:t>2020;1-20.</w:t>
      </w:r>
      <w:r>
        <w:rPr>
          <w:spacing w:val="-6"/>
        </w:rPr>
        <w:t> </w:t>
      </w:r>
      <w:r>
        <w:rPr/>
        <w:t>https://doi.org/10.1080/00918369.2020.18402</w:t>
      </w:r>
      <w:r>
        <w:rPr>
          <w:spacing w:val="-3"/>
        </w:rPr>
        <w:t> </w:t>
      </w:r>
      <w:r>
        <w:rPr>
          <w:spacing w:val="-5"/>
        </w:rPr>
        <w:t>13</w:t>
      </w:r>
    </w:p>
    <w:p>
      <w:pPr>
        <w:pStyle w:val="BodyText"/>
        <w:spacing w:before="2"/>
        <w:rPr>
          <w:sz w:val="26"/>
        </w:rPr>
      </w:pPr>
    </w:p>
    <w:p>
      <w:pPr>
        <w:pStyle w:val="BodyText"/>
        <w:ind w:left="640" w:right="668" w:hanging="360"/>
      </w:pPr>
      <w:r>
        <w:rPr/>
        <w:t>Jones</w:t>
      </w:r>
      <w:r>
        <w:rPr>
          <w:spacing w:val="-17"/>
        </w:rPr>
        <w:t> </w:t>
      </w:r>
      <w:r>
        <w:rPr/>
        <w:t>SL,</w:t>
      </w:r>
      <w:r>
        <w:rPr>
          <w:spacing w:val="-17"/>
        </w:rPr>
        <w:t> </w:t>
      </w:r>
      <w:r>
        <w:rPr/>
        <w:t>Yarhouse</w:t>
      </w:r>
      <w:r>
        <w:rPr>
          <w:spacing w:val="-9"/>
        </w:rPr>
        <w:t> </w:t>
      </w:r>
      <w:r>
        <w:rPr/>
        <w:t>MA.</w:t>
      </w:r>
      <w:r>
        <w:rPr>
          <w:spacing w:val="-18"/>
        </w:rPr>
        <w:t> </w:t>
      </w:r>
      <w:r>
        <w:rPr/>
        <w:t>A</w:t>
      </w:r>
      <w:r>
        <w:rPr>
          <w:spacing w:val="-17"/>
        </w:rPr>
        <w:t> </w:t>
      </w:r>
      <w:r>
        <w:rPr/>
        <w:t>longitudinal</w:t>
      </w:r>
      <w:r>
        <w:rPr>
          <w:spacing w:val="-8"/>
        </w:rPr>
        <w:t> </w:t>
      </w:r>
      <w:r>
        <w:rPr/>
        <w:t>study</w:t>
      </w:r>
      <w:r>
        <w:rPr>
          <w:spacing w:val="-8"/>
        </w:rPr>
        <w:t> </w:t>
      </w:r>
      <w:r>
        <w:rPr/>
        <w:t>of</w:t>
      </w:r>
      <w:r>
        <w:rPr>
          <w:spacing w:val="-8"/>
        </w:rPr>
        <w:t> </w:t>
      </w:r>
      <w:r>
        <w:rPr/>
        <w:t>attempted</w:t>
      </w:r>
      <w:r>
        <w:rPr>
          <w:spacing w:val="-8"/>
        </w:rPr>
        <w:t> </w:t>
      </w:r>
      <w:r>
        <w:rPr/>
        <w:t>religiously mediated sexual orientation change. </w:t>
      </w:r>
      <w:r>
        <w:rPr>
          <w:i/>
        </w:rPr>
        <w:t>J Sex Marital Ther</w:t>
      </w:r>
      <w:r>
        <w:rPr/>
        <w:t>.</w:t>
      </w:r>
    </w:p>
    <w:p>
      <w:pPr>
        <w:pStyle w:val="BodyText"/>
        <w:spacing w:line="318" w:lineRule="exact"/>
        <w:ind w:left="640"/>
      </w:pPr>
      <w:r>
        <w:rPr>
          <w:spacing w:val="-2"/>
        </w:rPr>
        <w:t>2011;37(5):404-427.</w:t>
      </w:r>
      <w:r>
        <w:rPr>
          <w:spacing w:val="43"/>
        </w:rPr>
        <w:t> </w:t>
      </w:r>
      <w:r>
        <w:rPr>
          <w:spacing w:val="-2"/>
        </w:rPr>
        <w:t>https://doi.org/10.1080/0092623X.2011.6070</w:t>
      </w:r>
      <w:r>
        <w:rPr>
          <w:spacing w:val="43"/>
        </w:rPr>
        <w:t> </w:t>
      </w:r>
      <w:r>
        <w:rPr>
          <w:spacing w:val="-5"/>
        </w:rPr>
        <w:t>52</w:t>
      </w:r>
    </w:p>
    <w:p>
      <w:pPr>
        <w:pStyle w:val="BodyText"/>
        <w:spacing w:before="2"/>
        <w:rPr>
          <w:sz w:val="26"/>
        </w:rPr>
      </w:pPr>
    </w:p>
    <w:p>
      <w:pPr>
        <w:pStyle w:val="BodyText"/>
        <w:ind w:left="640" w:right="502" w:hanging="360"/>
      </w:pPr>
      <w:r>
        <w:rPr/>
        <w:t>Karten EY,</w:t>
      </w:r>
      <w:r>
        <w:rPr>
          <w:spacing w:val="-6"/>
        </w:rPr>
        <w:t> </w:t>
      </w:r>
      <w:r>
        <w:rPr/>
        <w:t>Wade</w:t>
      </w:r>
      <w:r>
        <w:rPr>
          <w:spacing w:val="-1"/>
        </w:rPr>
        <w:t> </w:t>
      </w:r>
      <w:r>
        <w:rPr/>
        <w:t>JC. Sexual orientation change</w:t>
      </w:r>
      <w:r>
        <w:rPr>
          <w:spacing w:val="-1"/>
        </w:rPr>
        <w:t> </w:t>
      </w:r>
      <w:r>
        <w:rPr/>
        <w:t>efforts in men:</w:t>
      </w:r>
      <w:r>
        <w:rPr>
          <w:spacing w:val="-16"/>
        </w:rPr>
        <w:t> </w:t>
      </w:r>
      <w:r>
        <w:rPr/>
        <w:t>A</w:t>
      </w:r>
      <w:r>
        <w:rPr>
          <w:spacing w:val="-16"/>
        </w:rPr>
        <w:t> </w:t>
      </w:r>
      <w:r>
        <w:rPr/>
        <w:t>client perspective.</w:t>
      </w:r>
      <w:r>
        <w:rPr>
          <w:spacing w:val="-9"/>
        </w:rPr>
        <w:t> </w:t>
      </w:r>
      <w:r>
        <w:rPr>
          <w:i/>
        </w:rPr>
        <w:t>J</w:t>
      </w:r>
      <w:r>
        <w:rPr>
          <w:i/>
          <w:spacing w:val="-9"/>
        </w:rPr>
        <w:t> </w:t>
      </w:r>
      <w:r>
        <w:rPr>
          <w:i/>
        </w:rPr>
        <w:t>Mens</w:t>
      </w:r>
      <w:r>
        <w:rPr>
          <w:i/>
          <w:spacing w:val="-8"/>
        </w:rPr>
        <w:t> </w:t>
      </w:r>
      <w:r>
        <w:rPr>
          <w:i/>
        </w:rPr>
        <w:t>Stud.</w:t>
      </w:r>
      <w:r>
        <w:rPr>
          <w:i/>
          <w:spacing w:val="-9"/>
        </w:rPr>
        <w:t> </w:t>
      </w:r>
      <w:r>
        <w:rPr/>
        <w:t>2010</w:t>
      </w:r>
      <w:r>
        <w:rPr>
          <w:i/>
        </w:rPr>
        <w:t>;18</w:t>
      </w:r>
      <w:r>
        <w:rPr/>
        <w:t>(1):84102.</w:t>
      </w:r>
      <w:r>
        <w:rPr>
          <w:spacing w:val="-8"/>
        </w:rPr>
        <w:t> </w:t>
      </w:r>
      <w:r>
        <w:rPr/>
        <w:t>https://doi.org/10.3149/ </w:t>
      </w:r>
      <w:r>
        <w:rPr>
          <w:spacing w:val="-2"/>
        </w:rPr>
        <w:t>jms.1801.84</w:t>
      </w:r>
    </w:p>
    <w:p>
      <w:pPr>
        <w:pStyle w:val="BodyText"/>
        <w:spacing w:before="9"/>
        <w:rPr>
          <w:sz w:val="25"/>
        </w:rPr>
      </w:pPr>
    </w:p>
    <w:p>
      <w:pPr>
        <w:pStyle w:val="BodyText"/>
        <w:spacing w:before="1"/>
        <w:ind w:left="640" w:right="502" w:hanging="360"/>
        <w:rPr>
          <w:i/>
        </w:rPr>
      </w:pPr>
      <w:r>
        <w:rPr/>
        <w:t>Maccio</w:t>
      </w:r>
      <w:r>
        <w:rPr>
          <w:spacing w:val="-5"/>
        </w:rPr>
        <w:t> </w:t>
      </w:r>
      <w:r>
        <w:rPr/>
        <w:t>EM.</w:t>
      </w:r>
      <w:r>
        <w:rPr>
          <w:spacing w:val="-5"/>
        </w:rPr>
        <w:t> </w:t>
      </w:r>
      <w:r>
        <w:rPr/>
        <w:t>Self-reported</w:t>
      </w:r>
      <w:r>
        <w:rPr>
          <w:spacing w:val="-5"/>
        </w:rPr>
        <w:t> </w:t>
      </w:r>
      <w:r>
        <w:rPr/>
        <w:t>sexual</w:t>
      </w:r>
      <w:r>
        <w:rPr>
          <w:spacing w:val="-5"/>
        </w:rPr>
        <w:t> </w:t>
      </w:r>
      <w:r>
        <w:rPr/>
        <w:t>orientation</w:t>
      </w:r>
      <w:r>
        <w:rPr>
          <w:spacing w:val="-5"/>
        </w:rPr>
        <w:t> </w:t>
      </w:r>
      <w:r>
        <w:rPr/>
        <w:t>and</w:t>
      </w:r>
      <w:r>
        <w:rPr>
          <w:spacing w:val="-5"/>
        </w:rPr>
        <w:t> </w:t>
      </w:r>
      <w:r>
        <w:rPr/>
        <w:t>identity</w:t>
      </w:r>
      <w:r>
        <w:rPr>
          <w:spacing w:val="-5"/>
        </w:rPr>
        <w:t> </w:t>
      </w:r>
      <w:r>
        <w:rPr/>
        <w:t>before</w:t>
      </w:r>
      <w:r>
        <w:rPr>
          <w:spacing w:val="-5"/>
        </w:rPr>
        <w:t> </w:t>
      </w:r>
      <w:r>
        <w:rPr/>
        <w:t>and</w:t>
      </w:r>
      <w:r>
        <w:rPr>
          <w:spacing w:val="-5"/>
        </w:rPr>
        <w:t> </w:t>
      </w:r>
      <w:r>
        <w:rPr/>
        <w:t>after sexual reorientation therapy. </w:t>
      </w:r>
      <w:r>
        <w:rPr>
          <w:i/>
        </w:rPr>
        <w:t>J Gay Lesbian Ment Health.</w:t>
      </w:r>
    </w:p>
    <w:p>
      <w:pPr>
        <w:pStyle w:val="BodyText"/>
        <w:spacing w:line="318" w:lineRule="exact"/>
        <w:ind w:left="640"/>
      </w:pPr>
      <w:r>
        <w:rPr/>
        <w:t>2011</w:t>
      </w:r>
      <w:r>
        <w:rPr>
          <w:i/>
        </w:rPr>
        <w:t>;</w:t>
      </w:r>
      <w:r>
        <w:rPr/>
        <w:t>15(3):242-259.</w:t>
      </w:r>
      <w:r>
        <w:rPr>
          <w:spacing w:val="-11"/>
        </w:rPr>
        <w:t> </w:t>
      </w:r>
      <w:r>
        <w:rPr/>
        <w:t>https://doi.org/10.1080/19359705.2010.54418</w:t>
      </w:r>
      <w:r>
        <w:rPr>
          <w:spacing w:val="-9"/>
        </w:rPr>
        <w:t> </w:t>
      </w:r>
      <w:r>
        <w:rPr>
          <w:spacing w:val="-10"/>
        </w:rPr>
        <w:t>6</w:t>
      </w:r>
    </w:p>
    <w:p>
      <w:pPr>
        <w:pStyle w:val="BodyText"/>
        <w:spacing w:before="1"/>
        <w:rPr>
          <w:sz w:val="26"/>
        </w:rPr>
      </w:pPr>
    </w:p>
    <w:p>
      <w:pPr>
        <w:pStyle w:val="BodyText"/>
        <w:spacing w:before="1"/>
        <w:ind w:left="640" w:hanging="360"/>
        <w:rPr>
          <w:i/>
        </w:rPr>
      </w:pPr>
      <w:r>
        <w:rPr/>
        <w:t>Maccio</w:t>
      </w:r>
      <w:r>
        <w:rPr>
          <w:spacing w:val="-6"/>
        </w:rPr>
        <w:t> </w:t>
      </w:r>
      <w:r>
        <w:rPr/>
        <w:t>EM.</w:t>
      </w:r>
      <w:r>
        <w:rPr>
          <w:spacing w:val="-6"/>
        </w:rPr>
        <w:t> </w:t>
      </w:r>
      <w:r>
        <w:rPr/>
        <w:t>Influence</w:t>
      </w:r>
      <w:r>
        <w:rPr>
          <w:spacing w:val="-7"/>
        </w:rPr>
        <w:t> </w:t>
      </w:r>
      <w:r>
        <w:rPr/>
        <w:t>of</w:t>
      </w:r>
      <w:r>
        <w:rPr>
          <w:spacing w:val="-6"/>
        </w:rPr>
        <w:t> </w:t>
      </w:r>
      <w:r>
        <w:rPr/>
        <w:t>family,</w:t>
      </w:r>
      <w:r>
        <w:rPr>
          <w:spacing w:val="-6"/>
        </w:rPr>
        <w:t> </w:t>
      </w:r>
      <w:r>
        <w:rPr/>
        <w:t>religion,</w:t>
      </w:r>
      <w:r>
        <w:rPr>
          <w:spacing w:val="-6"/>
        </w:rPr>
        <w:t> </w:t>
      </w:r>
      <w:r>
        <w:rPr/>
        <w:t>and</w:t>
      </w:r>
      <w:r>
        <w:rPr>
          <w:spacing w:val="-6"/>
        </w:rPr>
        <w:t> </w:t>
      </w:r>
      <w:r>
        <w:rPr/>
        <w:t>social</w:t>
      </w:r>
      <w:r>
        <w:rPr>
          <w:spacing w:val="-6"/>
        </w:rPr>
        <w:t> </w:t>
      </w:r>
      <w:r>
        <w:rPr/>
        <w:t>conformity</w:t>
      </w:r>
      <w:r>
        <w:rPr>
          <w:spacing w:val="-6"/>
        </w:rPr>
        <w:t> </w:t>
      </w:r>
      <w:r>
        <w:rPr/>
        <w:t>on</w:t>
      </w:r>
      <w:r>
        <w:rPr>
          <w:spacing w:val="-6"/>
        </w:rPr>
        <w:t> </w:t>
      </w:r>
      <w:r>
        <w:rPr/>
        <w:t>client participation in sexual reorientation therapy. </w:t>
      </w:r>
      <w:r>
        <w:rPr>
          <w:i/>
        </w:rPr>
        <w:t>J Homosex.</w:t>
      </w:r>
    </w:p>
    <w:p>
      <w:pPr>
        <w:pStyle w:val="BodyText"/>
        <w:spacing w:line="318" w:lineRule="exact"/>
        <w:ind w:left="640"/>
      </w:pPr>
      <w:r>
        <w:rPr/>
        <w:t>2010</w:t>
      </w:r>
      <w:r>
        <w:rPr>
          <w:i/>
        </w:rPr>
        <w:t>;57</w:t>
      </w:r>
      <w:r>
        <w:rPr/>
        <w:t>(3):441458.</w:t>
      </w:r>
      <w:r>
        <w:rPr>
          <w:spacing w:val="-6"/>
        </w:rPr>
        <w:t> </w:t>
      </w:r>
      <w:r>
        <w:rPr/>
        <w:t>https://doi.org/10.1080/0091836090354</w:t>
      </w:r>
      <w:r>
        <w:rPr>
          <w:spacing w:val="-3"/>
        </w:rPr>
        <w:t> </w:t>
      </w:r>
      <w:r>
        <w:rPr>
          <w:spacing w:val="-4"/>
        </w:rPr>
        <w:t>3196</w:t>
      </w:r>
    </w:p>
    <w:p>
      <w:pPr>
        <w:pStyle w:val="BodyText"/>
        <w:spacing w:before="7"/>
        <w:rPr>
          <w:sz w:val="27"/>
        </w:rPr>
      </w:pPr>
    </w:p>
    <w:p>
      <w:pPr>
        <w:pStyle w:val="BodyText"/>
        <w:ind w:left="640" w:right="499" w:hanging="360"/>
      </w:pPr>
      <w:r>
        <w:rPr/>
        <w:t>Meanley SP, Stall RD, Dakwar O, et al. Characterizing experiences of conversion</w:t>
      </w:r>
      <w:r>
        <w:rPr>
          <w:spacing w:val="-4"/>
        </w:rPr>
        <w:t> </w:t>
      </w:r>
      <w:r>
        <w:rPr/>
        <w:t>therapy</w:t>
      </w:r>
      <w:r>
        <w:rPr>
          <w:spacing w:val="-4"/>
        </w:rPr>
        <w:t> </w:t>
      </w:r>
      <w:r>
        <w:rPr/>
        <w:t>among</w:t>
      </w:r>
      <w:r>
        <w:rPr>
          <w:spacing w:val="-4"/>
        </w:rPr>
        <w:t> </w:t>
      </w:r>
      <w:r>
        <w:rPr/>
        <w:t>middle-aged</w:t>
      </w:r>
      <w:r>
        <w:rPr>
          <w:spacing w:val="-4"/>
        </w:rPr>
        <w:t> </w:t>
      </w:r>
      <w:r>
        <w:rPr/>
        <w:t>and</w:t>
      </w:r>
      <w:r>
        <w:rPr>
          <w:spacing w:val="-4"/>
        </w:rPr>
        <w:t> </w:t>
      </w:r>
      <w:r>
        <w:rPr/>
        <w:t>older</w:t>
      </w:r>
      <w:r>
        <w:rPr>
          <w:spacing w:val="-4"/>
        </w:rPr>
        <w:t> </w:t>
      </w:r>
      <w:r>
        <w:rPr/>
        <w:t>men</w:t>
      </w:r>
      <w:r>
        <w:rPr>
          <w:spacing w:val="-4"/>
        </w:rPr>
        <w:t> </w:t>
      </w:r>
      <w:r>
        <w:rPr/>
        <w:t>who</w:t>
      </w:r>
      <w:r>
        <w:rPr>
          <w:spacing w:val="-4"/>
        </w:rPr>
        <w:t> </w:t>
      </w:r>
      <w:r>
        <w:rPr/>
        <w:t>have</w:t>
      </w:r>
      <w:r>
        <w:rPr>
          <w:spacing w:val="-5"/>
        </w:rPr>
        <w:t> </w:t>
      </w:r>
      <w:r>
        <w:rPr/>
        <w:t>sex</w:t>
      </w:r>
      <w:r>
        <w:rPr>
          <w:spacing w:val="-4"/>
        </w:rPr>
        <w:t> </w:t>
      </w:r>
      <w:r>
        <w:rPr/>
        <w:t>with men from the Multicenter</w:t>
      </w:r>
      <w:r>
        <w:rPr>
          <w:spacing w:val="-5"/>
        </w:rPr>
        <w:t> </w:t>
      </w:r>
      <w:r>
        <w:rPr/>
        <w:t>AIDS Cohort Study (MACS). </w:t>
      </w:r>
      <w:r>
        <w:rPr>
          <w:i/>
        </w:rPr>
        <w:t>Sex Res Social</w:t>
      </w:r>
      <w:r>
        <w:rPr>
          <w:i/>
        </w:rPr>
        <w:t> Policy.</w:t>
      </w:r>
      <w:r>
        <w:rPr>
          <w:i/>
          <w:spacing w:val="-13"/>
        </w:rPr>
        <w:t> </w:t>
      </w:r>
      <w:r>
        <w:rPr/>
        <w:t>2020</w:t>
      </w:r>
      <w:r>
        <w:rPr>
          <w:i/>
        </w:rPr>
        <w:t>;</w:t>
      </w:r>
      <w:r>
        <w:rPr/>
        <w:t>17(2):334-342.</w:t>
      </w:r>
      <w:r>
        <w:rPr>
          <w:spacing w:val="-12"/>
        </w:rPr>
        <w:t> </w:t>
      </w:r>
      <w:r>
        <w:rPr/>
        <w:t>https://doi.org/10.1007/s13178-019-00396-y</w:t>
      </w:r>
    </w:p>
    <w:p>
      <w:pPr>
        <w:pStyle w:val="BodyText"/>
        <w:spacing w:before="8"/>
        <w:rPr>
          <w:sz w:val="25"/>
        </w:rPr>
      </w:pPr>
    </w:p>
    <w:p>
      <w:pPr>
        <w:pStyle w:val="BodyText"/>
        <w:ind w:left="640" w:right="502" w:hanging="360"/>
      </w:pPr>
      <w:r>
        <w:rPr/>
        <w:t>Ryan</w:t>
      </w:r>
      <w:r>
        <w:rPr>
          <w:spacing w:val="-6"/>
        </w:rPr>
        <w:t> </w:t>
      </w:r>
      <w:r>
        <w:rPr/>
        <w:t>C,</w:t>
      </w:r>
      <w:r>
        <w:rPr>
          <w:spacing w:val="-6"/>
        </w:rPr>
        <w:t> </w:t>
      </w:r>
      <w:r>
        <w:rPr/>
        <w:t>Russell</w:t>
      </w:r>
      <w:r>
        <w:rPr>
          <w:spacing w:val="-6"/>
        </w:rPr>
        <w:t> </w:t>
      </w:r>
      <w:r>
        <w:rPr/>
        <w:t>ST,</w:t>
      </w:r>
      <w:r>
        <w:rPr>
          <w:spacing w:val="-6"/>
        </w:rPr>
        <w:t> </w:t>
      </w:r>
      <w:r>
        <w:rPr/>
        <w:t>Huebner</w:t>
      </w:r>
      <w:r>
        <w:rPr>
          <w:spacing w:val="-6"/>
        </w:rPr>
        <w:t> </w:t>
      </w:r>
      <w:r>
        <w:rPr/>
        <w:t>DM,</w:t>
      </w:r>
      <w:r>
        <w:rPr>
          <w:spacing w:val="-6"/>
        </w:rPr>
        <w:t> </w:t>
      </w:r>
      <w:r>
        <w:rPr/>
        <w:t>Diaz</w:t>
      </w:r>
      <w:r>
        <w:rPr>
          <w:spacing w:val="-7"/>
        </w:rPr>
        <w:t> </w:t>
      </w:r>
      <w:r>
        <w:rPr/>
        <w:t>R,</w:t>
      </w:r>
      <w:r>
        <w:rPr>
          <w:spacing w:val="-6"/>
        </w:rPr>
        <w:t> </w:t>
      </w:r>
      <w:r>
        <w:rPr/>
        <w:t>Sanchez</w:t>
      </w:r>
      <w:r>
        <w:rPr>
          <w:spacing w:val="-7"/>
        </w:rPr>
        <w:t> </w:t>
      </w:r>
      <w:r>
        <w:rPr/>
        <w:t>J.</w:t>
      </w:r>
      <w:r>
        <w:rPr>
          <w:spacing w:val="-6"/>
        </w:rPr>
        <w:t> </w:t>
      </w:r>
      <w:r>
        <w:rPr/>
        <w:t>Family</w:t>
      </w:r>
      <w:r>
        <w:rPr>
          <w:spacing w:val="-6"/>
        </w:rPr>
        <w:t> </w:t>
      </w:r>
      <w:r>
        <w:rPr/>
        <w:t>acceptance</w:t>
      </w:r>
      <w:r>
        <w:rPr>
          <w:spacing w:val="-7"/>
        </w:rPr>
        <w:t> </w:t>
      </w:r>
      <w:r>
        <w:rPr/>
        <w:t>in adolescence and the health of LGBT young adults. </w:t>
      </w:r>
      <w:r>
        <w:rPr>
          <w:i/>
        </w:rPr>
        <w:t>J Child Adolesc</w:t>
      </w:r>
      <w:r>
        <w:rPr>
          <w:i/>
        </w:rPr>
        <w:t> Psychiatr Nurs</w:t>
      </w:r>
      <w:r>
        <w:rPr/>
        <w:t>. 2010;23(4):205-213. https://doi.org/10.1111/ </w:t>
      </w:r>
      <w:r>
        <w:rPr>
          <w:spacing w:val="-2"/>
        </w:rPr>
        <w:t>j.17446171.2010.00246.x</w:t>
      </w:r>
    </w:p>
    <w:p>
      <w:pPr>
        <w:pStyle w:val="BodyText"/>
        <w:spacing w:before="7"/>
        <w:rPr>
          <w:sz w:val="25"/>
        </w:rPr>
      </w:pPr>
    </w:p>
    <w:p>
      <w:pPr>
        <w:pStyle w:val="BodyText"/>
        <w:ind w:left="640" w:hanging="360"/>
      </w:pPr>
      <w:r>
        <w:rPr/>
        <w:t>Salway</w:t>
      </w:r>
      <w:r>
        <w:rPr>
          <w:spacing w:val="-9"/>
        </w:rPr>
        <w:t> </w:t>
      </w:r>
      <w:r>
        <w:rPr/>
        <w:t>T,</w:t>
      </w:r>
      <w:r>
        <w:rPr>
          <w:spacing w:val="-4"/>
        </w:rPr>
        <w:t> </w:t>
      </w:r>
      <w:r>
        <w:rPr/>
        <w:t>Juwono</w:t>
      </w:r>
      <w:r>
        <w:rPr>
          <w:spacing w:val="-4"/>
        </w:rPr>
        <w:t> </w:t>
      </w:r>
      <w:r>
        <w:rPr/>
        <w:t>S,</w:t>
      </w:r>
      <w:r>
        <w:rPr>
          <w:spacing w:val="-4"/>
        </w:rPr>
        <w:t> </w:t>
      </w:r>
      <w:r>
        <w:rPr/>
        <w:t>Klassen</w:t>
      </w:r>
      <w:r>
        <w:rPr>
          <w:spacing w:val="-4"/>
        </w:rPr>
        <w:t> </w:t>
      </w:r>
      <w:r>
        <w:rPr/>
        <w:t>B,</w:t>
      </w:r>
      <w:r>
        <w:rPr>
          <w:spacing w:val="-4"/>
        </w:rPr>
        <w:t> </w:t>
      </w:r>
      <w:r>
        <w:rPr/>
        <w:t>et</w:t>
      </w:r>
      <w:r>
        <w:rPr>
          <w:spacing w:val="-4"/>
        </w:rPr>
        <w:t> </w:t>
      </w:r>
      <w:r>
        <w:rPr/>
        <w:t>al.</w:t>
      </w:r>
      <w:r>
        <w:rPr>
          <w:spacing w:val="-4"/>
        </w:rPr>
        <w:t> </w:t>
      </w:r>
      <w:r>
        <w:rPr/>
        <w:t>Experiences</w:t>
      </w:r>
      <w:r>
        <w:rPr>
          <w:spacing w:val="-4"/>
        </w:rPr>
        <w:t> </w:t>
      </w:r>
      <w:r>
        <w:rPr/>
        <w:t>with</w:t>
      </w:r>
      <w:r>
        <w:rPr>
          <w:spacing w:val="-4"/>
        </w:rPr>
        <w:t> </w:t>
      </w:r>
      <w:r>
        <w:rPr/>
        <w:t>sexual</w:t>
      </w:r>
      <w:r>
        <w:rPr>
          <w:spacing w:val="-4"/>
        </w:rPr>
        <w:t> </w:t>
      </w:r>
      <w:r>
        <w:rPr/>
        <w:t>orientation</w:t>
      </w:r>
      <w:r>
        <w:rPr>
          <w:spacing w:val="-4"/>
        </w:rPr>
        <w:t> </w:t>
      </w:r>
      <w:r>
        <w:rPr/>
        <w:t>and gender</w:t>
      </w:r>
      <w:r>
        <w:rPr>
          <w:spacing w:val="-5"/>
        </w:rPr>
        <w:t> </w:t>
      </w:r>
      <w:r>
        <w:rPr/>
        <w:t>identity</w:t>
      </w:r>
      <w:r>
        <w:rPr>
          <w:spacing w:val="-5"/>
        </w:rPr>
        <w:t> </w:t>
      </w:r>
      <w:r>
        <w:rPr/>
        <w:t>conversion</w:t>
      </w:r>
      <w:r>
        <w:rPr>
          <w:spacing w:val="-5"/>
        </w:rPr>
        <w:t> </w:t>
      </w:r>
      <w:r>
        <w:rPr/>
        <w:t>therapy</w:t>
      </w:r>
      <w:r>
        <w:rPr>
          <w:spacing w:val="-5"/>
        </w:rPr>
        <w:t> </w:t>
      </w:r>
      <w:r>
        <w:rPr/>
        <w:t>practices</w:t>
      </w:r>
      <w:r>
        <w:rPr>
          <w:spacing w:val="-5"/>
        </w:rPr>
        <w:t> </w:t>
      </w:r>
      <w:r>
        <w:rPr/>
        <w:t>among</w:t>
      </w:r>
      <w:r>
        <w:rPr>
          <w:spacing w:val="-5"/>
        </w:rPr>
        <w:t> </w:t>
      </w:r>
      <w:r>
        <w:rPr/>
        <w:t>sexual</w:t>
      </w:r>
      <w:r>
        <w:rPr>
          <w:spacing w:val="-5"/>
        </w:rPr>
        <w:t> </w:t>
      </w:r>
      <w:r>
        <w:rPr/>
        <w:t>minority</w:t>
      </w:r>
      <w:r>
        <w:rPr>
          <w:spacing w:val="-5"/>
        </w:rPr>
        <w:t> </w:t>
      </w:r>
      <w:r>
        <w:rPr/>
        <w:t>men</w:t>
      </w:r>
      <w:r>
        <w:rPr>
          <w:spacing w:val="-5"/>
        </w:rPr>
        <w:t> </w:t>
      </w:r>
      <w:r>
        <w:rPr/>
        <w:t>in Canada, 20192020. </w:t>
      </w:r>
      <w:r>
        <w:rPr>
          <w:i/>
        </w:rPr>
        <w:t>PLoS One</w:t>
      </w:r>
      <w:r>
        <w:rPr/>
        <w:t>. 2021;16(6):e0252539. https://doi.org/ </w:t>
      </w:r>
      <w:r>
        <w:rPr>
          <w:spacing w:val="-2"/>
        </w:rPr>
        <w:t>10.1371/journal.pone.0252539</w:t>
      </w:r>
    </w:p>
    <w:p>
      <w:pPr>
        <w:pStyle w:val="BodyText"/>
        <w:spacing w:before="8"/>
        <w:rPr>
          <w:sz w:val="25"/>
        </w:rPr>
      </w:pPr>
    </w:p>
    <w:p>
      <w:pPr>
        <w:pStyle w:val="BodyText"/>
        <w:ind w:left="640" w:right="680" w:hanging="360"/>
      </w:pPr>
      <w:r>
        <w:rPr/>
        <w:t>Weiss</w:t>
      </w:r>
      <w:r>
        <w:rPr>
          <w:spacing w:val="-18"/>
        </w:rPr>
        <w:t> </w:t>
      </w:r>
      <w:r>
        <w:rPr/>
        <w:t>EM,</w:t>
      </w:r>
      <w:r>
        <w:rPr>
          <w:spacing w:val="-17"/>
        </w:rPr>
        <w:t> </w:t>
      </w:r>
      <w:r>
        <w:rPr/>
        <w:t>Morehouse</w:t>
      </w:r>
      <w:r>
        <w:rPr>
          <w:spacing w:val="-12"/>
        </w:rPr>
        <w:t> </w:t>
      </w:r>
      <w:r>
        <w:rPr/>
        <w:t>J,</w:t>
      </w:r>
      <w:r>
        <w:rPr>
          <w:spacing w:val="-18"/>
        </w:rPr>
        <w:t> </w:t>
      </w:r>
      <w:r>
        <w:rPr/>
        <w:t>Yeager</w:t>
      </w:r>
      <w:r>
        <w:rPr>
          <w:spacing w:val="-15"/>
        </w:rPr>
        <w:t> </w:t>
      </w:r>
      <w:r>
        <w:rPr/>
        <w:t>T,</w:t>
      </w:r>
      <w:r>
        <w:rPr>
          <w:spacing w:val="-11"/>
        </w:rPr>
        <w:t> </w:t>
      </w:r>
      <w:r>
        <w:rPr/>
        <w:t>Berry</w:t>
      </w:r>
      <w:r>
        <w:rPr>
          <w:spacing w:val="-16"/>
        </w:rPr>
        <w:t> </w:t>
      </w:r>
      <w:r>
        <w:rPr/>
        <w:t>T.</w:t>
      </w:r>
      <w:r>
        <w:rPr>
          <w:spacing w:val="-18"/>
        </w:rPr>
        <w:t> </w:t>
      </w:r>
      <w:r>
        <w:rPr/>
        <w:t>A</w:t>
      </w:r>
      <w:r>
        <w:rPr>
          <w:spacing w:val="-17"/>
        </w:rPr>
        <w:t> </w:t>
      </w:r>
      <w:r>
        <w:rPr/>
        <w:t>qualitative</w:t>
      </w:r>
      <w:r>
        <w:rPr>
          <w:spacing w:val="-12"/>
        </w:rPr>
        <w:t> </w:t>
      </w:r>
      <w:r>
        <w:rPr/>
        <w:t>study</w:t>
      </w:r>
      <w:r>
        <w:rPr>
          <w:spacing w:val="-11"/>
        </w:rPr>
        <w:t> </w:t>
      </w:r>
      <w:r>
        <w:rPr/>
        <w:t>of</w:t>
      </w:r>
      <w:r>
        <w:rPr>
          <w:spacing w:val="-11"/>
        </w:rPr>
        <w:t> </w:t>
      </w:r>
      <w:r>
        <w:rPr/>
        <w:t>ex-gay</w:t>
      </w:r>
      <w:r>
        <w:rPr>
          <w:spacing w:val="-11"/>
        </w:rPr>
        <w:t> </w:t>
      </w:r>
      <w:r>
        <w:rPr/>
        <w:t>and ex-ex-gay experiences. </w:t>
      </w:r>
      <w:r>
        <w:rPr>
          <w:i/>
        </w:rPr>
        <w:t>J Gay Lesbian Ment Health</w:t>
      </w:r>
      <w:r>
        <w:rPr/>
        <w:t>. 2010;14(4):291-319. https://doi.org/10.1080/19359705.2010.50641 2</w:t>
      </w:r>
    </w:p>
    <w:p>
      <w:pPr>
        <w:pStyle w:val="BodyText"/>
        <w:spacing w:before="9"/>
        <w:rPr>
          <w:sz w:val="25"/>
        </w:rPr>
      </w:pPr>
    </w:p>
    <w:p>
      <w:pPr>
        <w:pStyle w:val="BodyText"/>
        <w:spacing w:before="1"/>
        <w:ind w:left="640" w:right="502" w:hanging="360"/>
      </w:pPr>
      <w:r>
        <w:rPr/>
        <w:t>Wright T, Candy B, King M. Conversion therapies and access to transition- related healthcare in transgender people:</w:t>
      </w:r>
      <w:r>
        <w:rPr>
          <w:spacing w:val="-4"/>
        </w:rPr>
        <w:t> </w:t>
      </w:r>
      <w:r>
        <w:rPr/>
        <w:t>A</w:t>
      </w:r>
      <w:r>
        <w:rPr>
          <w:spacing w:val="-4"/>
        </w:rPr>
        <w:t> </w:t>
      </w:r>
      <w:r>
        <w:rPr/>
        <w:t>narrative systematic review. </w:t>
      </w:r>
      <w:r>
        <w:rPr>
          <w:i/>
        </w:rPr>
        <w:t>BMJ</w:t>
      </w:r>
      <w:r>
        <w:rPr>
          <w:i/>
          <w:spacing w:val="-18"/>
        </w:rPr>
        <w:t> </w:t>
      </w:r>
      <w:r>
        <w:rPr>
          <w:i/>
        </w:rPr>
        <w:t>Open.</w:t>
      </w:r>
      <w:r>
        <w:rPr>
          <w:i/>
          <w:spacing w:val="-17"/>
        </w:rPr>
        <w:t> </w:t>
      </w:r>
      <w:r>
        <w:rPr/>
        <w:t>2018;8</w:t>
      </w:r>
      <w:r>
        <w:rPr>
          <w:b/>
        </w:rPr>
        <w:t>:</w:t>
      </w:r>
      <w:r>
        <w:rPr/>
        <w:t>e022425.</w:t>
      </w:r>
      <w:r>
        <w:rPr>
          <w:spacing w:val="-18"/>
        </w:rPr>
        <w:t> </w:t>
      </w:r>
      <w:r>
        <w:rPr/>
        <w:t>https://doi.org/10.1136/bmjopen-2018022425</w:t>
      </w:r>
    </w:p>
    <w:p>
      <w:pPr>
        <w:spacing w:after="0"/>
        <w:sectPr>
          <w:pgSz w:w="12240" w:h="15840"/>
          <w:pgMar w:header="0" w:footer="783" w:top="1260" w:bottom="980" w:left="1400" w:right="1180"/>
        </w:sectPr>
      </w:pPr>
    </w:p>
    <w:p>
      <w:pPr>
        <w:pStyle w:val="BodyText"/>
        <w:spacing w:before="66"/>
        <w:ind w:left="640" w:right="703" w:hanging="360"/>
      </w:pPr>
      <w:r>
        <w:rPr/>
        <w:t>Turban JL, Beckwith N, Reisner SL, Keuroghlian</w:t>
      </w:r>
      <w:r>
        <w:rPr>
          <w:spacing w:val="-4"/>
        </w:rPr>
        <w:t> </w:t>
      </w:r>
      <w:r>
        <w:rPr/>
        <w:t>AS.</w:t>
      </w:r>
      <w:r>
        <w:rPr>
          <w:spacing w:val="-4"/>
        </w:rPr>
        <w:t> </w:t>
      </w:r>
      <w:r>
        <w:rPr/>
        <w:t>Association between recalled exposure to gender identity conversion efforts and psychological distress</w:t>
      </w:r>
      <w:r>
        <w:rPr>
          <w:spacing w:val="-5"/>
        </w:rPr>
        <w:t> </w:t>
      </w:r>
      <w:r>
        <w:rPr/>
        <w:t>and</w:t>
      </w:r>
      <w:r>
        <w:rPr>
          <w:spacing w:val="-5"/>
        </w:rPr>
        <w:t> </w:t>
      </w:r>
      <w:r>
        <w:rPr/>
        <w:t>suicide</w:t>
      </w:r>
      <w:r>
        <w:rPr>
          <w:spacing w:val="-6"/>
        </w:rPr>
        <w:t> </w:t>
      </w:r>
      <w:r>
        <w:rPr/>
        <w:t>attempts</w:t>
      </w:r>
      <w:r>
        <w:rPr>
          <w:spacing w:val="-5"/>
        </w:rPr>
        <w:t> </w:t>
      </w:r>
      <w:r>
        <w:rPr/>
        <w:t>among</w:t>
      </w:r>
      <w:r>
        <w:rPr>
          <w:spacing w:val="-5"/>
        </w:rPr>
        <w:t> </w:t>
      </w:r>
      <w:r>
        <w:rPr/>
        <w:t>transgender</w:t>
      </w:r>
      <w:r>
        <w:rPr>
          <w:spacing w:val="-5"/>
        </w:rPr>
        <w:t> </w:t>
      </w:r>
      <w:r>
        <w:rPr/>
        <w:t>adults.</w:t>
      </w:r>
      <w:r>
        <w:rPr>
          <w:spacing w:val="-6"/>
        </w:rPr>
        <w:t> </w:t>
      </w:r>
      <w:r>
        <w:rPr>
          <w:i/>
        </w:rPr>
        <w:t>JAMA</w:t>
      </w:r>
      <w:r>
        <w:rPr>
          <w:i/>
          <w:spacing w:val="-11"/>
        </w:rPr>
        <w:t> </w:t>
      </w:r>
      <w:r>
        <w:rPr>
          <w:i/>
        </w:rPr>
        <w:t>Psychiatry</w:t>
      </w:r>
      <w:r>
        <w:rPr/>
        <w:t>. 2019;77(1):68-76. https://doi.org/10.1001/jamapsychiatry.2019. 2285</w:t>
      </w:r>
    </w:p>
    <w:p>
      <w:pPr>
        <w:pStyle w:val="BodyText"/>
        <w:spacing w:before="7"/>
        <w:rPr>
          <w:sz w:val="25"/>
        </w:rPr>
      </w:pPr>
    </w:p>
    <w:p>
      <w:pPr>
        <w:pStyle w:val="BodyText"/>
        <w:ind w:left="640" w:right="502" w:hanging="360"/>
      </w:pPr>
      <w:r>
        <w:rPr/>
        <w:t>Turban</w:t>
      </w:r>
      <w:r>
        <w:rPr>
          <w:spacing w:val="-6"/>
        </w:rPr>
        <w:t> </w:t>
      </w:r>
      <w:r>
        <w:rPr/>
        <w:t>JL,</w:t>
      </w:r>
      <w:r>
        <w:rPr>
          <w:spacing w:val="-6"/>
        </w:rPr>
        <w:t> </w:t>
      </w:r>
      <w:r>
        <w:rPr/>
        <w:t>Kraschel</w:t>
      </w:r>
      <w:r>
        <w:rPr>
          <w:spacing w:val="-6"/>
        </w:rPr>
        <w:t> </w:t>
      </w:r>
      <w:r>
        <w:rPr/>
        <w:t>KL,</w:t>
      </w:r>
      <w:r>
        <w:rPr>
          <w:spacing w:val="-6"/>
        </w:rPr>
        <w:t> </w:t>
      </w:r>
      <w:r>
        <w:rPr/>
        <w:t>Cohen</w:t>
      </w:r>
      <w:r>
        <w:rPr>
          <w:spacing w:val="-6"/>
        </w:rPr>
        <w:t> </w:t>
      </w:r>
      <w:r>
        <w:rPr/>
        <w:t>IG.</w:t>
      </w:r>
      <w:r>
        <w:rPr>
          <w:spacing w:val="-6"/>
        </w:rPr>
        <w:t> </w:t>
      </w:r>
      <w:r>
        <w:rPr/>
        <w:t>Legislation</w:t>
      </w:r>
      <w:r>
        <w:rPr>
          <w:spacing w:val="-6"/>
        </w:rPr>
        <w:t> </w:t>
      </w:r>
      <w:r>
        <w:rPr/>
        <w:t>to</w:t>
      </w:r>
      <w:r>
        <w:rPr>
          <w:spacing w:val="-6"/>
        </w:rPr>
        <w:t> </w:t>
      </w:r>
      <w:r>
        <w:rPr/>
        <w:t>criminalize</w:t>
      </w:r>
      <w:r>
        <w:rPr>
          <w:spacing w:val="-7"/>
        </w:rPr>
        <w:t> </w:t>
      </w:r>
      <w:r>
        <w:rPr/>
        <w:t>gender- affirming medical care for transgender youth. </w:t>
      </w:r>
      <w:r>
        <w:rPr>
          <w:i/>
        </w:rPr>
        <w:t>JAMA</w:t>
      </w:r>
      <w:r>
        <w:rPr/>
        <w:t>.</w:t>
      </w:r>
    </w:p>
    <w:p>
      <w:pPr>
        <w:pStyle w:val="BodyText"/>
        <w:spacing w:line="318" w:lineRule="exact"/>
        <w:ind w:left="640"/>
      </w:pPr>
      <w:r>
        <w:rPr/>
        <w:t>2021;</w:t>
      </w:r>
      <w:r>
        <w:rPr>
          <w:i/>
        </w:rPr>
        <w:t>325</w:t>
      </w:r>
      <w:r>
        <w:rPr/>
        <w:t>(22):2251-2252.</w:t>
      </w:r>
      <w:r>
        <w:rPr>
          <w:spacing w:val="-3"/>
        </w:rPr>
        <w:t> </w:t>
      </w:r>
      <w:r>
        <w:rPr>
          <w:spacing w:val="-2"/>
        </w:rPr>
        <w:t>https://doi.org/10.1001/jama.2021.7764</w:t>
      </w:r>
    </w:p>
    <w:p>
      <w:pPr>
        <w:pStyle w:val="BodyText"/>
        <w:spacing w:before="2"/>
        <w:rPr>
          <w:sz w:val="26"/>
        </w:rPr>
      </w:pPr>
    </w:p>
    <w:p>
      <w:pPr>
        <w:pStyle w:val="BodyText"/>
        <w:spacing w:before="1"/>
        <w:ind w:left="640" w:right="502" w:hanging="360"/>
      </w:pPr>
      <w:r>
        <w:rPr/>
        <w:t>Campbell</w:t>
      </w:r>
      <w:r>
        <w:rPr>
          <w:spacing w:val="-18"/>
        </w:rPr>
        <w:t> </w:t>
      </w:r>
      <w:r>
        <w:rPr/>
        <w:t>T,</w:t>
      </w:r>
      <w:r>
        <w:rPr>
          <w:spacing w:val="-17"/>
        </w:rPr>
        <w:t> </w:t>
      </w:r>
      <w:r>
        <w:rPr/>
        <w:t>Rodgers</w:t>
      </w:r>
      <w:r>
        <w:rPr>
          <w:spacing w:val="-18"/>
        </w:rPr>
        <w:t> </w:t>
      </w:r>
      <w:r>
        <w:rPr/>
        <w:t>YM.</w:t>
      </w:r>
      <w:r>
        <w:rPr>
          <w:spacing w:val="-17"/>
        </w:rPr>
        <w:t> </w:t>
      </w:r>
      <w:r>
        <w:rPr/>
        <w:t>Conversion</w:t>
      </w:r>
      <w:r>
        <w:rPr>
          <w:spacing w:val="-18"/>
        </w:rPr>
        <w:t> </w:t>
      </w:r>
      <w:r>
        <w:rPr/>
        <w:t>therapy,</w:t>
      </w:r>
      <w:r>
        <w:rPr>
          <w:spacing w:val="-17"/>
        </w:rPr>
        <w:t> </w:t>
      </w:r>
      <w:r>
        <w:rPr/>
        <w:t>suicidality,</w:t>
      </w:r>
      <w:r>
        <w:rPr>
          <w:spacing w:val="-15"/>
        </w:rPr>
        <w:t> </w:t>
      </w:r>
      <w:r>
        <w:rPr/>
        <w:t>and</w:t>
      </w:r>
      <w:r>
        <w:rPr>
          <w:spacing w:val="-14"/>
        </w:rPr>
        <w:t> </w:t>
      </w:r>
      <w:r>
        <w:rPr/>
        <w:t>running</w:t>
      </w:r>
      <w:r>
        <w:rPr>
          <w:spacing w:val="-18"/>
        </w:rPr>
        <w:t> </w:t>
      </w:r>
      <w:r>
        <w:rPr/>
        <w:t>Away: An analysis of transgender youth in the U.S. SSRN. November 15, 2022. </w:t>
      </w:r>
      <w:hyperlink r:id="rId92">
        <w:r>
          <w:rPr>
            <w:spacing w:val="-2"/>
          </w:rPr>
          <w:t>http://dx.doi.org/10.2139/ssrn.4180724</w:t>
        </w:r>
      </w:hyperlink>
    </w:p>
    <w:p>
      <w:pPr>
        <w:pStyle w:val="BodyText"/>
        <w:spacing w:before="9"/>
        <w:rPr>
          <w:sz w:val="25"/>
        </w:rPr>
      </w:pPr>
    </w:p>
    <w:p>
      <w:pPr>
        <w:pStyle w:val="BodyText"/>
        <w:ind w:left="640" w:right="784" w:hanging="360"/>
        <w:jc w:val="both"/>
      </w:pPr>
      <w:r>
        <w:rPr/>
        <w:t>Veale</w:t>
      </w:r>
      <w:r>
        <w:rPr>
          <w:spacing w:val="-5"/>
        </w:rPr>
        <w:t> </w:t>
      </w:r>
      <w:r>
        <w:rPr/>
        <w:t>JF,</w:t>
      </w:r>
      <w:r>
        <w:rPr>
          <w:spacing w:val="-10"/>
        </w:rPr>
        <w:t> </w:t>
      </w:r>
      <w:r>
        <w:rPr/>
        <w:t>Tan</w:t>
      </w:r>
      <w:r>
        <w:rPr>
          <w:spacing w:val="-4"/>
        </w:rPr>
        <w:t> </w:t>
      </w:r>
      <w:r>
        <w:rPr/>
        <w:t>KKH,</w:t>
      </w:r>
      <w:r>
        <w:rPr>
          <w:spacing w:val="-4"/>
        </w:rPr>
        <w:t> </w:t>
      </w:r>
      <w:r>
        <w:rPr/>
        <w:t>Byrne</w:t>
      </w:r>
      <w:r>
        <w:rPr>
          <w:spacing w:val="-5"/>
        </w:rPr>
        <w:t> </w:t>
      </w:r>
      <w:r>
        <w:rPr/>
        <w:t>JL.</w:t>
      </w:r>
      <w:r>
        <w:rPr>
          <w:spacing w:val="-4"/>
        </w:rPr>
        <w:t> </w:t>
      </w:r>
      <w:r>
        <w:rPr/>
        <w:t>Gender</w:t>
      </w:r>
      <w:r>
        <w:rPr>
          <w:spacing w:val="-4"/>
        </w:rPr>
        <w:t> </w:t>
      </w:r>
      <w:r>
        <w:rPr/>
        <w:t>identity</w:t>
      </w:r>
      <w:r>
        <w:rPr>
          <w:spacing w:val="-4"/>
        </w:rPr>
        <w:t> </w:t>
      </w:r>
      <w:r>
        <w:rPr/>
        <w:t>change</w:t>
      </w:r>
      <w:r>
        <w:rPr>
          <w:spacing w:val="-5"/>
        </w:rPr>
        <w:t> </w:t>
      </w:r>
      <w:r>
        <w:rPr/>
        <w:t>efforts</w:t>
      </w:r>
      <w:r>
        <w:rPr>
          <w:spacing w:val="-4"/>
        </w:rPr>
        <w:t> </w:t>
      </w:r>
      <w:r>
        <w:rPr/>
        <w:t>faced</w:t>
      </w:r>
      <w:r>
        <w:rPr>
          <w:spacing w:val="-4"/>
        </w:rPr>
        <w:t> </w:t>
      </w:r>
      <w:r>
        <w:rPr/>
        <w:t>by</w:t>
      </w:r>
      <w:r>
        <w:rPr>
          <w:spacing w:val="-4"/>
        </w:rPr>
        <w:t> </w:t>
      </w:r>
      <w:r>
        <w:rPr/>
        <w:t>trans and nonbinary people in New Zealand:</w:t>
      </w:r>
      <w:r>
        <w:rPr>
          <w:spacing w:val="-9"/>
        </w:rPr>
        <w:t> </w:t>
      </w:r>
      <w:r>
        <w:rPr/>
        <w:t>Associations with demographics, family</w:t>
      </w:r>
      <w:r>
        <w:rPr>
          <w:spacing w:val="-5"/>
        </w:rPr>
        <w:t> </w:t>
      </w:r>
      <w:r>
        <w:rPr/>
        <w:t>rejection,</w:t>
      </w:r>
      <w:r>
        <w:rPr>
          <w:spacing w:val="-5"/>
        </w:rPr>
        <w:t> </w:t>
      </w:r>
      <w:r>
        <w:rPr/>
        <w:t>internalized</w:t>
      </w:r>
      <w:r>
        <w:rPr>
          <w:spacing w:val="-5"/>
        </w:rPr>
        <w:t> </w:t>
      </w:r>
      <w:r>
        <w:rPr/>
        <w:t>transphobia,</w:t>
      </w:r>
      <w:r>
        <w:rPr>
          <w:spacing w:val="-5"/>
        </w:rPr>
        <w:t> </w:t>
      </w:r>
      <w:r>
        <w:rPr/>
        <w:t>and</w:t>
      </w:r>
      <w:r>
        <w:rPr>
          <w:spacing w:val="-5"/>
        </w:rPr>
        <w:t> </w:t>
      </w:r>
      <w:r>
        <w:rPr/>
        <w:t>mental</w:t>
      </w:r>
      <w:r>
        <w:rPr>
          <w:spacing w:val="-5"/>
        </w:rPr>
        <w:t> </w:t>
      </w:r>
      <w:r>
        <w:rPr/>
        <w:t>health.</w:t>
      </w:r>
      <w:r>
        <w:rPr>
          <w:spacing w:val="-6"/>
        </w:rPr>
        <w:t> </w:t>
      </w:r>
      <w:r>
        <w:rPr>
          <w:i/>
        </w:rPr>
        <w:t>Psychol</w:t>
      </w:r>
      <w:r>
        <w:rPr>
          <w:i/>
          <w:spacing w:val="-5"/>
        </w:rPr>
        <w:t> </w:t>
      </w:r>
      <w:r>
        <w:rPr>
          <w:i/>
        </w:rPr>
        <w:t>Sex</w:t>
      </w:r>
      <w:r>
        <w:rPr>
          <w:i/>
        </w:rPr>
        <w:t> Orientat Gend Divers. </w:t>
      </w:r>
      <w:r>
        <w:rPr/>
        <w:t>2021. https://doi.org/10.1037/sgd0000537</w:t>
      </w:r>
    </w:p>
    <w:p>
      <w:pPr>
        <w:pStyle w:val="BodyText"/>
        <w:spacing w:before="8"/>
        <w:rPr>
          <w:sz w:val="25"/>
        </w:rPr>
      </w:pPr>
    </w:p>
    <w:p>
      <w:pPr>
        <w:spacing w:before="0"/>
        <w:ind w:left="640" w:right="642" w:hanging="360"/>
        <w:jc w:val="left"/>
        <w:rPr>
          <w:sz w:val="28"/>
        </w:rPr>
      </w:pPr>
      <w:r>
        <w:rPr>
          <w:sz w:val="28"/>
        </w:rPr>
        <w:t>Kosciw JG, Greytak EA, Palmer NA, Boesen MJ. </w:t>
      </w:r>
      <w:r>
        <w:rPr>
          <w:i/>
          <w:sz w:val="28"/>
        </w:rPr>
        <w:t>The 2013 National School</w:t>
      </w:r>
      <w:r>
        <w:rPr>
          <w:i/>
          <w:sz w:val="28"/>
        </w:rPr>
        <w:t> Climate</w:t>
      </w:r>
      <w:r>
        <w:rPr>
          <w:i/>
          <w:spacing w:val="-7"/>
          <w:sz w:val="28"/>
        </w:rPr>
        <w:t> </w:t>
      </w:r>
      <w:r>
        <w:rPr>
          <w:i/>
          <w:sz w:val="28"/>
        </w:rPr>
        <w:t>Survey:</w:t>
      </w:r>
      <w:r>
        <w:rPr>
          <w:i/>
          <w:spacing w:val="-6"/>
          <w:sz w:val="28"/>
        </w:rPr>
        <w:t> </w:t>
      </w:r>
      <w:r>
        <w:rPr>
          <w:i/>
          <w:sz w:val="28"/>
        </w:rPr>
        <w:t>The</w:t>
      </w:r>
      <w:r>
        <w:rPr>
          <w:i/>
          <w:spacing w:val="-7"/>
          <w:sz w:val="28"/>
        </w:rPr>
        <w:t> </w:t>
      </w:r>
      <w:r>
        <w:rPr>
          <w:i/>
          <w:sz w:val="28"/>
        </w:rPr>
        <w:t>experiences</w:t>
      </w:r>
      <w:r>
        <w:rPr>
          <w:i/>
          <w:spacing w:val="-6"/>
          <w:sz w:val="28"/>
        </w:rPr>
        <w:t> </w:t>
      </w:r>
      <w:r>
        <w:rPr>
          <w:i/>
          <w:sz w:val="28"/>
        </w:rPr>
        <w:t>of</w:t>
      </w:r>
      <w:r>
        <w:rPr>
          <w:i/>
          <w:spacing w:val="-6"/>
          <w:sz w:val="28"/>
        </w:rPr>
        <w:t> </w:t>
      </w:r>
      <w:r>
        <w:rPr>
          <w:i/>
          <w:sz w:val="28"/>
        </w:rPr>
        <w:t>lesbian,</w:t>
      </w:r>
      <w:r>
        <w:rPr>
          <w:i/>
          <w:spacing w:val="-6"/>
          <w:sz w:val="28"/>
        </w:rPr>
        <w:t> </w:t>
      </w:r>
      <w:r>
        <w:rPr>
          <w:i/>
          <w:sz w:val="28"/>
        </w:rPr>
        <w:t>gay,</w:t>
      </w:r>
      <w:r>
        <w:rPr>
          <w:i/>
          <w:spacing w:val="-6"/>
          <w:sz w:val="28"/>
        </w:rPr>
        <w:t> </w:t>
      </w:r>
      <w:r>
        <w:rPr>
          <w:i/>
          <w:sz w:val="28"/>
        </w:rPr>
        <w:t>bisexual</w:t>
      </w:r>
      <w:r>
        <w:rPr>
          <w:i/>
          <w:spacing w:val="-6"/>
          <w:sz w:val="28"/>
        </w:rPr>
        <w:t> </w:t>
      </w:r>
      <w:r>
        <w:rPr>
          <w:i/>
          <w:sz w:val="28"/>
        </w:rPr>
        <w:t>and</w:t>
      </w:r>
      <w:r>
        <w:rPr>
          <w:i/>
          <w:spacing w:val="-6"/>
          <w:sz w:val="28"/>
        </w:rPr>
        <w:t> </w:t>
      </w:r>
      <w:r>
        <w:rPr>
          <w:i/>
          <w:sz w:val="28"/>
        </w:rPr>
        <w:t>transgender youth</w:t>
      </w:r>
      <w:r>
        <w:rPr>
          <w:i/>
          <w:spacing w:val="-10"/>
          <w:sz w:val="28"/>
        </w:rPr>
        <w:t> </w:t>
      </w:r>
      <w:r>
        <w:rPr>
          <w:i/>
          <w:sz w:val="28"/>
        </w:rPr>
        <w:t>in</w:t>
      </w:r>
      <w:r>
        <w:rPr>
          <w:i/>
          <w:spacing w:val="-7"/>
          <w:sz w:val="28"/>
        </w:rPr>
        <w:t> </w:t>
      </w:r>
      <w:r>
        <w:rPr>
          <w:i/>
          <w:sz w:val="28"/>
        </w:rPr>
        <w:t>our</w:t>
      </w:r>
      <w:r>
        <w:rPr>
          <w:i/>
          <w:spacing w:val="-7"/>
          <w:sz w:val="28"/>
        </w:rPr>
        <w:t> </w:t>
      </w:r>
      <w:r>
        <w:rPr>
          <w:i/>
          <w:sz w:val="28"/>
        </w:rPr>
        <w:t>nation’s</w:t>
      </w:r>
      <w:r>
        <w:rPr>
          <w:i/>
          <w:spacing w:val="-7"/>
          <w:sz w:val="28"/>
        </w:rPr>
        <w:t> </w:t>
      </w:r>
      <w:r>
        <w:rPr>
          <w:i/>
          <w:sz w:val="28"/>
        </w:rPr>
        <w:t>schools</w:t>
      </w:r>
      <w:r>
        <w:rPr>
          <w:sz w:val="28"/>
        </w:rPr>
        <w:t>.</w:t>
      </w:r>
      <w:r>
        <w:rPr>
          <w:spacing w:val="-7"/>
          <w:sz w:val="28"/>
        </w:rPr>
        <w:t> </w:t>
      </w:r>
      <w:r>
        <w:rPr>
          <w:sz w:val="28"/>
        </w:rPr>
        <w:t>GLSEN;</w:t>
      </w:r>
      <w:r>
        <w:rPr>
          <w:spacing w:val="-7"/>
          <w:sz w:val="28"/>
        </w:rPr>
        <w:t> </w:t>
      </w:r>
      <w:r>
        <w:rPr>
          <w:sz w:val="28"/>
        </w:rPr>
        <w:t>2014.</w:t>
      </w:r>
      <w:r>
        <w:rPr>
          <w:spacing w:val="-18"/>
          <w:sz w:val="28"/>
        </w:rPr>
        <w:t> </w:t>
      </w:r>
      <w:r>
        <w:rPr>
          <w:sz w:val="28"/>
        </w:rPr>
        <w:t>Accessed</w:t>
      </w:r>
      <w:r>
        <w:rPr>
          <w:spacing w:val="-6"/>
          <w:sz w:val="28"/>
        </w:rPr>
        <w:t> </w:t>
      </w:r>
      <w:r>
        <w:rPr>
          <w:sz w:val="28"/>
        </w:rPr>
        <w:t>February</w:t>
      </w:r>
      <w:r>
        <w:rPr>
          <w:spacing w:val="-7"/>
          <w:sz w:val="28"/>
        </w:rPr>
        <w:t> </w:t>
      </w:r>
      <w:r>
        <w:rPr>
          <w:sz w:val="28"/>
        </w:rPr>
        <w:t>12,</w:t>
      </w:r>
      <w:r>
        <w:rPr>
          <w:spacing w:val="-7"/>
          <w:sz w:val="28"/>
        </w:rPr>
        <w:t> </w:t>
      </w:r>
      <w:r>
        <w:rPr>
          <w:sz w:val="28"/>
        </w:rPr>
        <w:t>2022. </w:t>
      </w:r>
      <w:r>
        <w:rPr>
          <w:spacing w:val="-2"/>
          <w:sz w:val="28"/>
        </w:rPr>
        <w:t>https://</w:t>
      </w:r>
      <w:hyperlink r:id="rId93">
        <w:r>
          <w:rPr>
            <w:spacing w:val="-2"/>
            <w:sz w:val="28"/>
          </w:rPr>
          <w:t>www.glsen.org/research/2013-nationalschool-climate-survey</w:t>
        </w:r>
      </w:hyperlink>
    </w:p>
    <w:p>
      <w:pPr>
        <w:pStyle w:val="BodyText"/>
        <w:spacing w:before="7"/>
        <w:rPr>
          <w:sz w:val="25"/>
        </w:rPr>
      </w:pPr>
    </w:p>
    <w:p>
      <w:pPr>
        <w:pStyle w:val="BodyText"/>
        <w:ind w:left="640" w:right="502" w:hanging="360"/>
      </w:pPr>
      <w:r>
        <w:rPr/>
        <w:t>Hatzenbuehler ML, Pachankis JE. Stigma and minority stress as social determinants</w:t>
      </w:r>
      <w:r>
        <w:rPr>
          <w:spacing w:val="-7"/>
        </w:rPr>
        <w:t> </w:t>
      </w:r>
      <w:r>
        <w:rPr/>
        <w:t>of</w:t>
      </w:r>
      <w:r>
        <w:rPr>
          <w:spacing w:val="-7"/>
        </w:rPr>
        <w:t> </w:t>
      </w:r>
      <w:r>
        <w:rPr/>
        <w:t>health</w:t>
      </w:r>
      <w:r>
        <w:rPr>
          <w:spacing w:val="-7"/>
        </w:rPr>
        <w:t> </w:t>
      </w:r>
      <w:r>
        <w:rPr/>
        <w:t>among</w:t>
      </w:r>
      <w:r>
        <w:rPr>
          <w:spacing w:val="-7"/>
        </w:rPr>
        <w:t> </w:t>
      </w:r>
      <w:r>
        <w:rPr/>
        <w:t>lesbian,</w:t>
      </w:r>
      <w:r>
        <w:rPr>
          <w:spacing w:val="-7"/>
        </w:rPr>
        <w:t> </w:t>
      </w:r>
      <w:r>
        <w:rPr/>
        <w:t>gay,</w:t>
      </w:r>
      <w:r>
        <w:rPr>
          <w:spacing w:val="-7"/>
        </w:rPr>
        <w:t> </w:t>
      </w:r>
      <w:r>
        <w:rPr/>
        <w:t>bisexual,</w:t>
      </w:r>
      <w:r>
        <w:rPr>
          <w:spacing w:val="-7"/>
        </w:rPr>
        <w:t> </w:t>
      </w:r>
      <w:r>
        <w:rPr/>
        <w:t>and</w:t>
      </w:r>
      <w:r>
        <w:rPr>
          <w:spacing w:val="-7"/>
        </w:rPr>
        <w:t> </w:t>
      </w:r>
      <w:r>
        <w:rPr/>
        <w:t>transgender</w:t>
      </w:r>
      <w:r>
        <w:rPr>
          <w:spacing w:val="-7"/>
        </w:rPr>
        <w:t> </w:t>
      </w:r>
      <w:r>
        <w:rPr/>
        <w:t>youth: Research evidence and clinical implications. In:</w:t>
      </w:r>
      <w:r>
        <w:rPr>
          <w:spacing w:val="-4"/>
        </w:rPr>
        <w:t> </w:t>
      </w:r>
      <w:r>
        <w:rPr/>
        <w:t>Adelson SL, Garofalo R, Dowshen N, Makadon H, eds. </w:t>
      </w:r>
      <w:r>
        <w:rPr>
          <w:i/>
        </w:rPr>
        <w:t>Lesbian, Gay, Bisexual and Transgender</w:t>
      </w:r>
      <w:r>
        <w:rPr>
          <w:i/>
        </w:rPr>
        <w:t> Youth. </w:t>
      </w:r>
      <w:r>
        <w:rPr/>
        <w:t>Elsevier; 2016:985-997. </w:t>
      </w:r>
      <w:r>
        <w:rPr>
          <w:color w:val="0F0F0F"/>
        </w:rPr>
        <w:t>https://doi.org/10.1016/j.pcl.2016.07.003</w:t>
      </w:r>
    </w:p>
    <w:p>
      <w:pPr>
        <w:pStyle w:val="BodyText"/>
        <w:spacing w:before="6"/>
        <w:rPr>
          <w:sz w:val="25"/>
        </w:rPr>
      </w:pPr>
    </w:p>
    <w:p>
      <w:pPr>
        <w:pStyle w:val="BodyText"/>
        <w:ind w:left="640" w:right="502" w:hanging="360"/>
      </w:pPr>
      <w:r>
        <w:rPr/>
        <w:t>Ryan</w:t>
      </w:r>
      <w:r>
        <w:rPr>
          <w:spacing w:val="-4"/>
        </w:rPr>
        <w:t> </w:t>
      </w:r>
      <w:r>
        <w:rPr/>
        <w:t>C.</w:t>
      </w:r>
      <w:r>
        <w:rPr>
          <w:spacing w:val="-4"/>
        </w:rPr>
        <w:t> </w:t>
      </w:r>
      <w:r>
        <w:rPr/>
        <w:t>Family</w:t>
      </w:r>
      <w:r>
        <w:rPr>
          <w:spacing w:val="-4"/>
        </w:rPr>
        <w:t> </w:t>
      </w:r>
      <w:r>
        <w:rPr/>
        <w:t>rejection</w:t>
      </w:r>
      <w:r>
        <w:rPr>
          <w:spacing w:val="-4"/>
        </w:rPr>
        <w:t> </w:t>
      </w:r>
      <w:r>
        <w:rPr/>
        <w:t>is</w:t>
      </w:r>
      <w:r>
        <w:rPr>
          <w:spacing w:val="-4"/>
        </w:rPr>
        <w:t> </w:t>
      </w:r>
      <w:r>
        <w:rPr/>
        <w:t>a</w:t>
      </w:r>
      <w:r>
        <w:rPr>
          <w:spacing w:val="-5"/>
        </w:rPr>
        <w:t> </w:t>
      </w:r>
      <w:r>
        <w:rPr/>
        <w:t>health</w:t>
      </w:r>
      <w:r>
        <w:rPr>
          <w:spacing w:val="-4"/>
        </w:rPr>
        <w:t> </w:t>
      </w:r>
      <w:r>
        <w:rPr/>
        <w:t>hazard</w:t>
      </w:r>
      <w:r>
        <w:rPr>
          <w:spacing w:val="-4"/>
        </w:rPr>
        <w:t> </w:t>
      </w:r>
      <w:r>
        <w:rPr/>
        <w:t>for</w:t>
      </w:r>
      <w:r>
        <w:rPr>
          <w:spacing w:val="-4"/>
        </w:rPr>
        <w:t> </w:t>
      </w:r>
      <w:r>
        <w:rPr/>
        <w:t>LGBTQ</w:t>
      </w:r>
      <w:r>
        <w:rPr>
          <w:spacing w:val="-4"/>
        </w:rPr>
        <w:t> </w:t>
      </w:r>
      <w:r>
        <w:rPr/>
        <w:t>children</w:t>
      </w:r>
      <w:r>
        <w:rPr>
          <w:spacing w:val="-4"/>
        </w:rPr>
        <w:t> </w:t>
      </w:r>
      <w:r>
        <w:rPr/>
        <w:t>and</w:t>
      </w:r>
      <w:r>
        <w:rPr>
          <w:spacing w:val="-4"/>
        </w:rPr>
        <w:t> </w:t>
      </w:r>
      <w:r>
        <w:rPr/>
        <w:t>youth.</w:t>
      </w:r>
      <w:r>
        <w:rPr>
          <w:spacing w:val="-5"/>
        </w:rPr>
        <w:t> </w:t>
      </w:r>
      <w:r>
        <w:rPr>
          <w:i/>
        </w:rPr>
        <w:t>J</w:t>
      </w:r>
      <w:r>
        <w:rPr>
          <w:i/>
        </w:rPr>
        <w:t> Am Acad Child Adolesc Psychiatry</w:t>
      </w:r>
      <w:r>
        <w:rPr/>
        <w:t>. 2020;59(10):S336. https://doi.org/ </w:t>
      </w:r>
      <w:r>
        <w:rPr>
          <w:spacing w:val="-2"/>
        </w:rPr>
        <w:t>10.1016/j.jaac.2020.07.817</w:t>
      </w:r>
    </w:p>
    <w:p>
      <w:pPr>
        <w:pStyle w:val="BodyText"/>
        <w:spacing w:before="9"/>
        <w:rPr>
          <w:sz w:val="25"/>
        </w:rPr>
      </w:pPr>
    </w:p>
    <w:p>
      <w:pPr>
        <w:pStyle w:val="BodyText"/>
        <w:spacing w:before="1"/>
        <w:ind w:left="640" w:right="502" w:hanging="360"/>
      </w:pPr>
      <w:r>
        <w:rPr/>
        <w:t>Frieden TR. Evidence for health decision making -beyond randomized, controlled</w:t>
      </w:r>
      <w:r>
        <w:rPr>
          <w:spacing w:val="-6"/>
        </w:rPr>
        <w:t> </w:t>
      </w:r>
      <w:r>
        <w:rPr/>
        <w:t>trials</w:t>
      </w:r>
      <w:r>
        <w:rPr>
          <w:i/>
        </w:rPr>
        <w:t>.</w:t>
      </w:r>
      <w:r>
        <w:rPr>
          <w:i/>
          <w:spacing w:val="-6"/>
        </w:rPr>
        <w:t> </w:t>
      </w:r>
      <w:r>
        <w:rPr>
          <w:i/>
        </w:rPr>
        <w:t>N</w:t>
      </w:r>
      <w:r>
        <w:rPr>
          <w:i/>
          <w:spacing w:val="-6"/>
        </w:rPr>
        <w:t> </w:t>
      </w:r>
      <w:r>
        <w:rPr>
          <w:i/>
        </w:rPr>
        <w:t>Engl</w:t>
      </w:r>
      <w:r>
        <w:rPr>
          <w:i/>
          <w:spacing w:val="-6"/>
        </w:rPr>
        <w:t> </w:t>
      </w:r>
      <w:r>
        <w:rPr>
          <w:i/>
        </w:rPr>
        <w:t>J</w:t>
      </w:r>
      <w:r>
        <w:rPr>
          <w:i/>
          <w:spacing w:val="-7"/>
        </w:rPr>
        <w:t> </w:t>
      </w:r>
      <w:r>
        <w:rPr>
          <w:i/>
        </w:rPr>
        <w:t>Med</w:t>
      </w:r>
      <w:r>
        <w:rPr/>
        <w:t>.</w:t>
      </w:r>
      <w:r>
        <w:rPr>
          <w:spacing w:val="-6"/>
        </w:rPr>
        <w:t> </w:t>
      </w:r>
      <w:r>
        <w:rPr/>
        <w:t>2017;377(5):465-475.</w:t>
      </w:r>
      <w:r>
        <w:rPr>
          <w:spacing w:val="-6"/>
        </w:rPr>
        <w:t> </w:t>
      </w:r>
      <w:r>
        <w:rPr/>
        <w:t>https://doi.org/ </w:t>
      </w:r>
      <w:r>
        <w:rPr>
          <w:spacing w:val="-2"/>
        </w:rPr>
        <w:t>10.1056/NEJMra1614394</w:t>
      </w:r>
    </w:p>
    <w:p>
      <w:pPr>
        <w:pStyle w:val="BodyText"/>
        <w:spacing w:before="9"/>
        <w:rPr>
          <w:sz w:val="25"/>
        </w:rPr>
      </w:pPr>
    </w:p>
    <w:p>
      <w:pPr>
        <w:pStyle w:val="BodyText"/>
        <w:ind w:left="640" w:right="549" w:hanging="360"/>
      </w:pPr>
      <w:r>
        <w:rPr/>
        <w:t>Chou R,</w:t>
      </w:r>
      <w:r>
        <w:rPr>
          <w:spacing w:val="-7"/>
        </w:rPr>
        <w:t> </w:t>
      </w:r>
      <w:r>
        <w:rPr/>
        <w:t>Aronson N,</w:t>
      </w:r>
      <w:r>
        <w:rPr>
          <w:spacing w:val="-7"/>
        </w:rPr>
        <w:t> </w:t>
      </w:r>
      <w:r>
        <w:rPr/>
        <w:t>Atkins D, et al.</w:t>
      </w:r>
      <w:r>
        <w:rPr>
          <w:spacing w:val="-7"/>
        </w:rPr>
        <w:t> </w:t>
      </w:r>
      <w:r>
        <w:rPr/>
        <w:t>Agency for Healthcare Research and Quality</w:t>
      </w:r>
      <w:r>
        <w:rPr>
          <w:spacing w:val="-6"/>
        </w:rPr>
        <w:t> </w:t>
      </w:r>
      <w:r>
        <w:rPr/>
        <w:t>(AHRQ)</w:t>
      </w:r>
      <w:r>
        <w:rPr>
          <w:spacing w:val="-5"/>
        </w:rPr>
        <w:t> </w:t>
      </w:r>
      <w:r>
        <w:rPr/>
        <w:t>Series</w:t>
      </w:r>
      <w:r>
        <w:rPr>
          <w:spacing w:val="-5"/>
        </w:rPr>
        <w:t> </w:t>
      </w:r>
      <w:r>
        <w:rPr/>
        <w:t>Paper</w:t>
      </w:r>
      <w:r>
        <w:rPr>
          <w:spacing w:val="-5"/>
        </w:rPr>
        <w:t> </w:t>
      </w:r>
      <w:r>
        <w:rPr/>
        <w:t>4:</w:t>
      </w:r>
      <w:r>
        <w:rPr>
          <w:spacing w:val="-18"/>
        </w:rPr>
        <w:t> </w:t>
      </w:r>
      <w:r>
        <w:rPr/>
        <w:t>Assessing</w:t>
      </w:r>
      <w:r>
        <w:rPr>
          <w:spacing w:val="-4"/>
        </w:rPr>
        <w:t> </w:t>
      </w:r>
      <w:r>
        <w:rPr/>
        <w:t>harms</w:t>
      </w:r>
      <w:r>
        <w:rPr>
          <w:spacing w:val="-5"/>
        </w:rPr>
        <w:t> </w:t>
      </w:r>
      <w:r>
        <w:rPr/>
        <w:t>when</w:t>
      </w:r>
      <w:r>
        <w:rPr>
          <w:spacing w:val="-5"/>
        </w:rPr>
        <w:t> </w:t>
      </w:r>
      <w:r>
        <w:rPr/>
        <w:t>comparing</w:t>
      </w:r>
      <w:r>
        <w:rPr>
          <w:spacing w:val="-5"/>
        </w:rPr>
        <w:t> </w:t>
      </w:r>
      <w:r>
        <w:rPr/>
        <w:t>medical interventions:</w:t>
      </w:r>
      <w:r>
        <w:rPr>
          <w:spacing w:val="-4"/>
        </w:rPr>
        <w:t> </w:t>
      </w:r>
      <w:r>
        <w:rPr/>
        <w:t>AHRQ and the Effective Health Care Program. </w:t>
      </w:r>
      <w:r>
        <w:rPr>
          <w:i/>
        </w:rPr>
        <w:t>J Clin</w:t>
      </w:r>
      <w:r>
        <w:rPr>
          <w:i/>
        </w:rPr>
        <w:t> Epidemiol. </w:t>
      </w:r>
      <w:r>
        <w:rPr/>
        <w:t>2010; 63:502-512. https://doi.org/10.1016/ </w:t>
      </w:r>
      <w:r>
        <w:rPr>
          <w:spacing w:val="-2"/>
        </w:rPr>
        <w:t>j.jclinepi.2008.06.007</w:t>
      </w:r>
    </w:p>
    <w:p>
      <w:pPr>
        <w:spacing w:after="0"/>
        <w:sectPr>
          <w:pgSz w:w="12240" w:h="15840"/>
          <w:pgMar w:header="0" w:footer="783" w:top="1260" w:bottom="980" w:left="1400" w:right="1180"/>
        </w:sectPr>
      </w:pPr>
    </w:p>
    <w:p>
      <w:pPr>
        <w:pStyle w:val="BodyText"/>
        <w:spacing w:before="66"/>
        <w:ind w:left="640" w:right="933" w:hanging="360"/>
      </w:pPr>
      <w:r>
        <w:rPr/>
        <w:t>U.S.</w:t>
      </w:r>
      <w:r>
        <w:rPr>
          <w:spacing w:val="-5"/>
        </w:rPr>
        <w:t> </w:t>
      </w:r>
      <w:r>
        <w:rPr/>
        <w:t>Department</w:t>
      </w:r>
      <w:r>
        <w:rPr>
          <w:spacing w:val="-5"/>
        </w:rPr>
        <w:t> </w:t>
      </w:r>
      <w:r>
        <w:rPr/>
        <w:t>of</w:t>
      </w:r>
      <w:r>
        <w:rPr>
          <w:spacing w:val="-5"/>
        </w:rPr>
        <w:t> </w:t>
      </w:r>
      <w:r>
        <w:rPr/>
        <w:t>Health</w:t>
      </w:r>
      <w:r>
        <w:rPr>
          <w:spacing w:val="-5"/>
        </w:rPr>
        <w:t> </w:t>
      </w:r>
      <w:r>
        <w:rPr/>
        <w:t>and</w:t>
      </w:r>
      <w:r>
        <w:rPr>
          <w:spacing w:val="-5"/>
        </w:rPr>
        <w:t> </w:t>
      </w:r>
      <w:r>
        <w:rPr/>
        <w:t>Human</w:t>
      </w:r>
      <w:r>
        <w:rPr>
          <w:spacing w:val="-5"/>
        </w:rPr>
        <w:t> </w:t>
      </w:r>
      <w:r>
        <w:rPr/>
        <w:t>Services.</w:t>
      </w:r>
      <w:r>
        <w:rPr>
          <w:spacing w:val="-5"/>
        </w:rPr>
        <w:t> </w:t>
      </w:r>
      <w:r>
        <w:rPr/>
        <w:t>2018</w:t>
      </w:r>
      <w:r>
        <w:rPr>
          <w:spacing w:val="-5"/>
        </w:rPr>
        <w:t> </w:t>
      </w:r>
      <w:r>
        <w:rPr/>
        <w:t>Requirements</w:t>
      </w:r>
      <w:r>
        <w:rPr>
          <w:spacing w:val="-5"/>
        </w:rPr>
        <w:t> </w:t>
      </w:r>
      <w:r>
        <w:rPr/>
        <w:t>(2018 Common</w:t>
      </w:r>
      <w:r>
        <w:rPr>
          <w:spacing w:val="-17"/>
        </w:rPr>
        <w:t> </w:t>
      </w:r>
      <w:r>
        <w:rPr/>
        <w:t>Rule).</w:t>
      </w:r>
      <w:r>
        <w:rPr>
          <w:spacing w:val="-17"/>
        </w:rPr>
        <w:t> </w:t>
      </w:r>
      <w:r>
        <w:rPr/>
        <w:t>2018.</w:t>
      </w:r>
      <w:r>
        <w:rPr>
          <w:spacing w:val="-17"/>
        </w:rPr>
        <w:t> </w:t>
      </w:r>
      <w:r>
        <w:rPr/>
        <w:t>https://</w:t>
      </w:r>
      <w:hyperlink r:id="rId94">
        <w:r>
          <w:rPr/>
          <w:t>www.hhs.gov/ohrp/regulations-andpolicy/</w:t>
        </w:r>
      </w:hyperlink>
      <w:r>
        <w:rPr/>
        <w:t> </w:t>
      </w:r>
      <w:r>
        <w:rPr>
          <w:spacing w:val="-2"/>
        </w:rPr>
        <w:t>regulations/45-cfr-46/revised-commonrule-regulatory-text/index.html. </w:t>
      </w:r>
      <w:r>
        <w:rPr/>
        <w:t>Accessed February 12, 2022.</w:t>
      </w:r>
    </w:p>
    <w:p>
      <w:pPr>
        <w:pStyle w:val="BodyText"/>
        <w:spacing w:before="7"/>
        <w:rPr>
          <w:sz w:val="25"/>
        </w:rPr>
      </w:pPr>
    </w:p>
    <w:p>
      <w:pPr>
        <w:spacing w:line="321" w:lineRule="exact" w:before="0"/>
        <w:ind w:left="280" w:right="0" w:firstLine="0"/>
        <w:jc w:val="left"/>
        <w:rPr>
          <w:sz w:val="28"/>
        </w:rPr>
      </w:pPr>
      <w:r>
        <w:rPr>
          <w:sz w:val="28"/>
        </w:rPr>
        <w:t>Lilienfeld</w:t>
      </w:r>
      <w:r>
        <w:rPr>
          <w:spacing w:val="-3"/>
          <w:sz w:val="28"/>
        </w:rPr>
        <w:t> </w:t>
      </w:r>
      <w:r>
        <w:rPr>
          <w:sz w:val="28"/>
        </w:rPr>
        <w:t>SO.</w:t>
      </w:r>
      <w:r>
        <w:rPr>
          <w:spacing w:val="-2"/>
          <w:sz w:val="28"/>
        </w:rPr>
        <w:t> </w:t>
      </w:r>
      <w:r>
        <w:rPr>
          <w:sz w:val="28"/>
        </w:rPr>
        <w:t>Psychological</w:t>
      </w:r>
      <w:r>
        <w:rPr>
          <w:spacing w:val="-3"/>
          <w:sz w:val="28"/>
        </w:rPr>
        <w:t> </w:t>
      </w:r>
      <w:r>
        <w:rPr>
          <w:sz w:val="28"/>
        </w:rPr>
        <w:t>treatments</w:t>
      </w:r>
      <w:r>
        <w:rPr>
          <w:spacing w:val="-2"/>
          <w:sz w:val="28"/>
        </w:rPr>
        <w:t> </w:t>
      </w:r>
      <w:r>
        <w:rPr>
          <w:sz w:val="28"/>
        </w:rPr>
        <w:t>that</w:t>
      </w:r>
      <w:r>
        <w:rPr>
          <w:spacing w:val="-2"/>
          <w:sz w:val="28"/>
        </w:rPr>
        <w:t> </w:t>
      </w:r>
      <w:r>
        <w:rPr>
          <w:sz w:val="28"/>
        </w:rPr>
        <w:t>cause</w:t>
      </w:r>
      <w:r>
        <w:rPr>
          <w:spacing w:val="-4"/>
          <w:sz w:val="28"/>
        </w:rPr>
        <w:t> </w:t>
      </w:r>
      <w:r>
        <w:rPr>
          <w:sz w:val="28"/>
        </w:rPr>
        <w:t>harm.</w:t>
      </w:r>
      <w:r>
        <w:rPr>
          <w:spacing w:val="-3"/>
          <w:sz w:val="28"/>
        </w:rPr>
        <w:t> </w:t>
      </w:r>
      <w:r>
        <w:rPr>
          <w:i/>
          <w:sz w:val="28"/>
        </w:rPr>
        <w:t>Perspect</w:t>
      </w:r>
      <w:r>
        <w:rPr>
          <w:i/>
          <w:spacing w:val="-2"/>
          <w:sz w:val="28"/>
        </w:rPr>
        <w:t> </w:t>
      </w:r>
      <w:r>
        <w:rPr>
          <w:i/>
          <w:sz w:val="28"/>
        </w:rPr>
        <w:t>Psychol</w:t>
      </w:r>
      <w:r>
        <w:rPr>
          <w:i/>
          <w:spacing w:val="-2"/>
          <w:sz w:val="28"/>
        </w:rPr>
        <w:t> </w:t>
      </w:r>
      <w:r>
        <w:rPr>
          <w:i/>
          <w:spacing w:val="-4"/>
          <w:sz w:val="28"/>
        </w:rPr>
        <w:t>Sci</w:t>
      </w:r>
      <w:r>
        <w:rPr>
          <w:spacing w:val="-4"/>
          <w:sz w:val="28"/>
        </w:rPr>
        <w:t>.</w:t>
      </w:r>
    </w:p>
    <w:p>
      <w:pPr>
        <w:pStyle w:val="BodyText"/>
        <w:spacing w:line="321" w:lineRule="exact"/>
        <w:ind w:left="640"/>
      </w:pPr>
      <w:r>
        <w:rPr/>
        <w:t>2007;2(1):53-70. </w:t>
      </w:r>
      <w:r>
        <w:rPr>
          <w:spacing w:val="-2"/>
        </w:rPr>
        <w:t>https://doi.org/10.1111/j.17456916.2007.00029.x</w:t>
      </w:r>
    </w:p>
    <w:p>
      <w:pPr>
        <w:pStyle w:val="BodyText"/>
        <w:spacing w:before="2"/>
        <w:rPr>
          <w:sz w:val="26"/>
        </w:rPr>
      </w:pPr>
    </w:p>
    <w:p>
      <w:pPr>
        <w:pStyle w:val="BodyText"/>
        <w:spacing w:before="1"/>
        <w:ind w:left="640" w:right="597" w:hanging="360"/>
      </w:pPr>
      <w:r>
        <w:rPr/>
        <w:t>Dimidjian S, Hollon SD. How would we know if psychotherapy were harmful?</w:t>
      </w:r>
      <w:r>
        <w:rPr>
          <w:spacing w:val="-12"/>
        </w:rPr>
        <w:t> </w:t>
      </w:r>
      <w:r>
        <w:rPr>
          <w:i/>
        </w:rPr>
        <w:t>Am</w:t>
      </w:r>
      <w:r>
        <w:rPr>
          <w:i/>
          <w:spacing w:val="-11"/>
        </w:rPr>
        <w:t> </w:t>
      </w:r>
      <w:r>
        <w:rPr>
          <w:i/>
        </w:rPr>
        <w:t>Psychol</w:t>
      </w:r>
      <w:r>
        <w:rPr/>
        <w:t>.</w:t>
      </w:r>
      <w:r>
        <w:rPr>
          <w:spacing w:val="-11"/>
        </w:rPr>
        <w:t> </w:t>
      </w:r>
      <w:r>
        <w:rPr/>
        <w:t>2010;65(1):21-33.</w:t>
      </w:r>
      <w:r>
        <w:rPr>
          <w:spacing w:val="-11"/>
        </w:rPr>
        <w:t> </w:t>
      </w:r>
      <w:r>
        <w:rPr/>
        <w:t>https://doi.org/10.1037/a0017299</w:t>
      </w:r>
    </w:p>
    <w:p>
      <w:pPr>
        <w:pStyle w:val="BodyText"/>
        <w:spacing w:before="11"/>
        <w:rPr>
          <w:sz w:val="25"/>
        </w:rPr>
      </w:pPr>
    </w:p>
    <w:p>
      <w:pPr>
        <w:pStyle w:val="BodyText"/>
        <w:ind w:left="640" w:hanging="360"/>
      </w:pPr>
      <w:r>
        <w:rPr/>
        <w:t>Whitney</w:t>
      </w:r>
      <w:r>
        <w:rPr>
          <w:spacing w:val="-4"/>
        </w:rPr>
        <w:t> </w:t>
      </w:r>
      <w:r>
        <w:rPr/>
        <w:t>BM.</w:t>
      </w:r>
      <w:r>
        <w:rPr>
          <w:spacing w:val="-4"/>
        </w:rPr>
        <w:t> </w:t>
      </w:r>
      <w:r>
        <w:rPr/>
        <w:t>Ethical</w:t>
      </w:r>
      <w:r>
        <w:rPr>
          <w:spacing w:val="-4"/>
        </w:rPr>
        <w:t> </w:t>
      </w:r>
      <w:r>
        <w:rPr/>
        <w:t>considerations</w:t>
      </w:r>
      <w:r>
        <w:rPr>
          <w:spacing w:val="-4"/>
        </w:rPr>
        <w:t> </w:t>
      </w:r>
      <w:r>
        <w:rPr/>
        <w:t>for</w:t>
      </w:r>
      <w:r>
        <w:rPr>
          <w:spacing w:val="-4"/>
        </w:rPr>
        <w:t> </w:t>
      </w:r>
      <w:r>
        <w:rPr/>
        <w:t>the</w:t>
      </w:r>
      <w:r>
        <w:rPr>
          <w:spacing w:val="-5"/>
        </w:rPr>
        <w:t> </w:t>
      </w:r>
      <w:r>
        <w:rPr/>
        <w:t>study</w:t>
      </w:r>
      <w:r>
        <w:rPr>
          <w:spacing w:val="-4"/>
        </w:rPr>
        <w:t> </w:t>
      </w:r>
      <w:r>
        <w:rPr/>
        <w:t>of</w:t>
      </w:r>
      <w:r>
        <w:rPr>
          <w:spacing w:val="-4"/>
        </w:rPr>
        <w:t> </w:t>
      </w:r>
      <w:r>
        <w:rPr/>
        <w:t>potentially</w:t>
      </w:r>
      <w:r>
        <w:rPr>
          <w:spacing w:val="-4"/>
        </w:rPr>
        <w:t> </w:t>
      </w:r>
      <w:r>
        <w:rPr/>
        <w:t>harmful</w:t>
      </w:r>
      <w:r>
        <w:rPr>
          <w:spacing w:val="-4"/>
        </w:rPr>
        <w:t> </w:t>
      </w:r>
      <w:r>
        <w:rPr/>
        <w:t>or ineffective treatments. </w:t>
      </w:r>
      <w:r>
        <w:rPr>
          <w:i/>
        </w:rPr>
        <w:t>Prof Psychol Res Pr</w:t>
      </w:r>
      <w:r>
        <w:rPr/>
        <w:t>. 2021;52(1):12-20. https:// </w:t>
      </w:r>
      <w:r>
        <w:rPr>
          <w:spacing w:val="-2"/>
        </w:rPr>
        <w:t>doi.org/10.1037/pro0000341</w:t>
      </w:r>
    </w:p>
    <w:p>
      <w:pPr>
        <w:pStyle w:val="BodyText"/>
        <w:spacing w:before="10"/>
        <w:rPr>
          <w:sz w:val="25"/>
        </w:rPr>
      </w:pPr>
    </w:p>
    <w:p>
      <w:pPr>
        <w:spacing w:before="0"/>
        <w:ind w:left="640" w:right="668" w:hanging="360"/>
        <w:jc w:val="left"/>
        <w:rPr>
          <w:sz w:val="28"/>
        </w:rPr>
      </w:pPr>
      <w:r>
        <w:rPr>
          <w:sz w:val="28"/>
        </w:rPr>
        <w:t>Mercer</w:t>
      </w:r>
      <w:r>
        <w:rPr>
          <w:spacing w:val="-5"/>
          <w:sz w:val="28"/>
        </w:rPr>
        <w:t> </w:t>
      </w:r>
      <w:r>
        <w:rPr>
          <w:sz w:val="28"/>
        </w:rPr>
        <w:t>J.</w:t>
      </w:r>
      <w:r>
        <w:rPr>
          <w:spacing w:val="-5"/>
          <w:sz w:val="28"/>
        </w:rPr>
        <w:t> </w:t>
      </w:r>
      <w:r>
        <w:rPr>
          <w:sz w:val="28"/>
        </w:rPr>
        <w:t>Evidence</w:t>
      </w:r>
      <w:r>
        <w:rPr>
          <w:spacing w:val="-6"/>
          <w:sz w:val="28"/>
        </w:rPr>
        <w:t> </w:t>
      </w:r>
      <w:r>
        <w:rPr>
          <w:sz w:val="28"/>
        </w:rPr>
        <w:t>of</w:t>
      </w:r>
      <w:r>
        <w:rPr>
          <w:spacing w:val="-5"/>
          <w:sz w:val="28"/>
        </w:rPr>
        <w:t> </w:t>
      </w:r>
      <w:r>
        <w:rPr>
          <w:sz w:val="28"/>
        </w:rPr>
        <w:t>potentially</w:t>
      </w:r>
      <w:r>
        <w:rPr>
          <w:spacing w:val="-5"/>
          <w:sz w:val="28"/>
        </w:rPr>
        <w:t> </w:t>
      </w:r>
      <w:r>
        <w:rPr>
          <w:sz w:val="28"/>
        </w:rPr>
        <w:t>harmful</w:t>
      </w:r>
      <w:r>
        <w:rPr>
          <w:spacing w:val="-5"/>
          <w:sz w:val="28"/>
        </w:rPr>
        <w:t> </w:t>
      </w:r>
      <w:r>
        <w:rPr>
          <w:sz w:val="28"/>
        </w:rPr>
        <w:t>psychological</w:t>
      </w:r>
      <w:r>
        <w:rPr>
          <w:spacing w:val="-5"/>
          <w:sz w:val="28"/>
        </w:rPr>
        <w:t> </w:t>
      </w:r>
      <w:r>
        <w:rPr>
          <w:sz w:val="28"/>
        </w:rPr>
        <w:t>treatments</w:t>
      </w:r>
      <w:r>
        <w:rPr>
          <w:spacing w:val="-5"/>
          <w:sz w:val="28"/>
        </w:rPr>
        <w:t> </w:t>
      </w:r>
      <w:r>
        <w:rPr>
          <w:sz w:val="28"/>
        </w:rPr>
        <w:t>for children and adolescents. </w:t>
      </w:r>
      <w:r>
        <w:rPr>
          <w:i/>
          <w:sz w:val="28"/>
        </w:rPr>
        <w:t>Child Adolesc Social Work J</w:t>
      </w:r>
      <w:r>
        <w:rPr>
          <w:sz w:val="28"/>
        </w:rPr>
        <w:t>.</w:t>
      </w:r>
    </w:p>
    <w:p>
      <w:pPr>
        <w:pStyle w:val="BodyText"/>
        <w:spacing w:line="318" w:lineRule="exact"/>
        <w:ind w:left="640"/>
      </w:pPr>
      <w:r>
        <w:rPr/>
        <w:t>2017;34(2):107-125.</w:t>
      </w:r>
      <w:r>
        <w:rPr>
          <w:spacing w:val="-7"/>
        </w:rPr>
        <w:t> </w:t>
      </w:r>
      <w:r>
        <w:rPr/>
        <w:t>https://doi.org/10.1007/s10560-016-0480-</w:t>
      </w:r>
      <w:r>
        <w:rPr>
          <w:spacing w:val="-10"/>
        </w:rPr>
        <w:t>2</w:t>
      </w:r>
    </w:p>
    <w:p>
      <w:pPr>
        <w:pStyle w:val="BodyText"/>
        <w:spacing w:before="2"/>
        <w:rPr>
          <w:sz w:val="26"/>
        </w:rPr>
      </w:pPr>
    </w:p>
    <w:p>
      <w:pPr>
        <w:pStyle w:val="BodyText"/>
        <w:ind w:left="640" w:right="499" w:hanging="360"/>
      </w:pPr>
      <w:r>
        <w:rPr/>
        <w:t>Herek</w:t>
      </w:r>
      <w:r>
        <w:rPr>
          <w:spacing w:val="-4"/>
        </w:rPr>
        <w:t> </w:t>
      </w:r>
      <w:r>
        <w:rPr/>
        <w:t>GM.</w:t>
      </w:r>
      <w:r>
        <w:rPr>
          <w:spacing w:val="-4"/>
        </w:rPr>
        <w:t> </w:t>
      </w:r>
      <w:r>
        <w:rPr/>
        <w:t>Sexual</w:t>
      </w:r>
      <w:r>
        <w:rPr>
          <w:spacing w:val="-4"/>
        </w:rPr>
        <w:t> </w:t>
      </w:r>
      <w:r>
        <w:rPr/>
        <w:t>orientation</w:t>
      </w:r>
      <w:r>
        <w:rPr>
          <w:spacing w:val="-4"/>
        </w:rPr>
        <w:t> </w:t>
      </w:r>
      <w:r>
        <w:rPr/>
        <w:t>differences</w:t>
      </w:r>
      <w:r>
        <w:rPr>
          <w:spacing w:val="-4"/>
        </w:rPr>
        <w:t> </w:t>
      </w:r>
      <w:r>
        <w:rPr/>
        <w:t>as</w:t>
      </w:r>
      <w:r>
        <w:rPr>
          <w:spacing w:val="-4"/>
        </w:rPr>
        <w:t> </w:t>
      </w:r>
      <w:r>
        <w:rPr/>
        <w:t>deficits:</w:t>
      </w:r>
      <w:r>
        <w:rPr>
          <w:spacing w:val="-4"/>
        </w:rPr>
        <w:t> </w:t>
      </w:r>
      <w:r>
        <w:rPr/>
        <w:t>science</w:t>
      </w:r>
      <w:r>
        <w:rPr>
          <w:spacing w:val="-5"/>
        </w:rPr>
        <w:t> </w:t>
      </w:r>
      <w:r>
        <w:rPr/>
        <w:t>and</w:t>
      </w:r>
      <w:r>
        <w:rPr>
          <w:spacing w:val="-4"/>
        </w:rPr>
        <w:t> </w:t>
      </w:r>
      <w:r>
        <w:rPr/>
        <w:t>stigma</w:t>
      </w:r>
      <w:r>
        <w:rPr>
          <w:spacing w:val="-5"/>
        </w:rPr>
        <w:t> </w:t>
      </w:r>
      <w:r>
        <w:rPr/>
        <w:t>in</w:t>
      </w:r>
      <w:r>
        <w:rPr>
          <w:spacing w:val="-4"/>
        </w:rPr>
        <w:t> </w:t>
      </w:r>
      <w:r>
        <w:rPr/>
        <w:t>the history of</w:t>
      </w:r>
      <w:r>
        <w:rPr>
          <w:spacing w:val="-11"/>
        </w:rPr>
        <w:t> </w:t>
      </w:r>
      <w:r>
        <w:rPr/>
        <w:t>American psychology. </w:t>
      </w:r>
      <w:r>
        <w:rPr>
          <w:i/>
        </w:rPr>
        <w:t>Perspect Psychol Sci</w:t>
      </w:r>
      <w:r>
        <w:rPr/>
        <w:t>. 2010;5(6):693-699. </w:t>
      </w:r>
      <w:r>
        <w:rPr>
          <w:spacing w:val="-2"/>
        </w:rPr>
        <w:t>https://doi.org/10.1177/1745691610388770</w:t>
      </w:r>
    </w:p>
    <w:p>
      <w:pPr>
        <w:pStyle w:val="BodyText"/>
        <w:spacing w:before="9"/>
        <w:rPr>
          <w:sz w:val="25"/>
        </w:rPr>
      </w:pPr>
    </w:p>
    <w:p>
      <w:pPr>
        <w:pStyle w:val="BodyText"/>
        <w:spacing w:line="321" w:lineRule="exact"/>
        <w:ind w:left="280"/>
      </w:pPr>
      <w:r>
        <w:rPr/>
        <w:t>American</w:t>
      </w:r>
      <w:r>
        <w:rPr>
          <w:spacing w:val="-20"/>
        </w:rPr>
        <w:t> </w:t>
      </w:r>
      <w:r>
        <w:rPr/>
        <w:t>Academy</w:t>
      </w:r>
      <w:r>
        <w:rPr>
          <w:spacing w:val="-8"/>
        </w:rPr>
        <w:t> </w:t>
      </w:r>
      <w:r>
        <w:rPr/>
        <w:t>of</w:t>
      </w:r>
      <w:r>
        <w:rPr>
          <w:spacing w:val="-5"/>
        </w:rPr>
        <w:t> </w:t>
      </w:r>
      <w:r>
        <w:rPr/>
        <w:t>Child</w:t>
      </w:r>
      <w:r>
        <w:rPr>
          <w:spacing w:val="-4"/>
        </w:rPr>
        <w:t> </w:t>
      </w:r>
      <w:r>
        <w:rPr/>
        <w:t>and</w:t>
      </w:r>
      <w:r>
        <w:rPr>
          <w:spacing w:val="-18"/>
        </w:rPr>
        <w:t> </w:t>
      </w:r>
      <w:r>
        <w:rPr/>
        <w:t>Adolescent</w:t>
      </w:r>
      <w:r>
        <w:rPr>
          <w:spacing w:val="-4"/>
        </w:rPr>
        <w:t> </w:t>
      </w:r>
      <w:r>
        <w:rPr/>
        <w:t>Psychiatry.</w:t>
      </w:r>
      <w:r>
        <w:rPr>
          <w:spacing w:val="-4"/>
        </w:rPr>
        <w:t> </w:t>
      </w:r>
      <w:r>
        <w:rPr/>
        <w:t>Conversion</w:t>
      </w:r>
      <w:r>
        <w:rPr>
          <w:spacing w:val="-10"/>
        </w:rPr>
        <w:t> </w:t>
      </w:r>
      <w:r>
        <w:rPr>
          <w:spacing w:val="-2"/>
        </w:rPr>
        <w:t>Therapy.</w:t>
      </w:r>
    </w:p>
    <w:p>
      <w:pPr>
        <w:pStyle w:val="BodyText"/>
        <w:spacing w:line="320" w:lineRule="exact"/>
        <w:ind w:left="640"/>
      </w:pPr>
      <w:r>
        <w:rPr>
          <w:spacing w:val="-2"/>
        </w:rPr>
        <w:t>2018.</w:t>
      </w:r>
      <w:r>
        <w:rPr>
          <w:spacing w:val="25"/>
        </w:rPr>
        <w:t> </w:t>
      </w:r>
      <w:r>
        <w:rPr>
          <w:spacing w:val="-2"/>
        </w:rPr>
        <w:t>https://</w:t>
      </w:r>
      <w:hyperlink r:id="rId95">
        <w:r>
          <w:rPr>
            <w:spacing w:val="-2"/>
          </w:rPr>
          <w:t>www.aacap.org/aacap/Policy_Stateme</w:t>
        </w:r>
      </w:hyperlink>
      <w:r>
        <w:rPr>
          <w:spacing w:val="27"/>
        </w:rPr>
        <w:t> </w:t>
      </w:r>
      <w:r>
        <w:rPr>
          <w:spacing w:val="-2"/>
        </w:rPr>
        <w:t>nts/2018/</w:t>
      </w:r>
    </w:p>
    <w:p>
      <w:pPr>
        <w:pStyle w:val="BodyText"/>
        <w:spacing w:line="321" w:lineRule="exact"/>
        <w:ind w:left="640"/>
      </w:pPr>
      <w:r>
        <w:rPr/>
        <w:t>Conversion_Therapy.aspx.</w:t>
      </w:r>
      <w:r>
        <w:rPr>
          <w:spacing w:val="-20"/>
        </w:rPr>
        <w:t> </w:t>
      </w:r>
      <w:r>
        <w:rPr/>
        <w:t>Accessed</w:t>
      </w:r>
      <w:r>
        <w:rPr>
          <w:spacing w:val="-13"/>
        </w:rPr>
        <w:t> </w:t>
      </w:r>
      <w:r>
        <w:rPr/>
        <w:t>February</w:t>
      </w:r>
      <w:r>
        <w:rPr>
          <w:spacing w:val="-8"/>
        </w:rPr>
        <w:t> </w:t>
      </w:r>
      <w:r>
        <w:rPr/>
        <w:t>13,</w:t>
      </w:r>
      <w:r>
        <w:rPr>
          <w:spacing w:val="-8"/>
        </w:rPr>
        <w:t> </w:t>
      </w:r>
      <w:r>
        <w:rPr>
          <w:spacing w:val="-2"/>
        </w:rPr>
        <w:t>2022.</w:t>
      </w:r>
    </w:p>
    <w:p>
      <w:pPr>
        <w:pStyle w:val="BodyText"/>
        <w:spacing w:before="2"/>
        <w:rPr>
          <w:sz w:val="26"/>
        </w:rPr>
      </w:pPr>
    </w:p>
    <w:p>
      <w:pPr>
        <w:pStyle w:val="BodyText"/>
        <w:ind w:left="640" w:right="502" w:hanging="360"/>
      </w:pPr>
      <w:r>
        <w:rPr/>
        <w:t>Eisenberg</w:t>
      </w:r>
      <w:r>
        <w:rPr>
          <w:spacing w:val="-5"/>
        </w:rPr>
        <w:t> </w:t>
      </w:r>
      <w:r>
        <w:rPr/>
        <w:t>ME,</w:t>
      </w:r>
      <w:r>
        <w:rPr>
          <w:spacing w:val="-4"/>
        </w:rPr>
        <w:t> </w:t>
      </w:r>
      <w:r>
        <w:rPr/>
        <w:t>Gower</w:t>
      </w:r>
      <w:r>
        <w:rPr>
          <w:spacing w:val="-18"/>
        </w:rPr>
        <w:t> </w:t>
      </w:r>
      <w:r>
        <w:rPr/>
        <w:t>AL,</w:t>
      </w:r>
      <w:r>
        <w:rPr>
          <w:spacing w:val="-3"/>
        </w:rPr>
        <w:t> </w:t>
      </w:r>
      <w:r>
        <w:rPr/>
        <w:t>McMorris</w:t>
      </w:r>
      <w:r>
        <w:rPr>
          <w:spacing w:val="-4"/>
        </w:rPr>
        <w:t> </w:t>
      </w:r>
      <w:r>
        <w:rPr/>
        <w:t>BJ,</w:t>
      </w:r>
      <w:r>
        <w:rPr>
          <w:spacing w:val="-4"/>
        </w:rPr>
        <w:t> </w:t>
      </w:r>
      <w:r>
        <w:rPr/>
        <w:t>et</w:t>
      </w:r>
      <w:r>
        <w:rPr>
          <w:spacing w:val="-4"/>
        </w:rPr>
        <w:t> </w:t>
      </w:r>
      <w:r>
        <w:rPr/>
        <w:t>al.</w:t>
      </w:r>
      <w:r>
        <w:rPr>
          <w:spacing w:val="-4"/>
        </w:rPr>
        <w:t> </w:t>
      </w:r>
      <w:r>
        <w:rPr/>
        <w:t>Risk</w:t>
      </w:r>
      <w:r>
        <w:rPr>
          <w:spacing w:val="-4"/>
        </w:rPr>
        <w:t> </w:t>
      </w:r>
      <w:r>
        <w:rPr/>
        <w:t>and</w:t>
      </w:r>
      <w:r>
        <w:rPr>
          <w:spacing w:val="-4"/>
        </w:rPr>
        <w:t> </w:t>
      </w:r>
      <w:r>
        <w:rPr/>
        <w:t>protective</w:t>
      </w:r>
      <w:r>
        <w:rPr>
          <w:spacing w:val="-5"/>
        </w:rPr>
        <w:t> </w:t>
      </w:r>
      <w:r>
        <w:rPr/>
        <w:t>factors</w:t>
      </w:r>
      <w:r>
        <w:rPr>
          <w:spacing w:val="-4"/>
        </w:rPr>
        <w:t> </w:t>
      </w:r>
      <w:r>
        <w:rPr/>
        <w:t>in the lives of transgender/gender nonconforming adolescents. </w:t>
      </w:r>
      <w:r>
        <w:rPr>
          <w:i/>
        </w:rPr>
        <w:t>J Adolesc</w:t>
      </w:r>
      <w:r>
        <w:rPr>
          <w:i/>
        </w:rPr>
        <w:t> Health. </w:t>
      </w:r>
      <w:r>
        <w:rPr/>
        <w:t>2017;614:521526. doi:10.1016/j.jadohealth.2017.04.014</w:t>
      </w:r>
    </w:p>
    <w:p>
      <w:pPr>
        <w:pStyle w:val="BodyText"/>
        <w:spacing w:before="10"/>
        <w:rPr>
          <w:sz w:val="25"/>
        </w:rPr>
      </w:pPr>
    </w:p>
    <w:p>
      <w:pPr>
        <w:pStyle w:val="BodyText"/>
        <w:ind w:left="640" w:right="515" w:hanging="360"/>
      </w:pPr>
      <w:r>
        <w:rPr/>
        <w:t>Porta CM, Gower</w:t>
      </w:r>
      <w:r>
        <w:rPr>
          <w:spacing w:val="-8"/>
        </w:rPr>
        <w:t> </w:t>
      </w:r>
      <w:r>
        <w:rPr/>
        <w:t>AL, Brown C, Wood B, Eisenberg ME. Perceptions of sexual</w:t>
      </w:r>
      <w:r>
        <w:rPr>
          <w:spacing w:val="-5"/>
        </w:rPr>
        <w:t> </w:t>
      </w:r>
      <w:r>
        <w:rPr/>
        <w:t>orientation</w:t>
      </w:r>
      <w:r>
        <w:rPr>
          <w:spacing w:val="-5"/>
        </w:rPr>
        <w:t> </w:t>
      </w:r>
      <w:r>
        <w:rPr/>
        <w:t>and</w:t>
      </w:r>
      <w:r>
        <w:rPr>
          <w:spacing w:val="-5"/>
        </w:rPr>
        <w:t> </w:t>
      </w:r>
      <w:r>
        <w:rPr/>
        <w:t>gender</w:t>
      </w:r>
      <w:r>
        <w:rPr>
          <w:spacing w:val="-5"/>
        </w:rPr>
        <w:t> </w:t>
      </w:r>
      <w:r>
        <w:rPr/>
        <w:t>identity</w:t>
      </w:r>
      <w:r>
        <w:rPr>
          <w:spacing w:val="-5"/>
        </w:rPr>
        <w:t> </w:t>
      </w:r>
      <w:r>
        <w:rPr/>
        <w:t>minority</w:t>
      </w:r>
      <w:r>
        <w:rPr>
          <w:spacing w:val="-5"/>
        </w:rPr>
        <w:t> </w:t>
      </w:r>
      <w:r>
        <w:rPr/>
        <w:t>adolescents</w:t>
      </w:r>
      <w:r>
        <w:rPr>
          <w:spacing w:val="-5"/>
        </w:rPr>
        <w:t> </w:t>
      </w:r>
      <w:r>
        <w:rPr/>
        <w:t>about</w:t>
      </w:r>
      <w:r>
        <w:rPr>
          <w:spacing w:val="-5"/>
        </w:rPr>
        <w:t> </w:t>
      </w:r>
      <w:r>
        <w:rPr/>
        <w:t>labels. </w:t>
      </w:r>
      <w:r>
        <w:rPr>
          <w:i/>
        </w:rPr>
        <w:t>Western J Nurs Res. </w:t>
      </w:r>
      <w:r>
        <w:rPr/>
        <w:t>2020;42(2), 81–89. </w:t>
      </w:r>
      <w:r>
        <w:rPr>
          <w:color w:val="0F0F0F"/>
        </w:rPr>
        <w:t>https://doi.org/ </w:t>
      </w:r>
      <w:r>
        <w:rPr>
          <w:color w:val="0F0F0F"/>
          <w:spacing w:val="-2"/>
        </w:rPr>
        <w:t>10.1177/0193945919838618</w:t>
      </w:r>
    </w:p>
    <w:p>
      <w:pPr>
        <w:pStyle w:val="BodyText"/>
        <w:spacing w:before="7"/>
        <w:rPr>
          <w:sz w:val="25"/>
        </w:rPr>
      </w:pPr>
    </w:p>
    <w:p>
      <w:pPr>
        <w:pStyle w:val="BodyText"/>
        <w:spacing w:before="1"/>
        <w:ind w:left="640" w:right="703" w:hanging="360"/>
      </w:pPr>
      <w:r>
        <w:rPr/>
        <w:t>Watson RJ,</w:t>
      </w:r>
      <w:r>
        <w:rPr>
          <w:spacing w:val="-6"/>
        </w:rPr>
        <w:t> </w:t>
      </w:r>
      <w:r>
        <w:rPr/>
        <w:t>Wheldon CW, Puhl RM. Evidence</w:t>
      </w:r>
      <w:r>
        <w:rPr>
          <w:spacing w:val="-1"/>
        </w:rPr>
        <w:t> </w:t>
      </w:r>
      <w:r>
        <w:rPr/>
        <w:t>of diverse</w:t>
      </w:r>
      <w:r>
        <w:rPr>
          <w:spacing w:val="-1"/>
        </w:rPr>
        <w:t> </w:t>
      </w:r>
      <w:r>
        <w:rPr/>
        <w:t>identities in a</w:t>
      </w:r>
      <w:r>
        <w:rPr>
          <w:spacing w:val="-1"/>
        </w:rPr>
        <w:t> </w:t>
      </w:r>
      <w:r>
        <w:rPr/>
        <w:t>large national</w:t>
      </w:r>
      <w:r>
        <w:rPr>
          <w:spacing w:val="-4"/>
        </w:rPr>
        <w:t> </w:t>
      </w:r>
      <w:r>
        <w:rPr/>
        <w:t>sample</w:t>
      </w:r>
      <w:r>
        <w:rPr>
          <w:spacing w:val="-5"/>
        </w:rPr>
        <w:t> </w:t>
      </w:r>
      <w:r>
        <w:rPr/>
        <w:t>of</w:t>
      </w:r>
      <w:r>
        <w:rPr>
          <w:spacing w:val="-4"/>
        </w:rPr>
        <w:t> </w:t>
      </w:r>
      <w:r>
        <w:rPr/>
        <w:t>sexual</w:t>
      </w:r>
      <w:r>
        <w:rPr>
          <w:spacing w:val="-4"/>
        </w:rPr>
        <w:t> </w:t>
      </w:r>
      <w:r>
        <w:rPr/>
        <w:t>and</w:t>
      </w:r>
      <w:r>
        <w:rPr>
          <w:spacing w:val="-4"/>
        </w:rPr>
        <w:t> </w:t>
      </w:r>
      <w:r>
        <w:rPr/>
        <w:t>gender</w:t>
      </w:r>
      <w:r>
        <w:rPr>
          <w:spacing w:val="-4"/>
        </w:rPr>
        <w:t> </w:t>
      </w:r>
      <w:r>
        <w:rPr/>
        <w:t>minority</w:t>
      </w:r>
      <w:r>
        <w:rPr>
          <w:spacing w:val="-4"/>
        </w:rPr>
        <w:t> </w:t>
      </w:r>
      <w:r>
        <w:rPr/>
        <w:t>adolescents.</w:t>
      </w:r>
      <w:r>
        <w:rPr>
          <w:spacing w:val="-5"/>
        </w:rPr>
        <w:t> </w:t>
      </w:r>
      <w:r>
        <w:rPr>
          <w:i/>
        </w:rPr>
        <w:t>J</w:t>
      </w:r>
      <w:r>
        <w:rPr>
          <w:i/>
          <w:spacing w:val="-5"/>
        </w:rPr>
        <w:t> </w:t>
      </w:r>
      <w:r>
        <w:rPr>
          <w:i/>
        </w:rPr>
        <w:t>Res</w:t>
      </w:r>
      <w:r>
        <w:rPr>
          <w:i/>
          <w:spacing w:val="-10"/>
        </w:rPr>
        <w:t> </w:t>
      </w:r>
      <w:r>
        <w:rPr>
          <w:i/>
        </w:rPr>
        <w:t>Adolesc</w:t>
      </w:r>
      <w:r>
        <w:rPr/>
        <w:t>. 2019;30(S2):431-442. https://doi.org/10.1111/jora.12488</w:t>
      </w:r>
    </w:p>
    <w:p>
      <w:pPr>
        <w:spacing w:after="0"/>
        <w:sectPr>
          <w:pgSz w:w="12240" w:h="15840"/>
          <w:pgMar w:header="0" w:footer="783" w:top="1580" w:bottom="980" w:left="1400" w:right="1180"/>
        </w:sectPr>
      </w:pPr>
    </w:p>
    <w:p>
      <w:pPr>
        <w:pStyle w:val="BodyText"/>
        <w:spacing w:before="66"/>
        <w:ind w:left="640" w:right="499" w:hanging="360"/>
      </w:pPr>
      <w:r>
        <w:rPr/>
        <w:t>White</w:t>
      </w:r>
      <w:r>
        <w:rPr>
          <w:spacing w:val="-6"/>
        </w:rPr>
        <w:t> </w:t>
      </w:r>
      <w:r>
        <w:rPr/>
        <w:t>AE, Moeller J, Ivcevic Z, Brackett MA. Gender identity and sexual identity</w:t>
      </w:r>
      <w:r>
        <w:rPr>
          <w:spacing w:val="-7"/>
        </w:rPr>
        <w:t> </w:t>
      </w:r>
      <w:r>
        <w:rPr/>
        <w:t>labels</w:t>
      </w:r>
      <w:r>
        <w:rPr>
          <w:spacing w:val="-4"/>
        </w:rPr>
        <w:t> </w:t>
      </w:r>
      <w:r>
        <w:rPr/>
        <w:t>used</w:t>
      </w:r>
      <w:r>
        <w:rPr>
          <w:spacing w:val="-4"/>
        </w:rPr>
        <w:t> </w:t>
      </w:r>
      <w:r>
        <w:rPr/>
        <w:t>by</w:t>
      </w:r>
      <w:r>
        <w:rPr>
          <w:spacing w:val="-4"/>
        </w:rPr>
        <w:t> </w:t>
      </w:r>
      <w:r>
        <w:rPr/>
        <w:t>US</w:t>
      </w:r>
      <w:r>
        <w:rPr>
          <w:spacing w:val="-4"/>
        </w:rPr>
        <w:t> </w:t>
      </w:r>
      <w:r>
        <w:rPr/>
        <w:t>high</w:t>
      </w:r>
      <w:r>
        <w:rPr>
          <w:spacing w:val="-4"/>
        </w:rPr>
        <w:t> </w:t>
      </w:r>
      <w:r>
        <w:rPr/>
        <w:t>school</w:t>
      </w:r>
      <w:r>
        <w:rPr>
          <w:spacing w:val="-4"/>
        </w:rPr>
        <w:t> </w:t>
      </w:r>
      <w:r>
        <w:rPr/>
        <w:t>students:</w:t>
      </w:r>
      <w:r>
        <w:rPr>
          <w:spacing w:val="-18"/>
        </w:rPr>
        <w:t> </w:t>
      </w:r>
      <w:r>
        <w:rPr/>
        <w:t>A</w:t>
      </w:r>
      <w:r>
        <w:rPr>
          <w:spacing w:val="-17"/>
        </w:rPr>
        <w:t> </w:t>
      </w:r>
      <w:r>
        <w:rPr/>
        <w:t>co-occurrence</w:t>
      </w:r>
      <w:r>
        <w:rPr>
          <w:spacing w:val="-5"/>
        </w:rPr>
        <w:t> </w:t>
      </w:r>
      <w:r>
        <w:rPr/>
        <w:t>network analysis. </w:t>
      </w:r>
      <w:r>
        <w:rPr>
          <w:i/>
        </w:rPr>
        <w:t>Psychol Sex Orientat Gend Divers</w:t>
      </w:r>
      <w:r>
        <w:rPr/>
        <w:t>. 2018;5(2):243-252. https:// </w:t>
      </w:r>
      <w:r>
        <w:rPr>
          <w:spacing w:val="-2"/>
        </w:rPr>
        <w:t>doi.org/10.1037/sgd0000266</w:t>
      </w:r>
    </w:p>
    <w:p>
      <w:pPr>
        <w:pStyle w:val="BodyText"/>
        <w:spacing w:before="7"/>
        <w:rPr>
          <w:sz w:val="25"/>
        </w:rPr>
      </w:pPr>
    </w:p>
    <w:p>
      <w:pPr>
        <w:pStyle w:val="BodyText"/>
        <w:ind w:left="640" w:right="515" w:hanging="360"/>
      </w:pPr>
      <w:r>
        <w:rPr/>
        <w:t>Lunn</w:t>
      </w:r>
      <w:r>
        <w:rPr>
          <w:spacing w:val="-5"/>
        </w:rPr>
        <w:t> </w:t>
      </w:r>
      <w:r>
        <w:rPr/>
        <w:t>MR,</w:t>
      </w:r>
      <w:r>
        <w:rPr>
          <w:spacing w:val="-5"/>
        </w:rPr>
        <w:t> </w:t>
      </w:r>
      <w:r>
        <w:rPr/>
        <w:t>Obedin-Maliver</w:t>
      </w:r>
      <w:r>
        <w:rPr>
          <w:spacing w:val="-5"/>
        </w:rPr>
        <w:t> </w:t>
      </w:r>
      <w:r>
        <w:rPr/>
        <w:t>J,</w:t>
      </w:r>
      <w:r>
        <w:rPr>
          <w:spacing w:val="-5"/>
        </w:rPr>
        <w:t> </w:t>
      </w:r>
      <w:r>
        <w:rPr/>
        <w:t>Bibbins-Domingo</w:t>
      </w:r>
      <w:r>
        <w:rPr>
          <w:spacing w:val="-5"/>
        </w:rPr>
        <w:t> </w:t>
      </w:r>
      <w:r>
        <w:rPr/>
        <w:t>K.</w:t>
      </w:r>
      <w:r>
        <w:rPr>
          <w:spacing w:val="-5"/>
        </w:rPr>
        <w:t> </w:t>
      </w:r>
      <w:r>
        <w:rPr/>
        <w:t>Estimating</w:t>
      </w:r>
      <w:r>
        <w:rPr>
          <w:spacing w:val="-5"/>
        </w:rPr>
        <w:t> </w:t>
      </w:r>
      <w:r>
        <w:rPr/>
        <w:t>the</w:t>
      </w:r>
      <w:r>
        <w:rPr>
          <w:spacing w:val="-6"/>
        </w:rPr>
        <w:t> </w:t>
      </w:r>
      <w:r>
        <w:rPr/>
        <w:t>prevalence of sexual minority adolescents. </w:t>
      </w:r>
      <w:r>
        <w:rPr>
          <w:i/>
        </w:rPr>
        <w:t>JAMA </w:t>
      </w:r>
      <w:r>
        <w:rPr/>
        <w:t>2017; 317(16):1691-1692. https:// </w:t>
      </w:r>
      <w:r>
        <w:rPr>
          <w:spacing w:val="-2"/>
        </w:rPr>
        <w:t>doi.org/10.1001/jama.2017.2918</w:t>
      </w:r>
    </w:p>
    <w:p>
      <w:pPr>
        <w:pStyle w:val="BodyText"/>
        <w:spacing w:before="10"/>
        <w:rPr>
          <w:sz w:val="25"/>
        </w:rPr>
      </w:pPr>
    </w:p>
    <w:p>
      <w:pPr>
        <w:pStyle w:val="BodyText"/>
        <w:ind w:left="640" w:right="776" w:hanging="360"/>
      </w:pPr>
      <w:r>
        <w:rPr/>
        <w:t>Conron KJ. LGBT</w:t>
      </w:r>
      <w:r>
        <w:rPr>
          <w:spacing w:val="-7"/>
        </w:rPr>
        <w:t> </w:t>
      </w:r>
      <w:r>
        <w:rPr/>
        <w:t>Youth Population in the United States. The Williams Institute, UCLA; 2020. Accessed February 13, 2022. https:// </w:t>
      </w:r>
      <w:r>
        <w:rPr>
          <w:spacing w:val="-2"/>
        </w:rPr>
        <w:t>williamsinstitute.law.ucla.edu/wp-content/uploads/LGBT-Youth-US-Pop- Sep2020.pdf</w:t>
      </w:r>
    </w:p>
    <w:p>
      <w:pPr>
        <w:pStyle w:val="BodyText"/>
        <w:spacing w:before="8"/>
        <w:rPr>
          <w:sz w:val="25"/>
        </w:rPr>
      </w:pPr>
    </w:p>
    <w:p>
      <w:pPr>
        <w:pStyle w:val="BodyText"/>
        <w:ind w:left="640" w:right="645" w:hanging="360"/>
      </w:pPr>
      <w:r>
        <w:rPr/>
        <w:t>U.S.</w:t>
      </w:r>
      <w:r>
        <w:rPr>
          <w:spacing w:val="-12"/>
        </w:rPr>
        <w:t> </w:t>
      </w:r>
      <w:r>
        <w:rPr/>
        <w:t>Census.</w:t>
      </w:r>
      <w:r>
        <w:rPr>
          <w:spacing w:val="-12"/>
        </w:rPr>
        <w:t> </w:t>
      </w:r>
      <w:r>
        <w:rPr/>
        <w:t>2020</w:t>
      </w:r>
      <w:r>
        <w:rPr>
          <w:spacing w:val="-12"/>
        </w:rPr>
        <w:t> </w:t>
      </w:r>
      <w:r>
        <w:rPr/>
        <w:t>Census</w:t>
      </w:r>
      <w:r>
        <w:rPr>
          <w:spacing w:val="-12"/>
        </w:rPr>
        <w:t> </w:t>
      </w:r>
      <w:r>
        <w:rPr/>
        <w:t>Results.</w:t>
      </w:r>
      <w:r>
        <w:rPr>
          <w:spacing w:val="-12"/>
        </w:rPr>
        <w:t> </w:t>
      </w:r>
      <w:r>
        <w:rPr/>
        <w:t>https://</w:t>
      </w:r>
      <w:hyperlink r:id="rId96">
        <w:r>
          <w:rPr/>
          <w:t>www.census.gov/programssurveys/</w:t>
        </w:r>
      </w:hyperlink>
      <w:r>
        <w:rPr/>
        <w:t> </w:t>
      </w:r>
      <w:r>
        <w:rPr>
          <w:spacing w:val="-2"/>
        </w:rPr>
        <w:t>decennial-census/decade/2020/2020census-results.html</w:t>
      </w:r>
    </w:p>
    <w:p>
      <w:pPr>
        <w:pStyle w:val="BodyText"/>
        <w:rPr>
          <w:sz w:val="26"/>
        </w:rPr>
      </w:pPr>
    </w:p>
    <w:p>
      <w:pPr>
        <w:pStyle w:val="BodyText"/>
        <w:ind w:left="640" w:right="502" w:hanging="360"/>
      </w:pPr>
      <w:r>
        <w:rPr/>
        <w:t>Dunlap</w:t>
      </w:r>
      <w:r>
        <w:rPr>
          <w:spacing w:val="-18"/>
        </w:rPr>
        <w:t> </w:t>
      </w:r>
      <w:r>
        <w:rPr/>
        <w:t>A.</w:t>
      </w:r>
      <w:r>
        <w:rPr>
          <w:spacing w:val="-3"/>
        </w:rPr>
        <w:t> </w:t>
      </w:r>
      <w:r>
        <w:rPr/>
        <w:t>Changes</w:t>
      </w:r>
      <w:r>
        <w:rPr>
          <w:spacing w:val="-3"/>
        </w:rPr>
        <w:t> </w:t>
      </w:r>
      <w:r>
        <w:rPr/>
        <w:t>in</w:t>
      </w:r>
      <w:r>
        <w:rPr>
          <w:spacing w:val="-3"/>
        </w:rPr>
        <w:t> </w:t>
      </w:r>
      <w:r>
        <w:rPr/>
        <w:t>coming</w:t>
      </w:r>
      <w:r>
        <w:rPr>
          <w:spacing w:val="-3"/>
        </w:rPr>
        <w:t> </w:t>
      </w:r>
      <w:r>
        <w:rPr/>
        <w:t>out</w:t>
      </w:r>
      <w:r>
        <w:rPr>
          <w:spacing w:val="-3"/>
        </w:rPr>
        <w:t> </w:t>
      </w:r>
      <w:r>
        <w:rPr/>
        <w:t>milestones</w:t>
      </w:r>
      <w:r>
        <w:rPr>
          <w:spacing w:val="-3"/>
        </w:rPr>
        <w:t> </w:t>
      </w:r>
      <w:r>
        <w:rPr/>
        <w:t>across</w:t>
      </w:r>
      <w:r>
        <w:rPr>
          <w:spacing w:val="-3"/>
        </w:rPr>
        <w:t> </w:t>
      </w:r>
      <w:r>
        <w:rPr/>
        <w:t>five</w:t>
      </w:r>
      <w:r>
        <w:rPr>
          <w:spacing w:val="-4"/>
        </w:rPr>
        <w:t> </w:t>
      </w:r>
      <w:r>
        <w:rPr/>
        <w:t>age</w:t>
      </w:r>
      <w:r>
        <w:rPr>
          <w:spacing w:val="-4"/>
        </w:rPr>
        <w:t> </w:t>
      </w:r>
      <w:r>
        <w:rPr/>
        <w:t>cohorts.</w:t>
      </w:r>
      <w:r>
        <w:rPr>
          <w:spacing w:val="-4"/>
        </w:rPr>
        <w:t> </w:t>
      </w:r>
      <w:r>
        <w:rPr>
          <w:i/>
        </w:rPr>
        <w:t>J</w:t>
      </w:r>
      <w:r>
        <w:rPr>
          <w:i/>
          <w:spacing w:val="-4"/>
        </w:rPr>
        <w:t> </w:t>
      </w:r>
      <w:r>
        <w:rPr>
          <w:i/>
        </w:rPr>
        <w:t>Gay</w:t>
      </w:r>
      <w:r>
        <w:rPr>
          <w:i/>
        </w:rPr>
        <w:t> Lesbian Soc Serv. </w:t>
      </w:r>
      <w:r>
        <w:rPr/>
        <w:t>2016;28(1):20-38. https://doi.org/ 10.1080/10538720.2016.11243 51</w:t>
      </w:r>
    </w:p>
    <w:p>
      <w:pPr>
        <w:pStyle w:val="BodyText"/>
        <w:spacing w:before="9"/>
        <w:rPr>
          <w:sz w:val="25"/>
        </w:rPr>
      </w:pPr>
    </w:p>
    <w:p>
      <w:pPr>
        <w:pStyle w:val="BodyText"/>
        <w:ind w:left="640" w:right="713" w:hanging="360"/>
      </w:pPr>
      <w:r>
        <w:rPr/>
        <w:t>Haltom TM, Ratcliff S. Effects of sex, race, and education on the timing of coming out among lesbian, gay, and bisexual adults in the U.S. </w:t>
      </w:r>
      <w:r>
        <w:rPr>
          <w:i/>
        </w:rPr>
        <w:t>Arch Sex</w:t>
      </w:r>
      <w:r>
        <w:rPr>
          <w:i/>
        </w:rPr>
        <w:t> Behav</w:t>
      </w:r>
      <w:r>
        <w:rPr/>
        <w:t>.</w:t>
      </w:r>
      <w:r>
        <w:rPr>
          <w:spacing w:val="-18"/>
        </w:rPr>
        <w:t> </w:t>
      </w:r>
      <w:r>
        <w:rPr/>
        <w:t>2021;50(3):11071120.</w:t>
      </w:r>
      <w:r>
        <w:rPr>
          <w:spacing w:val="-17"/>
        </w:rPr>
        <w:t> </w:t>
      </w:r>
      <w:r>
        <w:rPr/>
        <w:t>https://doi.org/10.1007/s10508-02001776-x</w:t>
      </w:r>
    </w:p>
    <w:p>
      <w:pPr>
        <w:pStyle w:val="BodyText"/>
        <w:spacing w:before="10"/>
        <w:rPr>
          <w:sz w:val="25"/>
        </w:rPr>
      </w:pPr>
    </w:p>
    <w:p>
      <w:pPr>
        <w:pStyle w:val="BodyText"/>
        <w:ind w:left="640" w:right="590" w:hanging="360"/>
        <w:jc w:val="both"/>
      </w:pPr>
      <w:r>
        <w:rPr/>
        <w:t>Diamond</w:t>
      </w:r>
      <w:r>
        <w:rPr>
          <w:spacing w:val="-5"/>
        </w:rPr>
        <w:t> </w:t>
      </w:r>
      <w:r>
        <w:rPr/>
        <w:t>LM.</w:t>
      </w:r>
      <w:r>
        <w:rPr>
          <w:spacing w:val="-5"/>
        </w:rPr>
        <w:t> </w:t>
      </w:r>
      <w:r>
        <w:rPr/>
        <w:t>Careful</w:t>
      </w:r>
      <w:r>
        <w:rPr>
          <w:spacing w:val="-5"/>
        </w:rPr>
        <w:t> </w:t>
      </w:r>
      <w:r>
        <w:rPr/>
        <w:t>what</w:t>
      </w:r>
      <w:r>
        <w:rPr>
          <w:spacing w:val="-5"/>
        </w:rPr>
        <w:t> </w:t>
      </w:r>
      <w:r>
        <w:rPr/>
        <w:t>you</w:t>
      </w:r>
      <w:r>
        <w:rPr>
          <w:spacing w:val="-5"/>
        </w:rPr>
        <w:t> </w:t>
      </w:r>
      <w:r>
        <w:rPr/>
        <w:t>ask</w:t>
      </w:r>
      <w:r>
        <w:rPr>
          <w:spacing w:val="-5"/>
        </w:rPr>
        <w:t> </w:t>
      </w:r>
      <w:r>
        <w:rPr/>
        <w:t>for:</w:t>
      </w:r>
      <w:r>
        <w:rPr>
          <w:spacing w:val="-5"/>
        </w:rPr>
        <w:t> </w:t>
      </w:r>
      <w:r>
        <w:rPr/>
        <w:t>Reconsidering</w:t>
      </w:r>
      <w:r>
        <w:rPr>
          <w:spacing w:val="-5"/>
        </w:rPr>
        <w:t> </w:t>
      </w:r>
      <w:r>
        <w:rPr/>
        <w:t>feminist</w:t>
      </w:r>
      <w:r>
        <w:rPr>
          <w:spacing w:val="-5"/>
        </w:rPr>
        <w:t> </w:t>
      </w:r>
      <w:r>
        <w:rPr/>
        <w:t>epistemology and autobiographical narrative in research on sexual identity development. </w:t>
      </w:r>
      <w:r>
        <w:rPr>
          <w:i/>
        </w:rPr>
        <w:t>Signs (Chic)</w:t>
      </w:r>
      <w:r>
        <w:rPr/>
        <w:t>. 2006;31(2):471-492. https://doi.org/10.1086/491684</w:t>
      </w:r>
    </w:p>
    <w:p>
      <w:pPr>
        <w:pStyle w:val="BodyText"/>
        <w:spacing w:before="3"/>
        <w:rPr>
          <w:sz w:val="27"/>
        </w:rPr>
      </w:pPr>
    </w:p>
    <w:p>
      <w:pPr>
        <w:pStyle w:val="BodyText"/>
        <w:spacing w:before="1"/>
        <w:ind w:left="640" w:right="925" w:hanging="360"/>
      </w:pPr>
      <w:r>
        <w:rPr/>
        <w:t>Diamond LM. Female bisexuality from adolescence to adulthood: Results from</w:t>
      </w:r>
      <w:r>
        <w:rPr>
          <w:spacing w:val="-7"/>
        </w:rPr>
        <w:t> </w:t>
      </w:r>
      <w:r>
        <w:rPr/>
        <w:t>a</w:t>
      </w:r>
      <w:r>
        <w:rPr>
          <w:spacing w:val="-8"/>
        </w:rPr>
        <w:t> </w:t>
      </w:r>
      <w:r>
        <w:rPr/>
        <w:t>10year</w:t>
      </w:r>
      <w:r>
        <w:rPr>
          <w:spacing w:val="-7"/>
        </w:rPr>
        <w:t> </w:t>
      </w:r>
      <w:r>
        <w:rPr/>
        <w:t>longitudinal</w:t>
      </w:r>
      <w:r>
        <w:rPr>
          <w:spacing w:val="-7"/>
        </w:rPr>
        <w:t> </w:t>
      </w:r>
      <w:r>
        <w:rPr/>
        <w:t>study.</w:t>
      </w:r>
      <w:r>
        <w:rPr>
          <w:spacing w:val="-8"/>
        </w:rPr>
        <w:t> </w:t>
      </w:r>
      <w:r>
        <w:rPr>
          <w:i/>
        </w:rPr>
        <w:t>Dev</w:t>
      </w:r>
      <w:r>
        <w:rPr>
          <w:i/>
          <w:spacing w:val="-8"/>
        </w:rPr>
        <w:t> </w:t>
      </w:r>
      <w:r>
        <w:rPr>
          <w:i/>
        </w:rPr>
        <w:t>Psychol</w:t>
      </w:r>
      <w:r>
        <w:rPr/>
        <w:t>.</w:t>
      </w:r>
      <w:r>
        <w:rPr>
          <w:spacing w:val="-7"/>
        </w:rPr>
        <w:t> </w:t>
      </w:r>
      <w:r>
        <w:rPr/>
        <w:t>2008;44(1):5-14.</w:t>
      </w:r>
      <w:r>
        <w:rPr>
          <w:spacing w:val="-7"/>
        </w:rPr>
        <w:t> </w:t>
      </w:r>
      <w:r>
        <w:rPr/>
        <w:t>https:// </w:t>
      </w:r>
      <w:r>
        <w:rPr>
          <w:spacing w:val="-2"/>
        </w:rPr>
        <w:t>doi.org/10.1037/0012-1649.44.1.5</w:t>
      </w:r>
    </w:p>
    <w:p>
      <w:pPr>
        <w:pStyle w:val="BodyText"/>
        <w:spacing w:before="9"/>
        <w:rPr>
          <w:sz w:val="25"/>
        </w:rPr>
      </w:pPr>
    </w:p>
    <w:p>
      <w:pPr>
        <w:pStyle w:val="BodyText"/>
        <w:ind w:left="640" w:right="663" w:hanging="360"/>
        <w:jc w:val="both"/>
      </w:pPr>
      <w:r>
        <w:rPr/>
        <w:t>Savin-Williams</w:t>
      </w:r>
      <w:r>
        <w:rPr>
          <w:spacing w:val="-7"/>
        </w:rPr>
        <w:t> </w:t>
      </w:r>
      <w:r>
        <w:rPr/>
        <w:t>RC,</w:t>
      </w:r>
      <w:r>
        <w:rPr>
          <w:spacing w:val="-7"/>
        </w:rPr>
        <w:t> </w:t>
      </w:r>
      <w:r>
        <w:rPr/>
        <w:t>Diamond</w:t>
      </w:r>
      <w:r>
        <w:rPr>
          <w:spacing w:val="-7"/>
        </w:rPr>
        <w:t> </w:t>
      </w:r>
      <w:r>
        <w:rPr/>
        <w:t>LM.</w:t>
      </w:r>
      <w:r>
        <w:rPr>
          <w:spacing w:val="-7"/>
        </w:rPr>
        <w:t> </w:t>
      </w:r>
      <w:r>
        <w:rPr/>
        <w:t>Sexual</w:t>
      </w:r>
      <w:r>
        <w:rPr>
          <w:spacing w:val="-7"/>
        </w:rPr>
        <w:t> </w:t>
      </w:r>
      <w:r>
        <w:rPr/>
        <w:t>identity</w:t>
      </w:r>
      <w:r>
        <w:rPr>
          <w:spacing w:val="-7"/>
        </w:rPr>
        <w:t> </w:t>
      </w:r>
      <w:r>
        <w:rPr/>
        <w:t>trajectories</w:t>
      </w:r>
      <w:r>
        <w:rPr>
          <w:spacing w:val="-7"/>
        </w:rPr>
        <w:t> </w:t>
      </w:r>
      <w:r>
        <w:rPr/>
        <w:t>among</w:t>
      </w:r>
      <w:r>
        <w:rPr>
          <w:spacing w:val="-7"/>
        </w:rPr>
        <w:t> </w:t>
      </w:r>
      <w:r>
        <w:rPr/>
        <w:t>sexual- minority youths: gender comparisons. </w:t>
      </w:r>
      <w:r>
        <w:rPr>
          <w:i/>
        </w:rPr>
        <w:t>Arch Sex Behav</w:t>
      </w:r>
      <w:r>
        <w:rPr/>
        <w:t>.</w:t>
      </w:r>
    </w:p>
    <w:p>
      <w:pPr>
        <w:pStyle w:val="BodyText"/>
        <w:spacing w:line="318" w:lineRule="exact"/>
        <w:ind w:left="640"/>
      </w:pPr>
      <w:r>
        <w:rPr/>
        <w:t>2000;29(6):607-627. </w:t>
      </w:r>
      <w:r>
        <w:rPr>
          <w:spacing w:val="-2"/>
        </w:rPr>
        <w:t>https://doi.org/10.1023/a:1002058505138</w:t>
      </w:r>
    </w:p>
    <w:p>
      <w:pPr>
        <w:pStyle w:val="BodyText"/>
        <w:spacing w:before="2"/>
        <w:rPr>
          <w:sz w:val="26"/>
        </w:rPr>
      </w:pPr>
    </w:p>
    <w:p>
      <w:pPr>
        <w:pStyle w:val="BodyText"/>
        <w:ind w:left="640" w:right="766" w:hanging="360"/>
      </w:pPr>
      <w:r>
        <w:rPr/>
        <w:t>Dube EM, Savin-Williams RC. Sexual identity development among ethnic sexual-minority</w:t>
      </w:r>
      <w:r>
        <w:rPr>
          <w:spacing w:val="-6"/>
        </w:rPr>
        <w:t> </w:t>
      </w:r>
      <w:r>
        <w:rPr/>
        <w:t>male</w:t>
      </w:r>
      <w:r>
        <w:rPr>
          <w:spacing w:val="-7"/>
        </w:rPr>
        <w:t> </w:t>
      </w:r>
      <w:r>
        <w:rPr/>
        <w:t>youths.</w:t>
      </w:r>
      <w:r>
        <w:rPr>
          <w:spacing w:val="-7"/>
        </w:rPr>
        <w:t> </w:t>
      </w:r>
      <w:r>
        <w:rPr>
          <w:i/>
        </w:rPr>
        <w:t>Dev</w:t>
      </w:r>
      <w:r>
        <w:rPr>
          <w:i/>
          <w:spacing w:val="-7"/>
        </w:rPr>
        <w:t> </w:t>
      </w:r>
      <w:r>
        <w:rPr>
          <w:i/>
        </w:rPr>
        <w:t>Psychol</w:t>
      </w:r>
      <w:r>
        <w:rPr/>
        <w:t>.</w:t>
      </w:r>
      <w:r>
        <w:rPr>
          <w:spacing w:val="-6"/>
        </w:rPr>
        <w:t> </w:t>
      </w:r>
      <w:r>
        <w:rPr/>
        <w:t>1999;35(6):13891398.</w:t>
      </w:r>
      <w:r>
        <w:rPr>
          <w:spacing w:val="-6"/>
        </w:rPr>
        <w:t> </w:t>
      </w:r>
      <w:r>
        <w:rPr/>
        <w:t>https:// </w:t>
      </w:r>
      <w:r>
        <w:rPr>
          <w:spacing w:val="-2"/>
        </w:rPr>
        <w:t>doi.org/10.1037//00121649.35.6.1389</w:t>
      </w:r>
    </w:p>
    <w:p>
      <w:pPr>
        <w:spacing w:after="0"/>
        <w:sectPr>
          <w:pgSz w:w="12240" w:h="15840"/>
          <w:pgMar w:header="0" w:footer="783" w:top="1260" w:bottom="980" w:left="1400" w:right="1180"/>
        </w:sectPr>
      </w:pPr>
    </w:p>
    <w:p>
      <w:pPr>
        <w:pStyle w:val="BodyText"/>
        <w:spacing w:before="66"/>
        <w:ind w:left="640" w:right="502" w:hanging="360"/>
      </w:pPr>
      <w:r>
        <w:rPr/>
        <w:t>Horowitz</w:t>
      </w:r>
      <w:r>
        <w:rPr>
          <w:spacing w:val="-10"/>
        </w:rPr>
        <w:t> </w:t>
      </w:r>
      <w:r>
        <w:rPr/>
        <w:t>JL,</w:t>
      </w:r>
      <w:r>
        <w:rPr>
          <w:spacing w:val="-5"/>
        </w:rPr>
        <w:t> </w:t>
      </w:r>
      <w:r>
        <w:rPr/>
        <w:t>Newcomb</w:t>
      </w:r>
      <w:r>
        <w:rPr>
          <w:spacing w:val="-5"/>
        </w:rPr>
        <w:t> </w:t>
      </w:r>
      <w:r>
        <w:rPr/>
        <w:t>MD.</w:t>
      </w:r>
      <w:r>
        <w:rPr>
          <w:spacing w:val="-18"/>
        </w:rPr>
        <w:t> </w:t>
      </w:r>
      <w:r>
        <w:rPr/>
        <w:t>A</w:t>
      </w:r>
      <w:r>
        <w:rPr>
          <w:spacing w:val="-17"/>
        </w:rPr>
        <w:t> </w:t>
      </w:r>
      <w:r>
        <w:rPr/>
        <w:t>multidimensional</w:t>
      </w:r>
      <w:r>
        <w:rPr>
          <w:spacing w:val="-5"/>
        </w:rPr>
        <w:t> </w:t>
      </w:r>
      <w:r>
        <w:rPr/>
        <w:t>approach</w:t>
      </w:r>
      <w:r>
        <w:rPr>
          <w:spacing w:val="-5"/>
        </w:rPr>
        <w:t> </w:t>
      </w:r>
      <w:r>
        <w:rPr/>
        <w:t>to</w:t>
      </w:r>
      <w:r>
        <w:rPr>
          <w:spacing w:val="-5"/>
        </w:rPr>
        <w:t> </w:t>
      </w:r>
      <w:r>
        <w:rPr/>
        <w:t>homosexual identity. </w:t>
      </w:r>
      <w:r>
        <w:rPr>
          <w:i/>
        </w:rPr>
        <w:t>J Homose</w:t>
      </w:r>
      <w:r>
        <w:rPr/>
        <w:t>x. 2001;42(2):1-19. https://doi.org/10.1300/ </w:t>
      </w:r>
      <w:r>
        <w:rPr>
          <w:spacing w:val="-2"/>
        </w:rPr>
        <w:t>j082v42n02_01</w:t>
      </w:r>
    </w:p>
    <w:p>
      <w:pPr>
        <w:pStyle w:val="BodyText"/>
        <w:spacing w:before="9"/>
        <w:rPr>
          <w:sz w:val="25"/>
        </w:rPr>
      </w:pPr>
    </w:p>
    <w:p>
      <w:pPr>
        <w:spacing w:before="0"/>
        <w:ind w:left="640" w:right="502" w:hanging="360"/>
        <w:jc w:val="left"/>
        <w:rPr>
          <w:sz w:val="28"/>
        </w:rPr>
      </w:pPr>
      <w:r>
        <w:rPr>
          <w:sz w:val="28"/>
        </w:rPr>
        <w:t>Szprengiel K. Children coming out: the process of self-identification. In: Stewart</w:t>
      </w:r>
      <w:r>
        <w:rPr>
          <w:spacing w:val="-8"/>
          <w:sz w:val="28"/>
        </w:rPr>
        <w:t> </w:t>
      </w:r>
      <w:r>
        <w:rPr>
          <w:sz w:val="28"/>
        </w:rPr>
        <w:t>C</w:t>
      </w:r>
      <w:r>
        <w:rPr>
          <w:spacing w:val="-8"/>
          <w:sz w:val="28"/>
        </w:rPr>
        <w:t> </w:t>
      </w:r>
      <w:r>
        <w:rPr>
          <w:sz w:val="28"/>
        </w:rPr>
        <w:t>(ed.).</w:t>
      </w:r>
      <w:r>
        <w:rPr>
          <w:spacing w:val="-9"/>
          <w:sz w:val="28"/>
        </w:rPr>
        <w:t> </w:t>
      </w:r>
      <w:r>
        <w:rPr>
          <w:i/>
          <w:sz w:val="28"/>
        </w:rPr>
        <w:t>Lesbian,</w:t>
      </w:r>
      <w:r>
        <w:rPr>
          <w:i/>
          <w:spacing w:val="-8"/>
          <w:sz w:val="28"/>
        </w:rPr>
        <w:t> </w:t>
      </w:r>
      <w:r>
        <w:rPr>
          <w:i/>
          <w:sz w:val="28"/>
        </w:rPr>
        <w:t>Gay,</w:t>
      </w:r>
      <w:r>
        <w:rPr>
          <w:i/>
          <w:spacing w:val="-8"/>
          <w:sz w:val="28"/>
        </w:rPr>
        <w:t> </w:t>
      </w:r>
      <w:r>
        <w:rPr>
          <w:i/>
          <w:sz w:val="28"/>
        </w:rPr>
        <w:t>Bisexual,</w:t>
      </w:r>
      <w:r>
        <w:rPr>
          <w:i/>
          <w:spacing w:val="-8"/>
          <w:sz w:val="28"/>
        </w:rPr>
        <w:t> </w:t>
      </w:r>
      <w:r>
        <w:rPr>
          <w:i/>
          <w:sz w:val="28"/>
        </w:rPr>
        <w:t>and</w:t>
      </w:r>
      <w:r>
        <w:rPr>
          <w:i/>
          <w:spacing w:val="-8"/>
          <w:sz w:val="28"/>
        </w:rPr>
        <w:t> </w:t>
      </w:r>
      <w:r>
        <w:rPr>
          <w:i/>
          <w:sz w:val="28"/>
        </w:rPr>
        <w:t>Transgender</w:t>
      </w:r>
      <w:r>
        <w:rPr>
          <w:i/>
          <w:spacing w:val="-13"/>
          <w:sz w:val="28"/>
        </w:rPr>
        <w:t> </w:t>
      </w:r>
      <w:r>
        <w:rPr>
          <w:i/>
          <w:sz w:val="28"/>
        </w:rPr>
        <w:t>Americans</w:t>
      </w:r>
      <w:r>
        <w:rPr>
          <w:i/>
          <w:spacing w:val="-8"/>
          <w:sz w:val="28"/>
        </w:rPr>
        <w:t> </w:t>
      </w:r>
      <w:r>
        <w:rPr>
          <w:i/>
          <w:sz w:val="28"/>
        </w:rPr>
        <w:t>at</w:t>
      </w:r>
      <w:r>
        <w:rPr>
          <w:i/>
          <w:sz w:val="28"/>
        </w:rPr>
        <w:t> Risk: Problems and Solutions</w:t>
      </w:r>
      <w:r>
        <w:rPr>
          <w:sz w:val="28"/>
        </w:rPr>
        <w:t>. Praeger; 2018.</w:t>
      </w:r>
    </w:p>
    <w:p>
      <w:pPr>
        <w:pStyle w:val="BodyText"/>
        <w:spacing w:before="10"/>
        <w:rPr>
          <w:sz w:val="25"/>
        </w:rPr>
      </w:pPr>
    </w:p>
    <w:p>
      <w:pPr>
        <w:pStyle w:val="BodyText"/>
        <w:ind w:left="640" w:right="1101" w:hanging="360"/>
      </w:pPr>
      <w:r>
        <w:rPr/>
        <w:t>Han CS,</w:t>
      </w:r>
      <w:r>
        <w:rPr>
          <w:spacing w:val="-12"/>
        </w:rPr>
        <w:t> </w:t>
      </w:r>
      <w:r>
        <w:rPr/>
        <w:t>Ayala G, Paul JP, Choi KH.</w:t>
      </w:r>
      <w:r>
        <w:rPr>
          <w:spacing w:val="-2"/>
        </w:rPr>
        <w:t> </w:t>
      </w:r>
      <w:r>
        <w:rPr/>
        <w:t>West Hollywood is not that big on anything</w:t>
      </w:r>
      <w:r>
        <w:rPr>
          <w:spacing w:val="-4"/>
        </w:rPr>
        <w:t> </w:t>
      </w:r>
      <w:r>
        <w:rPr/>
        <w:t>but</w:t>
      </w:r>
      <w:r>
        <w:rPr>
          <w:spacing w:val="-4"/>
        </w:rPr>
        <w:t> </w:t>
      </w:r>
      <w:r>
        <w:rPr/>
        <w:t>white</w:t>
      </w:r>
      <w:r>
        <w:rPr>
          <w:spacing w:val="-5"/>
        </w:rPr>
        <w:t> </w:t>
      </w:r>
      <w:r>
        <w:rPr/>
        <w:t>people:</w:t>
      </w:r>
      <w:r>
        <w:rPr>
          <w:spacing w:val="-4"/>
        </w:rPr>
        <w:t> </w:t>
      </w:r>
      <w:r>
        <w:rPr/>
        <w:t>Constructing</w:t>
      </w:r>
      <w:r>
        <w:rPr>
          <w:spacing w:val="-4"/>
        </w:rPr>
        <w:t> </w:t>
      </w:r>
      <w:r>
        <w:rPr/>
        <w:t>“gay</w:t>
      </w:r>
      <w:r>
        <w:rPr>
          <w:spacing w:val="-4"/>
        </w:rPr>
        <w:t> </w:t>
      </w:r>
      <w:r>
        <w:rPr/>
        <w:t>men</w:t>
      </w:r>
      <w:r>
        <w:rPr>
          <w:spacing w:val="-4"/>
        </w:rPr>
        <w:t> </w:t>
      </w:r>
      <w:r>
        <w:rPr/>
        <w:t>of</w:t>
      </w:r>
      <w:r>
        <w:rPr>
          <w:spacing w:val="-4"/>
        </w:rPr>
        <w:t> </w:t>
      </w:r>
      <w:r>
        <w:rPr/>
        <w:t>color”.</w:t>
      </w:r>
      <w:r>
        <w:rPr>
          <w:spacing w:val="-5"/>
        </w:rPr>
        <w:t> </w:t>
      </w:r>
      <w:r>
        <w:rPr>
          <w:i/>
        </w:rPr>
        <w:t>Sociol</w:t>
      </w:r>
      <w:r>
        <w:rPr>
          <w:i/>
          <w:spacing w:val="-4"/>
        </w:rPr>
        <w:t> </w:t>
      </w:r>
      <w:r>
        <w:rPr>
          <w:i/>
        </w:rPr>
        <w:t>Q</w:t>
      </w:r>
      <w:r>
        <w:rPr/>
        <w:t>. 2017;58(4):721-737.</w:t>
      </w:r>
      <w:r>
        <w:rPr>
          <w:spacing w:val="-6"/>
        </w:rPr>
        <w:t> </w:t>
      </w:r>
      <w:r>
        <w:rPr/>
        <w:t>https://doi.org/10.1080/00380253.2017.1354</w:t>
      </w:r>
      <w:r>
        <w:rPr>
          <w:spacing w:val="-3"/>
        </w:rPr>
        <w:t> </w:t>
      </w:r>
      <w:r>
        <w:rPr>
          <w:spacing w:val="-5"/>
        </w:rPr>
        <w:t>734</w:t>
      </w:r>
    </w:p>
    <w:p>
      <w:pPr>
        <w:pStyle w:val="BodyText"/>
        <w:spacing w:before="9"/>
        <w:rPr>
          <w:sz w:val="25"/>
        </w:rPr>
      </w:pPr>
    </w:p>
    <w:p>
      <w:pPr>
        <w:pStyle w:val="BodyText"/>
        <w:spacing w:before="1"/>
        <w:ind w:left="640" w:right="502" w:hanging="360"/>
      </w:pPr>
      <w:r>
        <w:rPr/>
        <w:t>Toomey RB, Huynh VW, Jones SK, Lee S, Revels-Macalinao M. Sexual minority youth of color: a content analysis and critical review of the literature.</w:t>
      </w:r>
      <w:r>
        <w:rPr>
          <w:spacing w:val="-7"/>
        </w:rPr>
        <w:t> </w:t>
      </w:r>
      <w:r>
        <w:rPr>
          <w:i/>
        </w:rPr>
        <w:t>J</w:t>
      </w:r>
      <w:r>
        <w:rPr>
          <w:i/>
          <w:spacing w:val="-7"/>
        </w:rPr>
        <w:t> </w:t>
      </w:r>
      <w:r>
        <w:rPr>
          <w:i/>
        </w:rPr>
        <w:t>Gay</w:t>
      </w:r>
      <w:r>
        <w:rPr>
          <w:i/>
          <w:spacing w:val="-7"/>
        </w:rPr>
        <w:t> </w:t>
      </w:r>
      <w:r>
        <w:rPr>
          <w:i/>
        </w:rPr>
        <w:t>Lesbian</w:t>
      </w:r>
      <w:r>
        <w:rPr>
          <w:i/>
          <w:spacing w:val="-6"/>
        </w:rPr>
        <w:t> </w:t>
      </w:r>
      <w:r>
        <w:rPr>
          <w:i/>
        </w:rPr>
        <w:t>Ment</w:t>
      </w:r>
      <w:r>
        <w:rPr>
          <w:i/>
          <w:spacing w:val="-6"/>
        </w:rPr>
        <w:t> </w:t>
      </w:r>
      <w:r>
        <w:rPr>
          <w:i/>
        </w:rPr>
        <w:t>Health.</w:t>
      </w:r>
      <w:r>
        <w:rPr>
          <w:i/>
          <w:spacing w:val="-7"/>
        </w:rPr>
        <w:t> </w:t>
      </w:r>
      <w:r>
        <w:rPr/>
        <w:t>2017;21(1):3-31.</w:t>
      </w:r>
      <w:r>
        <w:rPr>
          <w:spacing w:val="-6"/>
        </w:rPr>
        <w:t> </w:t>
      </w:r>
      <w:r>
        <w:rPr/>
        <w:t>https://doi.org/ 10.1080/19359705.2016.1217 499</w:t>
      </w:r>
    </w:p>
    <w:p>
      <w:pPr>
        <w:pStyle w:val="BodyText"/>
        <w:spacing w:before="7"/>
        <w:rPr>
          <w:sz w:val="25"/>
        </w:rPr>
      </w:pPr>
    </w:p>
    <w:p>
      <w:pPr>
        <w:pStyle w:val="BodyText"/>
        <w:ind w:left="640" w:right="845" w:hanging="360"/>
      </w:pPr>
      <w:r>
        <w:rPr/>
        <w:t>Jamil OB, Harper GW, Fernandez MI.</w:t>
      </w:r>
      <w:r>
        <w:rPr>
          <w:spacing w:val="-11"/>
        </w:rPr>
        <w:t> </w:t>
      </w:r>
      <w:r>
        <w:rPr>
          <w:color w:val="2B2B2B"/>
        </w:rPr>
        <w:t>Adolescent Trials Network for HIV/ AIDS</w:t>
      </w:r>
      <w:r>
        <w:rPr>
          <w:color w:val="2B2B2B"/>
          <w:spacing w:val="-5"/>
        </w:rPr>
        <w:t> </w:t>
      </w:r>
      <w:r>
        <w:rPr>
          <w:color w:val="2B2B2B"/>
        </w:rPr>
        <w:t>Interventions.</w:t>
      </w:r>
      <w:r>
        <w:rPr>
          <w:color w:val="2B2B2B"/>
          <w:spacing w:val="-6"/>
        </w:rPr>
        <w:t> </w:t>
      </w:r>
      <w:r>
        <w:rPr/>
        <w:t>Sexual</w:t>
      </w:r>
      <w:r>
        <w:rPr>
          <w:spacing w:val="-5"/>
        </w:rPr>
        <w:t> </w:t>
      </w:r>
      <w:r>
        <w:rPr/>
        <w:t>and</w:t>
      </w:r>
      <w:r>
        <w:rPr>
          <w:spacing w:val="-5"/>
        </w:rPr>
        <w:t> </w:t>
      </w:r>
      <w:r>
        <w:rPr/>
        <w:t>ethnic</w:t>
      </w:r>
      <w:r>
        <w:rPr>
          <w:spacing w:val="-6"/>
        </w:rPr>
        <w:t> </w:t>
      </w:r>
      <w:r>
        <w:rPr/>
        <w:t>identity</w:t>
      </w:r>
      <w:r>
        <w:rPr>
          <w:spacing w:val="-5"/>
        </w:rPr>
        <w:t> </w:t>
      </w:r>
      <w:r>
        <w:rPr/>
        <w:t>development</w:t>
      </w:r>
      <w:r>
        <w:rPr>
          <w:spacing w:val="-5"/>
        </w:rPr>
        <w:t> </w:t>
      </w:r>
      <w:r>
        <w:rPr/>
        <w:t>among</w:t>
      </w:r>
      <w:r>
        <w:rPr>
          <w:spacing w:val="-5"/>
        </w:rPr>
        <w:t> </w:t>
      </w:r>
      <w:r>
        <w:rPr/>
        <w:t>gay- bisexual-questioning (GBQ) male ethnic minority adolescents. </w:t>
      </w:r>
      <w:r>
        <w:rPr>
          <w:i/>
        </w:rPr>
        <w:t>Cultur</w:t>
      </w:r>
      <w:r>
        <w:rPr>
          <w:i/>
        </w:rPr>
        <w:t> Divers Ethnic Minor Psychol</w:t>
      </w:r>
      <w:r>
        <w:rPr/>
        <w:t>. 2009;15(3):203-214. https://doi:10.1037/ </w:t>
      </w:r>
      <w:r>
        <w:rPr>
          <w:spacing w:val="-2"/>
        </w:rPr>
        <w:t>a0014795</w:t>
      </w:r>
    </w:p>
    <w:p>
      <w:pPr>
        <w:pStyle w:val="BodyText"/>
        <w:spacing w:before="6"/>
        <w:rPr>
          <w:sz w:val="25"/>
        </w:rPr>
      </w:pPr>
    </w:p>
    <w:p>
      <w:pPr>
        <w:pStyle w:val="BodyText"/>
        <w:ind w:left="640" w:right="502" w:hanging="360"/>
      </w:pPr>
      <w:r>
        <w:rPr/>
        <w:t>Mustanski</w:t>
      </w:r>
      <w:r>
        <w:rPr>
          <w:spacing w:val="-6"/>
        </w:rPr>
        <w:t> </w:t>
      </w:r>
      <w:r>
        <w:rPr/>
        <w:t>B,</w:t>
      </w:r>
      <w:r>
        <w:rPr>
          <w:spacing w:val="-6"/>
        </w:rPr>
        <w:t> </w:t>
      </w:r>
      <w:r>
        <w:rPr/>
        <w:t>Lyons</w:t>
      </w:r>
      <w:r>
        <w:rPr>
          <w:spacing w:val="-12"/>
        </w:rPr>
        <w:t> </w:t>
      </w:r>
      <w:r>
        <w:rPr/>
        <w:t>T,</w:t>
      </w:r>
      <w:r>
        <w:rPr>
          <w:spacing w:val="-6"/>
        </w:rPr>
        <w:t> </w:t>
      </w:r>
      <w:r>
        <w:rPr/>
        <w:t>Garcia</w:t>
      </w:r>
      <w:r>
        <w:rPr>
          <w:spacing w:val="-7"/>
        </w:rPr>
        <w:t> </w:t>
      </w:r>
      <w:r>
        <w:rPr/>
        <w:t>SC.</w:t>
      </w:r>
      <w:r>
        <w:rPr>
          <w:spacing w:val="-6"/>
        </w:rPr>
        <w:t> </w:t>
      </w:r>
      <w:r>
        <w:rPr/>
        <w:t>Internet</w:t>
      </w:r>
      <w:r>
        <w:rPr>
          <w:spacing w:val="-6"/>
        </w:rPr>
        <w:t> </w:t>
      </w:r>
      <w:r>
        <w:rPr/>
        <w:t>use</w:t>
      </w:r>
      <w:r>
        <w:rPr>
          <w:spacing w:val="-7"/>
        </w:rPr>
        <w:t> </w:t>
      </w:r>
      <w:r>
        <w:rPr/>
        <w:t>and</w:t>
      </w:r>
      <w:r>
        <w:rPr>
          <w:spacing w:val="-6"/>
        </w:rPr>
        <w:t> </w:t>
      </w:r>
      <w:r>
        <w:rPr/>
        <w:t>sexual</w:t>
      </w:r>
      <w:r>
        <w:rPr>
          <w:spacing w:val="-6"/>
        </w:rPr>
        <w:t> </w:t>
      </w:r>
      <w:r>
        <w:rPr/>
        <w:t>health</w:t>
      </w:r>
      <w:r>
        <w:rPr>
          <w:spacing w:val="-6"/>
        </w:rPr>
        <w:t> </w:t>
      </w:r>
      <w:r>
        <w:rPr/>
        <w:t>of</w:t>
      </w:r>
      <w:r>
        <w:rPr>
          <w:spacing w:val="-6"/>
        </w:rPr>
        <w:t> </w:t>
      </w:r>
      <w:r>
        <w:rPr/>
        <w:t>young</w:t>
      </w:r>
      <w:r>
        <w:rPr>
          <w:spacing w:val="-6"/>
        </w:rPr>
        <w:t> </w:t>
      </w:r>
      <w:r>
        <w:rPr/>
        <w:t>men who have sex with men:</w:t>
      </w:r>
      <w:r>
        <w:rPr>
          <w:spacing w:val="-7"/>
        </w:rPr>
        <w:t> </w:t>
      </w:r>
      <w:r>
        <w:rPr/>
        <w:t>A</w:t>
      </w:r>
      <w:r>
        <w:rPr>
          <w:spacing w:val="-7"/>
        </w:rPr>
        <w:t> </w:t>
      </w:r>
      <w:r>
        <w:rPr/>
        <w:t>mixed-methods study. </w:t>
      </w:r>
      <w:r>
        <w:rPr>
          <w:i/>
        </w:rPr>
        <w:t>Arch Sex Behav</w:t>
      </w:r>
      <w:r>
        <w:rPr/>
        <w:t>.</w:t>
      </w:r>
    </w:p>
    <w:p>
      <w:pPr>
        <w:pStyle w:val="BodyText"/>
        <w:spacing w:line="318" w:lineRule="exact"/>
        <w:ind w:left="640"/>
      </w:pPr>
      <w:r>
        <w:rPr>
          <w:spacing w:val="-2"/>
        </w:rPr>
        <w:t>2011;40(2):289-300.</w:t>
      </w:r>
      <w:r>
        <w:rPr>
          <w:spacing w:val="63"/>
          <w:w w:val="150"/>
        </w:rPr>
        <w:t> </w:t>
      </w:r>
      <w:r>
        <w:rPr>
          <w:spacing w:val="-2"/>
        </w:rPr>
        <w:t>https://doi.org/10.1007/s10508-009-9596-</w:t>
      </w:r>
      <w:r>
        <w:rPr>
          <w:spacing w:val="-10"/>
        </w:rPr>
        <w:t>1</w:t>
      </w:r>
    </w:p>
    <w:p>
      <w:pPr>
        <w:pStyle w:val="BodyText"/>
        <w:spacing w:before="2"/>
        <w:rPr>
          <w:sz w:val="26"/>
        </w:rPr>
      </w:pPr>
    </w:p>
    <w:p>
      <w:pPr>
        <w:pStyle w:val="BodyText"/>
        <w:ind w:left="640" w:right="515" w:hanging="360"/>
      </w:pPr>
      <w:r>
        <w:rPr/>
        <w:t>Fields</w:t>
      </w:r>
      <w:r>
        <w:rPr>
          <w:spacing w:val="-4"/>
        </w:rPr>
        <w:t> </w:t>
      </w:r>
      <w:r>
        <w:rPr/>
        <w:t>EL,</w:t>
      </w:r>
      <w:r>
        <w:rPr>
          <w:spacing w:val="-4"/>
        </w:rPr>
        <w:t> </w:t>
      </w:r>
      <w:r>
        <w:rPr/>
        <w:t>Bogart</w:t>
      </w:r>
      <w:r>
        <w:rPr>
          <w:spacing w:val="-4"/>
        </w:rPr>
        <w:t> </w:t>
      </w:r>
      <w:r>
        <w:rPr/>
        <w:t>LM,</w:t>
      </w:r>
      <w:r>
        <w:rPr>
          <w:spacing w:val="-4"/>
        </w:rPr>
        <w:t> </w:t>
      </w:r>
      <w:r>
        <w:rPr/>
        <w:t>Smith</w:t>
      </w:r>
      <w:r>
        <w:rPr>
          <w:spacing w:val="-4"/>
        </w:rPr>
        <w:t> </w:t>
      </w:r>
      <w:r>
        <w:rPr/>
        <w:t>KC,</w:t>
      </w:r>
      <w:r>
        <w:rPr>
          <w:spacing w:val="-4"/>
        </w:rPr>
        <w:t> </w:t>
      </w:r>
      <w:r>
        <w:rPr/>
        <w:t>Malebranche</w:t>
      </w:r>
      <w:r>
        <w:rPr>
          <w:spacing w:val="-4"/>
        </w:rPr>
        <w:t> </w:t>
      </w:r>
      <w:r>
        <w:rPr/>
        <w:t>DJ,</w:t>
      </w:r>
      <w:r>
        <w:rPr>
          <w:spacing w:val="-4"/>
        </w:rPr>
        <w:t> </w:t>
      </w:r>
      <w:r>
        <w:rPr/>
        <w:t>Ellen</w:t>
      </w:r>
      <w:r>
        <w:rPr>
          <w:spacing w:val="-4"/>
        </w:rPr>
        <w:t> </w:t>
      </w:r>
      <w:r>
        <w:rPr/>
        <w:t>J,</w:t>
      </w:r>
      <w:r>
        <w:rPr>
          <w:spacing w:val="-4"/>
        </w:rPr>
        <w:t> </w:t>
      </w:r>
      <w:r>
        <w:rPr/>
        <w:t>Schuster</w:t>
      </w:r>
      <w:r>
        <w:rPr>
          <w:spacing w:val="-4"/>
        </w:rPr>
        <w:t> </w:t>
      </w:r>
      <w:r>
        <w:rPr/>
        <w:t>MA.</w:t>
      </w:r>
      <w:r>
        <w:rPr>
          <w:spacing w:val="-4"/>
        </w:rPr>
        <w:t> </w:t>
      </w:r>
      <w:r>
        <w:rPr/>
        <w:t>“I always felt I had to prove my manhood”: Homosexuality, masculinity, gender role strain, and HIV risk among young Black men who have sex with men." </w:t>
      </w:r>
      <w:r>
        <w:rPr>
          <w:i/>
        </w:rPr>
        <w:t>Am J Pub Health</w:t>
      </w:r>
      <w:r>
        <w:rPr/>
        <w:t>. 2015;105.(1):122-131. https://doi.org/ </w:t>
      </w:r>
      <w:r>
        <w:rPr>
          <w:spacing w:val="-2"/>
        </w:rPr>
        <w:t>10.2105/AJPH.2013.301866</w:t>
      </w:r>
    </w:p>
    <w:p>
      <w:pPr>
        <w:pStyle w:val="BodyText"/>
        <w:spacing w:before="5"/>
        <w:rPr>
          <w:sz w:val="25"/>
        </w:rPr>
      </w:pPr>
    </w:p>
    <w:p>
      <w:pPr>
        <w:pStyle w:val="BodyText"/>
        <w:spacing w:before="1"/>
        <w:ind w:left="640" w:right="890" w:hanging="360"/>
      </w:pPr>
      <w:r>
        <w:rPr/>
        <w:t>Yon-Leau C, Muñoz-Laboy M. “I don’t like to say that I’m anything”: Sexuality politics and cultural critique among sexual-minority Latino youth.</w:t>
      </w:r>
      <w:r>
        <w:rPr>
          <w:spacing w:val="-10"/>
        </w:rPr>
        <w:t> </w:t>
      </w:r>
      <w:r>
        <w:rPr>
          <w:i/>
        </w:rPr>
        <w:t>Sex</w:t>
      </w:r>
      <w:r>
        <w:rPr>
          <w:i/>
          <w:spacing w:val="-10"/>
        </w:rPr>
        <w:t> </w:t>
      </w:r>
      <w:r>
        <w:rPr>
          <w:i/>
        </w:rPr>
        <w:t>Res</w:t>
      </w:r>
      <w:r>
        <w:rPr>
          <w:i/>
          <w:spacing w:val="-9"/>
        </w:rPr>
        <w:t> </w:t>
      </w:r>
      <w:r>
        <w:rPr>
          <w:i/>
        </w:rPr>
        <w:t>Social</w:t>
      </w:r>
      <w:r>
        <w:rPr>
          <w:i/>
          <w:spacing w:val="-9"/>
        </w:rPr>
        <w:t> </w:t>
      </w:r>
      <w:r>
        <w:rPr>
          <w:i/>
        </w:rPr>
        <w:t>Policy</w:t>
      </w:r>
      <w:r>
        <w:rPr/>
        <w:t>.</w:t>
      </w:r>
      <w:r>
        <w:rPr>
          <w:spacing w:val="-9"/>
        </w:rPr>
        <w:t> </w:t>
      </w:r>
      <w:r>
        <w:rPr/>
        <w:t>2010;7(2):105117.</w:t>
      </w:r>
      <w:r>
        <w:rPr>
          <w:spacing w:val="-9"/>
        </w:rPr>
        <w:t> </w:t>
      </w:r>
      <w:r>
        <w:rPr/>
        <w:t>https://doi.org/10.1007/ </w:t>
      </w:r>
      <w:r>
        <w:rPr>
          <w:spacing w:val="-2"/>
        </w:rPr>
        <w:t>s13178-0100009-y</w:t>
      </w:r>
    </w:p>
    <w:p>
      <w:pPr>
        <w:pStyle w:val="BodyText"/>
        <w:spacing w:before="7"/>
        <w:rPr>
          <w:sz w:val="25"/>
        </w:rPr>
      </w:pPr>
    </w:p>
    <w:p>
      <w:pPr>
        <w:pStyle w:val="BodyText"/>
        <w:ind w:left="640" w:right="587" w:hanging="360"/>
        <w:jc w:val="both"/>
      </w:pPr>
      <w:r>
        <w:rPr/>
        <w:t>Wilson</w:t>
      </w:r>
      <w:r>
        <w:rPr>
          <w:spacing w:val="-5"/>
        </w:rPr>
        <w:t> </w:t>
      </w:r>
      <w:r>
        <w:rPr/>
        <w:t>K,</w:t>
      </w:r>
      <w:r>
        <w:rPr>
          <w:spacing w:val="-5"/>
        </w:rPr>
        <w:t> </w:t>
      </w:r>
      <w:r>
        <w:rPr/>
        <w:t>Fornasier</w:t>
      </w:r>
      <w:r>
        <w:rPr>
          <w:spacing w:val="-5"/>
        </w:rPr>
        <w:t> </w:t>
      </w:r>
      <w:r>
        <w:rPr/>
        <w:t>S,</w:t>
      </w:r>
      <w:r>
        <w:rPr>
          <w:spacing w:val="-10"/>
        </w:rPr>
        <w:t> </w:t>
      </w:r>
      <w:r>
        <w:rPr/>
        <w:t>White</w:t>
      </w:r>
      <w:r>
        <w:rPr>
          <w:spacing w:val="-6"/>
        </w:rPr>
        <w:t> </w:t>
      </w:r>
      <w:r>
        <w:rPr/>
        <w:t>K.</w:t>
      </w:r>
      <w:r>
        <w:rPr>
          <w:spacing w:val="-5"/>
        </w:rPr>
        <w:t> </w:t>
      </w:r>
      <w:r>
        <w:rPr/>
        <w:t>Psychological</w:t>
      </w:r>
      <w:r>
        <w:rPr>
          <w:spacing w:val="-5"/>
        </w:rPr>
        <w:t> </w:t>
      </w:r>
      <w:r>
        <w:rPr/>
        <w:t>predictors</w:t>
      </w:r>
      <w:r>
        <w:rPr>
          <w:spacing w:val="-5"/>
        </w:rPr>
        <w:t> </w:t>
      </w:r>
      <w:r>
        <w:rPr/>
        <w:t>of</w:t>
      </w:r>
      <w:r>
        <w:rPr>
          <w:spacing w:val="-5"/>
        </w:rPr>
        <w:t> </w:t>
      </w:r>
      <w:r>
        <w:rPr/>
        <w:t>young</w:t>
      </w:r>
      <w:r>
        <w:rPr>
          <w:spacing w:val="-5"/>
        </w:rPr>
        <w:t> </w:t>
      </w:r>
      <w:r>
        <w:rPr/>
        <w:t>adults'</w:t>
      </w:r>
      <w:r>
        <w:rPr>
          <w:spacing w:val="-5"/>
        </w:rPr>
        <w:t> </w:t>
      </w:r>
      <w:r>
        <w:rPr/>
        <w:t>use of social networking sites.</w:t>
      </w:r>
      <w:r>
        <w:rPr>
          <w:spacing w:val="-1"/>
        </w:rPr>
        <w:t> </w:t>
      </w:r>
      <w:r>
        <w:rPr>
          <w:i/>
        </w:rPr>
        <w:t>Cyberpsychol Behav</w:t>
      </w:r>
      <w:r>
        <w:rPr>
          <w:i/>
          <w:spacing w:val="-1"/>
        </w:rPr>
        <w:t> </w:t>
      </w:r>
      <w:r>
        <w:rPr>
          <w:i/>
        </w:rPr>
        <w:t>Soc</w:t>
      </w:r>
      <w:r>
        <w:rPr>
          <w:i/>
          <w:spacing w:val="-1"/>
        </w:rPr>
        <w:t> </w:t>
      </w:r>
      <w:r>
        <w:rPr>
          <w:i/>
        </w:rPr>
        <w:t>Net</w:t>
      </w:r>
      <w:r>
        <w:rPr/>
        <w:t>. 2010;13:173-177. </w:t>
      </w:r>
      <w:r>
        <w:rPr>
          <w:spacing w:val="-2"/>
        </w:rPr>
        <w:t>https://doi.org/10.1089/cyber.2009.0094</w:t>
      </w:r>
    </w:p>
    <w:p>
      <w:pPr>
        <w:spacing w:after="0"/>
        <w:jc w:val="both"/>
        <w:sectPr>
          <w:pgSz w:w="12240" w:h="15840"/>
          <w:pgMar w:header="0" w:footer="783" w:top="1260" w:bottom="980" w:left="1400" w:right="1180"/>
        </w:sectPr>
      </w:pPr>
    </w:p>
    <w:p>
      <w:pPr>
        <w:pStyle w:val="BodyText"/>
        <w:spacing w:before="66"/>
        <w:ind w:left="640" w:right="502" w:hanging="360"/>
      </w:pPr>
      <w:r>
        <w:rPr/>
        <w:t>Rosario M, Schrimshaw EW, Hunter J. Different patterns of sexual identity development</w:t>
      </w:r>
      <w:r>
        <w:rPr>
          <w:spacing w:val="-5"/>
        </w:rPr>
        <w:t> </w:t>
      </w:r>
      <w:r>
        <w:rPr/>
        <w:t>over</w:t>
      </w:r>
      <w:r>
        <w:rPr>
          <w:spacing w:val="-5"/>
        </w:rPr>
        <w:t> </w:t>
      </w:r>
      <w:r>
        <w:rPr/>
        <w:t>time:</w:t>
      </w:r>
      <w:r>
        <w:rPr>
          <w:spacing w:val="-5"/>
        </w:rPr>
        <w:t> </w:t>
      </w:r>
      <w:r>
        <w:rPr/>
        <w:t>implications</w:t>
      </w:r>
      <w:r>
        <w:rPr>
          <w:spacing w:val="-5"/>
        </w:rPr>
        <w:t> </w:t>
      </w:r>
      <w:r>
        <w:rPr/>
        <w:t>for</w:t>
      </w:r>
      <w:r>
        <w:rPr>
          <w:spacing w:val="-5"/>
        </w:rPr>
        <w:t> </w:t>
      </w:r>
      <w:r>
        <w:rPr/>
        <w:t>the</w:t>
      </w:r>
      <w:r>
        <w:rPr>
          <w:spacing w:val="-6"/>
        </w:rPr>
        <w:t> </w:t>
      </w:r>
      <w:r>
        <w:rPr>
          <w:color w:val="0F0F0F"/>
        </w:rPr>
        <w:t>psychological</w:t>
      </w:r>
      <w:r>
        <w:rPr>
          <w:color w:val="0F0F0F"/>
          <w:spacing w:val="-5"/>
        </w:rPr>
        <w:t> </w:t>
      </w:r>
      <w:r>
        <w:rPr>
          <w:color w:val="0F0F0F"/>
        </w:rPr>
        <w:t>adjustment</w:t>
      </w:r>
      <w:r>
        <w:rPr>
          <w:color w:val="0F0F0F"/>
          <w:spacing w:val="-5"/>
        </w:rPr>
        <w:t> </w:t>
      </w:r>
      <w:r>
        <w:rPr>
          <w:color w:val="0F0F0F"/>
        </w:rPr>
        <w:t>of lesbian, gay, and bisexual youths. </w:t>
      </w:r>
      <w:r>
        <w:rPr>
          <w:i/>
          <w:color w:val="0F0F0F"/>
        </w:rPr>
        <w:t>J Sex Res</w:t>
      </w:r>
      <w:r>
        <w:rPr>
          <w:color w:val="0F0F0F"/>
        </w:rPr>
        <w:t>. 2011;48(1):3-15. </w:t>
      </w:r>
      <w:r>
        <w:rPr/>
        <w:t>http:// doi.org/doi:10.1080/002244909033310 67</w:t>
      </w:r>
    </w:p>
    <w:p>
      <w:pPr>
        <w:pStyle w:val="BodyText"/>
        <w:spacing w:before="7"/>
        <w:rPr>
          <w:sz w:val="25"/>
        </w:rPr>
      </w:pPr>
    </w:p>
    <w:p>
      <w:pPr>
        <w:pStyle w:val="BodyText"/>
        <w:ind w:left="640" w:right="502" w:hanging="360"/>
      </w:pPr>
      <w:r>
        <w:rPr/>
        <w:t>Willoughby BL, Doty ND, Malik NM. Victimization, family rejection, and outcomes</w:t>
      </w:r>
      <w:r>
        <w:rPr>
          <w:spacing w:val="-5"/>
        </w:rPr>
        <w:t> </w:t>
      </w:r>
      <w:r>
        <w:rPr/>
        <w:t>of</w:t>
      </w:r>
      <w:r>
        <w:rPr>
          <w:spacing w:val="-5"/>
        </w:rPr>
        <w:t> </w:t>
      </w:r>
      <w:r>
        <w:rPr/>
        <w:t>gay,</w:t>
      </w:r>
      <w:r>
        <w:rPr>
          <w:spacing w:val="-5"/>
        </w:rPr>
        <w:t> </w:t>
      </w:r>
      <w:r>
        <w:rPr/>
        <w:t>lesbian,</w:t>
      </w:r>
      <w:r>
        <w:rPr>
          <w:spacing w:val="-5"/>
        </w:rPr>
        <w:t> </w:t>
      </w:r>
      <w:r>
        <w:rPr/>
        <w:t>and</w:t>
      </w:r>
      <w:r>
        <w:rPr>
          <w:spacing w:val="-5"/>
        </w:rPr>
        <w:t> </w:t>
      </w:r>
      <w:r>
        <w:rPr/>
        <w:t>bisexual</w:t>
      </w:r>
      <w:r>
        <w:rPr>
          <w:spacing w:val="-5"/>
        </w:rPr>
        <w:t> </w:t>
      </w:r>
      <w:r>
        <w:rPr/>
        <w:t>young</w:t>
      </w:r>
      <w:r>
        <w:rPr>
          <w:spacing w:val="-5"/>
        </w:rPr>
        <w:t> </w:t>
      </w:r>
      <w:r>
        <w:rPr/>
        <w:t>people:</w:t>
      </w:r>
      <w:r>
        <w:rPr>
          <w:spacing w:val="-5"/>
        </w:rPr>
        <w:t> </w:t>
      </w:r>
      <w:r>
        <w:rPr/>
        <w:t>the</w:t>
      </w:r>
      <w:r>
        <w:rPr>
          <w:spacing w:val="-6"/>
        </w:rPr>
        <w:t> </w:t>
      </w:r>
      <w:r>
        <w:rPr/>
        <w:t>role</w:t>
      </w:r>
      <w:r>
        <w:rPr>
          <w:spacing w:val="-6"/>
        </w:rPr>
        <w:t> </w:t>
      </w:r>
      <w:r>
        <w:rPr/>
        <w:t>of</w:t>
      </w:r>
      <w:r>
        <w:rPr>
          <w:spacing w:val="-5"/>
        </w:rPr>
        <w:t> </w:t>
      </w:r>
      <w:r>
        <w:rPr/>
        <w:t>negative GLB identity. </w:t>
      </w:r>
      <w:r>
        <w:rPr>
          <w:i/>
        </w:rPr>
        <w:t>J GLBT Fam Stud</w:t>
      </w:r>
      <w:r>
        <w:rPr/>
        <w:t>. 2010;6(4):403-424. https://doi.org/ 10.1080/1550428X.2010.5110 85</w:t>
      </w:r>
    </w:p>
    <w:p>
      <w:pPr>
        <w:pStyle w:val="BodyText"/>
        <w:spacing w:before="8"/>
        <w:rPr>
          <w:sz w:val="25"/>
        </w:rPr>
      </w:pPr>
    </w:p>
    <w:p>
      <w:pPr>
        <w:pStyle w:val="BodyText"/>
        <w:ind w:left="640" w:right="813" w:hanging="360"/>
        <w:jc w:val="both"/>
      </w:pPr>
      <w:r>
        <w:rPr/>
        <w:t>Page</w:t>
      </w:r>
      <w:r>
        <w:rPr>
          <w:spacing w:val="-4"/>
        </w:rPr>
        <w:t> </w:t>
      </w:r>
      <w:r>
        <w:rPr/>
        <w:t>MJL,</w:t>
      </w:r>
      <w:r>
        <w:rPr>
          <w:spacing w:val="-3"/>
        </w:rPr>
        <w:t> </w:t>
      </w:r>
      <w:r>
        <w:rPr/>
        <w:t>Lindahl</w:t>
      </w:r>
      <w:r>
        <w:rPr>
          <w:spacing w:val="-3"/>
        </w:rPr>
        <w:t> </w:t>
      </w:r>
      <w:r>
        <w:rPr/>
        <w:t>KM,</w:t>
      </w:r>
      <w:r>
        <w:rPr>
          <w:spacing w:val="-3"/>
        </w:rPr>
        <w:t> </w:t>
      </w:r>
      <w:r>
        <w:rPr/>
        <w:t>Malik</w:t>
      </w:r>
      <w:r>
        <w:rPr>
          <w:spacing w:val="-3"/>
        </w:rPr>
        <w:t> </w:t>
      </w:r>
      <w:r>
        <w:rPr/>
        <w:t>NM.</w:t>
      </w:r>
      <w:r>
        <w:rPr>
          <w:spacing w:val="-9"/>
        </w:rPr>
        <w:t> </w:t>
      </w:r>
      <w:r>
        <w:rPr/>
        <w:t>The</w:t>
      </w:r>
      <w:r>
        <w:rPr>
          <w:spacing w:val="-4"/>
        </w:rPr>
        <w:t> </w:t>
      </w:r>
      <w:r>
        <w:rPr/>
        <w:t>role</w:t>
      </w:r>
      <w:r>
        <w:rPr>
          <w:spacing w:val="-4"/>
        </w:rPr>
        <w:t> </w:t>
      </w:r>
      <w:r>
        <w:rPr/>
        <w:t>of</w:t>
      </w:r>
      <w:r>
        <w:rPr>
          <w:spacing w:val="-3"/>
        </w:rPr>
        <w:t> </w:t>
      </w:r>
      <w:r>
        <w:rPr/>
        <w:t>religion</w:t>
      </w:r>
      <w:r>
        <w:rPr>
          <w:spacing w:val="-3"/>
        </w:rPr>
        <w:t> </w:t>
      </w:r>
      <w:r>
        <w:rPr/>
        <w:t>and</w:t>
      </w:r>
      <w:r>
        <w:rPr>
          <w:spacing w:val="-3"/>
        </w:rPr>
        <w:t> </w:t>
      </w:r>
      <w:r>
        <w:rPr/>
        <w:t>stress</w:t>
      </w:r>
      <w:r>
        <w:rPr>
          <w:spacing w:val="-3"/>
        </w:rPr>
        <w:t> </w:t>
      </w:r>
      <w:r>
        <w:rPr/>
        <w:t>in</w:t>
      </w:r>
      <w:r>
        <w:rPr>
          <w:spacing w:val="-3"/>
        </w:rPr>
        <w:t> </w:t>
      </w:r>
      <w:r>
        <w:rPr/>
        <w:t>sexual identity and mental health among lesbian, gay, and bisexual youth. </w:t>
      </w:r>
      <w:r>
        <w:rPr>
          <w:i/>
        </w:rPr>
        <w:t>J Res</w:t>
      </w:r>
      <w:r>
        <w:rPr>
          <w:i/>
        </w:rPr>
        <w:t> Adolesc</w:t>
      </w:r>
      <w:r>
        <w:rPr/>
        <w:t>. 2013;23(4):665-677. https://doi.org/10.1111/jora.12025</w:t>
      </w:r>
    </w:p>
    <w:p>
      <w:pPr>
        <w:pStyle w:val="BodyText"/>
        <w:spacing w:before="4"/>
        <w:rPr>
          <w:sz w:val="27"/>
        </w:rPr>
      </w:pPr>
    </w:p>
    <w:p>
      <w:pPr>
        <w:pStyle w:val="BodyText"/>
        <w:ind w:left="640" w:right="735" w:hanging="360"/>
      </w:pPr>
      <w:r>
        <w:rPr/>
        <w:t>Hussen SA, Harper GW, Rodgers CRR., van den Berg JJ, Dowshen N, Hightow-Weidman</w:t>
      </w:r>
      <w:r>
        <w:rPr>
          <w:spacing w:val="-9"/>
        </w:rPr>
        <w:t> </w:t>
      </w:r>
      <w:r>
        <w:rPr/>
        <w:t>LB.</w:t>
      </w:r>
      <w:r>
        <w:rPr>
          <w:spacing w:val="-9"/>
        </w:rPr>
        <w:t> </w:t>
      </w:r>
      <w:r>
        <w:rPr/>
        <w:t>Cognitive</w:t>
      </w:r>
      <w:r>
        <w:rPr>
          <w:spacing w:val="-10"/>
        </w:rPr>
        <w:t> </w:t>
      </w:r>
      <w:r>
        <w:rPr/>
        <w:t>and</w:t>
      </w:r>
      <w:r>
        <w:rPr>
          <w:spacing w:val="-9"/>
        </w:rPr>
        <w:t> </w:t>
      </w:r>
      <w:r>
        <w:rPr/>
        <w:t>behavioral</w:t>
      </w:r>
      <w:r>
        <w:rPr>
          <w:spacing w:val="-9"/>
        </w:rPr>
        <w:t> </w:t>
      </w:r>
      <w:r>
        <w:rPr/>
        <w:t>resilience</w:t>
      </w:r>
      <w:r>
        <w:rPr>
          <w:spacing w:val="-10"/>
        </w:rPr>
        <w:t> </w:t>
      </w:r>
      <w:r>
        <w:rPr/>
        <w:t>among</w:t>
      </w:r>
      <w:r>
        <w:rPr>
          <w:spacing w:val="-9"/>
        </w:rPr>
        <w:t> </w:t>
      </w:r>
      <w:r>
        <w:rPr/>
        <w:t>young gay</w:t>
      </w:r>
      <w:r>
        <w:rPr>
          <w:spacing w:val="-3"/>
        </w:rPr>
        <w:t> </w:t>
      </w:r>
      <w:r>
        <w:rPr/>
        <w:t>and</w:t>
      </w:r>
      <w:r>
        <w:rPr>
          <w:spacing w:val="-3"/>
        </w:rPr>
        <w:t> </w:t>
      </w:r>
      <w:r>
        <w:rPr/>
        <w:t>bisexual</w:t>
      </w:r>
      <w:r>
        <w:rPr>
          <w:spacing w:val="-3"/>
        </w:rPr>
        <w:t> </w:t>
      </w:r>
      <w:r>
        <w:rPr/>
        <w:t>men</w:t>
      </w:r>
      <w:r>
        <w:rPr>
          <w:spacing w:val="-3"/>
        </w:rPr>
        <w:t> </w:t>
      </w:r>
      <w:r>
        <w:rPr/>
        <w:t>living</w:t>
      </w:r>
      <w:r>
        <w:rPr>
          <w:spacing w:val="-3"/>
        </w:rPr>
        <w:t> </w:t>
      </w:r>
      <w:r>
        <w:rPr/>
        <w:t>with</w:t>
      </w:r>
      <w:r>
        <w:rPr>
          <w:spacing w:val="-3"/>
        </w:rPr>
        <w:t> </w:t>
      </w:r>
      <w:r>
        <w:rPr/>
        <w:t>HIV.</w:t>
      </w:r>
      <w:r>
        <w:rPr>
          <w:spacing w:val="-4"/>
        </w:rPr>
        <w:t> </w:t>
      </w:r>
      <w:r>
        <w:rPr>
          <w:i/>
        </w:rPr>
        <w:t>LGBT</w:t>
      </w:r>
      <w:r>
        <w:rPr>
          <w:i/>
          <w:spacing w:val="-9"/>
        </w:rPr>
        <w:t> </w:t>
      </w:r>
      <w:r>
        <w:rPr>
          <w:i/>
        </w:rPr>
        <w:t>Health.</w:t>
      </w:r>
      <w:r>
        <w:rPr>
          <w:i/>
          <w:spacing w:val="-4"/>
        </w:rPr>
        <w:t> </w:t>
      </w:r>
      <w:r>
        <w:rPr/>
        <w:t>2017;4(4):275-282. </w:t>
      </w:r>
      <w:r>
        <w:rPr>
          <w:spacing w:val="-2"/>
        </w:rPr>
        <w:t>https://doi.org/10.1089/lgbt.2016.0135</w:t>
      </w:r>
    </w:p>
    <w:p>
      <w:pPr>
        <w:pStyle w:val="BodyText"/>
        <w:spacing w:before="7"/>
        <w:rPr>
          <w:sz w:val="25"/>
        </w:rPr>
      </w:pPr>
    </w:p>
    <w:p>
      <w:pPr>
        <w:pStyle w:val="BodyText"/>
        <w:ind w:left="640" w:right="502" w:hanging="360"/>
      </w:pPr>
      <w:r>
        <w:rPr/>
        <w:t>Dean</w:t>
      </w:r>
      <w:r>
        <w:rPr>
          <w:spacing w:val="-10"/>
        </w:rPr>
        <w:t> </w:t>
      </w:r>
      <w:r>
        <w:rPr/>
        <w:t>JB,</w:t>
      </w:r>
      <w:r>
        <w:rPr>
          <w:spacing w:val="-9"/>
        </w:rPr>
        <w:t> </w:t>
      </w:r>
      <w:r>
        <w:rPr/>
        <w:t>Stratton</w:t>
      </w:r>
      <w:r>
        <w:rPr>
          <w:spacing w:val="-9"/>
        </w:rPr>
        <w:t> </w:t>
      </w:r>
      <w:r>
        <w:rPr/>
        <w:t>SP,</w:t>
      </w:r>
      <w:r>
        <w:rPr>
          <w:spacing w:val="-18"/>
        </w:rPr>
        <w:t> </w:t>
      </w:r>
      <w:r>
        <w:rPr/>
        <w:t>Yarhouse</w:t>
      </w:r>
      <w:r>
        <w:rPr>
          <w:spacing w:val="-9"/>
        </w:rPr>
        <w:t> </w:t>
      </w:r>
      <w:r>
        <w:rPr/>
        <w:t>MA.</w:t>
      </w:r>
      <w:r>
        <w:rPr>
          <w:spacing w:val="-14"/>
        </w:rPr>
        <w:t> </w:t>
      </w:r>
      <w:r>
        <w:rPr/>
        <w:t>The</w:t>
      </w:r>
      <w:r>
        <w:rPr>
          <w:spacing w:val="-10"/>
        </w:rPr>
        <w:t> </w:t>
      </w:r>
      <w:r>
        <w:rPr/>
        <w:t>mediating</w:t>
      </w:r>
      <w:r>
        <w:rPr>
          <w:spacing w:val="-9"/>
        </w:rPr>
        <w:t> </w:t>
      </w:r>
      <w:r>
        <w:rPr/>
        <w:t>role</w:t>
      </w:r>
      <w:r>
        <w:rPr>
          <w:spacing w:val="-10"/>
        </w:rPr>
        <w:t> </w:t>
      </w:r>
      <w:r>
        <w:rPr/>
        <w:t>of</w:t>
      </w:r>
      <w:r>
        <w:rPr>
          <w:spacing w:val="-9"/>
        </w:rPr>
        <w:t> </w:t>
      </w:r>
      <w:r>
        <w:rPr/>
        <w:t>self-acceptance</w:t>
      </w:r>
      <w:r>
        <w:rPr>
          <w:spacing w:val="-10"/>
        </w:rPr>
        <w:t> </w:t>
      </w:r>
      <w:r>
        <w:rPr/>
        <w:t>in the</w:t>
      </w:r>
      <w:r>
        <w:rPr>
          <w:spacing w:val="-5"/>
        </w:rPr>
        <w:t> </w:t>
      </w:r>
      <w:r>
        <w:rPr/>
        <w:t>psychological</w:t>
      </w:r>
      <w:r>
        <w:rPr>
          <w:spacing w:val="-4"/>
        </w:rPr>
        <w:t> </w:t>
      </w:r>
      <w:r>
        <w:rPr/>
        <w:t>distress</w:t>
      </w:r>
      <w:r>
        <w:rPr>
          <w:spacing w:val="-4"/>
        </w:rPr>
        <w:t> </w:t>
      </w:r>
      <w:r>
        <w:rPr/>
        <w:t>of</w:t>
      </w:r>
      <w:r>
        <w:rPr>
          <w:spacing w:val="-4"/>
        </w:rPr>
        <w:t> </w:t>
      </w:r>
      <w:r>
        <w:rPr/>
        <w:t>sexual</w:t>
      </w:r>
      <w:r>
        <w:rPr>
          <w:spacing w:val="-4"/>
        </w:rPr>
        <w:t> </w:t>
      </w:r>
      <w:r>
        <w:rPr/>
        <w:t>minority</w:t>
      </w:r>
      <w:r>
        <w:rPr>
          <w:spacing w:val="-4"/>
        </w:rPr>
        <w:t> </w:t>
      </w:r>
      <w:r>
        <w:rPr/>
        <w:t>students</w:t>
      </w:r>
      <w:r>
        <w:rPr>
          <w:spacing w:val="-4"/>
        </w:rPr>
        <w:t> </w:t>
      </w:r>
      <w:r>
        <w:rPr/>
        <w:t>on</w:t>
      </w:r>
      <w:r>
        <w:rPr>
          <w:spacing w:val="-4"/>
        </w:rPr>
        <w:t> </w:t>
      </w:r>
      <w:r>
        <w:rPr/>
        <w:t>Christian</w:t>
      </w:r>
      <w:r>
        <w:rPr>
          <w:spacing w:val="-4"/>
        </w:rPr>
        <w:t> </w:t>
      </w:r>
      <w:r>
        <w:rPr/>
        <w:t>college campuses. </w:t>
      </w:r>
      <w:r>
        <w:rPr>
          <w:i/>
        </w:rPr>
        <w:t>Spiritual Clin Pract (Wash DC). </w:t>
      </w:r>
      <w:r>
        <w:rPr/>
        <w:t>2021</w:t>
      </w:r>
      <w:r>
        <w:rPr>
          <w:i/>
        </w:rPr>
        <w:t>;8</w:t>
      </w:r>
      <w:r>
        <w:rPr/>
        <w:t>(2):132-148. https:// </w:t>
      </w:r>
      <w:r>
        <w:rPr>
          <w:spacing w:val="-2"/>
        </w:rPr>
        <w:t>doi.org/10.1037/scp0000253</w:t>
      </w:r>
    </w:p>
    <w:p>
      <w:pPr>
        <w:pStyle w:val="BodyText"/>
        <w:spacing w:before="8"/>
        <w:rPr>
          <w:sz w:val="25"/>
        </w:rPr>
      </w:pPr>
    </w:p>
    <w:p>
      <w:pPr>
        <w:pStyle w:val="BodyText"/>
        <w:ind w:left="640" w:right="502" w:hanging="360"/>
      </w:pPr>
      <w:r>
        <w:rPr/>
        <w:t>Steensma TD, McGuire JK, Kreukels BP, Beekman</w:t>
      </w:r>
      <w:r>
        <w:rPr>
          <w:spacing w:val="-8"/>
        </w:rPr>
        <w:t> </w:t>
      </w:r>
      <w:r>
        <w:rPr/>
        <w:t>AJ, Cohen-Kettenis PT. Factors associated with desistence and persistence of childhood gender dysphoria:</w:t>
      </w:r>
      <w:r>
        <w:rPr>
          <w:spacing w:val="-4"/>
        </w:rPr>
        <w:t> </w:t>
      </w:r>
      <w:r>
        <w:rPr/>
        <w:t>A</w:t>
      </w:r>
      <w:r>
        <w:rPr>
          <w:spacing w:val="-4"/>
        </w:rPr>
        <w:t> </w:t>
      </w:r>
      <w:r>
        <w:rPr/>
        <w:t>quantitative follow-up study. </w:t>
      </w:r>
      <w:r>
        <w:rPr>
          <w:i/>
        </w:rPr>
        <w:t>J Am Acad Child Adolesc</w:t>
      </w:r>
      <w:r>
        <w:rPr>
          <w:i/>
        </w:rPr>
        <w:t> Psychiatry</w:t>
      </w:r>
      <w:r>
        <w:rPr/>
        <w:t>.</w:t>
      </w:r>
      <w:r>
        <w:rPr>
          <w:spacing w:val="-18"/>
        </w:rPr>
        <w:t> </w:t>
      </w:r>
      <w:r>
        <w:rPr/>
        <w:t>2013;52(6):582-590.</w:t>
      </w:r>
      <w:r>
        <w:rPr>
          <w:spacing w:val="-17"/>
        </w:rPr>
        <w:t> </w:t>
      </w:r>
      <w:r>
        <w:rPr/>
        <w:t>https://doi.org/10.1016/j.jaac.2013.03.016</w:t>
      </w:r>
    </w:p>
    <w:p>
      <w:pPr>
        <w:pStyle w:val="BodyText"/>
        <w:spacing w:before="7"/>
        <w:rPr>
          <w:sz w:val="25"/>
        </w:rPr>
      </w:pPr>
    </w:p>
    <w:p>
      <w:pPr>
        <w:spacing w:before="1"/>
        <w:ind w:left="640" w:right="502" w:hanging="360"/>
        <w:jc w:val="left"/>
        <w:rPr>
          <w:sz w:val="28"/>
        </w:rPr>
      </w:pPr>
      <w:r>
        <w:rPr>
          <w:sz w:val="28"/>
        </w:rPr>
        <w:t>American Psychiatric</w:t>
      </w:r>
      <w:r>
        <w:rPr>
          <w:spacing w:val="-13"/>
          <w:sz w:val="28"/>
        </w:rPr>
        <w:t> </w:t>
      </w:r>
      <w:r>
        <w:rPr>
          <w:sz w:val="28"/>
        </w:rPr>
        <w:t>Association, DSM-5</w:t>
      </w:r>
      <w:r>
        <w:rPr>
          <w:spacing w:val="-2"/>
          <w:sz w:val="28"/>
        </w:rPr>
        <w:t> </w:t>
      </w:r>
      <w:r>
        <w:rPr>
          <w:sz w:val="28"/>
        </w:rPr>
        <w:t>Task Force. </w:t>
      </w:r>
      <w:r>
        <w:rPr>
          <w:i/>
          <w:sz w:val="28"/>
        </w:rPr>
        <w:t>Diagnostic and</w:t>
      </w:r>
      <w:r>
        <w:rPr>
          <w:i/>
          <w:sz w:val="28"/>
        </w:rPr>
        <w:t> statistical</w:t>
      </w:r>
      <w:r>
        <w:rPr>
          <w:i/>
          <w:spacing w:val="-10"/>
          <w:sz w:val="28"/>
        </w:rPr>
        <w:t> </w:t>
      </w:r>
      <w:r>
        <w:rPr>
          <w:i/>
          <w:sz w:val="28"/>
        </w:rPr>
        <w:t>manual</w:t>
      </w:r>
      <w:r>
        <w:rPr>
          <w:i/>
          <w:spacing w:val="-7"/>
          <w:sz w:val="28"/>
        </w:rPr>
        <w:t> </w:t>
      </w:r>
      <w:r>
        <w:rPr>
          <w:i/>
          <w:sz w:val="28"/>
        </w:rPr>
        <w:t>of</w:t>
      </w:r>
      <w:r>
        <w:rPr>
          <w:i/>
          <w:spacing w:val="-7"/>
          <w:sz w:val="28"/>
        </w:rPr>
        <w:t> </w:t>
      </w:r>
      <w:r>
        <w:rPr>
          <w:i/>
          <w:sz w:val="28"/>
        </w:rPr>
        <w:t>mental</w:t>
      </w:r>
      <w:r>
        <w:rPr>
          <w:i/>
          <w:spacing w:val="-7"/>
          <w:sz w:val="28"/>
        </w:rPr>
        <w:t> </w:t>
      </w:r>
      <w:r>
        <w:rPr>
          <w:i/>
          <w:sz w:val="28"/>
        </w:rPr>
        <w:t>disorders:</w:t>
      </w:r>
      <w:r>
        <w:rPr>
          <w:i/>
          <w:spacing w:val="-7"/>
          <w:sz w:val="28"/>
        </w:rPr>
        <w:t> </w:t>
      </w:r>
      <w:r>
        <w:rPr>
          <w:i/>
          <w:sz w:val="28"/>
        </w:rPr>
        <w:t>DSM-5TM.</w:t>
      </w:r>
      <w:r>
        <w:rPr>
          <w:i/>
          <w:spacing w:val="-7"/>
          <w:sz w:val="28"/>
        </w:rPr>
        <w:t> </w:t>
      </w:r>
      <w:r>
        <w:rPr>
          <w:sz w:val="28"/>
        </w:rPr>
        <w:t>5th</w:t>
      </w:r>
      <w:r>
        <w:rPr>
          <w:spacing w:val="-7"/>
          <w:sz w:val="28"/>
        </w:rPr>
        <w:t> </w:t>
      </w:r>
      <w:r>
        <w:rPr>
          <w:sz w:val="28"/>
        </w:rPr>
        <w:t>ed.</w:t>
      </w:r>
      <w:r>
        <w:rPr>
          <w:spacing w:val="-18"/>
          <w:sz w:val="28"/>
        </w:rPr>
        <w:t> </w:t>
      </w:r>
      <w:r>
        <w:rPr>
          <w:sz w:val="28"/>
        </w:rPr>
        <w:t>American Psychiatric Publishing, Inc.;2013. https://doi.org/10.1176/ appi.books.978089042 5596</w:t>
      </w:r>
    </w:p>
    <w:p>
      <w:pPr>
        <w:pStyle w:val="BodyText"/>
        <w:spacing w:before="7"/>
        <w:rPr>
          <w:sz w:val="25"/>
        </w:rPr>
      </w:pPr>
    </w:p>
    <w:p>
      <w:pPr>
        <w:pStyle w:val="BodyText"/>
        <w:ind w:left="640" w:right="502" w:hanging="360"/>
      </w:pPr>
      <w:r>
        <w:rPr/>
        <w:t>Reed GM, Drescher J, Krueger RB, et al. Disorders related to sexuality and gender</w:t>
      </w:r>
      <w:r>
        <w:rPr>
          <w:spacing w:val="-5"/>
        </w:rPr>
        <w:t> </w:t>
      </w:r>
      <w:r>
        <w:rPr/>
        <w:t>identity</w:t>
      </w:r>
      <w:r>
        <w:rPr>
          <w:spacing w:val="-5"/>
        </w:rPr>
        <w:t> </w:t>
      </w:r>
      <w:r>
        <w:rPr/>
        <w:t>in</w:t>
      </w:r>
      <w:r>
        <w:rPr>
          <w:spacing w:val="-5"/>
        </w:rPr>
        <w:t> </w:t>
      </w:r>
      <w:r>
        <w:rPr/>
        <w:t>the</w:t>
      </w:r>
      <w:r>
        <w:rPr>
          <w:spacing w:val="-6"/>
        </w:rPr>
        <w:t> </w:t>
      </w:r>
      <w:r>
        <w:rPr/>
        <w:t>ICD-11:</w:t>
      </w:r>
      <w:r>
        <w:rPr>
          <w:spacing w:val="-5"/>
        </w:rPr>
        <w:t> </w:t>
      </w:r>
      <w:r>
        <w:rPr/>
        <w:t>Revising</w:t>
      </w:r>
      <w:r>
        <w:rPr>
          <w:spacing w:val="-5"/>
        </w:rPr>
        <w:t> </w:t>
      </w:r>
      <w:r>
        <w:rPr/>
        <w:t>the</w:t>
      </w:r>
      <w:r>
        <w:rPr>
          <w:spacing w:val="-6"/>
        </w:rPr>
        <w:t> </w:t>
      </w:r>
      <w:r>
        <w:rPr/>
        <w:t>ICD-10</w:t>
      </w:r>
      <w:r>
        <w:rPr>
          <w:spacing w:val="-5"/>
        </w:rPr>
        <w:t> </w:t>
      </w:r>
      <w:r>
        <w:rPr/>
        <w:t>classification</w:t>
      </w:r>
      <w:r>
        <w:rPr>
          <w:spacing w:val="-5"/>
        </w:rPr>
        <w:t> </w:t>
      </w:r>
      <w:r>
        <w:rPr/>
        <w:t>based</w:t>
      </w:r>
      <w:r>
        <w:rPr>
          <w:spacing w:val="-5"/>
        </w:rPr>
        <w:t> </w:t>
      </w:r>
      <w:r>
        <w:rPr/>
        <w:t>on current scientific evidence, best clinical practices, and human rights considerations. </w:t>
      </w:r>
      <w:r>
        <w:rPr>
          <w:i/>
        </w:rPr>
        <w:t>World Psychiatry. </w:t>
      </w:r>
      <w:r>
        <w:rPr/>
        <w:t>2016</w:t>
      </w:r>
      <w:r>
        <w:rPr>
          <w:i/>
        </w:rPr>
        <w:t>;</w:t>
      </w:r>
      <w:r>
        <w:rPr/>
        <w:t>15(3):205-221. https://doi.org/ </w:t>
      </w:r>
      <w:r>
        <w:rPr>
          <w:spacing w:val="-2"/>
        </w:rPr>
        <w:t>10.1002/wps.20354</w:t>
      </w:r>
    </w:p>
    <w:p>
      <w:pPr>
        <w:spacing w:after="0"/>
        <w:sectPr>
          <w:pgSz w:w="12240" w:h="15840"/>
          <w:pgMar w:header="0" w:footer="783" w:top="1260" w:bottom="980" w:left="1400" w:right="1180"/>
        </w:sectPr>
      </w:pPr>
    </w:p>
    <w:p>
      <w:pPr>
        <w:pStyle w:val="BodyText"/>
        <w:spacing w:before="66"/>
        <w:ind w:left="640" w:right="502" w:hanging="360"/>
        <w:rPr>
          <w:i/>
        </w:rPr>
      </w:pPr>
      <w:r>
        <w:rPr/>
        <w:t>Sevelius</w:t>
      </w:r>
      <w:r>
        <w:rPr>
          <w:spacing w:val="-12"/>
        </w:rPr>
        <w:t> </w:t>
      </w:r>
      <w:r>
        <w:rPr/>
        <w:t>JM.</w:t>
      </w:r>
      <w:r>
        <w:rPr>
          <w:spacing w:val="-6"/>
        </w:rPr>
        <w:t> </w:t>
      </w:r>
      <w:r>
        <w:rPr/>
        <w:t>Gender</w:t>
      </w:r>
      <w:r>
        <w:rPr>
          <w:spacing w:val="-6"/>
        </w:rPr>
        <w:t> </w:t>
      </w:r>
      <w:r>
        <w:rPr/>
        <w:t>affirmation:</w:t>
      </w:r>
      <w:r>
        <w:rPr>
          <w:spacing w:val="-18"/>
        </w:rPr>
        <w:t> </w:t>
      </w:r>
      <w:r>
        <w:rPr/>
        <w:t>A</w:t>
      </w:r>
      <w:r>
        <w:rPr>
          <w:spacing w:val="-17"/>
        </w:rPr>
        <w:t> </w:t>
      </w:r>
      <w:r>
        <w:rPr/>
        <w:t>framework</w:t>
      </w:r>
      <w:r>
        <w:rPr>
          <w:spacing w:val="-6"/>
        </w:rPr>
        <w:t> </w:t>
      </w:r>
      <w:r>
        <w:rPr/>
        <w:t>for</w:t>
      </w:r>
      <w:r>
        <w:rPr>
          <w:spacing w:val="-6"/>
        </w:rPr>
        <w:t> </w:t>
      </w:r>
      <w:r>
        <w:rPr/>
        <w:t>conceptualizing</w:t>
      </w:r>
      <w:r>
        <w:rPr>
          <w:spacing w:val="-6"/>
        </w:rPr>
        <w:t> </w:t>
      </w:r>
      <w:r>
        <w:rPr/>
        <w:t>risk behavior among transgender women of color. </w:t>
      </w:r>
      <w:r>
        <w:rPr>
          <w:i/>
        </w:rPr>
        <w:t>Sex Roles.</w:t>
      </w:r>
    </w:p>
    <w:p>
      <w:pPr>
        <w:pStyle w:val="BodyText"/>
        <w:spacing w:line="318" w:lineRule="exact"/>
        <w:ind w:left="640"/>
      </w:pPr>
      <w:r>
        <w:rPr>
          <w:spacing w:val="-2"/>
        </w:rPr>
        <w:t>2013</w:t>
      </w:r>
      <w:r>
        <w:rPr>
          <w:i/>
          <w:spacing w:val="-2"/>
        </w:rPr>
        <w:t>;</w:t>
      </w:r>
      <w:r>
        <w:rPr>
          <w:spacing w:val="-2"/>
        </w:rPr>
        <w:t>68(11):675-689.</w:t>
      </w:r>
      <w:r>
        <w:rPr>
          <w:spacing w:val="61"/>
        </w:rPr>
        <w:t> </w:t>
      </w:r>
      <w:r>
        <w:rPr>
          <w:spacing w:val="-2"/>
        </w:rPr>
        <w:t>doi:10.1007/s11199012-0216-</w:t>
      </w:r>
      <w:r>
        <w:rPr>
          <w:spacing w:val="-10"/>
        </w:rPr>
        <w:t>5</w:t>
      </w:r>
    </w:p>
    <w:p>
      <w:pPr>
        <w:pStyle w:val="BodyText"/>
        <w:spacing w:before="2"/>
        <w:rPr>
          <w:sz w:val="26"/>
        </w:rPr>
      </w:pPr>
    </w:p>
    <w:p>
      <w:pPr>
        <w:pStyle w:val="BodyText"/>
        <w:ind w:left="640" w:right="502" w:hanging="360"/>
      </w:pPr>
      <w:r>
        <w:rPr/>
        <w:t>Hendricks ML, Testa RJ.</w:t>
      </w:r>
      <w:r>
        <w:rPr>
          <w:spacing w:val="-6"/>
        </w:rPr>
        <w:t> </w:t>
      </w:r>
      <w:r>
        <w:rPr/>
        <w:t>A</w:t>
      </w:r>
      <w:r>
        <w:rPr>
          <w:spacing w:val="-6"/>
        </w:rPr>
        <w:t> </w:t>
      </w:r>
      <w:r>
        <w:rPr/>
        <w:t>conceptual framework for clinical work with transgender and gender nonconforming clients:</w:t>
      </w:r>
      <w:r>
        <w:rPr>
          <w:spacing w:val="-2"/>
        </w:rPr>
        <w:t> </w:t>
      </w:r>
      <w:r>
        <w:rPr/>
        <w:t>An adaptation of the Minority</w:t>
      </w:r>
      <w:r>
        <w:rPr>
          <w:spacing w:val="-6"/>
        </w:rPr>
        <w:t> </w:t>
      </w:r>
      <w:r>
        <w:rPr/>
        <w:t>Stress</w:t>
      </w:r>
      <w:r>
        <w:rPr>
          <w:spacing w:val="-6"/>
        </w:rPr>
        <w:t> </w:t>
      </w:r>
      <w:r>
        <w:rPr/>
        <w:t>Model.</w:t>
      </w:r>
      <w:r>
        <w:rPr>
          <w:spacing w:val="-7"/>
        </w:rPr>
        <w:t> </w:t>
      </w:r>
      <w:r>
        <w:rPr>
          <w:i/>
        </w:rPr>
        <w:t>Prof</w:t>
      </w:r>
      <w:r>
        <w:rPr>
          <w:i/>
          <w:spacing w:val="-6"/>
        </w:rPr>
        <w:t> </w:t>
      </w:r>
      <w:r>
        <w:rPr>
          <w:i/>
        </w:rPr>
        <w:t>Psychol</w:t>
      </w:r>
      <w:r>
        <w:rPr>
          <w:i/>
          <w:spacing w:val="-6"/>
        </w:rPr>
        <w:t> </w:t>
      </w:r>
      <w:r>
        <w:rPr>
          <w:i/>
        </w:rPr>
        <w:t>Res</w:t>
      </w:r>
      <w:r>
        <w:rPr>
          <w:i/>
          <w:spacing w:val="-6"/>
        </w:rPr>
        <w:t> </w:t>
      </w:r>
      <w:r>
        <w:rPr>
          <w:i/>
        </w:rPr>
        <w:t>P</w:t>
      </w:r>
      <w:r>
        <w:rPr/>
        <w:t>.</w:t>
      </w:r>
      <w:r>
        <w:rPr>
          <w:spacing w:val="-6"/>
        </w:rPr>
        <w:t> </w:t>
      </w:r>
      <w:r>
        <w:rPr/>
        <w:t>2012;43(5):460-467.</w:t>
      </w:r>
      <w:r>
        <w:rPr>
          <w:spacing w:val="-6"/>
        </w:rPr>
        <w:t> </w:t>
      </w:r>
      <w:r>
        <w:rPr/>
        <w:t>https:// </w:t>
      </w:r>
      <w:r>
        <w:rPr>
          <w:spacing w:val="-2"/>
        </w:rPr>
        <w:t>doi.org/10.1037/a0029597</w:t>
      </w:r>
    </w:p>
    <w:p>
      <w:pPr>
        <w:pStyle w:val="BodyText"/>
        <w:spacing w:before="7"/>
        <w:rPr>
          <w:sz w:val="25"/>
        </w:rPr>
      </w:pPr>
    </w:p>
    <w:p>
      <w:pPr>
        <w:pStyle w:val="BodyText"/>
        <w:spacing w:before="1"/>
        <w:ind w:left="640" w:right="502" w:hanging="360"/>
      </w:pPr>
      <w:r>
        <w:rPr/>
        <w:t>Kuper</w:t>
      </w:r>
      <w:r>
        <w:rPr>
          <w:spacing w:val="-4"/>
        </w:rPr>
        <w:t> </w:t>
      </w:r>
      <w:r>
        <w:rPr/>
        <w:t>LE,</w:t>
      </w:r>
      <w:r>
        <w:rPr>
          <w:spacing w:val="-4"/>
        </w:rPr>
        <w:t> </w:t>
      </w:r>
      <w:r>
        <w:rPr/>
        <w:t>Stewart</w:t>
      </w:r>
      <w:r>
        <w:rPr>
          <w:spacing w:val="-4"/>
        </w:rPr>
        <w:t> </w:t>
      </w:r>
      <w:r>
        <w:rPr/>
        <w:t>S,</w:t>
      </w:r>
      <w:r>
        <w:rPr>
          <w:spacing w:val="-4"/>
        </w:rPr>
        <w:t> </w:t>
      </w:r>
      <w:r>
        <w:rPr/>
        <w:t>Preston</w:t>
      </w:r>
      <w:r>
        <w:rPr>
          <w:spacing w:val="-4"/>
        </w:rPr>
        <w:t> </w:t>
      </w:r>
      <w:r>
        <w:rPr/>
        <w:t>S,</w:t>
      </w:r>
      <w:r>
        <w:rPr>
          <w:spacing w:val="-4"/>
        </w:rPr>
        <w:t> </w:t>
      </w:r>
      <w:r>
        <w:rPr/>
        <w:t>Lau</w:t>
      </w:r>
      <w:r>
        <w:rPr>
          <w:spacing w:val="-4"/>
        </w:rPr>
        <w:t> </w:t>
      </w:r>
      <w:r>
        <w:rPr/>
        <w:t>M,</w:t>
      </w:r>
      <w:r>
        <w:rPr>
          <w:spacing w:val="-4"/>
        </w:rPr>
        <w:t> </w:t>
      </w:r>
      <w:r>
        <w:rPr/>
        <w:t>Lopez</w:t>
      </w:r>
      <w:r>
        <w:rPr>
          <w:spacing w:val="-5"/>
        </w:rPr>
        <w:t> </w:t>
      </w:r>
      <w:r>
        <w:rPr/>
        <w:t>X.</w:t>
      </w:r>
      <w:r>
        <w:rPr>
          <w:spacing w:val="-4"/>
        </w:rPr>
        <w:t> </w:t>
      </w:r>
      <w:r>
        <w:rPr/>
        <w:t>Body</w:t>
      </w:r>
      <w:r>
        <w:rPr>
          <w:spacing w:val="-4"/>
        </w:rPr>
        <w:t> </w:t>
      </w:r>
      <w:r>
        <w:rPr/>
        <w:t>dissatisfaction</w:t>
      </w:r>
      <w:r>
        <w:rPr>
          <w:spacing w:val="-4"/>
        </w:rPr>
        <w:t> </w:t>
      </w:r>
      <w:r>
        <w:rPr/>
        <w:t>and mental</w:t>
      </w:r>
      <w:r>
        <w:rPr>
          <w:spacing w:val="-1"/>
        </w:rPr>
        <w:t> </w:t>
      </w:r>
      <w:r>
        <w:rPr/>
        <w:t>health</w:t>
      </w:r>
      <w:r>
        <w:rPr>
          <w:spacing w:val="-1"/>
        </w:rPr>
        <w:t> </w:t>
      </w:r>
      <w:r>
        <w:rPr/>
        <w:t>outcomes</w:t>
      </w:r>
      <w:r>
        <w:rPr>
          <w:spacing w:val="-1"/>
        </w:rPr>
        <w:t> </w:t>
      </w:r>
      <w:r>
        <w:rPr/>
        <w:t>of</w:t>
      </w:r>
      <w:r>
        <w:rPr>
          <w:spacing w:val="-1"/>
        </w:rPr>
        <w:t> </w:t>
      </w:r>
      <w:r>
        <w:rPr/>
        <w:t>youth</w:t>
      </w:r>
      <w:r>
        <w:rPr>
          <w:spacing w:val="-1"/>
        </w:rPr>
        <w:t> </w:t>
      </w:r>
      <w:r>
        <w:rPr/>
        <w:t>on</w:t>
      </w:r>
      <w:r>
        <w:rPr>
          <w:spacing w:val="-1"/>
        </w:rPr>
        <w:t> </w:t>
      </w:r>
      <w:r>
        <w:rPr/>
        <w:t>gender-affirming</w:t>
      </w:r>
      <w:r>
        <w:rPr>
          <w:spacing w:val="-1"/>
        </w:rPr>
        <w:t> </w:t>
      </w:r>
      <w:r>
        <w:rPr/>
        <w:t>hormone</w:t>
      </w:r>
      <w:r>
        <w:rPr>
          <w:spacing w:val="-2"/>
        </w:rPr>
        <w:t> </w:t>
      </w:r>
      <w:r>
        <w:rPr/>
        <w:t>therapy.</w:t>
      </w:r>
    </w:p>
    <w:p>
      <w:pPr>
        <w:pStyle w:val="BodyText"/>
        <w:spacing w:line="237" w:lineRule="auto"/>
        <w:ind w:left="640" w:right="2240"/>
      </w:pPr>
      <w:r>
        <w:rPr>
          <w:i/>
        </w:rPr>
        <w:t>Pediatrics</w:t>
      </w:r>
      <w:r>
        <w:rPr/>
        <w:t>.</w:t>
      </w:r>
      <w:r>
        <w:rPr>
          <w:spacing w:val="-18"/>
        </w:rPr>
        <w:t> </w:t>
      </w:r>
      <w:r>
        <w:rPr/>
        <w:t>2020;145(4):e20193006.</w:t>
      </w:r>
      <w:r>
        <w:rPr>
          <w:spacing w:val="-17"/>
        </w:rPr>
        <w:t> </w:t>
      </w:r>
      <w:r>
        <w:rPr/>
        <w:t>https://doi.org/10.1542/ </w:t>
      </w:r>
      <w:r>
        <w:rPr>
          <w:spacing w:val="-2"/>
        </w:rPr>
        <w:t>peds.2019-3006</w:t>
      </w:r>
    </w:p>
    <w:p>
      <w:pPr>
        <w:pStyle w:val="BodyText"/>
        <w:spacing w:before="2"/>
        <w:rPr>
          <w:sz w:val="26"/>
        </w:rPr>
      </w:pPr>
    </w:p>
    <w:p>
      <w:pPr>
        <w:pStyle w:val="BodyText"/>
        <w:ind w:left="640" w:right="502" w:hanging="360"/>
      </w:pPr>
      <w:r>
        <w:rPr/>
        <w:t>Costa R, Colizzi M. The effect of cross-sex hormonal treatment on gender dysphoria</w:t>
      </w:r>
      <w:r>
        <w:rPr>
          <w:spacing w:val="-17"/>
        </w:rPr>
        <w:t> </w:t>
      </w:r>
      <w:r>
        <w:rPr/>
        <w:t>individuals’</w:t>
      </w:r>
      <w:r>
        <w:rPr>
          <w:spacing w:val="-21"/>
        </w:rPr>
        <w:t> </w:t>
      </w:r>
      <w:r>
        <w:rPr/>
        <w:t>mental</w:t>
      </w:r>
      <w:r>
        <w:rPr>
          <w:spacing w:val="-10"/>
        </w:rPr>
        <w:t> </w:t>
      </w:r>
      <w:r>
        <w:rPr/>
        <w:t>health:</w:t>
      </w:r>
      <w:r>
        <w:rPr>
          <w:spacing w:val="-10"/>
        </w:rPr>
        <w:t> </w:t>
      </w:r>
      <w:r>
        <w:rPr/>
        <w:t>a</w:t>
      </w:r>
      <w:r>
        <w:rPr>
          <w:spacing w:val="-11"/>
        </w:rPr>
        <w:t> </w:t>
      </w:r>
      <w:r>
        <w:rPr/>
        <w:t>systematic</w:t>
      </w:r>
      <w:r>
        <w:rPr>
          <w:spacing w:val="-11"/>
        </w:rPr>
        <w:t> </w:t>
      </w:r>
      <w:r>
        <w:rPr/>
        <w:t>review.</w:t>
      </w:r>
      <w:r>
        <w:rPr>
          <w:spacing w:val="-11"/>
        </w:rPr>
        <w:t> </w:t>
      </w:r>
      <w:r>
        <w:rPr>
          <w:i/>
        </w:rPr>
        <w:t>Neuropsychiatr</w:t>
      </w:r>
      <w:r>
        <w:rPr>
          <w:i/>
        </w:rPr>
        <w:t> Dis Treat</w:t>
      </w:r>
      <w:r>
        <w:rPr/>
        <w:t>. 2016;12:1953-1966. https://doi.org/10.2147/NDT.S95310</w:t>
      </w:r>
    </w:p>
    <w:p>
      <w:pPr>
        <w:pStyle w:val="BodyText"/>
        <w:spacing w:before="10"/>
        <w:rPr>
          <w:sz w:val="25"/>
        </w:rPr>
      </w:pPr>
    </w:p>
    <w:p>
      <w:pPr>
        <w:pStyle w:val="BodyText"/>
        <w:ind w:left="640" w:right="544" w:hanging="360"/>
      </w:pPr>
      <w:r>
        <w:rPr/>
        <w:t>Kuper LE, Nussbaum R, Mustanski B. Exploring the diversity of gender and sexual</w:t>
      </w:r>
      <w:r>
        <w:rPr>
          <w:spacing w:val="-4"/>
        </w:rPr>
        <w:t> </w:t>
      </w:r>
      <w:r>
        <w:rPr/>
        <w:t>orientation</w:t>
      </w:r>
      <w:r>
        <w:rPr>
          <w:spacing w:val="-4"/>
        </w:rPr>
        <w:t> </w:t>
      </w:r>
      <w:r>
        <w:rPr/>
        <w:t>identities</w:t>
      </w:r>
      <w:r>
        <w:rPr>
          <w:spacing w:val="-4"/>
        </w:rPr>
        <w:t> </w:t>
      </w:r>
      <w:r>
        <w:rPr/>
        <w:t>in</w:t>
      </w:r>
      <w:r>
        <w:rPr>
          <w:spacing w:val="-4"/>
        </w:rPr>
        <w:t> </w:t>
      </w:r>
      <w:r>
        <w:rPr/>
        <w:t>an</w:t>
      </w:r>
      <w:r>
        <w:rPr>
          <w:spacing w:val="-4"/>
        </w:rPr>
        <w:t> </w:t>
      </w:r>
      <w:r>
        <w:rPr/>
        <w:t>online</w:t>
      </w:r>
      <w:r>
        <w:rPr>
          <w:spacing w:val="-5"/>
        </w:rPr>
        <w:t> </w:t>
      </w:r>
      <w:r>
        <w:rPr/>
        <w:t>sample</w:t>
      </w:r>
      <w:r>
        <w:rPr>
          <w:spacing w:val="-5"/>
        </w:rPr>
        <w:t> </w:t>
      </w:r>
      <w:r>
        <w:rPr/>
        <w:t>of</w:t>
      </w:r>
      <w:r>
        <w:rPr>
          <w:spacing w:val="-4"/>
        </w:rPr>
        <w:t> </w:t>
      </w:r>
      <w:r>
        <w:rPr/>
        <w:t>transgender</w:t>
      </w:r>
      <w:r>
        <w:rPr>
          <w:spacing w:val="-4"/>
        </w:rPr>
        <w:t> </w:t>
      </w:r>
      <w:r>
        <w:rPr/>
        <w:t>individuals. </w:t>
      </w:r>
      <w:r>
        <w:rPr>
          <w:i/>
        </w:rPr>
        <w:t>J Sex Res</w:t>
      </w:r>
      <w:r>
        <w:rPr/>
        <w:t>. 2012;49(2-3):244-254. https://doi.org/ 10.1080/00224499.2011.59695 4</w:t>
      </w:r>
    </w:p>
    <w:p>
      <w:pPr>
        <w:pStyle w:val="BodyText"/>
        <w:spacing w:before="7"/>
        <w:rPr>
          <w:sz w:val="25"/>
        </w:rPr>
      </w:pPr>
    </w:p>
    <w:p>
      <w:pPr>
        <w:pStyle w:val="BodyText"/>
        <w:spacing w:line="321" w:lineRule="exact"/>
        <w:ind w:left="280"/>
      </w:pPr>
      <w:r>
        <w:rPr/>
        <w:t>Wilson</w:t>
      </w:r>
      <w:r>
        <w:rPr>
          <w:spacing w:val="-5"/>
        </w:rPr>
        <w:t> </w:t>
      </w:r>
      <w:r>
        <w:rPr/>
        <w:t>BDM,</w:t>
      </w:r>
      <w:r>
        <w:rPr>
          <w:spacing w:val="-2"/>
        </w:rPr>
        <w:t> </w:t>
      </w:r>
      <w:r>
        <w:rPr/>
        <w:t>Meyer</w:t>
      </w:r>
      <w:r>
        <w:rPr>
          <w:spacing w:val="-2"/>
        </w:rPr>
        <w:t> </w:t>
      </w:r>
      <w:r>
        <w:rPr/>
        <w:t>IH.</w:t>
      </w:r>
      <w:r>
        <w:rPr>
          <w:spacing w:val="-2"/>
        </w:rPr>
        <w:t> </w:t>
      </w:r>
      <w:r>
        <w:rPr/>
        <w:t>Nonbinary</w:t>
      </w:r>
      <w:r>
        <w:rPr>
          <w:spacing w:val="-2"/>
        </w:rPr>
        <w:t> </w:t>
      </w:r>
      <w:r>
        <w:rPr/>
        <w:t>LGBTQ</w:t>
      </w:r>
      <w:r>
        <w:rPr>
          <w:spacing w:val="-2"/>
        </w:rPr>
        <w:t> </w:t>
      </w:r>
      <w:r>
        <w:rPr/>
        <w:t>adults</w:t>
      </w:r>
      <w:r>
        <w:rPr>
          <w:spacing w:val="-2"/>
        </w:rPr>
        <w:t> </w:t>
      </w:r>
      <w:r>
        <w:rPr/>
        <w:t>in</w:t>
      </w:r>
      <w:r>
        <w:rPr>
          <w:spacing w:val="-2"/>
        </w:rPr>
        <w:t> </w:t>
      </w:r>
      <w:r>
        <w:rPr/>
        <w:t>the</w:t>
      </w:r>
      <w:r>
        <w:rPr>
          <w:spacing w:val="-3"/>
        </w:rPr>
        <w:t> </w:t>
      </w:r>
      <w:r>
        <w:rPr/>
        <w:t>United</w:t>
      </w:r>
      <w:r>
        <w:rPr>
          <w:spacing w:val="-2"/>
        </w:rPr>
        <w:t> States.</w:t>
      </w:r>
    </w:p>
    <w:p>
      <w:pPr>
        <w:pStyle w:val="BodyText"/>
        <w:ind w:left="640"/>
      </w:pPr>
      <w:r>
        <w:rPr/>
        <w:t>Williams Institute; 2021.</w:t>
      </w:r>
      <w:r>
        <w:rPr>
          <w:spacing w:val="-1"/>
        </w:rPr>
        <w:t> </w:t>
      </w:r>
      <w:r>
        <w:rPr/>
        <w:t>Accessed February 13, 2022. https:// </w:t>
      </w:r>
      <w:r>
        <w:rPr>
          <w:spacing w:val="-2"/>
        </w:rPr>
        <w:t>williamsinstitute.law.ucla.edu/publicatio ns/nonbinary-lgbtq-adults-us</w:t>
      </w:r>
    </w:p>
    <w:p>
      <w:pPr>
        <w:pStyle w:val="BodyText"/>
        <w:spacing w:before="11"/>
        <w:rPr>
          <w:sz w:val="25"/>
        </w:rPr>
      </w:pPr>
    </w:p>
    <w:p>
      <w:pPr>
        <w:pStyle w:val="BodyText"/>
        <w:ind w:left="640" w:right="502" w:hanging="360"/>
      </w:pPr>
      <w:r>
        <w:rPr/>
        <w:t>Taylor J, Zalewska</w:t>
      </w:r>
      <w:r>
        <w:rPr>
          <w:spacing w:val="-8"/>
        </w:rPr>
        <w:t> </w:t>
      </w:r>
      <w:r>
        <w:rPr/>
        <w:t>A, Gates JJ, Millon G.</w:t>
      </w:r>
      <w:r>
        <w:rPr>
          <w:spacing w:val="-8"/>
        </w:rPr>
        <w:t> </w:t>
      </w:r>
      <w:r>
        <w:rPr/>
        <w:t>An exploration of the lived experiences</w:t>
      </w:r>
      <w:r>
        <w:rPr>
          <w:spacing w:val="-4"/>
        </w:rPr>
        <w:t> </w:t>
      </w:r>
      <w:r>
        <w:rPr/>
        <w:t>of</w:t>
      </w:r>
      <w:r>
        <w:rPr>
          <w:spacing w:val="-4"/>
        </w:rPr>
        <w:t> </w:t>
      </w:r>
      <w:r>
        <w:rPr/>
        <w:t>non-binary</w:t>
      </w:r>
      <w:r>
        <w:rPr>
          <w:spacing w:val="-4"/>
        </w:rPr>
        <w:t> </w:t>
      </w:r>
      <w:r>
        <w:rPr/>
        <w:t>individuals</w:t>
      </w:r>
      <w:r>
        <w:rPr>
          <w:spacing w:val="-4"/>
        </w:rPr>
        <w:t> </w:t>
      </w:r>
      <w:r>
        <w:rPr/>
        <w:t>who</w:t>
      </w:r>
      <w:r>
        <w:rPr>
          <w:spacing w:val="-4"/>
        </w:rPr>
        <w:t> </w:t>
      </w:r>
      <w:r>
        <w:rPr/>
        <w:t>have</w:t>
      </w:r>
      <w:r>
        <w:rPr>
          <w:spacing w:val="-5"/>
        </w:rPr>
        <w:t> </w:t>
      </w:r>
      <w:r>
        <w:rPr/>
        <w:t>presented</w:t>
      </w:r>
      <w:r>
        <w:rPr>
          <w:spacing w:val="-4"/>
        </w:rPr>
        <w:t> </w:t>
      </w:r>
      <w:r>
        <w:rPr/>
        <w:t>at</w:t>
      </w:r>
      <w:r>
        <w:rPr>
          <w:spacing w:val="-4"/>
        </w:rPr>
        <w:t> </w:t>
      </w:r>
      <w:r>
        <w:rPr/>
        <w:t>a</w:t>
      </w:r>
      <w:r>
        <w:rPr>
          <w:spacing w:val="-5"/>
        </w:rPr>
        <w:t> </w:t>
      </w:r>
      <w:r>
        <w:rPr/>
        <w:t>gender identity clinic in the United Kingdom. </w:t>
      </w:r>
      <w:r>
        <w:rPr>
          <w:i/>
        </w:rPr>
        <w:t>Int J Transgend</w:t>
      </w:r>
      <w:r>
        <w:rPr/>
        <w:t>.</w:t>
      </w:r>
    </w:p>
    <w:p>
      <w:pPr>
        <w:pStyle w:val="BodyText"/>
        <w:spacing w:line="316" w:lineRule="exact"/>
        <w:ind w:left="640"/>
      </w:pPr>
      <w:r>
        <w:rPr/>
        <w:t>2019;20(2-3):195-204.</w:t>
      </w:r>
      <w:r>
        <w:rPr>
          <w:spacing w:val="-6"/>
        </w:rPr>
        <w:t> </w:t>
      </w:r>
      <w:r>
        <w:rPr/>
        <w:t>https://doi.org/10.1080/15532739.2018.1445</w:t>
      </w:r>
      <w:r>
        <w:rPr>
          <w:spacing w:val="-3"/>
        </w:rPr>
        <w:t> </w:t>
      </w:r>
      <w:r>
        <w:rPr>
          <w:spacing w:val="-5"/>
        </w:rPr>
        <w:t>056</w:t>
      </w:r>
    </w:p>
    <w:p>
      <w:pPr>
        <w:pStyle w:val="BodyText"/>
        <w:spacing w:before="2"/>
        <w:rPr>
          <w:sz w:val="26"/>
        </w:rPr>
      </w:pPr>
    </w:p>
    <w:p>
      <w:pPr>
        <w:pStyle w:val="BodyText"/>
        <w:ind w:left="640" w:right="691" w:hanging="360"/>
      </w:pPr>
      <w:r>
        <w:rPr/>
        <w:t>Matsuno</w:t>
      </w:r>
      <w:r>
        <w:rPr>
          <w:spacing w:val="-8"/>
        </w:rPr>
        <w:t> </w:t>
      </w:r>
      <w:r>
        <w:rPr/>
        <w:t>E,</w:t>
      </w:r>
      <w:r>
        <w:rPr>
          <w:spacing w:val="-5"/>
        </w:rPr>
        <w:t> </w:t>
      </w:r>
      <w:r>
        <w:rPr/>
        <w:t>Budge</w:t>
      </w:r>
      <w:r>
        <w:rPr>
          <w:spacing w:val="-6"/>
        </w:rPr>
        <w:t> </w:t>
      </w:r>
      <w:r>
        <w:rPr/>
        <w:t>SL.</w:t>
      </w:r>
      <w:r>
        <w:rPr>
          <w:spacing w:val="-5"/>
        </w:rPr>
        <w:t> </w:t>
      </w:r>
      <w:r>
        <w:rPr/>
        <w:t>Nonbinary/genderqueer</w:t>
      </w:r>
      <w:r>
        <w:rPr>
          <w:spacing w:val="-5"/>
        </w:rPr>
        <w:t> </w:t>
      </w:r>
      <w:r>
        <w:rPr/>
        <w:t>identities:</w:t>
      </w:r>
      <w:r>
        <w:rPr>
          <w:spacing w:val="-18"/>
        </w:rPr>
        <w:t> </w:t>
      </w:r>
      <w:r>
        <w:rPr/>
        <w:t>A</w:t>
      </w:r>
      <w:r>
        <w:rPr>
          <w:spacing w:val="-17"/>
        </w:rPr>
        <w:t> </w:t>
      </w:r>
      <w:r>
        <w:rPr/>
        <w:t>critical</w:t>
      </w:r>
      <w:r>
        <w:rPr>
          <w:spacing w:val="-5"/>
        </w:rPr>
        <w:t> </w:t>
      </w:r>
      <w:r>
        <w:rPr/>
        <w:t>review</w:t>
      </w:r>
      <w:r>
        <w:rPr>
          <w:spacing w:val="-5"/>
        </w:rPr>
        <w:t> </w:t>
      </w:r>
      <w:r>
        <w:rPr/>
        <w:t>of the literature. </w:t>
      </w:r>
      <w:r>
        <w:rPr>
          <w:i/>
        </w:rPr>
        <w:t>Curr Sex Health Rep</w:t>
      </w:r>
      <w:r>
        <w:rPr/>
        <w:t>. 2017;9:1167-120. </w:t>
      </w:r>
      <w:hyperlink r:id="rId97">
        <w:r>
          <w:rPr/>
          <w:t>http://doi.org/</w:t>
        </w:r>
      </w:hyperlink>
      <w:r>
        <w:rPr/>
        <w:t> </w:t>
      </w:r>
      <w:r>
        <w:rPr>
          <w:spacing w:val="-2"/>
        </w:rPr>
        <w:t>10.1007/s11930-017-0111-8</w:t>
      </w:r>
    </w:p>
    <w:p>
      <w:pPr>
        <w:pStyle w:val="BodyText"/>
        <w:spacing w:before="9"/>
        <w:rPr>
          <w:sz w:val="25"/>
        </w:rPr>
      </w:pPr>
    </w:p>
    <w:p>
      <w:pPr>
        <w:pStyle w:val="BodyText"/>
        <w:spacing w:before="1"/>
        <w:ind w:left="640" w:right="1145" w:hanging="360"/>
        <w:jc w:val="both"/>
      </w:pPr>
      <w:r>
        <w:rPr/>
        <w:t>Gülgöz S, Edwards DL, Olson KR. Between a boy and a girl: Measuring gender</w:t>
      </w:r>
      <w:r>
        <w:rPr>
          <w:spacing w:val="-7"/>
        </w:rPr>
        <w:t> </w:t>
      </w:r>
      <w:r>
        <w:rPr/>
        <w:t>identity</w:t>
      </w:r>
      <w:r>
        <w:rPr>
          <w:spacing w:val="-7"/>
        </w:rPr>
        <w:t> </w:t>
      </w:r>
      <w:r>
        <w:rPr/>
        <w:t>on</w:t>
      </w:r>
      <w:r>
        <w:rPr>
          <w:spacing w:val="-7"/>
        </w:rPr>
        <w:t> </w:t>
      </w:r>
      <w:r>
        <w:rPr/>
        <w:t>a</w:t>
      </w:r>
      <w:r>
        <w:rPr>
          <w:spacing w:val="-8"/>
        </w:rPr>
        <w:t> </w:t>
      </w:r>
      <w:r>
        <w:rPr>
          <w:color w:val="0F0F0F"/>
        </w:rPr>
        <w:t>continuum.</w:t>
      </w:r>
      <w:r>
        <w:rPr>
          <w:color w:val="0F0F0F"/>
          <w:spacing w:val="-8"/>
        </w:rPr>
        <w:t> </w:t>
      </w:r>
      <w:r>
        <w:rPr>
          <w:i/>
          <w:color w:val="0F0F0F"/>
        </w:rPr>
        <w:t>Soc</w:t>
      </w:r>
      <w:r>
        <w:rPr>
          <w:i/>
          <w:color w:val="0F0F0F"/>
          <w:spacing w:val="-8"/>
        </w:rPr>
        <w:t> </w:t>
      </w:r>
      <w:r>
        <w:rPr>
          <w:i/>
          <w:color w:val="0F0F0F"/>
        </w:rPr>
        <w:t>Dev.</w:t>
      </w:r>
      <w:r>
        <w:rPr>
          <w:i/>
          <w:color w:val="0F0F0F"/>
          <w:spacing w:val="-7"/>
        </w:rPr>
        <w:t> </w:t>
      </w:r>
      <w:r>
        <w:rPr>
          <w:i/>
          <w:color w:val="0F0F0F"/>
        </w:rPr>
        <w:t>2022;31</w:t>
      </w:r>
      <w:r>
        <w:rPr>
          <w:color w:val="0F0F0F"/>
        </w:rPr>
        <w:t>(3):916-929.</w:t>
      </w:r>
      <w:r>
        <w:rPr>
          <w:color w:val="0F0F0F"/>
          <w:spacing w:val="-7"/>
        </w:rPr>
        <w:t> </w:t>
      </w:r>
      <w:r>
        <w:rPr>
          <w:color w:val="0F0F0F"/>
        </w:rPr>
        <w:t>https:// </w:t>
      </w:r>
      <w:r>
        <w:rPr>
          <w:color w:val="0F0F0F"/>
          <w:spacing w:val="-2"/>
        </w:rPr>
        <w:t>doi.org/10.1111/sode.12587</w:t>
      </w:r>
    </w:p>
    <w:p>
      <w:pPr>
        <w:pStyle w:val="BodyText"/>
        <w:spacing w:before="3"/>
        <w:rPr>
          <w:sz w:val="27"/>
        </w:rPr>
      </w:pPr>
    </w:p>
    <w:p>
      <w:pPr>
        <w:pStyle w:val="BodyText"/>
        <w:ind w:left="640" w:right="668" w:hanging="360"/>
      </w:pPr>
      <w:r>
        <w:rPr/>
        <w:t>Harrison J, Grant J, Herman JL.</w:t>
      </w:r>
      <w:r>
        <w:rPr>
          <w:spacing w:val="-6"/>
        </w:rPr>
        <w:t> </w:t>
      </w:r>
      <w:r>
        <w:rPr/>
        <w:t>A</w:t>
      </w:r>
      <w:r>
        <w:rPr>
          <w:spacing w:val="-6"/>
        </w:rPr>
        <w:t> </w:t>
      </w:r>
      <w:r>
        <w:rPr/>
        <w:t>gender not listed here: Genderqueers, gender</w:t>
      </w:r>
      <w:r>
        <w:rPr>
          <w:spacing w:val="-6"/>
        </w:rPr>
        <w:t> </w:t>
      </w:r>
      <w:r>
        <w:rPr/>
        <w:t>rebels</w:t>
      </w:r>
      <w:r>
        <w:rPr>
          <w:spacing w:val="-6"/>
        </w:rPr>
        <w:t> </w:t>
      </w:r>
      <w:r>
        <w:rPr/>
        <w:t>and</w:t>
      </w:r>
      <w:r>
        <w:rPr>
          <w:spacing w:val="-6"/>
        </w:rPr>
        <w:t> </w:t>
      </w:r>
      <w:r>
        <w:rPr/>
        <w:t>otherwise</w:t>
      </w:r>
      <w:r>
        <w:rPr>
          <w:spacing w:val="-7"/>
        </w:rPr>
        <w:t> </w:t>
      </w:r>
      <w:r>
        <w:rPr/>
        <w:t>in</w:t>
      </w:r>
      <w:r>
        <w:rPr>
          <w:spacing w:val="-6"/>
        </w:rPr>
        <w:t> </w:t>
      </w:r>
      <w:r>
        <w:rPr/>
        <w:t>the</w:t>
      </w:r>
      <w:r>
        <w:rPr>
          <w:spacing w:val="-7"/>
        </w:rPr>
        <w:t> </w:t>
      </w:r>
      <w:r>
        <w:rPr/>
        <w:t>National</w:t>
      </w:r>
      <w:r>
        <w:rPr>
          <w:spacing w:val="-12"/>
        </w:rPr>
        <w:t> </w:t>
      </w:r>
      <w:r>
        <w:rPr/>
        <w:t>Transgender</w:t>
      </w:r>
      <w:r>
        <w:rPr>
          <w:spacing w:val="-6"/>
        </w:rPr>
        <w:t> </w:t>
      </w:r>
      <w:r>
        <w:rPr/>
        <w:t>Discrimination</w:t>
      </w:r>
    </w:p>
    <w:p>
      <w:pPr>
        <w:spacing w:after="0"/>
        <w:sectPr>
          <w:pgSz w:w="12240" w:h="15840"/>
          <w:pgMar w:header="0" w:footer="783" w:top="1260" w:bottom="980" w:left="1400" w:right="1180"/>
        </w:sectPr>
      </w:pPr>
    </w:p>
    <w:p>
      <w:pPr>
        <w:pStyle w:val="BodyText"/>
        <w:spacing w:before="66"/>
        <w:ind w:left="640" w:right="1697"/>
      </w:pPr>
      <w:r>
        <w:rPr/>
        <w:t>Survey.</w:t>
      </w:r>
      <w:r>
        <w:rPr>
          <w:spacing w:val="-18"/>
        </w:rPr>
        <w:t> </w:t>
      </w:r>
      <w:r>
        <w:rPr/>
        <w:t>2012.</w:t>
      </w:r>
      <w:r>
        <w:rPr>
          <w:spacing w:val="-17"/>
        </w:rPr>
        <w:t> </w:t>
      </w:r>
      <w:r>
        <w:rPr/>
        <w:t>https://williamsinstitute.law.ucla.edu/publicatio</w:t>
      </w:r>
      <w:r>
        <w:rPr>
          <w:spacing w:val="-18"/>
        </w:rPr>
        <w:t> </w:t>
      </w:r>
      <w:r>
        <w:rPr/>
        <w:t>ns/ genderqueers-genderrebels-ntds. Accessed February 13, 2022.</w:t>
      </w:r>
    </w:p>
    <w:p>
      <w:pPr>
        <w:pStyle w:val="BodyText"/>
        <w:rPr>
          <w:sz w:val="26"/>
        </w:rPr>
      </w:pPr>
    </w:p>
    <w:p>
      <w:pPr>
        <w:spacing w:before="0"/>
        <w:ind w:left="640" w:right="502" w:hanging="360"/>
        <w:jc w:val="left"/>
        <w:rPr>
          <w:sz w:val="28"/>
        </w:rPr>
      </w:pPr>
      <w:r>
        <w:rPr>
          <w:sz w:val="28"/>
        </w:rPr>
        <w:t>Gill-Peterson</w:t>
      </w:r>
      <w:r>
        <w:rPr>
          <w:spacing w:val="-5"/>
          <w:sz w:val="28"/>
        </w:rPr>
        <w:t> </w:t>
      </w:r>
      <w:r>
        <w:rPr>
          <w:sz w:val="28"/>
        </w:rPr>
        <w:t>J.</w:t>
      </w:r>
      <w:r>
        <w:rPr>
          <w:spacing w:val="-5"/>
          <w:sz w:val="28"/>
        </w:rPr>
        <w:t> </w:t>
      </w:r>
      <w:r>
        <w:rPr>
          <w:i/>
          <w:sz w:val="28"/>
        </w:rPr>
        <w:t>Histories</w:t>
      </w:r>
      <w:r>
        <w:rPr>
          <w:i/>
          <w:spacing w:val="-5"/>
          <w:sz w:val="28"/>
        </w:rPr>
        <w:t> </w:t>
      </w:r>
      <w:r>
        <w:rPr>
          <w:i/>
          <w:sz w:val="28"/>
        </w:rPr>
        <w:t>of</w:t>
      </w:r>
      <w:r>
        <w:rPr>
          <w:i/>
          <w:spacing w:val="-5"/>
          <w:sz w:val="28"/>
        </w:rPr>
        <w:t> </w:t>
      </w:r>
      <w:r>
        <w:rPr>
          <w:i/>
          <w:sz w:val="28"/>
        </w:rPr>
        <w:t>the</w:t>
      </w:r>
      <w:r>
        <w:rPr>
          <w:i/>
          <w:spacing w:val="-5"/>
          <w:sz w:val="28"/>
        </w:rPr>
        <w:t> </w:t>
      </w:r>
      <w:r>
        <w:rPr>
          <w:i/>
          <w:sz w:val="28"/>
        </w:rPr>
        <w:t>transgender</w:t>
      </w:r>
      <w:r>
        <w:rPr>
          <w:i/>
          <w:spacing w:val="-5"/>
          <w:sz w:val="28"/>
        </w:rPr>
        <w:t> </w:t>
      </w:r>
      <w:r>
        <w:rPr>
          <w:i/>
          <w:sz w:val="28"/>
        </w:rPr>
        <w:t>child</w:t>
      </w:r>
      <w:r>
        <w:rPr>
          <w:sz w:val="28"/>
        </w:rPr>
        <w:t>.</w:t>
      </w:r>
      <w:r>
        <w:rPr>
          <w:spacing w:val="-5"/>
          <w:sz w:val="28"/>
        </w:rPr>
        <w:t> </w:t>
      </w:r>
      <w:r>
        <w:rPr>
          <w:sz w:val="28"/>
        </w:rPr>
        <w:t>University</w:t>
      </w:r>
      <w:r>
        <w:rPr>
          <w:spacing w:val="-5"/>
          <w:sz w:val="28"/>
        </w:rPr>
        <w:t> </w:t>
      </w:r>
      <w:r>
        <w:rPr>
          <w:sz w:val="28"/>
        </w:rPr>
        <w:t>of</w:t>
      </w:r>
      <w:r>
        <w:rPr>
          <w:spacing w:val="-5"/>
          <w:sz w:val="28"/>
        </w:rPr>
        <w:t> </w:t>
      </w:r>
      <w:r>
        <w:rPr>
          <w:sz w:val="28"/>
        </w:rPr>
        <w:t>Minnesota Press; 2018.</w:t>
      </w:r>
    </w:p>
    <w:p>
      <w:pPr>
        <w:pStyle w:val="BodyText"/>
        <w:rPr>
          <w:sz w:val="26"/>
        </w:rPr>
      </w:pPr>
    </w:p>
    <w:p>
      <w:pPr>
        <w:spacing w:before="0"/>
        <w:ind w:left="640" w:right="502" w:hanging="360"/>
        <w:jc w:val="left"/>
        <w:rPr>
          <w:sz w:val="28"/>
        </w:rPr>
      </w:pPr>
      <w:r>
        <w:rPr>
          <w:sz w:val="28"/>
        </w:rPr>
        <w:t>McNabb</w:t>
      </w:r>
      <w:r>
        <w:rPr>
          <w:spacing w:val="-11"/>
          <w:sz w:val="28"/>
        </w:rPr>
        <w:t> </w:t>
      </w:r>
      <w:r>
        <w:rPr>
          <w:sz w:val="28"/>
        </w:rPr>
        <w:t>C.</w:t>
      </w:r>
      <w:r>
        <w:rPr>
          <w:spacing w:val="-11"/>
          <w:sz w:val="28"/>
        </w:rPr>
        <w:t> </w:t>
      </w:r>
      <w:r>
        <w:rPr>
          <w:i/>
          <w:sz w:val="28"/>
        </w:rPr>
        <w:t>Nonbinary</w:t>
      </w:r>
      <w:r>
        <w:rPr>
          <w:i/>
          <w:spacing w:val="-12"/>
          <w:sz w:val="28"/>
        </w:rPr>
        <w:t> </w:t>
      </w:r>
      <w:r>
        <w:rPr>
          <w:i/>
          <w:sz w:val="28"/>
        </w:rPr>
        <w:t>gender</w:t>
      </w:r>
      <w:r>
        <w:rPr>
          <w:i/>
          <w:spacing w:val="-11"/>
          <w:sz w:val="28"/>
        </w:rPr>
        <w:t> </w:t>
      </w:r>
      <w:r>
        <w:rPr>
          <w:i/>
          <w:sz w:val="28"/>
        </w:rPr>
        <w:t>identities:</w:t>
      </w:r>
      <w:r>
        <w:rPr>
          <w:i/>
          <w:spacing w:val="-11"/>
          <w:sz w:val="28"/>
        </w:rPr>
        <w:t> </w:t>
      </w:r>
      <w:r>
        <w:rPr>
          <w:i/>
          <w:sz w:val="28"/>
        </w:rPr>
        <w:t>History,</w:t>
      </w:r>
      <w:r>
        <w:rPr>
          <w:i/>
          <w:spacing w:val="-11"/>
          <w:sz w:val="28"/>
        </w:rPr>
        <w:t> </w:t>
      </w:r>
      <w:r>
        <w:rPr>
          <w:i/>
          <w:sz w:val="28"/>
        </w:rPr>
        <w:t>culture,</w:t>
      </w:r>
      <w:r>
        <w:rPr>
          <w:i/>
          <w:spacing w:val="-11"/>
          <w:sz w:val="28"/>
        </w:rPr>
        <w:t> </w:t>
      </w:r>
      <w:r>
        <w:rPr>
          <w:i/>
          <w:sz w:val="28"/>
        </w:rPr>
        <w:t>resources</w:t>
      </w:r>
      <w:r>
        <w:rPr>
          <w:sz w:val="28"/>
        </w:rPr>
        <w:t>.</w:t>
      </w:r>
      <w:r>
        <w:rPr>
          <w:spacing w:val="-11"/>
          <w:sz w:val="28"/>
        </w:rPr>
        <w:t> </w:t>
      </w:r>
      <w:r>
        <w:rPr>
          <w:sz w:val="28"/>
        </w:rPr>
        <w:t>Rowman &amp; Littlefield; 2017.</w:t>
      </w:r>
    </w:p>
    <w:p>
      <w:pPr>
        <w:pStyle w:val="BodyText"/>
        <w:rPr>
          <w:sz w:val="26"/>
        </w:rPr>
      </w:pPr>
    </w:p>
    <w:p>
      <w:pPr>
        <w:pStyle w:val="BodyText"/>
        <w:ind w:left="640" w:right="556" w:hanging="360"/>
      </w:pPr>
      <w:r>
        <w:rPr/>
        <w:t>James SE, Herman JL, Rankin S, Keisling M, Mottet L,</w:t>
      </w:r>
      <w:r>
        <w:rPr>
          <w:spacing w:val="-9"/>
        </w:rPr>
        <w:t> </w:t>
      </w:r>
      <w:r>
        <w:rPr/>
        <w:t>Anafi M. The Report of the 2015 U.S. Transgender Survey. National Center for Transgender Equality;</w:t>
      </w:r>
      <w:r>
        <w:rPr>
          <w:spacing w:val="-18"/>
        </w:rPr>
        <w:t> </w:t>
      </w:r>
      <w:r>
        <w:rPr/>
        <w:t>2016.</w:t>
      </w:r>
      <w:r>
        <w:rPr>
          <w:spacing w:val="-17"/>
        </w:rPr>
        <w:t> </w:t>
      </w:r>
      <w:r>
        <w:rPr/>
        <w:t>https://transequality.org/sites/default/files/docs</w:t>
      </w:r>
      <w:r>
        <w:rPr>
          <w:spacing w:val="-18"/>
        </w:rPr>
        <w:t> </w:t>
      </w:r>
      <w:r>
        <w:rPr/>
        <w:t>/usts/USTS- Full-Report-Dec17.pdf. Accessed February 13, 2022.</w:t>
      </w:r>
    </w:p>
    <w:p>
      <w:pPr>
        <w:pStyle w:val="BodyText"/>
        <w:spacing w:before="8"/>
        <w:rPr>
          <w:sz w:val="25"/>
        </w:rPr>
      </w:pPr>
    </w:p>
    <w:p>
      <w:pPr>
        <w:pStyle w:val="BodyText"/>
        <w:spacing w:line="321" w:lineRule="exact"/>
        <w:ind w:left="280"/>
      </w:pPr>
      <w:r>
        <w:rPr/>
        <w:t>Robinson</w:t>
      </w:r>
      <w:r>
        <w:rPr>
          <w:spacing w:val="-7"/>
        </w:rPr>
        <w:t> </w:t>
      </w:r>
      <w:r>
        <w:rPr/>
        <w:t>M.</w:t>
      </w:r>
      <w:r>
        <w:rPr>
          <w:spacing w:val="-9"/>
        </w:rPr>
        <w:t> </w:t>
      </w:r>
      <w:r>
        <w:rPr/>
        <w:t>Two-Spirit</w:t>
      </w:r>
      <w:r>
        <w:rPr>
          <w:spacing w:val="-5"/>
        </w:rPr>
        <w:t> </w:t>
      </w:r>
      <w:r>
        <w:rPr/>
        <w:t>identity</w:t>
      </w:r>
      <w:r>
        <w:rPr>
          <w:spacing w:val="-4"/>
        </w:rPr>
        <w:t> </w:t>
      </w:r>
      <w:r>
        <w:rPr/>
        <w:t>in</w:t>
      </w:r>
      <w:r>
        <w:rPr>
          <w:spacing w:val="-4"/>
        </w:rPr>
        <w:t> </w:t>
      </w:r>
      <w:r>
        <w:rPr/>
        <w:t>a</w:t>
      </w:r>
      <w:r>
        <w:rPr>
          <w:spacing w:val="-5"/>
        </w:rPr>
        <w:t> </w:t>
      </w:r>
      <w:r>
        <w:rPr/>
        <w:t>time</w:t>
      </w:r>
      <w:r>
        <w:rPr>
          <w:spacing w:val="-5"/>
        </w:rPr>
        <w:t> </w:t>
      </w:r>
      <w:r>
        <w:rPr/>
        <w:t>of</w:t>
      </w:r>
      <w:r>
        <w:rPr>
          <w:spacing w:val="-4"/>
        </w:rPr>
        <w:t> </w:t>
      </w:r>
      <w:r>
        <w:rPr/>
        <w:t>gender</w:t>
      </w:r>
      <w:r>
        <w:rPr>
          <w:spacing w:val="-4"/>
        </w:rPr>
        <w:t> </w:t>
      </w:r>
      <w:r>
        <w:rPr/>
        <w:t>fluidity.</w:t>
      </w:r>
      <w:r>
        <w:rPr>
          <w:spacing w:val="-5"/>
        </w:rPr>
        <w:t> </w:t>
      </w:r>
      <w:r>
        <w:rPr>
          <w:i/>
        </w:rPr>
        <w:t>J</w:t>
      </w:r>
      <w:r>
        <w:rPr>
          <w:i/>
          <w:spacing w:val="-5"/>
        </w:rPr>
        <w:t> </w:t>
      </w:r>
      <w:r>
        <w:rPr>
          <w:i/>
          <w:spacing w:val="-2"/>
        </w:rPr>
        <w:t>Homosex</w:t>
      </w:r>
      <w:r>
        <w:rPr>
          <w:spacing w:val="-2"/>
        </w:rPr>
        <w:t>.</w:t>
      </w:r>
    </w:p>
    <w:p>
      <w:pPr>
        <w:pStyle w:val="BodyText"/>
        <w:spacing w:line="321" w:lineRule="exact"/>
        <w:ind w:left="640"/>
      </w:pPr>
      <w:r>
        <w:rPr/>
        <w:t>2019;67(12):1675-1690.</w:t>
      </w:r>
      <w:r>
        <w:rPr>
          <w:spacing w:val="-6"/>
        </w:rPr>
        <w:t> </w:t>
      </w:r>
      <w:r>
        <w:rPr/>
        <w:t>https://doi.org/10.1080/00918369.2019.1613</w:t>
      </w:r>
      <w:r>
        <w:rPr>
          <w:spacing w:val="-3"/>
        </w:rPr>
        <w:t> </w:t>
      </w:r>
      <w:r>
        <w:rPr>
          <w:spacing w:val="-5"/>
        </w:rPr>
        <w:t>853</w:t>
      </w:r>
    </w:p>
    <w:p>
      <w:pPr>
        <w:pStyle w:val="BodyText"/>
        <w:spacing w:before="2"/>
        <w:rPr>
          <w:sz w:val="26"/>
        </w:rPr>
      </w:pPr>
    </w:p>
    <w:p>
      <w:pPr>
        <w:pStyle w:val="BodyText"/>
        <w:ind w:left="640" w:right="502" w:hanging="360"/>
      </w:pPr>
      <w:r>
        <w:rPr/>
        <w:t>Schmidt</w:t>
      </w:r>
      <w:r>
        <w:rPr>
          <w:spacing w:val="-6"/>
        </w:rPr>
        <w:t> </w:t>
      </w:r>
      <w:r>
        <w:rPr/>
        <w:t>J.</w:t>
      </w:r>
      <w:r>
        <w:rPr>
          <w:spacing w:val="-6"/>
        </w:rPr>
        <w:t> </w:t>
      </w:r>
      <w:r>
        <w:rPr/>
        <w:t>Being</w:t>
      </w:r>
      <w:r>
        <w:rPr>
          <w:spacing w:val="-6"/>
        </w:rPr>
        <w:t> </w:t>
      </w:r>
      <w:r>
        <w:rPr/>
        <w:t>“Like</w:t>
      </w:r>
      <w:r>
        <w:rPr>
          <w:spacing w:val="-7"/>
        </w:rPr>
        <w:t> </w:t>
      </w:r>
      <w:r>
        <w:rPr/>
        <w:t>a</w:t>
      </w:r>
      <w:r>
        <w:rPr>
          <w:spacing w:val="-7"/>
        </w:rPr>
        <w:t> </w:t>
      </w:r>
      <w:r>
        <w:rPr/>
        <w:t>woman”:</w:t>
      </w:r>
      <w:r>
        <w:rPr>
          <w:spacing w:val="-6"/>
        </w:rPr>
        <w:t> </w:t>
      </w:r>
      <w:r>
        <w:rPr/>
        <w:t>Fa’afāfine</w:t>
      </w:r>
      <w:r>
        <w:rPr>
          <w:spacing w:val="-7"/>
        </w:rPr>
        <w:t> </w:t>
      </w:r>
      <w:r>
        <w:rPr/>
        <w:t>and</w:t>
      </w:r>
      <w:r>
        <w:rPr>
          <w:spacing w:val="-6"/>
        </w:rPr>
        <w:t> </w:t>
      </w:r>
      <w:r>
        <w:rPr/>
        <w:t>Samoan</w:t>
      </w:r>
      <w:r>
        <w:rPr>
          <w:spacing w:val="-6"/>
        </w:rPr>
        <w:t> </w:t>
      </w:r>
      <w:r>
        <w:rPr/>
        <w:t>masculinity.</w:t>
      </w:r>
      <w:r>
        <w:rPr>
          <w:spacing w:val="-7"/>
        </w:rPr>
        <w:t> </w:t>
      </w:r>
      <w:r>
        <w:rPr>
          <w:i/>
        </w:rPr>
        <w:t>Asia</w:t>
      </w:r>
      <w:r>
        <w:rPr>
          <w:i/>
        </w:rPr>
        <w:t> Pac J Anthropol</w:t>
      </w:r>
      <w:r>
        <w:rPr/>
        <w:t>. 2016;17(3–4):287-304. https://doi.org/ 10.1080/14442213.2016.1182 208</w:t>
      </w:r>
    </w:p>
    <w:p>
      <w:pPr>
        <w:pStyle w:val="BodyText"/>
        <w:spacing w:before="9"/>
        <w:rPr>
          <w:sz w:val="25"/>
        </w:rPr>
      </w:pPr>
    </w:p>
    <w:p>
      <w:pPr>
        <w:pStyle w:val="BodyText"/>
        <w:ind w:left="640" w:right="668" w:hanging="360"/>
      </w:pPr>
      <w:r>
        <w:rPr/>
        <w:t>Stotzer RL. Family cohesion among Hawai‘i's Māhūwahine. </w:t>
      </w:r>
      <w:r>
        <w:rPr>
          <w:i/>
        </w:rPr>
        <w:t>J GLBT Fam</w:t>
      </w:r>
      <w:r>
        <w:rPr>
          <w:i/>
        </w:rPr>
        <w:t> Stud</w:t>
      </w:r>
      <w:r>
        <w:rPr/>
        <w:t>.</w:t>
      </w:r>
      <w:r>
        <w:rPr>
          <w:spacing w:val="-18"/>
        </w:rPr>
        <w:t> </w:t>
      </w:r>
      <w:r>
        <w:rPr/>
        <w:t>2011;7(5):424-435.</w:t>
      </w:r>
      <w:r>
        <w:rPr>
          <w:spacing w:val="-17"/>
        </w:rPr>
        <w:t> </w:t>
      </w:r>
      <w:r>
        <w:rPr/>
        <w:t>https://doi.org/10.1080/1550428X.2011.6239</w:t>
      </w:r>
      <w:r>
        <w:rPr>
          <w:spacing w:val="-18"/>
        </w:rPr>
        <w:t> </w:t>
      </w:r>
      <w:r>
        <w:rPr/>
        <w:t>35</w:t>
      </w:r>
    </w:p>
    <w:p>
      <w:pPr>
        <w:pStyle w:val="BodyText"/>
        <w:rPr>
          <w:sz w:val="26"/>
        </w:rPr>
      </w:pPr>
    </w:p>
    <w:p>
      <w:pPr>
        <w:pStyle w:val="BodyText"/>
        <w:ind w:left="640" w:right="502" w:hanging="360"/>
      </w:pPr>
      <w:r>
        <w:rPr/>
        <w:t>Goodman M,</w:t>
      </w:r>
      <w:r>
        <w:rPr>
          <w:spacing w:val="-8"/>
        </w:rPr>
        <w:t> </w:t>
      </w:r>
      <w:r>
        <w:rPr/>
        <w:t>Adams N, Corneil T, Kreukels B, Motmans J, Coleman E. Size and distribution of transgender and gender nonconforming populations:</w:t>
      </w:r>
      <w:r>
        <w:rPr>
          <w:spacing w:val="-2"/>
        </w:rPr>
        <w:t> </w:t>
      </w:r>
      <w:r>
        <w:rPr/>
        <w:t>A narrative</w:t>
      </w:r>
      <w:r>
        <w:rPr>
          <w:spacing w:val="-8"/>
        </w:rPr>
        <w:t> </w:t>
      </w:r>
      <w:r>
        <w:rPr/>
        <w:t>review.</w:t>
      </w:r>
      <w:r>
        <w:rPr>
          <w:spacing w:val="-8"/>
        </w:rPr>
        <w:t> </w:t>
      </w:r>
      <w:r>
        <w:rPr>
          <w:i/>
        </w:rPr>
        <w:t>Endocrinology</w:t>
      </w:r>
      <w:r>
        <w:rPr>
          <w:i/>
          <w:spacing w:val="-8"/>
        </w:rPr>
        <w:t> </w:t>
      </w:r>
      <w:r>
        <w:rPr>
          <w:i/>
        </w:rPr>
        <w:t>and</w:t>
      </w:r>
      <w:r>
        <w:rPr>
          <w:i/>
          <w:spacing w:val="-7"/>
        </w:rPr>
        <w:t> </w:t>
      </w:r>
      <w:r>
        <w:rPr>
          <w:i/>
        </w:rPr>
        <w:t>Metabolism</w:t>
      </w:r>
      <w:r>
        <w:rPr>
          <w:i/>
          <w:spacing w:val="-7"/>
        </w:rPr>
        <w:t> </w:t>
      </w:r>
      <w:r>
        <w:rPr>
          <w:i/>
        </w:rPr>
        <w:t>Clinics</w:t>
      </w:r>
      <w:r>
        <w:rPr>
          <w:i/>
          <w:spacing w:val="-7"/>
        </w:rPr>
        <w:t> </w:t>
      </w:r>
      <w:r>
        <w:rPr>
          <w:i/>
        </w:rPr>
        <w:t>of</w:t>
      </w:r>
      <w:r>
        <w:rPr>
          <w:i/>
          <w:spacing w:val="-7"/>
        </w:rPr>
        <w:t> </w:t>
      </w:r>
      <w:r>
        <w:rPr>
          <w:i/>
        </w:rPr>
        <w:t>North</w:t>
      </w:r>
      <w:r>
        <w:rPr>
          <w:i/>
          <w:spacing w:val="-13"/>
        </w:rPr>
        <w:t> </w:t>
      </w:r>
      <w:r>
        <w:rPr>
          <w:i/>
        </w:rPr>
        <w:t>America</w:t>
      </w:r>
      <w:r>
        <w:rPr/>
        <w:t>, 2019;</w:t>
      </w:r>
      <w:r>
        <w:rPr>
          <w:i/>
        </w:rPr>
        <w:t>48</w:t>
      </w:r>
      <w:r>
        <w:rPr/>
        <w:t>(2), 303-321. https://doi.org/10.1016/j.ecl.2019.01.001</w:t>
      </w:r>
    </w:p>
    <w:p>
      <w:pPr>
        <w:pStyle w:val="BodyText"/>
        <w:spacing w:before="8"/>
        <w:rPr>
          <w:sz w:val="25"/>
        </w:rPr>
      </w:pPr>
    </w:p>
    <w:p>
      <w:pPr>
        <w:pStyle w:val="BodyText"/>
        <w:ind w:left="640" w:right="604" w:hanging="360"/>
      </w:pPr>
      <w:r>
        <w:rPr/>
        <w:t>Meerwijk</w:t>
      </w:r>
      <w:r>
        <w:rPr>
          <w:spacing w:val="-5"/>
        </w:rPr>
        <w:t> </w:t>
      </w:r>
      <w:r>
        <w:rPr/>
        <w:t>EL,</w:t>
      </w:r>
      <w:r>
        <w:rPr>
          <w:spacing w:val="-5"/>
        </w:rPr>
        <w:t> </w:t>
      </w:r>
      <w:r>
        <w:rPr/>
        <w:t>Sevelius</w:t>
      </w:r>
      <w:r>
        <w:rPr>
          <w:spacing w:val="-5"/>
        </w:rPr>
        <w:t> </w:t>
      </w:r>
      <w:r>
        <w:rPr/>
        <w:t>JM.</w:t>
      </w:r>
      <w:r>
        <w:rPr>
          <w:spacing w:val="-11"/>
        </w:rPr>
        <w:t> </w:t>
      </w:r>
      <w:r>
        <w:rPr/>
        <w:t>Transgender</w:t>
      </w:r>
      <w:r>
        <w:rPr>
          <w:spacing w:val="-5"/>
        </w:rPr>
        <w:t> </w:t>
      </w:r>
      <w:r>
        <w:rPr/>
        <w:t>population</w:t>
      </w:r>
      <w:r>
        <w:rPr>
          <w:spacing w:val="-5"/>
        </w:rPr>
        <w:t> </w:t>
      </w:r>
      <w:r>
        <w:rPr/>
        <w:t>size</w:t>
      </w:r>
      <w:r>
        <w:rPr>
          <w:spacing w:val="-6"/>
        </w:rPr>
        <w:t> </w:t>
      </w:r>
      <w:r>
        <w:rPr/>
        <w:t>in</w:t>
      </w:r>
      <w:r>
        <w:rPr>
          <w:spacing w:val="-5"/>
        </w:rPr>
        <w:t> </w:t>
      </w:r>
      <w:r>
        <w:rPr/>
        <w:t>the</w:t>
      </w:r>
      <w:r>
        <w:rPr>
          <w:spacing w:val="-6"/>
        </w:rPr>
        <w:t> </w:t>
      </w:r>
      <w:r>
        <w:rPr/>
        <w:t>United</w:t>
      </w:r>
      <w:r>
        <w:rPr>
          <w:spacing w:val="-5"/>
        </w:rPr>
        <w:t> </w:t>
      </w:r>
      <w:r>
        <w:rPr/>
        <w:t>States: A</w:t>
      </w:r>
      <w:r>
        <w:rPr>
          <w:spacing w:val="-2"/>
        </w:rPr>
        <w:t> </w:t>
      </w:r>
      <w:r>
        <w:rPr/>
        <w:t>meta-regression of population-based probability samples. </w:t>
      </w:r>
      <w:r>
        <w:rPr>
          <w:i/>
        </w:rPr>
        <w:t>Am J Public</w:t>
      </w:r>
      <w:r>
        <w:rPr>
          <w:i/>
        </w:rPr>
        <w:t> Health</w:t>
      </w:r>
      <w:r>
        <w:rPr/>
        <w:t>. 2017;107(2):e1-e8. https://doi.org/10.2105/AJPH.2016.303578</w:t>
      </w:r>
    </w:p>
    <w:p>
      <w:pPr>
        <w:pStyle w:val="BodyText"/>
        <w:spacing w:before="9"/>
        <w:rPr>
          <w:sz w:val="25"/>
        </w:rPr>
      </w:pPr>
    </w:p>
    <w:p>
      <w:pPr>
        <w:pStyle w:val="BodyText"/>
        <w:spacing w:before="1"/>
        <w:ind w:left="640" w:right="604" w:hanging="360"/>
      </w:pPr>
      <w:r>
        <w:rPr/>
        <w:t>Kidd</w:t>
      </w:r>
      <w:r>
        <w:rPr>
          <w:spacing w:val="-4"/>
        </w:rPr>
        <w:t> </w:t>
      </w:r>
      <w:r>
        <w:rPr/>
        <w:t>KM,</w:t>
      </w:r>
      <w:r>
        <w:rPr>
          <w:spacing w:val="-4"/>
        </w:rPr>
        <w:t> </w:t>
      </w:r>
      <w:r>
        <w:rPr/>
        <w:t>Sequeira</w:t>
      </w:r>
      <w:r>
        <w:rPr>
          <w:spacing w:val="-5"/>
        </w:rPr>
        <w:t> </w:t>
      </w:r>
      <w:r>
        <w:rPr/>
        <w:t>GM,</w:t>
      </w:r>
      <w:r>
        <w:rPr>
          <w:spacing w:val="-4"/>
        </w:rPr>
        <w:t> </w:t>
      </w:r>
      <w:r>
        <w:rPr/>
        <w:t>Douglas</w:t>
      </w:r>
      <w:r>
        <w:rPr>
          <w:spacing w:val="-4"/>
        </w:rPr>
        <w:t> </w:t>
      </w:r>
      <w:r>
        <w:rPr/>
        <w:t>C,</w:t>
      </w:r>
      <w:r>
        <w:rPr>
          <w:spacing w:val="-4"/>
        </w:rPr>
        <w:t> </w:t>
      </w:r>
      <w:r>
        <w:rPr/>
        <w:t>et</w:t>
      </w:r>
      <w:r>
        <w:rPr>
          <w:spacing w:val="-4"/>
        </w:rPr>
        <w:t> </w:t>
      </w:r>
      <w:r>
        <w:rPr/>
        <w:t>al.</w:t>
      </w:r>
      <w:r>
        <w:rPr>
          <w:spacing w:val="-4"/>
        </w:rPr>
        <w:t> </w:t>
      </w:r>
      <w:r>
        <w:rPr/>
        <w:t>Prevalence</w:t>
      </w:r>
      <w:r>
        <w:rPr>
          <w:spacing w:val="-5"/>
        </w:rPr>
        <w:t> </w:t>
      </w:r>
      <w:r>
        <w:rPr/>
        <w:t>of</w:t>
      </w:r>
      <w:r>
        <w:rPr>
          <w:spacing w:val="-4"/>
        </w:rPr>
        <w:t> </w:t>
      </w:r>
      <w:r>
        <w:rPr/>
        <w:t>gender-diverse</w:t>
      </w:r>
      <w:r>
        <w:rPr>
          <w:spacing w:val="-5"/>
        </w:rPr>
        <w:t> </w:t>
      </w:r>
      <w:r>
        <w:rPr/>
        <w:t>youth in an urban school district. </w:t>
      </w:r>
      <w:r>
        <w:rPr>
          <w:i/>
        </w:rPr>
        <w:t>Pediatrics</w:t>
      </w:r>
      <w:r>
        <w:rPr/>
        <w:t>. 2021;147(6):e2020049823. https:// </w:t>
      </w:r>
      <w:r>
        <w:rPr>
          <w:spacing w:val="-2"/>
        </w:rPr>
        <w:t>doi.org/10.1542/peds.2020-049823</w:t>
      </w:r>
    </w:p>
    <w:p>
      <w:pPr>
        <w:pStyle w:val="BodyText"/>
        <w:spacing w:before="9"/>
        <w:rPr>
          <w:sz w:val="25"/>
        </w:rPr>
      </w:pPr>
    </w:p>
    <w:p>
      <w:pPr>
        <w:pStyle w:val="BodyText"/>
        <w:ind w:left="640" w:right="542" w:hanging="360"/>
      </w:pPr>
      <w:r>
        <w:rPr/>
        <w:t>Almeida</w:t>
      </w:r>
      <w:r>
        <w:rPr>
          <w:spacing w:val="-6"/>
        </w:rPr>
        <w:t> </w:t>
      </w:r>
      <w:r>
        <w:rPr/>
        <w:t>J,</w:t>
      </w:r>
      <w:r>
        <w:rPr>
          <w:spacing w:val="-4"/>
        </w:rPr>
        <w:t> </w:t>
      </w:r>
      <w:r>
        <w:rPr/>
        <w:t>Johnson</w:t>
      </w:r>
      <w:r>
        <w:rPr>
          <w:spacing w:val="-4"/>
        </w:rPr>
        <w:t> </w:t>
      </w:r>
      <w:r>
        <w:rPr/>
        <w:t>RM,</w:t>
      </w:r>
      <w:r>
        <w:rPr>
          <w:spacing w:val="-4"/>
        </w:rPr>
        <w:t> </w:t>
      </w:r>
      <w:r>
        <w:rPr/>
        <w:t>Corliss</w:t>
      </w:r>
      <w:r>
        <w:rPr>
          <w:spacing w:val="-4"/>
        </w:rPr>
        <w:t> </w:t>
      </w:r>
      <w:r>
        <w:rPr/>
        <w:t>HL,</w:t>
      </w:r>
      <w:r>
        <w:rPr>
          <w:spacing w:val="-4"/>
        </w:rPr>
        <w:t> </w:t>
      </w:r>
      <w:r>
        <w:rPr/>
        <w:t>Molnar</w:t>
      </w:r>
      <w:r>
        <w:rPr>
          <w:spacing w:val="-4"/>
        </w:rPr>
        <w:t> </w:t>
      </w:r>
      <w:r>
        <w:rPr/>
        <w:t>BE,</w:t>
      </w:r>
      <w:r>
        <w:rPr>
          <w:spacing w:val="-18"/>
        </w:rPr>
        <w:t> </w:t>
      </w:r>
      <w:r>
        <w:rPr/>
        <w:t>Azrael</w:t>
      </w:r>
      <w:r>
        <w:rPr>
          <w:spacing w:val="-3"/>
        </w:rPr>
        <w:t> </w:t>
      </w:r>
      <w:r>
        <w:rPr/>
        <w:t>D.</w:t>
      </w:r>
      <w:r>
        <w:rPr>
          <w:spacing w:val="-4"/>
        </w:rPr>
        <w:t> </w:t>
      </w:r>
      <w:r>
        <w:rPr/>
        <w:t>Emotional</w:t>
      </w:r>
      <w:r>
        <w:rPr>
          <w:spacing w:val="-4"/>
        </w:rPr>
        <w:t> </w:t>
      </w:r>
      <w:r>
        <w:rPr/>
        <w:t>distress among LGBT youth: The influence of perceived discrimination based on sexual orientation. </w:t>
      </w:r>
      <w:r>
        <w:rPr>
          <w:i/>
        </w:rPr>
        <w:t>J Youth</w:t>
      </w:r>
      <w:r>
        <w:rPr>
          <w:i/>
          <w:spacing w:val="-2"/>
        </w:rPr>
        <w:t> </w:t>
      </w:r>
      <w:r>
        <w:rPr>
          <w:i/>
        </w:rPr>
        <w:t>Adolesc</w:t>
      </w:r>
      <w:r>
        <w:rPr/>
        <w:t>. 2009;38(7):1001-1014. https://doi.org/ </w:t>
      </w:r>
      <w:r>
        <w:rPr>
          <w:spacing w:val="-2"/>
        </w:rPr>
        <w:t>10.1007/s10964-009-9397-9</w:t>
      </w:r>
    </w:p>
    <w:p>
      <w:pPr>
        <w:spacing w:after="0"/>
        <w:sectPr>
          <w:pgSz w:w="12240" w:h="15840"/>
          <w:pgMar w:header="0" w:footer="783" w:top="1260" w:bottom="980" w:left="1400" w:right="1180"/>
        </w:sectPr>
      </w:pPr>
    </w:p>
    <w:p>
      <w:pPr>
        <w:pStyle w:val="BodyText"/>
        <w:spacing w:before="66"/>
        <w:ind w:left="640" w:right="502" w:hanging="360"/>
      </w:pPr>
      <w:r>
        <w:rPr/>
        <w:t>Clark TC, Lucassen MF, Bullen P, et al. The health and well-being of transgender</w:t>
      </w:r>
      <w:r>
        <w:rPr>
          <w:spacing w:val="-4"/>
        </w:rPr>
        <w:t> </w:t>
      </w:r>
      <w:r>
        <w:rPr/>
        <w:t>high</w:t>
      </w:r>
      <w:r>
        <w:rPr>
          <w:spacing w:val="-4"/>
        </w:rPr>
        <w:t> </w:t>
      </w:r>
      <w:r>
        <w:rPr/>
        <w:t>school</w:t>
      </w:r>
      <w:r>
        <w:rPr>
          <w:spacing w:val="-4"/>
        </w:rPr>
        <w:t> </w:t>
      </w:r>
      <w:r>
        <w:rPr/>
        <w:t>students:</w:t>
      </w:r>
      <w:r>
        <w:rPr>
          <w:spacing w:val="-4"/>
        </w:rPr>
        <w:t> </w:t>
      </w:r>
      <w:r>
        <w:rPr/>
        <w:t>Results</w:t>
      </w:r>
      <w:r>
        <w:rPr>
          <w:spacing w:val="-4"/>
        </w:rPr>
        <w:t> </w:t>
      </w:r>
      <w:r>
        <w:rPr/>
        <w:t>from</w:t>
      </w:r>
      <w:r>
        <w:rPr>
          <w:spacing w:val="-4"/>
        </w:rPr>
        <w:t> </w:t>
      </w:r>
      <w:r>
        <w:rPr/>
        <w:t>the</w:t>
      </w:r>
      <w:r>
        <w:rPr>
          <w:spacing w:val="-5"/>
        </w:rPr>
        <w:t> </w:t>
      </w:r>
      <w:r>
        <w:rPr/>
        <w:t>New</w:t>
      </w:r>
      <w:r>
        <w:rPr>
          <w:spacing w:val="-4"/>
        </w:rPr>
        <w:t> </w:t>
      </w:r>
      <w:r>
        <w:rPr/>
        <w:t>Zealand</w:t>
      </w:r>
      <w:r>
        <w:rPr>
          <w:spacing w:val="-4"/>
        </w:rPr>
        <w:t> </w:t>
      </w:r>
      <w:r>
        <w:rPr/>
        <w:t>adolescent health survey (Youth'12). </w:t>
      </w:r>
      <w:r>
        <w:rPr>
          <w:i/>
        </w:rPr>
        <w:t>J Adolesc Health</w:t>
      </w:r>
      <w:r>
        <w:rPr/>
        <w:t>. 2014;55(1):93-99. https:// doi.org/10.1016/j.jadohealth.2013.11. 008</w:t>
      </w:r>
    </w:p>
    <w:p>
      <w:pPr>
        <w:pStyle w:val="BodyText"/>
        <w:spacing w:before="7"/>
        <w:rPr>
          <w:sz w:val="25"/>
        </w:rPr>
      </w:pPr>
    </w:p>
    <w:p>
      <w:pPr>
        <w:pStyle w:val="BodyText"/>
        <w:ind w:left="640" w:right="501" w:hanging="360"/>
      </w:pPr>
      <w:r>
        <w:rPr/>
        <w:t>Rider GN, McMorris BJ, Gower</w:t>
      </w:r>
      <w:r>
        <w:rPr>
          <w:spacing w:val="-7"/>
        </w:rPr>
        <w:t> </w:t>
      </w:r>
      <w:r>
        <w:rPr/>
        <w:t>AL, Coleman E, Eisenberg ME. Health and care utilization of transgender and gender nonconforming youth:</w:t>
      </w:r>
      <w:r>
        <w:rPr>
          <w:spacing w:val="-2"/>
        </w:rPr>
        <w:t> </w:t>
      </w:r>
      <w:r>
        <w:rPr/>
        <w:t>A population-based</w:t>
      </w:r>
      <w:r>
        <w:rPr>
          <w:spacing w:val="-15"/>
        </w:rPr>
        <w:t> </w:t>
      </w:r>
      <w:r>
        <w:rPr/>
        <w:t>study.</w:t>
      </w:r>
      <w:r>
        <w:rPr>
          <w:spacing w:val="-16"/>
        </w:rPr>
        <w:t> </w:t>
      </w:r>
      <w:r>
        <w:rPr>
          <w:i/>
        </w:rPr>
        <w:t>Pediatrics</w:t>
      </w:r>
      <w:r>
        <w:rPr/>
        <w:t>.</w:t>
      </w:r>
      <w:r>
        <w:rPr>
          <w:spacing w:val="-15"/>
        </w:rPr>
        <w:t> </w:t>
      </w:r>
      <w:r>
        <w:rPr/>
        <w:t>2018;141(3):e20171683.</w:t>
      </w:r>
      <w:r>
        <w:rPr>
          <w:spacing w:val="-15"/>
        </w:rPr>
        <w:t> </w:t>
      </w:r>
      <w:r>
        <w:rPr/>
        <w:t>https://doi.org/ </w:t>
      </w:r>
      <w:r>
        <w:rPr>
          <w:spacing w:val="-2"/>
        </w:rPr>
        <w:t>10.1542/peds.2017-1683</w:t>
      </w:r>
    </w:p>
    <w:p>
      <w:pPr>
        <w:pStyle w:val="BodyText"/>
        <w:spacing w:before="8"/>
        <w:rPr>
          <w:sz w:val="25"/>
        </w:rPr>
      </w:pPr>
    </w:p>
    <w:p>
      <w:pPr>
        <w:pStyle w:val="BodyText"/>
        <w:ind w:left="640" w:right="502" w:hanging="360"/>
      </w:pPr>
      <w:r>
        <w:rPr/>
        <w:t>Bockting WO, Miner MH, Swinburne Romine RE, Hamilton</w:t>
      </w:r>
      <w:r>
        <w:rPr>
          <w:spacing w:val="-6"/>
        </w:rPr>
        <w:t> </w:t>
      </w:r>
      <w:r>
        <w:rPr/>
        <w:t>A, Coleman E. Stigma, mental health, and resilience in an online sample of the US transgender</w:t>
      </w:r>
      <w:r>
        <w:rPr>
          <w:spacing w:val="-5"/>
        </w:rPr>
        <w:t> </w:t>
      </w:r>
      <w:r>
        <w:rPr/>
        <w:t>population.</w:t>
      </w:r>
      <w:r>
        <w:rPr>
          <w:spacing w:val="-6"/>
        </w:rPr>
        <w:t> </w:t>
      </w:r>
      <w:r>
        <w:rPr>
          <w:i/>
        </w:rPr>
        <w:t>Am</w:t>
      </w:r>
      <w:r>
        <w:rPr>
          <w:i/>
          <w:spacing w:val="-5"/>
        </w:rPr>
        <w:t> </w:t>
      </w:r>
      <w:r>
        <w:rPr>
          <w:i/>
        </w:rPr>
        <w:t>J</w:t>
      </w:r>
      <w:r>
        <w:rPr>
          <w:i/>
          <w:spacing w:val="-6"/>
        </w:rPr>
        <w:t> </w:t>
      </w:r>
      <w:r>
        <w:rPr>
          <w:i/>
        </w:rPr>
        <w:t>Public</w:t>
      </w:r>
      <w:r>
        <w:rPr>
          <w:i/>
          <w:spacing w:val="-6"/>
        </w:rPr>
        <w:t> </w:t>
      </w:r>
      <w:r>
        <w:rPr>
          <w:i/>
        </w:rPr>
        <w:t>Health</w:t>
      </w:r>
      <w:r>
        <w:rPr/>
        <w:t>.</w:t>
      </w:r>
      <w:r>
        <w:rPr>
          <w:spacing w:val="-5"/>
        </w:rPr>
        <w:t> </w:t>
      </w:r>
      <w:r>
        <w:rPr/>
        <w:t>2013;103(5):943-951.</w:t>
      </w:r>
      <w:r>
        <w:rPr>
          <w:spacing w:val="-5"/>
        </w:rPr>
        <w:t> </w:t>
      </w:r>
      <w:r>
        <w:rPr/>
        <w:t>https:// </w:t>
      </w:r>
      <w:r>
        <w:rPr>
          <w:spacing w:val="-2"/>
        </w:rPr>
        <w:t>doi.org/10.2105/AJPH.2013.301241</w:t>
      </w:r>
    </w:p>
    <w:p>
      <w:pPr>
        <w:pStyle w:val="BodyText"/>
        <w:spacing w:before="8"/>
        <w:rPr>
          <w:sz w:val="25"/>
        </w:rPr>
      </w:pPr>
    </w:p>
    <w:p>
      <w:pPr>
        <w:pStyle w:val="BodyText"/>
        <w:ind w:left="640" w:right="785" w:hanging="360"/>
        <w:jc w:val="both"/>
      </w:pPr>
      <w:r>
        <w:rPr/>
        <w:t>Ehrensaft</w:t>
      </w:r>
      <w:r>
        <w:rPr>
          <w:spacing w:val="-4"/>
        </w:rPr>
        <w:t> </w:t>
      </w:r>
      <w:r>
        <w:rPr/>
        <w:t>D.</w:t>
      </w:r>
      <w:r>
        <w:rPr>
          <w:spacing w:val="-4"/>
        </w:rPr>
        <w:t> </w:t>
      </w:r>
      <w:r>
        <w:rPr/>
        <w:t>From</w:t>
      </w:r>
      <w:r>
        <w:rPr>
          <w:spacing w:val="-4"/>
        </w:rPr>
        <w:t> </w:t>
      </w:r>
      <w:r>
        <w:rPr/>
        <w:t>gender</w:t>
      </w:r>
      <w:r>
        <w:rPr>
          <w:spacing w:val="-4"/>
        </w:rPr>
        <w:t> </w:t>
      </w:r>
      <w:r>
        <w:rPr/>
        <w:t>identity</w:t>
      </w:r>
      <w:r>
        <w:rPr>
          <w:spacing w:val="-4"/>
        </w:rPr>
        <w:t> </w:t>
      </w:r>
      <w:r>
        <w:rPr/>
        <w:t>disorder</w:t>
      </w:r>
      <w:r>
        <w:rPr>
          <w:spacing w:val="-4"/>
        </w:rPr>
        <w:t> </w:t>
      </w:r>
      <w:r>
        <w:rPr/>
        <w:t>to</w:t>
      </w:r>
      <w:r>
        <w:rPr>
          <w:spacing w:val="-4"/>
        </w:rPr>
        <w:t> </w:t>
      </w:r>
      <w:r>
        <w:rPr/>
        <w:t>gender</w:t>
      </w:r>
      <w:r>
        <w:rPr>
          <w:spacing w:val="-4"/>
        </w:rPr>
        <w:t> </w:t>
      </w:r>
      <w:r>
        <w:rPr/>
        <w:t>identity</w:t>
      </w:r>
      <w:r>
        <w:rPr>
          <w:spacing w:val="-4"/>
        </w:rPr>
        <w:t> </w:t>
      </w:r>
      <w:r>
        <w:rPr/>
        <w:t>creativity:</w:t>
      </w:r>
      <w:r>
        <w:rPr>
          <w:spacing w:val="-4"/>
        </w:rPr>
        <w:t> </w:t>
      </w:r>
      <w:r>
        <w:rPr/>
        <w:t>true gender</w:t>
      </w:r>
      <w:r>
        <w:rPr>
          <w:spacing w:val="-8"/>
        </w:rPr>
        <w:t> </w:t>
      </w:r>
      <w:r>
        <w:rPr/>
        <w:t>self</w:t>
      </w:r>
      <w:r>
        <w:rPr>
          <w:spacing w:val="-8"/>
        </w:rPr>
        <w:t> </w:t>
      </w:r>
      <w:r>
        <w:rPr/>
        <w:t>child</w:t>
      </w:r>
      <w:r>
        <w:rPr>
          <w:spacing w:val="-8"/>
        </w:rPr>
        <w:t> </w:t>
      </w:r>
      <w:r>
        <w:rPr/>
        <w:t>therapy.</w:t>
      </w:r>
      <w:r>
        <w:rPr>
          <w:spacing w:val="-9"/>
        </w:rPr>
        <w:t> </w:t>
      </w:r>
      <w:r>
        <w:rPr>
          <w:i/>
        </w:rPr>
        <w:t>J</w:t>
      </w:r>
      <w:r>
        <w:rPr>
          <w:i/>
          <w:spacing w:val="-9"/>
        </w:rPr>
        <w:t> </w:t>
      </w:r>
      <w:r>
        <w:rPr>
          <w:i/>
        </w:rPr>
        <w:t>Homosex</w:t>
      </w:r>
      <w:r>
        <w:rPr/>
        <w:t>.</w:t>
      </w:r>
      <w:r>
        <w:rPr>
          <w:spacing w:val="-8"/>
        </w:rPr>
        <w:t> </w:t>
      </w:r>
      <w:r>
        <w:rPr/>
        <w:t>2012;59(3):337356.</w:t>
      </w:r>
      <w:r>
        <w:rPr>
          <w:spacing w:val="-8"/>
        </w:rPr>
        <w:t> </w:t>
      </w:r>
      <w:r>
        <w:rPr/>
        <w:t>https://doi.org/ 10.1080/00918369.2012.6533 03</w:t>
      </w:r>
    </w:p>
    <w:p>
      <w:pPr>
        <w:pStyle w:val="BodyText"/>
        <w:spacing w:before="9"/>
        <w:rPr>
          <w:sz w:val="25"/>
        </w:rPr>
      </w:pPr>
    </w:p>
    <w:p>
      <w:pPr>
        <w:pStyle w:val="BodyText"/>
        <w:ind w:left="640" w:right="502" w:hanging="360"/>
      </w:pPr>
      <w:r>
        <w:rPr/>
        <w:t>Restar</w:t>
      </w:r>
      <w:r>
        <w:rPr>
          <w:spacing w:val="-6"/>
        </w:rPr>
        <w:t> </w:t>
      </w:r>
      <w:r>
        <w:rPr/>
        <w:t>A, Jin H, Breslow</w:t>
      </w:r>
      <w:r>
        <w:rPr>
          <w:spacing w:val="-6"/>
        </w:rPr>
        <w:t> </w:t>
      </w:r>
      <w:r>
        <w:rPr/>
        <w:t>AS, et al. Developmental milestones in young transgender women in two</w:t>
      </w:r>
      <w:r>
        <w:rPr>
          <w:spacing w:val="-10"/>
        </w:rPr>
        <w:t> </w:t>
      </w:r>
      <w:r>
        <w:rPr/>
        <w:t>American cities: Results from a racially and ethnically</w:t>
      </w:r>
      <w:r>
        <w:rPr>
          <w:spacing w:val="-9"/>
        </w:rPr>
        <w:t> </w:t>
      </w:r>
      <w:r>
        <w:rPr/>
        <w:t>diverse</w:t>
      </w:r>
      <w:r>
        <w:rPr>
          <w:spacing w:val="-10"/>
        </w:rPr>
        <w:t> </w:t>
      </w:r>
      <w:r>
        <w:rPr/>
        <w:t>sample.</w:t>
      </w:r>
      <w:r>
        <w:rPr>
          <w:spacing w:val="-10"/>
        </w:rPr>
        <w:t> </w:t>
      </w:r>
      <w:r>
        <w:rPr>
          <w:i/>
        </w:rPr>
        <w:t>Transgend</w:t>
      </w:r>
      <w:r>
        <w:rPr>
          <w:i/>
          <w:spacing w:val="-9"/>
        </w:rPr>
        <w:t> </w:t>
      </w:r>
      <w:r>
        <w:rPr>
          <w:i/>
        </w:rPr>
        <w:t>Health.</w:t>
      </w:r>
      <w:r>
        <w:rPr>
          <w:i/>
          <w:spacing w:val="-9"/>
        </w:rPr>
        <w:t> </w:t>
      </w:r>
      <w:r>
        <w:rPr/>
        <w:t>2019;4(1):162167.</w:t>
      </w:r>
      <w:r>
        <w:rPr>
          <w:spacing w:val="-9"/>
        </w:rPr>
        <w:t> </w:t>
      </w:r>
      <w:r>
        <w:rPr/>
        <w:t>https:// </w:t>
      </w:r>
      <w:r>
        <w:rPr>
          <w:spacing w:val="-2"/>
        </w:rPr>
        <w:t>doi.org/10.1089/trgh.2019.0008</w:t>
      </w:r>
    </w:p>
    <w:p>
      <w:pPr>
        <w:pStyle w:val="BodyText"/>
        <w:spacing w:before="2"/>
        <w:rPr>
          <w:sz w:val="27"/>
        </w:rPr>
      </w:pPr>
    </w:p>
    <w:p>
      <w:pPr>
        <w:pStyle w:val="BodyText"/>
        <w:ind w:left="640" w:right="556" w:hanging="360"/>
      </w:pPr>
      <w:r>
        <w:rPr/>
        <w:t>Sorbara</w:t>
      </w:r>
      <w:r>
        <w:rPr>
          <w:spacing w:val="-5"/>
        </w:rPr>
        <w:t> </w:t>
      </w:r>
      <w:r>
        <w:rPr/>
        <w:t>JC,</w:t>
      </w:r>
      <w:r>
        <w:rPr>
          <w:spacing w:val="-4"/>
        </w:rPr>
        <w:t> </w:t>
      </w:r>
      <w:r>
        <w:rPr/>
        <w:t>Chiniara</w:t>
      </w:r>
      <w:r>
        <w:rPr>
          <w:spacing w:val="-5"/>
        </w:rPr>
        <w:t> </w:t>
      </w:r>
      <w:r>
        <w:rPr/>
        <w:t>LN,</w:t>
      </w:r>
      <w:r>
        <w:rPr>
          <w:spacing w:val="-9"/>
        </w:rPr>
        <w:t> </w:t>
      </w:r>
      <w:r>
        <w:rPr/>
        <w:t>Thompson</w:t>
      </w:r>
      <w:r>
        <w:rPr>
          <w:spacing w:val="-4"/>
        </w:rPr>
        <w:t> </w:t>
      </w:r>
      <w:r>
        <w:rPr/>
        <w:t>S,</w:t>
      </w:r>
      <w:r>
        <w:rPr>
          <w:spacing w:val="-4"/>
        </w:rPr>
        <w:t> </w:t>
      </w:r>
      <w:r>
        <w:rPr/>
        <w:t>Palmert</w:t>
      </w:r>
      <w:r>
        <w:rPr>
          <w:spacing w:val="-4"/>
        </w:rPr>
        <w:t> </w:t>
      </w:r>
      <w:r>
        <w:rPr/>
        <w:t>MR.</w:t>
      </w:r>
      <w:r>
        <w:rPr>
          <w:spacing w:val="-4"/>
        </w:rPr>
        <w:t> </w:t>
      </w:r>
      <w:r>
        <w:rPr/>
        <w:t>Mental</w:t>
      </w:r>
      <w:r>
        <w:rPr>
          <w:spacing w:val="-4"/>
        </w:rPr>
        <w:t> </w:t>
      </w:r>
      <w:r>
        <w:rPr/>
        <w:t>health</w:t>
      </w:r>
      <w:r>
        <w:rPr>
          <w:spacing w:val="-4"/>
        </w:rPr>
        <w:t> </w:t>
      </w:r>
      <w:r>
        <w:rPr/>
        <w:t>and</w:t>
      </w:r>
      <w:r>
        <w:rPr>
          <w:spacing w:val="-4"/>
        </w:rPr>
        <w:t> </w:t>
      </w:r>
      <w:r>
        <w:rPr/>
        <w:t>timing of gender-affirming care. </w:t>
      </w:r>
      <w:r>
        <w:rPr>
          <w:i/>
        </w:rPr>
        <w:t>Pediatrics</w:t>
      </w:r>
      <w:r>
        <w:rPr/>
        <w:t>. 2020;146(4):e20193600. https:// </w:t>
      </w:r>
      <w:r>
        <w:rPr>
          <w:spacing w:val="-2"/>
        </w:rPr>
        <w:t>doi.org/10.1542/peds.2019-3600</w:t>
      </w:r>
    </w:p>
    <w:p>
      <w:pPr>
        <w:pStyle w:val="BodyText"/>
        <w:spacing w:before="9"/>
        <w:rPr>
          <w:sz w:val="25"/>
        </w:rPr>
      </w:pPr>
    </w:p>
    <w:p>
      <w:pPr>
        <w:spacing w:before="1"/>
        <w:ind w:left="640" w:right="567" w:hanging="360"/>
        <w:jc w:val="both"/>
        <w:rPr>
          <w:sz w:val="28"/>
        </w:rPr>
      </w:pPr>
      <w:r>
        <w:rPr>
          <w:sz w:val="28"/>
        </w:rPr>
        <w:t>Olson</w:t>
      </w:r>
      <w:r>
        <w:rPr>
          <w:spacing w:val="-5"/>
          <w:sz w:val="28"/>
        </w:rPr>
        <w:t> </w:t>
      </w:r>
      <w:r>
        <w:rPr>
          <w:sz w:val="28"/>
        </w:rPr>
        <w:t>KR.</w:t>
      </w:r>
      <w:r>
        <w:rPr>
          <w:spacing w:val="-5"/>
          <w:sz w:val="28"/>
        </w:rPr>
        <w:t> </w:t>
      </w:r>
      <w:r>
        <w:rPr>
          <w:sz w:val="28"/>
        </w:rPr>
        <w:t>Prepubescent</w:t>
      </w:r>
      <w:r>
        <w:rPr>
          <w:spacing w:val="-5"/>
          <w:sz w:val="28"/>
        </w:rPr>
        <w:t> </w:t>
      </w:r>
      <w:r>
        <w:rPr>
          <w:sz w:val="28"/>
        </w:rPr>
        <w:t>transgender</w:t>
      </w:r>
      <w:r>
        <w:rPr>
          <w:spacing w:val="-5"/>
          <w:sz w:val="28"/>
        </w:rPr>
        <w:t> </w:t>
      </w:r>
      <w:r>
        <w:rPr>
          <w:sz w:val="28"/>
        </w:rPr>
        <w:t>children:</w:t>
      </w:r>
      <w:r>
        <w:rPr>
          <w:spacing w:val="-11"/>
          <w:sz w:val="28"/>
        </w:rPr>
        <w:t> </w:t>
      </w:r>
      <w:r>
        <w:rPr>
          <w:sz w:val="28"/>
        </w:rPr>
        <w:t>What</w:t>
      </w:r>
      <w:r>
        <w:rPr>
          <w:spacing w:val="-5"/>
          <w:sz w:val="28"/>
        </w:rPr>
        <w:t> </w:t>
      </w:r>
      <w:r>
        <w:rPr>
          <w:sz w:val="28"/>
        </w:rPr>
        <w:t>we</w:t>
      </w:r>
      <w:r>
        <w:rPr>
          <w:spacing w:val="-6"/>
          <w:sz w:val="28"/>
        </w:rPr>
        <w:t> </w:t>
      </w:r>
      <w:r>
        <w:rPr>
          <w:sz w:val="28"/>
        </w:rPr>
        <w:t>do</w:t>
      </w:r>
      <w:r>
        <w:rPr>
          <w:spacing w:val="-5"/>
          <w:sz w:val="28"/>
        </w:rPr>
        <w:t> </w:t>
      </w:r>
      <w:r>
        <w:rPr>
          <w:sz w:val="28"/>
        </w:rPr>
        <w:t>and</w:t>
      </w:r>
      <w:r>
        <w:rPr>
          <w:spacing w:val="-5"/>
          <w:sz w:val="28"/>
        </w:rPr>
        <w:t> </w:t>
      </w:r>
      <w:r>
        <w:rPr>
          <w:sz w:val="28"/>
        </w:rPr>
        <w:t>do</w:t>
      </w:r>
      <w:r>
        <w:rPr>
          <w:spacing w:val="-5"/>
          <w:sz w:val="28"/>
        </w:rPr>
        <w:t> </w:t>
      </w:r>
      <w:r>
        <w:rPr>
          <w:sz w:val="28"/>
        </w:rPr>
        <w:t>not</w:t>
      </w:r>
      <w:r>
        <w:rPr>
          <w:spacing w:val="-5"/>
          <w:sz w:val="28"/>
        </w:rPr>
        <w:t> </w:t>
      </w:r>
      <w:r>
        <w:rPr>
          <w:sz w:val="28"/>
        </w:rPr>
        <w:t>know.</w:t>
      </w:r>
      <w:r>
        <w:rPr>
          <w:spacing w:val="-6"/>
          <w:sz w:val="28"/>
        </w:rPr>
        <w:t> </w:t>
      </w:r>
      <w:r>
        <w:rPr>
          <w:i/>
          <w:sz w:val="28"/>
        </w:rPr>
        <w:t>J</w:t>
      </w:r>
      <w:r>
        <w:rPr>
          <w:i/>
          <w:sz w:val="28"/>
        </w:rPr>
        <w:t> Am</w:t>
      </w:r>
      <w:r>
        <w:rPr>
          <w:i/>
          <w:spacing w:val="-12"/>
          <w:sz w:val="28"/>
        </w:rPr>
        <w:t> </w:t>
      </w:r>
      <w:r>
        <w:rPr>
          <w:i/>
          <w:sz w:val="28"/>
        </w:rPr>
        <w:t>Acad</w:t>
      </w:r>
      <w:r>
        <w:rPr>
          <w:i/>
          <w:spacing w:val="-6"/>
          <w:sz w:val="28"/>
        </w:rPr>
        <w:t> </w:t>
      </w:r>
      <w:r>
        <w:rPr>
          <w:i/>
          <w:sz w:val="28"/>
        </w:rPr>
        <w:t>Child</w:t>
      </w:r>
      <w:r>
        <w:rPr>
          <w:i/>
          <w:spacing w:val="-12"/>
          <w:sz w:val="28"/>
        </w:rPr>
        <w:t> </w:t>
      </w:r>
      <w:r>
        <w:rPr>
          <w:i/>
          <w:sz w:val="28"/>
        </w:rPr>
        <w:t>Adolesc</w:t>
      </w:r>
      <w:r>
        <w:rPr>
          <w:i/>
          <w:spacing w:val="-7"/>
          <w:sz w:val="28"/>
        </w:rPr>
        <w:t> </w:t>
      </w:r>
      <w:r>
        <w:rPr>
          <w:i/>
          <w:sz w:val="28"/>
        </w:rPr>
        <w:t>Psychiatry.</w:t>
      </w:r>
      <w:r>
        <w:rPr>
          <w:i/>
          <w:spacing w:val="-7"/>
          <w:sz w:val="28"/>
        </w:rPr>
        <w:t> </w:t>
      </w:r>
      <w:r>
        <w:rPr>
          <w:sz w:val="28"/>
        </w:rPr>
        <w:t>2016;55(3):155-156.e3.</w:t>
      </w:r>
      <w:r>
        <w:rPr>
          <w:spacing w:val="-6"/>
          <w:sz w:val="28"/>
        </w:rPr>
        <w:t> </w:t>
      </w:r>
      <w:r>
        <w:rPr>
          <w:sz w:val="28"/>
        </w:rPr>
        <w:t>https://doi.org/ </w:t>
      </w:r>
      <w:r>
        <w:rPr>
          <w:spacing w:val="-2"/>
          <w:sz w:val="28"/>
        </w:rPr>
        <w:t>10.1016/j.jaac.2015.11.015</w:t>
      </w:r>
    </w:p>
    <w:p>
      <w:pPr>
        <w:pStyle w:val="BodyText"/>
        <w:spacing w:before="9"/>
        <w:rPr>
          <w:sz w:val="25"/>
        </w:rPr>
      </w:pPr>
    </w:p>
    <w:p>
      <w:pPr>
        <w:pStyle w:val="BodyText"/>
        <w:ind w:left="640" w:right="502" w:hanging="360"/>
      </w:pPr>
      <w:r>
        <w:rPr/>
        <w:t>Temple</w:t>
      </w:r>
      <w:r>
        <w:rPr>
          <w:spacing w:val="-11"/>
        </w:rPr>
        <w:t> </w:t>
      </w:r>
      <w:r>
        <w:rPr/>
        <w:t>Newhook</w:t>
      </w:r>
      <w:r>
        <w:rPr>
          <w:spacing w:val="-6"/>
        </w:rPr>
        <w:t> </w:t>
      </w:r>
      <w:r>
        <w:rPr/>
        <w:t>J,</w:t>
      </w:r>
      <w:r>
        <w:rPr>
          <w:spacing w:val="-6"/>
        </w:rPr>
        <w:t> </w:t>
      </w:r>
      <w:r>
        <w:rPr/>
        <w:t>Pyne</w:t>
      </w:r>
      <w:r>
        <w:rPr>
          <w:spacing w:val="-7"/>
        </w:rPr>
        <w:t> </w:t>
      </w:r>
      <w:r>
        <w:rPr/>
        <w:t>J,</w:t>
      </w:r>
      <w:r>
        <w:rPr>
          <w:spacing w:val="-11"/>
        </w:rPr>
        <w:t> </w:t>
      </w:r>
      <w:r>
        <w:rPr/>
        <w:t>Winters</w:t>
      </w:r>
      <w:r>
        <w:rPr>
          <w:spacing w:val="-6"/>
        </w:rPr>
        <w:t> </w:t>
      </w:r>
      <w:r>
        <w:rPr/>
        <w:t>K,</w:t>
      </w:r>
      <w:r>
        <w:rPr>
          <w:spacing w:val="-6"/>
        </w:rPr>
        <w:t> </w:t>
      </w:r>
      <w:r>
        <w:rPr/>
        <w:t>et</w:t>
      </w:r>
      <w:r>
        <w:rPr>
          <w:spacing w:val="-6"/>
        </w:rPr>
        <w:t> </w:t>
      </w:r>
      <w:r>
        <w:rPr/>
        <w:t>al.</w:t>
      </w:r>
      <w:r>
        <w:rPr>
          <w:spacing w:val="-18"/>
        </w:rPr>
        <w:t> </w:t>
      </w:r>
      <w:r>
        <w:rPr/>
        <w:t>A</w:t>
      </w:r>
      <w:r>
        <w:rPr>
          <w:spacing w:val="-17"/>
        </w:rPr>
        <w:t> </w:t>
      </w:r>
      <w:r>
        <w:rPr/>
        <w:t>critical</w:t>
      </w:r>
      <w:r>
        <w:rPr>
          <w:spacing w:val="-6"/>
        </w:rPr>
        <w:t> </w:t>
      </w:r>
      <w:r>
        <w:rPr/>
        <w:t>commentary</w:t>
      </w:r>
      <w:r>
        <w:rPr>
          <w:spacing w:val="-6"/>
        </w:rPr>
        <w:t> </w:t>
      </w:r>
      <w:r>
        <w:rPr/>
        <w:t>on</w:t>
      </w:r>
      <w:r>
        <w:rPr>
          <w:spacing w:val="-6"/>
        </w:rPr>
        <w:t> </w:t>
      </w:r>
      <w:r>
        <w:rPr/>
        <w:t>follow- up studies and “desistance” theories about transgender and gender- nonconforming children. </w:t>
      </w:r>
      <w:r>
        <w:rPr>
          <w:i/>
        </w:rPr>
        <w:t>Int J Transgend</w:t>
      </w:r>
      <w:r>
        <w:rPr/>
        <w:t>. 2018;19(2):212-224. https:// doi.org/10.1080/15532739.2018.1456 390</w:t>
      </w:r>
    </w:p>
    <w:p>
      <w:pPr>
        <w:pStyle w:val="BodyText"/>
        <w:spacing w:before="8"/>
        <w:rPr>
          <w:sz w:val="25"/>
        </w:rPr>
      </w:pPr>
    </w:p>
    <w:p>
      <w:pPr>
        <w:pStyle w:val="BodyText"/>
        <w:ind w:left="640" w:hanging="360"/>
      </w:pPr>
      <w:r>
        <w:rPr/>
        <w:t>Wallien</w:t>
      </w:r>
      <w:r>
        <w:rPr>
          <w:spacing w:val="-14"/>
        </w:rPr>
        <w:t> </w:t>
      </w:r>
      <w:r>
        <w:rPr/>
        <w:t>MSC,</w:t>
      </w:r>
      <w:r>
        <w:rPr>
          <w:spacing w:val="-14"/>
        </w:rPr>
        <w:t> </w:t>
      </w:r>
      <w:r>
        <w:rPr/>
        <w:t>Cohen-Kettenis</w:t>
      </w:r>
      <w:r>
        <w:rPr>
          <w:spacing w:val="-14"/>
        </w:rPr>
        <w:t> </w:t>
      </w:r>
      <w:r>
        <w:rPr/>
        <w:t>P.</w:t>
      </w:r>
      <w:r>
        <w:rPr>
          <w:spacing w:val="-14"/>
        </w:rPr>
        <w:t> </w:t>
      </w:r>
      <w:r>
        <w:rPr/>
        <w:t>Psychosexual</w:t>
      </w:r>
      <w:r>
        <w:rPr>
          <w:spacing w:val="-14"/>
        </w:rPr>
        <w:t> </w:t>
      </w:r>
      <w:r>
        <w:rPr/>
        <w:t>outcome</w:t>
      </w:r>
      <w:r>
        <w:rPr>
          <w:spacing w:val="-15"/>
        </w:rPr>
        <w:t> </w:t>
      </w:r>
      <w:r>
        <w:rPr/>
        <w:t>of</w:t>
      </w:r>
      <w:r>
        <w:rPr>
          <w:spacing w:val="-14"/>
        </w:rPr>
        <w:t> </w:t>
      </w:r>
      <w:r>
        <w:rPr/>
        <w:t>gender-dysphoric children. </w:t>
      </w:r>
      <w:r>
        <w:rPr>
          <w:i/>
        </w:rPr>
        <w:t>J Am Acad Child Adolesc Psychiatry</w:t>
      </w:r>
      <w:r>
        <w:rPr/>
        <w:t>. 2008;47(12):1413-1423. https://doi.org/10.1097/CHI.0b013e31818956 b9</w:t>
      </w:r>
    </w:p>
    <w:p>
      <w:pPr>
        <w:spacing w:after="0"/>
        <w:sectPr>
          <w:pgSz w:w="12240" w:h="15840"/>
          <w:pgMar w:header="0" w:footer="783" w:top="1260" w:bottom="980" w:left="1400" w:right="1180"/>
        </w:sectPr>
      </w:pPr>
    </w:p>
    <w:p>
      <w:pPr>
        <w:pStyle w:val="BodyText"/>
        <w:spacing w:before="66"/>
        <w:ind w:left="640" w:right="502" w:hanging="360"/>
      </w:pPr>
      <w:r>
        <w:rPr/>
        <w:t>Steensma TD, Biemond R, de Boer F, Cohen-Kettenis PT. Desisting and persisting</w:t>
      </w:r>
      <w:r>
        <w:rPr>
          <w:spacing w:val="-7"/>
        </w:rPr>
        <w:t> </w:t>
      </w:r>
      <w:r>
        <w:rPr/>
        <w:t>gender</w:t>
      </w:r>
      <w:r>
        <w:rPr>
          <w:spacing w:val="-7"/>
        </w:rPr>
        <w:t> </w:t>
      </w:r>
      <w:r>
        <w:rPr/>
        <w:t>dysphoria</w:t>
      </w:r>
      <w:r>
        <w:rPr>
          <w:spacing w:val="-8"/>
        </w:rPr>
        <w:t> </w:t>
      </w:r>
      <w:r>
        <w:rPr/>
        <w:t>after</w:t>
      </w:r>
      <w:r>
        <w:rPr>
          <w:spacing w:val="-7"/>
        </w:rPr>
        <w:t> </w:t>
      </w:r>
      <w:r>
        <w:rPr/>
        <w:t>childhood:</w:t>
      </w:r>
      <w:r>
        <w:rPr>
          <w:spacing w:val="-7"/>
        </w:rPr>
        <w:t> </w:t>
      </w:r>
      <w:r>
        <w:rPr/>
        <w:t>a</w:t>
      </w:r>
      <w:r>
        <w:rPr>
          <w:spacing w:val="-8"/>
        </w:rPr>
        <w:t> </w:t>
      </w:r>
      <w:r>
        <w:rPr/>
        <w:t>qualitative</w:t>
      </w:r>
      <w:r>
        <w:rPr>
          <w:spacing w:val="-8"/>
        </w:rPr>
        <w:t> </w:t>
      </w:r>
      <w:r>
        <w:rPr/>
        <w:t>follow-up</w:t>
      </w:r>
      <w:r>
        <w:rPr>
          <w:spacing w:val="-7"/>
        </w:rPr>
        <w:t> </w:t>
      </w:r>
      <w:r>
        <w:rPr/>
        <w:t>study. </w:t>
      </w:r>
      <w:r>
        <w:rPr>
          <w:i/>
        </w:rPr>
        <w:t>Clin Child Psychol Psychiatry</w:t>
      </w:r>
      <w:r>
        <w:rPr/>
        <w:t>. 2011;16(4):499-516. https://doi.org/ </w:t>
      </w:r>
      <w:r>
        <w:rPr>
          <w:spacing w:val="-2"/>
        </w:rPr>
        <w:t>10.1177/1359104510378303</w:t>
      </w:r>
    </w:p>
    <w:p>
      <w:pPr>
        <w:pStyle w:val="BodyText"/>
        <w:spacing w:before="7"/>
        <w:rPr>
          <w:sz w:val="25"/>
        </w:rPr>
      </w:pPr>
    </w:p>
    <w:p>
      <w:pPr>
        <w:pStyle w:val="BodyText"/>
        <w:spacing w:line="321" w:lineRule="exact"/>
        <w:ind w:left="280"/>
      </w:pPr>
      <w:r>
        <w:rPr/>
        <w:t>Drescher</w:t>
      </w:r>
      <w:r>
        <w:rPr>
          <w:spacing w:val="-4"/>
        </w:rPr>
        <w:t> </w:t>
      </w:r>
      <w:r>
        <w:rPr/>
        <w:t>J.</w:t>
      </w:r>
      <w:r>
        <w:rPr>
          <w:spacing w:val="-2"/>
        </w:rPr>
        <w:t> </w:t>
      </w:r>
      <w:r>
        <w:rPr/>
        <w:t>Controversies</w:t>
      </w:r>
      <w:r>
        <w:rPr>
          <w:spacing w:val="-2"/>
        </w:rPr>
        <w:t> </w:t>
      </w:r>
      <w:r>
        <w:rPr/>
        <w:t>in</w:t>
      </w:r>
      <w:r>
        <w:rPr>
          <w:spacing w:val="-2"/>
        </w:rPr>
        <w:t> </w:t>
      </w:r>
      <w:r>
        <w:rPr/>
        <w:t>Gender</w:t>
      </w:r>
      <w:r>
        <w:rPr>
          <w:spacing w:val="-2"/>
        </w:rPr>
        <w:t> </w:t>
      </w:r>
      <w:r>
        <w:rPr/>
        <w:t>Diagnoses.</w:t>
      </w:r>
      <w:r>
        <w:rPr>
          <w:spacing w:val="-3"/>
        </w:rPr>
        <w:t> </w:t>
      </w:r>
      <w:r>
        <w:rPr>
          <w:i/>
        </w:rPr>
        <w:t>LGBT</w:t>
      </w:r>
      <w:r>
        <w:rPr>
          <w:i/>
          <w:spacing w:val="-8"/>
        </w:rPr>
        <w:t> </w:t>
      </w:r>
      <w:r>
        <w:rPr>
          <w:i/>
        </w:rPr>
        <w:t>Health.</w:t>
      </w:r>
      <w:r>
        <w:rPr>
          <w:i/>
          <w:spacing w:val="-2"/>
        </w:rPr>
        <w:t> </w:t>
      </w:r>
      <w:r>
        <w:rPr>
          <w:spacing w:val="-2"/>
        </w:rPr>
        <w:t>2014</w:t>
      </w:r>
      <w:r>
        <w:rPr>
          <w:i/>
          <w:spacing w:val="-2"/>
        </w:rPr>
        <w:t>;</w:t>
      </w:r>
      <w:r>
        <w:rPr>
          <w:spacing w:val="-2"/>
        </w:rPr>
        <w:t>1(1):10–</w:t>
      </w:r>
    </w:p>
    <w:p>
      <w:pPr>
        <w:pStyle w:val="BodyText"/>
        <w:spacing w:line="321" w:lineRule="exact"/>
        <w:ind w:left="640"/>
      </w:pPr>
      <w:r>
        <w:rPr/>
        <w:t>14. </w:t>
      </w:r>
      <w:r>
        <w:rPr>
          <w:spacing w:val="-2"/>
        </w:rPr>
        <w:t>https://doi.org/10.1089/lgbt.2013.1500</w:t>
      </w:r>
    </w:p>
    <w:p>
      <w:pPr>
        <w:pStyle w:val="BodyText"/>
        <w:spacing w:before="2"/>
        <w:rPr>
          <w:sz w:val="26"/>
        </w:rPr>
      </w:pPr>
    </w:p>
    <w:p>
      <w:pPr>
        <w:pStyle w:val="BodyText"/>
        <w:spacing w:before="1"/>
        <w:ind w:left="640" w:right="499" w:hanging="360"/>
        <w:rPr>
          <w:i/>
        </w:rPr>
      </w:pPr>
      <w:r>
        <w:rPr/>
        <w:t>Leibowitz</w:t>
      </w:r>
      <w:r>
        <w:rPr>
          <w:spacing w:val="-10"/>
        </w:rPr>
        <w:t> </w:t>
      </w:r>
      <w:r>
        <w:rPr/>
        <w:t>SF,</w:t>
      </w:r>
      <w:r>
        <w:rPr>
          <w:spacing w:val="-9"/>
        </w:rPr>
        <w:t> </w:t>
      </w:r>
      <w:r>
        <w:rPr/>
        <w:t>Spack</w:t>
      </w:r>
      <w:r>
        <w:rPr>
          <w:spacing w:val="-9"/>
        </w:rPr>
        <w:t> </w:t>
      </w:r>
      <w:r>
        <w:rPr/>
        <w:t>NP.</w:t>
      </w:r>
      <w:r>
        <w:rPr>
          <w:spacing w:val="-15"/>
        </w:rPr>
        <w:t> </w:t>
      </w:r>
      <w:r>
        <w:rPr/>
        <w:t>The</w:t>
      </w:r>
      <w:r>
        <w:rPr>
          <w:spacing w:val="-10"/>
        </w:rPr>
        <w:t> </w:t>
      </w:r>
      <w:r>
        <w:rPr/>
        <w:t>development</w:t>
      </w:r>
      <w:r>
        <w:rPr>
          <w:spacing w:val="-9"/>
        </w:rPr>
        <w:t> </w:t>
      </w:r>
      <w:r>
        <w:rPr/>
        <w:t>of</w:t>
      </w:r>
      <w:r>
        <w:rPr>
          <w:spacing w:val="-9"/>
        </w:rPr>
        <w:t> </w:t>
      </w:r>
      <w:r>
        <w:rPr/>
        <w:t>a</w:t>
      </w:r>
      <w:r>
        <w:rPr>
          <w:spacing w:val="-10"/>
        </w:rPr>
        <w:t> </w:t>
      </w:r>
      <w:r>
        <w:rPr/>
        <w:t>gender</w:t>
      </w:r>
      <w:r>
        <w:rPr>
          <w:spacing w:val="-9"/>
        </w:rPr>
        <w:t> </w:t>
      </w:r>
      <w:r>
        <w:rPr/>
        <w:t>identity</w:t>
      </w:r>
      <w:r>
        <w:rPr>
          <w:spacing w:val="-9"/>
        </w:rPr>
        <w:t> </w:t>
      </w:r>
      <w:r>
        <w:rPr/>
        <w:t>psychosocial clinic: Treatment issues, logistical considerations, interdisciplinary cooperation, and future initiatives. </w:t>
      </w:r>
      <w:r>
        <w:rPr>
          <w:i/>
        </w:rPr>
        <w:t>Child Adolesc Psychiatr Clin N Am.</w:t>
      </w:r>
    </w:p>
    <w:p>
      <w:pPr>
        <w:pStyle w:val="BodyText"/>
        <w:spacing w:line="316" w:lineRule="exact"/>
        <w:ind w:left="640"/>
      </w:pPr>
      <w:r>
        <w:rPr/>
        <w:t>2011;20:701-724.</w:t>
      </w:r>
      <w:r>
        <w:rPr>
          <w:spacing w:val="-13"/>
        </w:rPr>
        <w:t> </w:t>
      </w:r>
      <w:r>
        <w:rPr>
          <w:spacing w:val="-2"/>
        </w:rPr>
        <w:t>https://doi.org/10.1016/j.chc.2011.07.004</w:t>
      </w:r>
    </w:p>
    <w:p>
      <w:pPr>
        <w:pStyle w:val="BodyText"/>
        <w:spacing w:before="1"/>
        <w:rPr>
          <w:sz w:val="26"/>
        </w:rPr>
      </w:pPr>
    </w:p>
    <w:p>
      <w:pPr>
        <w:pStyle w:val="BodyText"/>
        <w:spacing w:before="1"/>
        <w:ind w:left="640" w:hanging="360"/>
      </w:pPr>
      <w:r>
        <w:rPr/>
        <w:t>Ashley</w:t>
      </w:r>
      <w:r>
        <w:rPr>
          <w:spacing w:val="-6"/>
        </w:rPr>
        <w:t> </w:t>
      </w:r>
      <w:r>
        <w:rPr/>
        <w:t>F.</w:t>
      </w:r>
      <w:r>
        <w:rPr>
          <w:spacing w:val="-12"/>
        </w:rPr>
        <w:t> </w:t>
      </w:r>
      <w:r>
        <w:rPr/>
        <w:t>The</w:t>
      </w:r>
      <w:r>
        <w:rPr>
          <w:spacing w:val="-7"/>
        </w:rPr>
        <w:t> </w:t>
      </w:r>
      <w:r>
        <w:rPr/>
        <w:t>clinical</w:t>
      </w:r>
      <w:r>
        <w:rPr>
          <w:spacing w:val="-6"/>
        </w:rPr>
        <w:t> </w:t>
      </w:r>
      <w:r>
        <w:rPr/>
        <w:t>irrelevance</w:t>
      </w:r>
      <w:r>
        <w:rPr>
          <w:spacing w:val="-7"/>
        </w:rPr>
        <w:t> </w:t>
      </w:r>
      <w:r>
        <w:rPr/>
        <w:t>of</w:t>
      </w:r>
      <w:r>
        <w:rPr>
          <w:spacing w:val="-6"/>
        </w:rPr>
        <w:t> </w:t>
      </w:r>
      <w:r>
        <w:rPr/>
        <w:t>“desistance”</w:t>
      </w:r>
      <w:r>
        <w:rPr>
          <w:spacing w:val="-7"/>
        </w:rPr>
        <w:t> </w:t>
      </w:r>
      <w:r>
        <w:rPr/>
        <w:t>research</w:t>
      </w:r>
      <w:r>
        <w:rPr>
          <w:spacing w:val="-6"/>
        </w:rPr>
        <w:t> </w:t>
      </w:r>
      <w:r>
        <w:rPr/>
        <w:t>for</w:t>
      </w:r>
      <w:r>
        <w:rPr>
          <w:spacing w:val="-6"/>
        </w:rPr>
        <w:t> </w:t>
      </w:r>
      <w:r>
        <w:rPr/>
        <w:t>transgender</w:t>
      </w:r>
      <w:r>
        <w:rPr>
          <w:spacing w:val="-6"/>
        </w:rPr>
        <w:t> </w:t>
      </w:r>
      <w:r>
        <w:rPr/>
        <w:t>and gender creative youth. </w:t>
      </w:r>
      <w:r>
        <w:rPr>
          <w:i/>
        </w:rPr>
        <w:t>Psychol Sex Orientat Gend Divers</w:t>
      </w:r>
      <w:r>
        <w:rPr/>
        <w:t>. 2021. https:// </w:t>
      </w:r>
      <w:r>
        <w:rPr>
          <w:spacing w:val="-2"/>
        </w:rPr>
        <w:t>doi.org/10.1037/sgd0000504</w:t>
      </w:r>
    </w:p>
    <w:p>
      <w:pPr>
        <w:pStyle w:val="BodyText"/>
        <w:spacing w:before="9"/>
        <w:rPr>
          <w:sz w:val="25"/>
        </w:rPr>
      </w:pPr>
    </w:p>
    <w:p>
      <w:pPr>
        <w:pStyle w:val="BodyText"/>
        <w:ind w:left="640" w:right="502" w:hanging="360"/>
      </w:pPr>
      <w:r>
        <w:rPr/>
        <w:t>Ashley</w:t>
      </w:r>
      <w:r>
        <w:rPr>
          <w:spacing w:val="-8"/>
        </w:rPr>
        <w:t> </w:t>
      </w:r>
      <w:r>
        <w:rPr/>
        <w:t>F.</w:t>
      </w:r>
      <w:r>
        <w:rPr>
          <w:spacing w:val="-11"/>
        </w:rPr>
        <w:t> </w:t>
      </w:r>
      <w:r>
        <w:rPr/>
        <w:t>Thinking</w:t>
      </w:r>
      <w:r>
        <w:rPr>
          <w:spacing w:val="-6"/>
        </w:rPr>
        <w:t> </w:t>
      </w:r>
      <w:r>
        <w:rPr/>
        <w:t>an</w:t>
      </w:r>
      <w:r>
        <w:rPr>
          <w:spacing w:val="-6"/>
        </w:rPr>
        <w:t> </w:t>
      </w:r>
      <w:r>
        <w:rPr/>
        <w:t>ethics</w:t>
      </w:r>
      <w:r>
        <w:rPr>
          <w:spacing w:val="-6"/>
        </w:rPr>
        <w:t> </w:t>
      </w:r>
      <w:r>
        <w:rPr/>
        <w:t>of</w:t>
      </w:r>
      <w:r>
        <w:rPr>
          <w:spacing w:val="-6"/>
        </w:rPr>
        <w:t> </w:t>
      </w:r>
      <w:r>
        <w:rPr/>
        <w:t>gender</w:t>
      </w:r>
      <w:r>
        <w:rPr>
          <w:spacing w:val="-6"/>
        </w:rPr>
        <w:t> </w:t>
      </w:r>
      <w:r>
        <w:rPr/>
        <w:t>exploration:</w:t>
      </w:r>
      <w:r>
        <w:rPr>
          <w:spacing w:val="-18"/>
        </w:rPr>
        <w:t> </w:t>
      </w:r>
      <w:r>
        <w:rPr/>
        <w:t>Against</w:t>
      </w:r>
      <w:r>
        <w:rPr>
          <w:spacing w:val="-5"/>
        </w:rPr>
        <w:t> </w:t>
      </w:r>
      <w:r>
        <w:rPr/>
        <w:t>delaying</w:t>
      </w:r>
      <w:r>
        <w:rPr>
          <w:spacing w:val="-6"/>
        </w:rPr>
        <w:t> </w:t>
      </w:r>
      <w:r>
        <w:rPr/>
        <w:t>transition for transgender and gender creative youth [published correction appears in </w:t>
      </w:r>
      <w:r>
        <w:rPr>
          <w:i/>
        </w:rPr>
        <w:t>Clin Child Psychol Psychiatry</w:t>
      </w:r>
      <w:r>
        <w:rPr/>
        <w:t>. 2019 Jul;24(3):650]. </w:t>
      </w:r>
      <w:r>
        <w:rPr>
          <w:i/>
        </w:rPr>
        <w:t>Clin Child Psychol</w:t>
      </w:r>
      <w:r>
        <w:rPr>
          <w:i/>
        </w:rPr>
        <w:t> Psychiatry</w:t>
      </w:r>
      <w:r>
        <w:rPr/>
        <w:t>.</w:t>
      </w:r>
      <w:r>
        <w:rPr>
          <w:spacing w:val="-18"/>
        </w:rPr>
        <w:t> </w:t>
      </w:r>
      <w:r>
        <w:rPr/>
        <w:t>2019;24(2):223236.</w:t>
      </w:r>
      <w:r>
        <w:rPr>
          <w:spacing w:val="-17"/>
        </w:rPr>
        <w:t> </w:t>
      </w:r>
      <w:r>
        <w:rPr/>
        <w:t>https://doi.org/10.1177/1359104519836462</w:t>
      </w:r>
    </w:p>
    <w:p>
      <w:pPr>
        <w:pStyle w:val="BodyText"/>
        <w:spacing w:before="8"/>
        <w:rPr>
          <w:sz w:val="25"/>
        </w:rPr>
      </w:pPr>
    </w:p>
    <w:p>
      <w:pPr>
        <w:pStyle w:val="BodyText"/>
        <w:ind w:left="640" w:right="499" w:hanging="360"/>
      </w:pPr>
      <w:r>
        <w:rPr/>
        <w:t>Chen D, Matson M, Macapagal K, et al.</w:t>
      </w:r>
      <w:r>
        <w:rPr>
          <w:spacing w:val="-6"/>
        </w:rPr>
        <w:t> </w:t>
      </w:r>
      <w:r>
        <w:rPr/>
        <w:t>Attitudes toward fertility and reproductive health among transgender and gender-nonconforming adolescents.</w:t>
      </w:r>
      <w:r>
        <w:rPr>
          <w:spacing w:val="-9"/>
        </w:rPr>
        <w:t> </w:t>
      </w:r>
      <w:r>
        <w:rPr>
          <w:i/>
        </w:rPr>
        <w:t>J</w:t>
      </w:r>
      <w:r>
        <w:rPr>
          <w:i/>
          <w:spacing w:val="-14"/>
        </w:rPr>
        <w:t> </w:t>
      </w:r>
      <w:r>
        <w:rPr>
          <w:i/>
        </w:rPr>
        <w:t>Adolesc</w:t>
      </w:r>
      <w:r>
        <w:rPr>
          <w:i/>
          <w:spacing w:val="-9"/>
        </w:rPr>
        <w:t> </w:t>
      </w:r>
      <w:r>
        <w:rPr>
          <w:i/>
        </w:rPr>
        <w:t>Health.</w:t>
      </w:r>
      <w:r>
        <w:rPr>
          <w:i/>
          <w:spacing w:val="-9"/>
        </w:rPr>
        <w:t> </w:t>
      </w:r>
      <w:r>
        <w:rPr/>
        <w:t>2018;63(1):62-68.</w:t>
      </w:r>
      <w:r>
        <w:rPr>
          <w:spacing w:val="-8"/>
        </w:rPr>
        <w:t> </w:t>
      </w:r>
      <w:r>
        <w:rPr/>
        <w:t>https://doi.org/10.1016/ j.jadohealth.2017.11.3 06</w:t>
      </w:r>
    </w:p>
    <w:p>
      <w:pPr>
        <w:pStyle w:val="BodyText"/>
        <w:spacing w:before="7"/>
        <w:rPr>
          <w:sz w:val="25"/>
        </w:rPr>
      </w:pPr>
    </w:p>
    <w:p>
      <w:pPr>
        <w:pStyle w:val="BodyText"/>
        <w:ind w:left="640" w:right="502" w:hanging="360"/>
      </w:pPr>
      <w:r>
        <w:rPr/>
        <w:t>Olson</w:t>
      </w:r>
      <w:r>
        <w:rPr>
          <w:spacing w:val="-5"/>
        </w:rPr>
        <w:t> </w:t>
      </w:r>
      <w:r>
        <w:rPr/>
        <w:t>K,</w:t>
      </w:r>
      <w:r>
        <w:rPr>
          <w:spacing w:val="-4"/>
        </w:rPr>
        <w:t> </w:t>
      </w:r>
      <w:r>
        <w:rPr/>
        <w:t>Key</w:t>
      </w:r>
      <w:r>
        <w:rPr>
          <w:spacing w:val="-18"/>
        </w:rPr>
        <w:t> </w:t>
      </w:r>
      <w:r>
        <w:rPr/>
        <w:t>A,</w:t>
      </w:r>
      <w:r>
        <w:rPr>
          <w:spacing w:val="-3"/>
        </w:rPr>
        <w:t> </w:t>
      </w:r>
      <w:r>
        <w:rPr/>
        <w:t>Eaton</w:t>
      </w:r>
      <w:r>
        <w:rPr>
          <w:spacing w:val="-4"/>
        </w:rPr>
        <w:t> </w:t>
      </w:r>
      <w:r>
        <w:rPr/>
        <w:t>N.</w:t>
      </w:r>
      <w:r>
        <w:rPr>
          <w:spacing w:val="-4"/>
        </w:rPr>
        <w:t> </w:t>
      </w:r>
      <w:r>
        <w:rPr/>
        <w:t>Gender</w:t>
      </w:r>
      <w:r>
        <w:rPr>
          <w:spacing w:val="-4"/>
        </w:rPr>
        <w:t> </w:t>
      </w:r>
      <w:r>
        <w:rPr/>
        <w:t>cognition</w:t>
      </w:r>
      <w:r>
        <w:rPr>
          <w:spacing w:val="-4"/>
        </w:rPr>
        <w:t> </w:t>
      </w:r>
      <w:r>
        <w:rPr/>
        <w:t>in</w:t>
      </w:r>
      <w:r>
        <w:rPr>
          <w:spacing w:val="-4"/>
        </w:rPr>
        <w:t> </w:t>
      </w:r>
      <w:r>
        <w:rPr/>
        <w:t>transgender</w:t>
      </w:r>
      <w:r>
        <w:rPr>
          <w:spacing w:val="-4"/>
        </w:rPr>
        <w:t> </w:t>
      </w:r>
      <w:r>
        <w:rPr/>
        <w:t>children.</w:t>
      </w:r>
      <w:r>
        <w:rPr>
          <w:spacing w:val="-5"/>
        </w:rPr>
        <w:t> </w:t>
      </w:r>
      <w:r>
        <w:rPr>
          <w:i/>
        </w:rPr>
        <w:t>Psychol</w:t>
      </w:r>
      <w:r>
        <w:rPr>
          <w:i/>
        </w:rPr>
        <w:t> Sci</w:t>
      </w:r>
      <w:r>
        <w:rPr/>
        <w:t>. 2015;26(4):467-74. https://doi.org/10.1177/0956797614568156</w:t>
      </w:r>
    </w:p>
    <w:p>
      <w:pPr>
        <w:pStyle w:val="BodyText"/>
        <w:rPr>
          <w:sz w:val="26"/>
        </w:rPr>
      </w:pPr>
    </w:p>
    <w:p>
      <w:pPr>
        <w:pStyle w:val="BodyText"/>
        <w:spacing w:line="321" w:lineRule="exact" w:before="1"/>
        <w:ind w:left="280"/>
      </w:pPr>
      <w:r>
        <w:rPr/>
        <w:t>Fast</w:t>
      </w:r>
      <w:r>
        <w:rPr>
          <w:spacing w:val="-20"/>
        </w:rPr>
        <w:t> </w:t>
      </w:r>
      <w:r>
        <w:rPr/>
        <w:t>AA,</w:t>
      </w:r>
      <w:r>
        <w:rPr>
          <w:spacing w:val="-1"/>
        </w:rPr>
        <w:t> </w:t>
      </w:r>
      <w:r>
        <w:rPr/>
        <w:t>Olson</w:t>
      </w:r>
      <w:r>
        <w:rPr>
          <w:spacing w:val="-1"/>
        </w:rPr>
        <w:t> </w:t>
      </w:r>
      <w:r>
        <w:rPr/>
        <w:t>KR.</w:t>
      </w:r>
      <w:r>
        <w:rPr>
          <w:spacing w:val="-2"/>
        </w:rPr>
        <w:t> </w:t>
      </w:r>
      <w:r>
        <w:rPr/>
        <w:t>Gender</w:t>
      </w:r>
      <w:r>
        <w:rPr>
          <w:spacing w:val="-1"/>
        </w:rPr>
        <w:t> </w:t>
      </w:r>
      <w:r>
        <w:rPr/>
        <w:t>development</w:t>
      </w:r>
      <w:r>
        <w:rPr>
          <w:spacing w:val="-1"/>
        </w:rPr>
        <w:t> </w:t>
      </w:r>
      <w:r>
        <w:rPr/>
        <w:t>in</w:t>
      </w:r>
      <w:r>
        <w:rPr>
          <w:spacing w:val="-2"/>
        </w:rPr>
        <w:t> </w:t>
      </w:r>
      <w:r>
        <w:rPr/>
        <w:t>transgender</w:t>
      </w:r>
      <w:r>
        <w:rPr>
          <w:spacing w:val="-1"/>
        </w:rPr>
        <w:t> </w:t>
      </w:r>
      <w:r>
        <w:rPr/>
        <w:t>preschool</w:t>
      </w:r>
      <w:r>
        <w:rPr>
          <w:spacing w:val="-1"/>
        </w:rPr>
        <w:t> </w:t>
      </w:r>
      <w:r>
        <w:rPr>
          <w:spacing w:val="-2"/>
        </w:rPr>
        <w:t>children.</w:t>
      </w:r>
    </w:p>
    <w:p>
      <w:pPr>
        <w:pStyle w:val="BodyText"/>
        <w:spacing w:line="321" w:lineRule="exact"/>
        <w:ind w:left="640"/>
      </w:pPr>
      <w:r>
        <w:rPr>
          <w:i/>
        </w:rPr>
        <w:t>Child</w:t>
      </w:r>
      <w:r>
        <w:rPr>
          <w:i/>
          <w:spacing w:val="-3"/>
        </w:rPr>
        <w:t> </w:t>
      </w:r>
      <w:r>
        <w:rPr>
          <w:i/>
        </w:rPr>
        <w:t>Dev</w:t>
      </w:r>
      <w:r>
        <w:rPr/>
        <w:t>.</w:t>
      </w:r>
      <w:r>
        <w:rPr>
          <w:spacing w:val="-1"/>
        </w:rPr>
        <w:t> </w:t>
      </w:r>
      <w:r>
        <w:rPr/>
        <w:t>2018;89(2):620-637. </w:t>
      </w:r>
      <w:r>
        <w:rPr>
          <w:spacing w:val="-2"/>
        </w:rPr>
        <w:t>https://doi.org/10.1111/cdev.12758</w:t>
      </w:r>
    </w:p>
    <w:p>
      <w:pPr>
        <w:pStyle w:val="BodyText"/>
        <w:spacing w:before="1"/>
        <w:rPr>
          <w:sz w:val="26"/>
        </w:rPr>
      </w:pPr>
    </w:p>
    <w:p>
      <w:pPr>
        <w:pStyle w:val="BodyText"/>
        <w:spacing w:before="1"/>
        <w:ind w:left="640" w:right="668" w:hanging="360"/>
        <w:rPr>
          <w:i/>
        </w:rPr>
      </w:pPr>
      <w:r>
        <w:rPr/>
        <w:t>Gülgöz</w:t>
      </w:r>
      <w:r>
        <w:rPr>
          <w:spacing w:val="-5"/>
        </w:rPr>
        <w:t> </w:t>
      </w:r>
      <w:r>
        <w:rPr/>
        <w:t>S,</w:t>
      </w:r>
      <w:r>
        <w:rPr>
          <w:spacing w:val="-4"/>
        </w:rPr>
        <w:t> </w:t>
      </w:r>
      <w:r>
        <w:rPr/>
        <w:t>Glazier</w:t>
      </w:r>
      <w:r>
        <w:rPr>
          <w:spacing w:val="-4"/>
        </w:rPr>
        <w:t> </w:t>
      </w:r>
      <w:r>
        <w:rPr/>
        <w:t>JJ,</w:t>
      </w:r>
      <w:r>
        <w:rPr>
          <w:spacing w:val="-4"/>
        </w:rPr>
        <w:t> </w:t>
      </w:r>
      <w:r>
        <w:rPr/>
        <w:t>Enright</w:t>
      </w:r>
      <w:r>
        <w:rPr>
          <w:spacing w:val="-4"/>
        </w:rPr>
        <w:t> </w:t>
      </w:r>
      <w:r>
        <w:rPr/>
        <w:t>EA,</w:t>
      </w:r>
      <w:r>
        <w:rPr>
          <w:spacing w:val="-4"/>
        </w:rPr>
        <w:t> </w:t>
      </w:r>
      <w:r>
        <w:rPr/>
        <w:t>et</w:t>
      </w:r>
      <w:r>
        <w:rPr>
          <w:spacing w:val="-4"/>
        </w:rPr>
        <w:t> </w:t>
      </w:r>
      <w:r>
        <w:rPr/>
        <w:t>al.</w:t>
      </w:r>
      <w:r>
        <w:rPr>
          <w:spacing w:val="-4"/>
        </w:rPr>
        <w:t> </w:t>
      </w:r>
      <w:r>
        <w:rPr/>
        <w:t>Similarity</w:t>
      </w:r>
      <w:r>
        <w:rPr>
          <w:spacing w:val="-4"/>
        </w:rPr>
        <w:t> </w:t>
      </w:r>
      <w:r>
        <w:rPr/>
        <w:t>in</w:t>
      </w:r>
      <w:r>
        <w:rPr>
          <w:spacing w:val="-4"/>
        </w:rPr>
        <w:t> </w:t>
      </w:r>
      <w:r>
        <w:rPr/>
        <w:t>transgender</w:t>
      </w:r>
      <w:r>
        <w:rPr>
          <w:spacing w:val="-4"/>
        </w:rPr>
        <w:t> </w:t>
      </w:r>
      <w:r>
        <w:rPr/>
        <w:t>and cisgender children’s gender development. </w:t>
      </w:r>
      <w:r>
        <w:rPr>
          <w:i/>
        </w:rPr>
        <w:t>PNAS.</w:t>
      </w:r>
    </w:p>
    <w:p>
      <w:pPr>
        <w:pStyle w:val="BodyText"/>
        <w:spacing w:line="318" w:lineRule="exact"/>
        <w:ind w:left="640"/>
      </w:pPr>
      <w:r>
        <w:rPr/>
        <w:t>2019;116(49):24480-24485.</w:t>
      </w:r>
      <w:r>
        <w:rPr>
          <w:spacing w:val="-11"/>
        </w:rPr>
        <w:t> </w:t>
      </w:r>
      <w:r>
        <w:rPr>
          <w:spacing w:val="-2"/>
        </w:rPr>
        <w:t>https://doi.org/10.1073/pnas.1909367116</w:t>
      </w:r>
    </w:p>
    <w:p>
      <w:pPr>
        <w:pStyle w:val="BodyText"/>
        <w:spacing w:before="1"/>
        <w:rPr>
          <w:sz w:val="26"/>
        </w:rPr>
      </w:pPr>
    </w:p>
    <w:p>
      <w:pPr>
        <w:pStyle w:val="BodyText"/>
        <w:spacing w:before="1"/>
        <w:ind w:left="640" w:right="499" w:hanging="360"/>
      </w:pPr>
      <w:r>
        <w:rPr/>
        <w:t>Grossman</w:t>
      </w:r>
      <w:r>
        <w:rPr>
          <w:spacing w:val="-4"/>
        </w:rPr>
        <w:t> </w:t>
      </w:r>
      <w:r>
        <w:rPr/>
        <w:t>AH, D'Augelli</w:t>
      </w:r>
      <w:r>
        <w:rPr>
          <w:spacing w:val="-4"/>
        </w:rPr>
        <w:t> </w:t>
      </w:r>
      <w:r>
        <w:rPr/>
        <w:t>AR, Howell TJ, Hubbard S. Parents’</w:t>
      </w:r>
      <w:r>
        <w:rPr>
          <w:spacing w:val="-10"/>
        </w:rPr>
        <w:t> </w:t>
      </w:r>
      <w:r>
        <w:rPr/>
        <w:t>reactions to transgender youths' gender nonconforming expression and identity. </w:t>
      </w:r>
      <w:r>
        <w:rPr>
          <w:i/>
        </w:rPr>
        <w:t>J Gay</w:t>
      </w:r>
      <w:r>
        <w:rPr>
          <w:i/>
        </w:rPr>
        <w:t> Lesbian</w:t>
      </w:r>
      <w:r>
        <w:rPr>
          <w:i/>
          <w:spacing w:val="-8"/>
        </w:rPr>
        <w:t> </w:t>
      </w:r>
      <w:r>
        <w:rPr>
          <w:i/>
        </w:rPr>
        <w:t>Soc</w:t>
      </w:r>
      <w:r>
        <w:rPr>
          <w:i/>
          <w:spacing w:val="-7"/>
        </w:rPr>
        <w:t> </w:t>
      </w:r>
      <w:r>
        <w:rPr>
          <w:i/>
        </w:rPr>
        <w:t>Serv.</w:t>
      </w:r>
      <w:r>
        <w:rPr>
          <w:i/>
          <w:spacing w:val="-7"/>
        </w:rPr>
        <w:t> </w:t>
      </w:r>
      <w:r>
        <w:rPr/>
        <w:t>2006;18:1:3-16.</w:t>
      </w:r>
      <w:r>
        <w:rPr>
          <w:spacing w:val="-5"/>
        </w:rPr>
        <w:t> </w:t>
      </w:r>
      <w:r>
        <w:rPr>
          <w:spacing w:val="-2"/>
        </w:rPr>
        <w:t>https://doi.org/10.1300/J041v18n01_02</w:t>
      </w:r>
    </w:p>
    <w:p>
      <w:pPr>
        <w:spacing w:after="0"/>
        <w:sectPr>
          <w:pgSz w:w="12240" w:h="15840"/>
          <w:pgMar w:header="0" w:footer="783" w:top="1260" w:bottom="980" w:left="1400" w:right="1180"/>
        </w:sectPr>
      </w:pPr>
    </w:p>
    <w:p>
      <w:pPr>
        <w:pStyle w:val="BodyText"/>
        <w:spacing w:before="66"/>
        <w:ind w:left="640" w:right="499" w:hanging="360"/>
      </w:pPr>
      <w:r>
        <w:rPr/>
        <w:t>Olson</w:t>
      </w:r>
      <w:r>
        <w:rPr>
          <w:spacing w:val="-6"/>
        </w:rPr>
        <w:t> </w:t>
      </w:r>
      <w:r>
        <w:rPr/>
        <w:t>J,</w:t>
      </w:r>
      <w:r>
        <w:rPr>
          <w:spacing w:val="-6"/>
        </w:rPr>
        <w:t> </w:t>
      </w:r>
      <w:r>
        <w:rPr/>
        <w:t>Schrager</w:t>
      </w:r>
      <w:r>
        <w:rPr>
          <w:spacing w:val="-6"/>
        </w:rPr>
        <w:t> </w:t>
      </w:r>
      <w:r>
        <w:rPr/>
        <w:t>SM,</w:t>
      </w:r>
      <w:r>
        <w:rPr>
          <w:spacing w:val="-6"/>
        </w:rPr>
        <w:t> </w:t>
      </w:r>
      <w:r>
        <w:rPr/>
        <w:t>Belzer</w:t>
      </w:r>
      <w:r>
        <w:rPr>
          <w:spacing w:val="-6"/>
        </w:rPr>
        <w:t> </w:t>
      </w:r>
      <w:r>
        <w:rPr/>
        <w:t>M,</w:t>
      </w:r>
      <w:r>
        <w:rPr>
          <w:spacing w:val="-6"/>
        </w:rPr>
        <w:t> </w:t>
      </w:r>
      <w:r>
        <w:rPr/>
        <w:t>Simons</w:t>
      </w:r>
      <w:r>
        <w:rPr>
          <w:spacing w:val="-6"/>
        </w:rPr>
        <w:t> </w:t>
      </w:r>
      <w:r>
        <w:rPr/>
        <w:t>LK,</w:t>
      </w:r>
      <w:r>
        <w:rPr>
          <w:spacing w:val="-6"/>
        </w:rPr>
        <w:t> </w:t>
      </w:r>
      <w:r>
        <w:rPr/>
        <w:t>Clark</w:t>
      </w:r>
      <w:r>
        <w:rPr>
          <w:spacing w:val="-6"/>
        </w:rPr>
        <w:t> </w:t>
      </w:r>
      <w:r>
        <w:rPr/>
        <w:t>LF.</w:t>
      </w:r>
      <w:r>
        <w:rPr>
          <w:spacing w:val="-6"/>
        </w:rPr>
        <w:t> </w:t>
      </w:r>
      <w:r>
        <w:rPr/>
        <w:t>Baseline</w:t>
      </w:r>
      <w:r>
        <w:rPr>
          <w:spacing w:val="-7"/>
        </w:rPr>
        <w:t> </w:t>
      </w:r>
      <w:r>
        <w:rPr/>
        <w:t>physiologic and psychosocial characteristics of transgender youth seeking care for gender dysphoria. </w:t>
      </w:r>
      <w:r>
        <w:rPr>
          <w:i/>
        </w:rPr>
        <w:t>J Adolesc Health</w:t>
      </w:r>
      <w:r>
        <w:rPr/>
        <w:t>. 2015;57(4):374-380. https://doi.org/ 10.1016/j.jadohealth.2015.04.0 27</w:t>
      </w:r>
    </w:p>
    <w:p>
      <w:pPr>
        <w:pStyle w:val="BodyText"/>
        <w:spacing w:before="7"/>
        <w:rPr>
          <w:sz w:val="25"/>
        </w:rPr>
      </w:pPr>
    </w:p>
    <w:p>
      <w:pPr>
        <w:pStyle w:val="BodyText"/>
        <w:ind w:left="640" w:right="502" w:hanging="360"/>
      </w:pPr>
      <w:r>
        <w:rPr/>
        <w:t>Keo-Meier</w:t>
      </w:r>
      <w:r>
        <w:rPr>
          <w:spacing w:val="-4"/>
        </w:rPr>
        <w:t> </w:t>
      </w:r>
      <w:r>
        <w:rPr/>
        <w:t>C,</w:t>
      </w:r>
      <w:r>
        <w:rPr>
          <w:spacing w:val="-4"/>
        </w:rPr>
        <w:t> </w:t>
      </w:r>
      <w:r>
        <w:rPr/>
        <w:t>et</w:t>
      </w:r>
      <w:r>
        <w:rPr>
          <w:spacing w:val="-4"/>
        </w:rPr>
        <w:t> </w:t>
      </w:r>
      <w:r>
        <w:rPr/>
        <w:t>al.</w:t>
      </w:r>
      <w:r>
        <w:rPr>
          <w:spacing w:val="-4"/>
        </w:rPr>
        <w:t> </w:t>
      </w:r>
      <w:r>
        <w:rPr/>
        <w:t>Demographics</w:t>
      </w:r>
      <w:r>
        <w:rPr>
          <w:spacing w:val="-4"/>
        </w:rPr>
        <w:t> </w:t>
      </w:r>
      <w:r>
        <w:rPr/>
        <w:t>of</w:t>
      </w:r>
      <w:r>
        <w:rPr>
          <w:spacing w:val="-4"/>
        </w:rPr>
        <w:t> </w:t>
      </w:r>
      <w:r>
        <w:rPr/>
        <w:t>gender</w:t>
      </w:r>
      <w:r>
        <w:rPr>
          <w:spacing w:val="-4"/>
        </w:rPr>
        <w:t> </w:t>
      </w:r>
      <w:r>
        <w:rPr/>
        <w:t>diverse</w:t>
      </w:r>
      <w:r>
        <w:rPr>
          <w:spacing w:val="-5"/>
        </w:rPr>
        <w:t> </w:t>
      </w:r>
      <w:r>
        <w:rPr/>
        <w:t>children</w:t>
      </w:r>
      <w:r>
        <w:rPr>
          <w:spacing w:val="-4"/>
        </w:rPr>
        <w:t> </w:t>
      </w:r>
      <w:r>
        <w:rPr/>
        <w:t>living</w:t>
      </w:r>
      <w:r>
        <w:rPr>
          <w:spacing w:val="-4"/>
        </w:rPr>
        <w:t> </w:t>
      </w:r>
      <w:r>
        <w:rPr/>
        <w:t>in</w:t>
      </w:r>
      <w:r>
        <w:rPr>
          <w:spacing w:val="-4"/>
        </w:rPr>
        <w:t> </w:t>
      </w:r>
      <w:r>
        <w:rPr/>
        <w:t>the United States. American Psychological Association Convention, Washington, DC. 2014.</w:t>
      </w:r>
    </w:p>
    <w:p>
      <w:pPr>
        <w:pStyle w:val="BodyText"/>
        <w:rPr>
          <w:sz w:val="30"/>
        </w:rPr>
      </w:pPr>
    </w:p>
    <w:p>
      <w:pPr>
        <w:pStyle w:val="BodyText"/>
        <w:spacing w:before="2"/>
        <w:rPr>
          <w:sz w:val="25"/>
        </w:rPr>
      </w:pPr>
    </w:p>
    <w:p>
      <w:pPr>
        <w:pStyle w:val="BodyText"/>
        <w:ind w:left="640" w:hanging="360"/>
      </w:pPr>
      <w:r>
        <w:rPr/>
        <w:t>Byne W, Bradley SJ, Coleman E, et al. Report of the</w:t>
      </w:r>
      <w:r>
        <w:rPr>
          <w:spacing w:val="-9"/>
        </w:rPr>
        <w:t> </w:t>
      </w:r>
      <w:r>
        <w:rPr/>
        <w:t>American Psychiatric Association</w:t>
      </w:r>
      <w:r>
        <w:rPr>
          <w:spacing w:val="-15"/>
        </w:rPr>
        <w:t> </w:t>
      </w:r>
      <w:r>
        <w:rPr/>
        <w:t>Task</w:t>
      </w:r>
      <w:r>
        <w:rPr>
          <w:spacing w:val="-10"/>
        </w:rPr>
        <w:t> </w:t>
      </w:r>
      <w:r>
        <w:rPr/>
        <w:t>Force</w:t>
      </w:r>
      <w:r>
        <w:rPr>
          <w:spacing w:val="-10"/>
        </w:rPr>
        <w:t> </w:t>
      </w:r>
      <w:r>
        <w:rPr/>
        <w:t>on</w:t>
      </w:r>
      <w:r>
        <w:rPr>
          <w:spacing w:val="-15"/>
        </w:rPr>
        <w:t> </w:t>
      </w:r>
      <w:r>
        <w:rPr/>
        <w:t>Treatment</w:t>
      </w:r>
      <w:r>
        <w:rPr>
          <w:spacing w:val="-10"/>
        </w:rPr>
        <w:t> </w:t>
      </w:r>
      <w:r>
        <w:rPr/>
        <w:t>of</w:t>
      </w:r>
      <w:r>
        <w:rPr>
          <w:spacing w:val="-10"/>
        </w:rPr>
        <w:t> </w:t>
      </w:r>
      <w:r>
        <w:rPr/>
        <w:t>Gender</w:t>
      </w:r>
      <w:r>
        <w:rPr>
          <w:spacing w:val="-10"/>
        </w:rPr>
        <w:t> </w:t>
      </w:r>
      <w:r>
        <w:rPr/>
        <w:t>Identity</w:t>
      </w:r>
      <w:r>
        <w:rPr>
          <w:spacing w:val="-10"/>
        </w:rPr>
        <w:t> </w:t>
      </w:r>
      <w:r>
        <w:rPr/>
        <w:t>Disorder.</w:t>
      </w:r>
      <w:r>
        <w:rPr>
          <w:spacing w:val="-10"/>
        </w:rPr>
        <w:t> </w:t>
      </w:r>
      <w:r>
        <w:rPr>
          <w:i/>
        </w:rPr>
        <w:t>Arch</w:t>
      </w:r>
      <w:r>
        <w:rPr>
          <w:i/>
          <w:spacing w:val="-10"/>
        </w:rPr>
        <w:t> </w:t>
      </w:r>
      <w:r>
        <w:rPr>
          <w:i/>
        </w:rPr>
        <w:t>Sex</w:t>
      </w:r>
      <w:r>
        <w:rPr>
          <w:i/>
        </w:rPr>
        <w:t> Behav</w:t>
      </w:r>
      <w:r>
        <w:rPr/>
        <w:t>. 2012;41(4):759796. https://doi.org/10.1007/s10508-0129975-x</w:t>
      </w:r>
    </w:p>
    <w:p>
      <w:pPr>
        <w:pStyle w:val="BodyText"/>
        <w:spacing w:before="10"/>
        <w:rPr>
          <w:sz w:val="25"/>
        </w:rPr>
      </w:pPr>
    </w:p>
    <w:p>
      <w:pPr>
        <w:pStyle w:val="BodyText"/>
        <w:ind w:left="640" w:right="502" w:hanging="360"/>
      </w:pPr>
      <w:r>
        <w:rPr/>
        <w:t>Harper GW, Wagner RL, Popoff E, Reisner SL, Jadwin-Cakmak, L. Psychological resilience among transfeminine adolescents and emerging adults</w:t>
      </w:r>
      <w:r>
        <w:rPr>
          <w:spacing w:val="-8"/>
        </w:rPr>
        <w:t> </w:t>
      </w:r>
      <w:r>
        <w:rPr/>
        <w:t>living</w:t>
      </w:r>
      <w:r>
        <w:rPr>
          <w:spacing w:val="-8"/>
        </w:rPr>
        <w:t> </w:t>
      </w:r>
      <w:r>
        <w:rPr/>
        <w:t>with</w:t>
      </w:r>
      <w:r>
        <w:rPr>
          <w:spacing w:val="-8"/>
        </w:rPr>
        <w:t> </w:t>
      </w:r>
      <w:r>
        <w:rPr/>
        <w:t>HIV.</w:t>
      </w:r>
      <w:r>
        <w:rPr>
          <w:spacing w:val="-9"/>
        </w:rPr>
        <w:t> </w:t>
      </w:r>
      <w:r>
        <w:rPr>
          <w:i/>
        </w:rPr>
        <w:t>AIDS</w:t>
      </w:r>
      <w:r>
        <w:rPr>
          <w:i/>
          <w:spacing w:val="-8"/>
        </w:rPr>
        <w:t> </w:t>
      </w:r>
      <w:r>
        <w:rPr/>
        <w:t>(London,</w:t>
      </w:r>
      <w:r>
        <w:rPr>
          <w:spacing w:val="-8"/>
        </w:rPr>
        <w:t> </w:t>
      </w:r>
      <w:r>
        <w:rPr/>
        <w:t>England),</w:t>
      </w:r>
      <w:r>
        <w:rPr>
          <w:spacing w:val="-8"/>
        </w:rPr>
        <w:t> </w:t>
      </w:r>
      <w:r>
        <w:rPr/>
        <w:t>2019;33(</w:t>
      </w:r>
      <w:r>
        <w:rPr>
          <w:spacing w:val="-8"/>
        </w:rPr>
        <w:t> </w:t>
      </w:r>
      <w:r>
        <w:rPr/>
        <w:t>Suppl</w:t>
      </w:r>
      <w:r>
        <w:rPr>
          <w:spacing w:val="-8"/>
        </w:rPr>
        <w:t> </w:t>
      </w:r>
      <w:r>
        <w:rPr/>
        <w:t>1):</w:t>
      </w:r>
      <w:r>
        <w:rPr>
          <w:spacing w:val="-8"/>
        </w:rPr>
        <w:t> </w:t>
      </w:r>
      <w:r>
        <w:rPr/>
        <w:t>S53– S62. https://doi.org/10.1097/QAD.0000000000002 174</w:t>
      </w:r>
    </w:p>
    <w:p>
      <w:pPr>
        <w:pStyle w:val="BodyText"/>
        <w:spacing w:before="7"/>
        <w:rPr>
          <w:sz w:val="25"/>
        </w:rPr>
      </w:pPr>
    </w:p>
    <w:p>
      <w:pPr>
        <w:pStyle w:val="BodyText"/>
        <w:ind w:left="640" w:right="502" w:hanging="360"/>
        <w:rPr>
          <w:i/>
        </w:rPr>
      </w:pPr>
      <w:r>
        <w:rPr/>
        <w:t>Shelton J, Wagaman MA, Small L,</w:t>
      </w:r>
      <w:r>
        <w:rPr>
          <w:spacing w:val="-7"/>
        </w:rPr>
        <w:t> </w:t>
      </w:r>
      <w:r>
        <w:rPr/>
        <w:t>Abramovich</w:t>
      </w:r>
      <w:r>
        <w:rPr>
          <w:spacing w:val="-7"/>
        </w:rPr>
        <w:t> </w:t>
      </w:r>
      <w:r>
        <w:rPr/>
        <w:t>A. I'm more driven now: Resilience</w:t>
      </w:r>
      <w:r>
        <w:rPr>
          <w:spacing w:val="-6"/>
        </w:rPr>
        <w:t> </w:t>
      </w:r>
      <w:r>
        <w:rPr/>
        <w:t>and</w:t>
      </w:r>
      <w:r>
        <w:rPr>
          <w:spacing w:val="-5"/>
        </w:rPr>
        <w:t> </w:t>
      </w:r>
      <w:r>
        <w:rPr/>
        <w:t>resistance</w:t>
      </w:r>
      <w:r>
        <w:rPr>
          <w:spacing w:val="-6"/>
        </w:rPr>
        <w:t> </w:t>
      </w:r>
      <w:r>
        <w:rPr/>
        <w:t>among</w:t>
      </w:r>
      <w:r>
        <w:rPr>
          <w:spacing w:val="-5"/>
        </w:rPr>
        <w:t> </w:t>
      </w:r>
      <w:r>
        <w:rPr/>
        <w:t>transgender</w:t>
      </w:r>
      <w:r>
        <w:rPr>
          <w:spacing w:val="-5"/>
        </w:rPr>
        <w:t> </w:t>
      </w:r>
      <w:r>
        <w:rPr/>
        <w:t>and</w:t>
      </w:r>
      <w:r>
        <w:rPr>
          <w:spacing w:val="-5"/>
        </w:rPr>
        <w:t> </w:t>
      </w:r>
      <w:r>
        <w:rPr/>
        <w:t>gender</w:t>
      </w:r>
      <w:r>
        <w:rPr>
          <w:spacing w:val="-5"/>
        </w:rPr>
        <w:t> </w:t>
      </w:r>
      <w:r>
        <w:rPr/>
        <w:t>expansive</w:t>
      </w:r>
      <w:r>
        <w:rPr>
          <w:spacing w:val="-6"/>
        </w:rPr>
        <w:t> </w:t>
      </w:r>
      <w:r>
        <w:rPr/>
        <w:t>youth and young adults experiencing homelessness. </w:t>
      </w:r>
      <w:r>
        <w:rPr>
          <w:i/>
        </w:rPr>
        <w:t>Int J Transgend.</w:t>
      </w:r>
    </w:p>
    <w:p>
      <w:pPr>
        <w:pStyle w:val="BodyText"/>
        <w:spacing w:line="316" w:lineRule="exact"/>
        <w:ind w:left="640"/>
      </w:pPr>
      <w:r>
        <w:rPr/>
        <w:t>2018</w:t>
      </w:r>
      <w:r>
        <w:rPr>
          <w:i/>
        </w:rPr>
        <w:t>;</w:t>
      </w:r>
      <w:r>
        <w:rPr/>
        <w:t>19(2):144-157.</w:t>
      </w:r>
      <w:r>
        <w:rPr>
          <w:spacing w:val="-6"/>
        </w:rPr>
        <w:t> </w:t>
      </w:r>
      <w:r>
        <w:rPr/>
        <w:t>https://doi.org/10.1080/15532739.2017.13742</w:t>
      </w:r>
      <w:r>
        <w:rPr>
          <w:spacing w:val="-3"/>
        </w:rPr>
        <w:t> </w:t>
      </w:r>
      <w:r>
        <w:rPr>
          <w:spacing w:val="-5"/>
        </w:rPr>
        <w:t>26</w:t>
      </w:r>
    </w:p>
    <w:p>
      <w:pPr>
        <w:pStyle w:val="BodyText"/>
        <w:spacing w:before="2"/>
        <w:rPr>
          <w:sz w:val="26"/>
        </w:rPr>
      </w:pPr>
    </w:p>
    <w:p>
      <w:pPr>
        <w:pStyle w:val="BodyText"/>
        <w:ind w:left="640" w:right="776" w:hanging="360"/>
      </w:pPr>
      <w:r>
        <w:rPr/>
        <w:t>Singh</w:t>
      </w:r>
      <w:r>
        <w:rPr>
          <w:spacing w:val="-18"/>
        </w:rPr>
        <w:t> </w:t>
      </w:r>
      <w:r>
        <w:rPr/>
        <w:t>AA.</w:t>
      </w:r>
      <w:r>
        <w:rPr>
          <w:spacing w:val="-13"/>
        </w:rPr>
        <w:t> </w:t>
      </w:r>
      <w:r>
        <w:rPr/>
        <w:t>Transgender</w:t>
      </w:r>
      <w:r>
        <w:rPr>
          <w:spacing w:val="-6"/>
        </w:rPr>
        <w:t> </w:t>
      </w:r>
      <w:r>
        <w:rPr/>
        <w:t>youth</w:t>
      </w:r>
      <w:r>
        <w:rPr>
          <w:spacing w:val="-6"/>
        </w:rPr>
        <w:t> </w:t>
      </w:r>
      <w:r>
        <w:rPr/>
        <w:t>of</w:t>
      </w:r>
      <w:r>
        <w:rPr>
          <w:spacing w:val="-6"/>
        </w:rPr>
        <w:t> </w:t>
      </w:r>
      <w:r>
        <w:rPr/>
        <w:t>color</w:t>
      </w:r>
      <w:r>
        <w:rPr>
          <w:spacing w:val="-6"/>
        </w:rPr>
        <w:t> </w:t>
      </w:r>
      <w:r>
        <w:rPr/>
        <w:t>and</w:t>
      </w:r>
      <w:r>
        <w:rPr>
          <w:spacing w:val="-6"/>
        </w:rPr>
        <w:t> </w:t>
      </w:r>
      <w:r>
        <w:rPr/>
        <w:t>resilience:</w:t>
      </w:r>
      <w:r>
        <w:rPr>
          <w:spacing w:val="-6"/>
        </w:rPr>
        <w:t> </w:t>
      </w:r>
      <w:r>
        <w:rPr/>
        <w:t>negotiating</w:t>
      </w:r>
      <w:r>
        <w:rPr>
          <w:spacing w:val="-6"/>
        </w:rPr>
        <w:t> </w:t>
      </w:r>
      <w:r>
        <w:rPr/>
        <w:t>oppression and finding support. </w:t>
      </w:r>
      <w:r>
        <w:rPr>
          <w:i/>
        </w:rPr>
        <w:t>Sex Roles</w:t>
      </w:r>
      <w:r>
        <w:rPr/>
        <w:t>. 2013;68(11):690-702. https://doi.org/ </w:t>
      </w:r>
      <w:r>
        <w:rPr>
          <w:spacing w:val="-2"/>
        </w:rPr>
        <w:t>10.1007/s11199-012-0149-z</w:t>
      </w:r>
    </w:p>
    <w:p>
      <w:pPr>
        <w:pStyle w:val="BodyText"/>
        <w:spacing w:before="10"/>
        <w:rPr>
          <w:sz w:val="25"/>
        </w:rPr>
      </w:pPr>
    </w:p>
    <w:p>
      <w:pPr>
        <w:pStyle w:val="BodyText"/>
        <w:ind w:left="640" w:right="604" w:hanging="360"/>
      </w:pPr>
      <w:r>
        <w:rPr/>
        <w:t>Hatzenbuehler</w:t>
      </w:r>
      <w:r>
        <w:rPr>
          <w:spacing w:val="-15"/>
        </w:rPr>
        <w:t> </w:t>
      </w:r>
      <w:r>
        <w:rPr/>
        <w:t>ML,</w:t>
      </w:r>
      <w:r>
        <w:rPr>
          <w:spacing w:val="-10"/>
        </w:rPr>
        <w:t> </w:t>
      </w:r>
      <w:r>
        <w:rPr/>
        <w:t>Birkett</w:t>
      </w:r>
      <w:r>
        <w:rPr>
          <w:spacing w:val="-10"/>
        </w:rPr>
        <w:t> </w:t>
      </w:r>
      <w:r>
        <w:rPr/>
        <w:t>M,</w:t>
      </w:r>
      <w:r>
        <w:rPr>
          <w:spacing w:val="-15"/>
        </w:rPr>
        <w:t> </w:t>
      </w:r>
      <w:r>
        <w:rPr/>
        <w:t>Van</w:t>
      </w:r>
      <w:r>
        <w:rPr>
          <w:spacing w:val="-15"/>
        </w:rPr>
        <w:t> </w:t>
      </w:r>
      <w:r>
        <w:rPr/>
        <w:t>Wagenen</w:t>
      </w:r>
      <w:r>
        <w:rPr>
          <w:spacing w:val="-18"/>
        </w:rPr>
        <w:t> </w:t>
      </w:r>
      <w:r>
        <w:rPr/>
        <w:t>A,</w:t>
      </w:r>
      <w:r>
        <w:rPr>
          <w:spacing w:val="-9"/>
        </w:rPr>
        <w:t> </w:t>
      </w:r>
      <w:r>
        <w:rPr/>
        <w:t>Meyer</w:t>
      </w:r>
      <w:r>
        <w:rPr>
          <w:spacing w:val="-10"/>
        </w:rPr>
        <w:t> </w:t>
      </w:r>
      <w:r>
        <w:rPr/>
        <w:t>IH.</w:t>
      </w:r>
      <w:r>
        <w:rPr>
          <w:spacing w:val="-10"/>
        </w:rPr>
        <w:t> </w:t>
      </w:r>
      <w:r>
        <w:rPr/>
        <w:t>Protective</w:t>
      </w:r>
      <w:r>
        <w:rPr>
          <w:spacing w:val="-10"/>
        </w:rPr>
        <w:t> </w:t>
      </w:r>
      <w:r>
        <w:rPr/>
        <w:t>school climates and reduced risk for suicide ideation in sexual minority youths. </w:t>
      </w:r>
      <w:r>
        <w:rPr>
          <w:i/>
        </w:rPr>
        <w:t>Am J Public Health</w:t>
      </w:r>
      <w:r>
        <w:rPr/>
        <w:t>. 2014;104(2):279-286. https://doi.org/10.2105/ </w:t>
      </w:r>
      <w:r>
        <w:rPr>
          <w:spacing w:val="-2"/>
        </w:rPr>
        <w:t>AJPH.2013.301508</w:t>
      </w:r>
    </w:p>
    <w:p>
      <w:pPr>
        <w:pStyle w:val="BodyText"/>
        <w:spacing w:before="7"/>
        <w:rPr>
          <w:sz w:val="25"/>
        </w:rPr>
      </w:pPr>
    </w:p>
    <w:p>
      <w:pPr>
        <w:pStyle w:val="BodyText"/>
        <w:spacing w:before="1"/>
        <w:ind w:left="640" w:hanging="360"/>
      </w:pPr>
      <w:r>
        <w:rPr/>
        <w:t>Kuper</w:t>
      </w:r>
      <w:r>
        <w:rPr>
          <w:spacing w:val="-4"/>
        </w:rPr>
        <w:t> </w:t>
      </w:r>
      <w:r>
        <w:rPr/>
        <w:t>LE,</w:t>
      </w:r>
      <w:r>
        <w:rPr>
          <w:spacing w:val="-4"/>
        </w:rPr>
        <w:t> </w:t>
      </w:r>
      <w:r>
        <w:rPr/>
        <w:t>Coleman</w:t>
      </w:r>
      <w:r>
        <w:rPr>
          <w:spacing w:val="-4"/>
        </w:rPr>
        <w:t> </w:t>
      </w:r>
      <w:r>
        <w:rPr/>
        <w:t>BR,</w:t>
      </w:r>
      <w:r>
        <w:rPr>
          <w:spacing w:val="-4"/>
        </w:rPr>
        <w:t> </w:t>
      </w:r>
      <w:r>
        <w:rPr/>
        <w:t>Mustanski</w:t>
      </w:r>
      <w:r>
        <w:rPr>
          <w:spacing w:val="-4"/>
        </w:rPr>
        <w:t> </w:t>
      </w:r>
      <w:r>
        <w:rPr/>
        <w:t>BS.</w:t>
      </w:r>
      <w:r>
        <w:rPr>
          <w:spacing w:val="-4"/>
        </w:rPr>
        <w:t> </w:t>
      </w:r>
      <w:r>
        <w:rPr/>
        <w:t>Coping</w:t>
      </w:r>
      <w:r>
        <w:rPr>
          <w:spacing w:val="-4"/>
        </w:rPr>
        <w:t> </w:t>
      </w:r>
      <w:r>
        <w:rPr/>
        <w:t>with</w:t>
      </w:r>
      <w:r>
        <w:rPr>
          <w:spacing w:val="-4"/>
        </w:rPr>
        <w:t> </w:t>
      </w:r>
      <w:r>
        <w:rPr/>
        <w:t>LGBT</w:t>
      </w:r>
      <w:r>
        <w:rPr>
          <w:spacing w:val="-10"/>
        </w:rPr>
        <w:t> </w:t>
      </w:r>
      <w:r>
        <w:rPr/>
        <w:t>and</w:t>
      </w:r>
      <w:r>
        <w:rPr>
          <w:spacing w:val="-4"/>
        </w:rPr>
        <w:t> </w:t>
      </w:r>
      <w:r>
        <w:rPr/>
        <w:t>racial–ethnic- related stressors:</w:t>
      </w:r>
      <w:r>
        <w:rPr>
          <w:spacing w:val="-7"/>
        </w:rPr>
        <w:t> </w:t>
      </w:r>
      <w:r>
        <w:rPr/>
        <w:t>A</w:t>
      </w:r>
      <w:r>
        <w:rPr>
          <w:spacing w:val="-7"/>
        </w:rPr>
        <w:t> </w:t>
      </w:r>
      <w:r>
        <w:rPr/>
        <w:t>mixed-methods study of LGBT youth of color. </w:t>
      </w:r>
      <w:r>
        <w:rPr>
          <w:i/>
        </w:rPr>
        <w:t>J Res</w:t>
      </w:r>
      <w:r>
        <w:rPr>
          <w:i/>
        </w:rPr>
        <w:t> Adolesc. </w:t>
      </w:r>
      <w:r>
        <w:rPr/>
        <w:t>2014;24(4):703-719. https://doi.org/10.1111/jora.12079</w:t>
      </w:r>
    </w:p>
    <w:p>
      <w:pPr>
        <w:pStyle w:val="BodyText"/>
        <w:spacing w:before="9"/>
        <w:rPr>
          <w:sz w:val="25"/>
        </w:rPr>
      </w:pPr>
    </w:p>
    <w:p>
      <w:pPr>
        <w:pStyle w:val="BodyText"/>
        <w:ind w:left="640" w:right="502" w:hanging="360"/>
      </w:pPr>
      <w:r>
        <w:rPr/>
        <w:t>Chodzen G, Hidalgo MA, Chen D, Garofalo R. Minority stress factors associated</w:t>
      </w:r>
      <w:r>
        <w:rPr>
          <w:spacing w:val="-6"/>
        </w:rPr>
        <w:t> </w:t>
      </w:r>
      <w:r>
        <w:rPr/>
        <w:t>with</w:t>
      </w:r>
      <w:r>
        <w:rPr>
          <w:spacing w:val="-6"/>
        </w:rPr>
        <w:t> </w:t>
      </w:r>
      <w:r>
        <w:rPr/>
        <w:t>depression</w:t>
      </w:r>
      <w:r>
        <w:rPr>
          <w:spacing w:val="-6"/>
        </w:rPr>
        <w:t> </w:t>
      </w:r>
      <w:r>
        <w:rPr/>
        <w:t>and</w:t>
      </w:r>
      <w:r>
        <w:rPr>
          <w:spacing w:val="-6"/>
        </w:rPr>
        <w:t> </w:t>
      </w:r>
      <w:r>
        <w:rPr/>
        <w:t>anxiety</w:t>
      </w:r>
      <w:r>
        <w:rPr>
          <w:spacing w:val="-6"/>
        </w:rPr>
        <w:t> </w:t>
      </w:r>
      <w:r>
        <w:rPr/>
        <w:t>among</w:t>
      </w:r>
      <w:r>
        <w:rPr>
          <w:spacing w:val="-6"/>
        </w:rPr>
        <w:t> </w:t>
      </w:r>
      <w:r>
        <w:rPr/>
        <w:t>transgender</w:t>
      </w:r>
      <w:r>
        <w:rPr>
          <w:spacing w:val="-6"/>
        </w:rPr>
        <w:t> </w:t>
      </w:r>
      <w:r>
        <w:rPr/>
        <w:t>and</w:t>
      </w:r>
      <w:r>
        <w:rPr>
          <w:spacing w:val="-6"/>
        </w:rPr>
        <w:t> </w:t>
      </w:r>
      <w:r>
        <w:rPr/>
        <w:t>gender- nonconforming youth. </w:t>
      </w:r>
      <w:r>
        <w:rPr>
          <w:i/>
        </w:rPr>
        <w:t>J Adolesc Health</w:t>
      </w:r>
      <w:r>
        <w:rPr/>
        <w:t>. 2019;64(4):467-471. https:// doi.org/10.1016/j.jadohealth.2018.07.0 06</w:t>
      </w:r>
    </w:p>
    <w:p>
      <w:pPr>
        <w:spacing w:after="0"/>
        <w:sectPr>
          <w:pgSz w:w="12240" w:h="15840"/>
          <w:pgMar w:header="0" w:footer="783" w:top="1260" w:bottom="980" w:left="1400" w:right="1180"/>
        </w:sectPr>
      </w:pPr>
    </w:p>
    <w:p>
      <w:pPr>
        <w:pStyle w:val="BodyText"/>
        <w:spacing w:before="66"/>
        <w:ind w:left="640" w:right="502" w:hanging="360"/>
      </w:pPr>
      <w:r>
        <w:rPr/>
        <w:t>Katz-Wise</w:t>
      </w:r>
      <w:r>
        <w:rPr>
          <w:spacing w:val="-14"/>
        </w:rPr>
        <w:t> </w:t>
      </w:r>
      <w:r>
        <w:rPr/>
        <w:t>SL,</w:t>
      </w:r>
      <w:r>
        <w:rPr>
          <w:spacing w:val="-9"/>
        </w:rPr>
        <w:t> </w:t>
      </w:r>
      <w:r>
        <w:rPr/>
        <w:t>Sarda</w:t>
      </w:r>
      <w:r>
        <w:rPr>
          <w:spacing w:val="-14"/>
        </w:rPr>
        <w:t> </w:t>
      </w:r>
      <w:r>
        <w:rPr/>
        <w:t>V,</w:t>
      </w:r>
      <w:r>
        <w:rPr>
          <w:spacing w:val="-18"/>
        </w:rPr>
        <w:t> </w:t>
      </w:r>
      <w:r>
        <w:rPr/>
        <w:t>Austin</w:t>
      </w:r>
      <w:r>
        <w:rPr>
          <w:spacing w:val="-8"/>
        </w:rPr>
        <w:t> </w:t>
      </w:r>
      <w:r>
        <w:rPr/>
        <w:t>SB,</w:t>
      </w:r>
      <w:r>
        <w:rPr>
          <w:spacing w:val="-9"/>
        </w:rPr>
        <w:t> </w:t>
      </w:r>
      <w:r>
        <w:rPr/>
        <w:t>Harris</w:t>
      </w:r>
      <w:r>
        <w:rPr>
          <w:spacing w:val="-9"/>
        </w:rPr>
        <w:t> </w:t>
      </w:r>
      <w:r>
        <w:rPr/>
        <w:t>SK.</w:t>
      </w:r>
      <w:r>
        <w:rPr>
          <w:spacing w:val="-9"/>
        </w:rPr>
        <w:t> </w:t>
      </w:r>
      <w:r>
        <w:rPr/>
        <w:t>Longitudinal</w:t>
      </w:r>
      <w:r>
        <w:rPr>
          <w:spacing w:val="-9"/>
        </w:rPr>
        <w:t> </w:t>
      </w:r>
      <w:r>
        <w:rPr/>
        <w:t>effects</w:t>
      </w:r>
      <w:r>
        <w:rPr>
          <w:spacing w:val="-9"/>
        </w:rPr>
        <w:t> </w:t>
      </w:r>
      <w:r>
        <w:rPr/>
        <w:t>of</w:t>
      </w:r>
      <w:r>
        <w:rPr>
          <w:spacing w:val="-9"/>
        </w:rPr>
        <w:t> </w:t>
      </w:r>
      <w:r>
        <w:rPr/>
        <w:t>gender minority stressors on substance use and related risk and protective factors among gender minority adolescents. </w:t>
      </w:r>
      <w:r>
        <w:rPr>
          <w:i/>
        </w:rPr>
        <w:t>PloS One</w:t>
      </w:r>
      <w:r>
        <w:rPr/>
        <w:t>. 2021;16(6):e0250500. </w:t>
      </w:r>
      <w:r>
        <w:rPr>
          <w:spacing w:val="-2"/>
        </w:rPr>
        <w:t>https://doi.org/10.1371/journal.pone.0250500</w:t>
      </w:r>
    </w:p>
    <w:p>
      <w:pPr>
        <w:pStyle w:val="BodyText"/>
        <w:spacing w:before="7"/>
        <w:rPr>
          <w:sz w:val="25"/>
        </w:rPr>
      </w:pPr>
    </w:p>
    <w:p>
      <w:pPr>
        <w:pStyle w:val="BodyText"/>
        <w:ind w:left="640" w:right="668" w:hanging="360"/>
      </w:pPr>
      <w:r>
        <w:rPr/>
        <w:t>Handler</w:t>
      </w:r>
      <w:r>
        <w:rPr>
          <w:spacing w:val="-18"/>
        </w:rPr>
        <w:t> </w:t>
      </w:r>
      <w:r>
        <w:rPr/>
        <w:t>T,</w:t>
      </w:r>
      <w:r>
        <w:rPr>
          <w:spacing w:val="-14"/>
        </w:rPr>
        <w:t> </w:t>
      </w:r>
      <w:r>
        <w:rPr/>
        <w:t>Hojilla</w:t>
      </w:r>
      <w:r>
        <w:rPr>
          <w:spacing w:val="-14"/>
        </w:rPr>
        <w:t> </w:t>
      </w:r>
      <w:r>
        <w:rPr/>
        <w:t>JC,</w:t>
      </w:r>
      <w:r>
        <w:rPr>
          <w:spacing w:val="-18"/>
        </w:rPr>
        <w:t> </w:t>
      </w:r>
      <w:r>
        <w:rPr/>
        <w:t>Varghese</w:t>
      </w:r>
      <w:r>
        <w:rPr>
          <w:spacing w:val="-14"/>
        </w:rPr>
        <w:t> </w:t>
      </w:r>
      <w:r>
        <w:rPr/>
        <w:t>R,</w:t>
      </w:r>
      <w:r>
        <w:rPr>
          <w:spacing w:val="-18"/>
        </w:rPr>
        <w:t> </w:t>
      </w:r>
      <w:r>
        <w:rPr/>
        <w:t>Wellenstein</w:t>
      </w:r>
      <w:r>
        <w:rPr>
          <w:spacing w:val="-17"/>
        </w:rPr>
        <w:t> </w:t>
      </w:r>
      <w:r>
        <w:rPr/>
        <w:t>W,</w:t>
      </w:r>
      <w:r>
        <w:rPr>
          <w:spacing w:val="-13"/>
        </w:rPr>
        <w:t> </w:t>
      </w:r>
      <w:r>
        <w:rPr/>
        <w:t>Satre</w:t>
      </w:r>
      <w:r>
        <w:rPr>
          <w:spacing w:val="-14"/>
        </w:rPr>
        <w:t> </w:t>
      </w:r>
      <w:r>
        <w:rPr/>
        <w:t>DD,</w:t>
      </w:r>
      <w:r>
        <w:rPr>
          <w:spacing w:val="-13"/>
        </w:rPr>
        <w:t> </w:t>
      </w:r>
      <w:r>
        <w:rPr/>
        <w:t>Zaritsky</w:t>
      </w:r>
      <w:r>
        <w:rPr>
          <w:spacing w:val="-13"/>
        </w:rPr>
        <w:t> </w:t>
      </w:r>
      <w:r>
        <w:rPr/>
        <w:t>E. Trends in referrals to a pediatric transgender clinic. </w:t>
      </w:r>
      <w:r>
        <w:rPr>
          <w:i/>
        </w:rPr>
        <w:t>Pediatrics</w:t>
      </w:r>
      <w:r>
        <w:rPr/>
        <w:t>.</w:t>
      </w:r>
    </w:p>
    <w:p>
      <w:pPr>
        <w:pStyle w:val="BodyText"/>
        <w:spacing w:line="318" w:lineRule="exact"/>
        <w:ind w:left="640"/>
      </w:pPr>
      <w:r>
        <w:rPr/>
        <w:t>2019;144(5):e20191368.</w:t>
      </w:r>
      <w:r>
        <w:rPr>
          <w:spacing w:val="-12"/>
        </w:rPr>
        <w:t> </w:t>
      </w:r>
      <w:r>
        <w:rPr/>
        <w:t>https://doi.org/10.1542/peds.2019-</w:t>
      </w:r>
      <w:r>
        <w:rPr>
          <w:spacing w:val="-4"/>
        </w:rPr>
        <w:t>1368</w:t>
      </w:r>
    </w:p>
    <w:p>
      <w:pPr>
        <w:pStyle w:val="BodyText"/>
        <w:spacing w:before="2"/>
        <w:rPr>
          <w:sz w:val="26"/>
        </w:rPr>
      </w:pPr>
    </w:p>
    <w:p>
      <w:pPr>
        <w:pStyle w:val="BodyText"/>
        <w:spacing w:before="1"/>
        <w:ind w:left="640" w:right="809" w:hanging="360"/>
        <w:jc w:val="both"/>
      </w:pPr>
      <w:r>
        <w:rPr/>
        <w:t>Gridley SJ, Crouch JM, Evans</w:t>
      </w:r>
      <w:r>
        <w:rPr>
          <w:spacing w:val="-9"/>
        </w:rPr>
        <w:t> </w:t>
      </w:r>
      <w:r>
        <w:rPr/>
        <w:t>Y, et al.</w:t>
      </w:r>
      <w:r>
        <w:rPr>
          <w:spacing w:val="-9"/>
        </w:rPr>
        <w:t> </w:t>
      </w:r>
      <w:r>
        <w:rPr/>
        <w:t>Youth and caregiver perspectives on barriers to gender-affirming health care for transgender youth. </w:t>
      </w:r>
      <w:r>
        <w:rPr>
          <w:i/>
        </w:rPr>
        <w:t>J Adolesc</w:t>
      </w:r>
      <w:r>
        <w:rPr>
          <w:i/>
        </w:rPr>
        <w:t> Health</w:t>
      </w:r>
      <w:r>
        <w:rPr/>
        <w:t>.</w:t>
      </w:r>
      <w:r>
        <w:rPr>
          <w:spacing w:val="-3"/>
        </w:rPr>
        <w:t> </w:t>
      </w:r>
      <w:r>
        <w:rPr/>
        <w:t>2016;59(3):254261.</w:t>
      </w:r>
      <w:r>
        <w:rPr>
          <w:spacing w:val="-1"/>
        </w:rPr>
        <w:t> </w:t>
      </w:r>
      <w:r>
        <w:rPr>
          <w:spacing w:val="-2"/>
        </w:rPr>
        <w:t>https://doi.org/10.1016/j.jadohealth.2016.03.</w:t>
      </w:r>
    </w:p>
    <w:p>
      <w:pPr>
        <w:pStyle w:val="BodyText"/>
        <w:spacing w:line="316" w:lineRule="exact"/>
        <w:ind w:left="640"/>
      </w:pPr>
      <w:r>
        <w:rPr>
          <w:spacing w:val="-5"/>
        </w:rPr>
        <w:t>017</w:t>
      </w:r>
    </w:p>
    <w:p>
      <w:pPr>
        <w:pStyle w:val="BodyText"/>
        <w:spacing w:before="1"/>
        <w:rPr>
          <w:sz w:val="26"/>
        </w:rPr>
      </w:pPr>
    </w:p>
    <w:p>
      <w:pPr>
        <w:pStyle w:val="BodyText"/>
        <w:spacing w:before="1"/>
        <w:ind w:left="640" w:right="502" w:hanging="360"/>
      </w:pPr>
      <w:r>
        <w:rPr/>
        <w:t>O’Bryan J, Leon K, Wolf-Gould C, Scribani M, Tallman N, Gadomski</w:t>
      </w:r>
      <w:r>
        <w:rPr>
          <w:spacing w:val="-9"/>
        </w:rPr>
        <w:t> </w:t>
      </w:r>
      <w:r>
        <w:rPr/>
        <w:t>A. Building a pediatric patient registry to study health outcomes among transgender</w:t>
      </w:r>
      <w:r>
        <w:rPr>
          <w:spacing w:val="-6"/>
        </w:rPr>
        <w:t> </w:t>
      </w:r>
      <w:r>
        <w:rPr/>
        <w:t>and</w:t>
      </w:r>
      <w:r>
        <w:rPr>
          <w:spacing w:val="-6"/>
        </w:rPr>
        <w:t> </w:t>
      </w:r>
      <w:r>
        <w:rPr/>
        <w:t>gender</w:t>
      </w:r>
      <w:r>
        <w:rPr>
          <w:spacing w:val="-6"/>
        </w:rPr>
        <w:t> </w:t>
      </w:r>
      <w:r>
        <w:rPr/>
        <w:t>expansive</w:t>
      </w:r>
      <w:r>
        <w:rPr>
          <w:spacing w:val="-6"/>
        </w:rPr>
        <w:t> </w:t>
      </w:r>
      <w:r>
        <w:rPr/>
        <w:t>youth</w:t>
      </w:r>
      <w:r>
        <w:rPr>
          <w:spacing w:val="-6"/>
        </w:rPr>
        <w:t> </w:t>
      </w:r>
      <w:r>
        <w:rPr/>
        <w:t>at</w:t>
      </w:r>
      <w:r>
        <w:rPr>
          <w:spacing w:val="-6"/>
        </w:rPr>
        <w:t> </w:t>
      </w:r>
      <w:r>
        <w:rPr/>
        <w:t>a</w:t>
      </w:r>
      <w:r>
        <w:rPr>
          <w:spacing w:val="-6"/>
        </w:rPr>
        <w:t> </w:t>
      </w:r>
      <w:r>
        <w:rPr/>
        <w:t>rural</w:t>
      </w:r>
      <w:r>
        <w:rPr>
          <w:spacing w:val="-6"/>
        </w:rPr>
        <w:t> </w:t>
      </w:r>
      <w:r>
        <w:rPr/>
        <w:t>gender</w:t>
      </w:r>
      <w:r>
        <w:rPr>
          <w:spacing w:val="-6"/>
        </w:rPr>
        <w:t> </w:t>
      </w:r>
      <w:r>
        <w:rPr/>
        <w:t>clinic.</w:t>
      </w:r>
      <w:r>
        <w:rPr>
          <w:spacing w:val="-6"/>
        </w:rPr>
        <w:t> </w:t>
      </w:r>
      <w:r>
        <w:rPr>
          <w:i/>
        </w:rPr>
        <w:t>Transgend</w:t>
      </w:r>
      <w:r>
        <w:rPr>
          <w:i/>
        </w:rPr>
        <w:t> Health</w:t>
      </w:r>
      <w:r>
        <w:rPr/>
        <w:t>. 2018;3(1):179-189. https://doi.org/10.1089/trgh.2018.0023</w:t>
      </w:r>
    </w:p>
    <w:p>
      <w:pPr>
        <w:pStyle w:val="BodyText"/>
        <w:spacing w:before="7"/>
        <w:rPr>
          <w:sz w:val="25"/>
        </w:rPr>
      </w:pPr>
    </w:p>
    <w:p>
      <w:pPr>
        <w:pStyle w:val="BodyText"/>
        <w:ind w:left="640" w:right="606" w:hanging="360"/>
      </w:pPr>
      <w:r>
        <w:rPr/>
        <w:t>Sorbara</w:t>
      </w:r>
      <w:r>
        <w:rPr>
          <w:spacing w:val="-5"/>
        </w:rPr>
        <w:t> </w:t>
      </w:r>
      <w:r>
        <w:rPr/>
        <w:t>JC,</w:t>
      </w:r>
      <w:r>
        <w:rPr>
          <w:spacing w:val="-4"/>
        </w:rPr>
        <w:t> </w:t>
      </w:r>
      <w:r>
        <w:rPr/>
        <w:t>Ngo</w:t>
      </w:r>
      <w:r>
        <w:rPr>
          <w:spacing w:val="-4"/>
        </w:rPr>
        <w:t> </w:t>
      </w:r>
      <w:r>
        <w:rPr/>
        <w:t>HL,</w:t>
      </w:r>
      <w:r>
        <w:rPr>
          <w:spacing w:val="-4"/>
        </w:rPr>
        <w:t> </w:t>
      </w:r>
      <w:r>
        <w:rPr/>
        <w:t>Palmert</w:t>
      </w:r>
      <w:r>
        <w:rPr>
          <w:spacing w:val="-4"/>
        </w:rPr>
        <w:t> </w:t>
      </w:r>
      <w:r>
        <w:rPr/>
        <w:t>MR.</w:t>
      </w:r>
      <w:r>
        <w:rPr>
          <w:spacing w:val="-4"/>
        </w:rPr>
        <w:t> </w:t>
      </w:r>
      <w:r>
        <w:rPr/>
        <w:t>Factors</w:t>
      </w:r>
      <w:r>
        <w:rPr>
          <w:spacing w:val="-4"/>
        </w:rPr>
        <w:t> </w:t>
      </w:r>
      <w:r>
        <w:rPr/>
        <w:t>associated</w:t>
      </w:r>
      <w:r>
        <w:rPr>
          <w:spacing w:val="-4"/>
        </w:rPr>
        <w:t> </w:t>
      </w:r>
      <w:r>
        <w:rPr/>
        <w:t>with</w:t>
      </w:r>
      <w:r>
        <w:rPr>
          <w:spacing w:val="-4"/>
        </w:rPr>
        <w:t> </w:t>
      </w:r>
      <w:r>
        <w:rPr/>
        <w:t>age</w:t>
      </w:r>
      <w:r>
        <w:rPr>
          <w:spacing w:val="-5"/>
        </w:rPr>
        <w:t> </w:t>
      </w:r>
      <w:r>
        <w:rPr/>
        <w:t>of</w:t>
      </w:r>
      <w:r>
        <w:rPr>
          <w:spacing w:val="-4"/>
        </w:rPr>
        <w:t> </w:t>
      </w:r>
      <w:r>
        <w:rPr/>
        <w:t>presentation to gender-affirming medical care. </w:t>
      </w:r>
      <w:r>
        <w:rPr>
          <w:i/>
        </w:rPr>
        <w:t>Pediatrics</w:t>
      </w:r>
      <w:r>
        <w:rPr/>
        <w:t>. 2021;147(4):e2020026674. </w:t>
      </w:r>
      <w:r>
        <w:rPr>
          <w:spacing w:val="-2"/>
        </w:rPr>
        <w:t>https://doi.org/10.1542/peds.2020-026674</w:t>
      </w:r>
    </w:p>
    <w:p>
      <w:pPr>
        <w:pStyle w:val="BodyText"/>
        <w:spacing w:before="10"/>
        <w:rPr>
          <w:sz w:val="25"/>
        </w:rPr>
      </w:pPr>
    </w:p>
    <w:p>
      <w:pPr>
        <w:pStyle w:val="BodyText"/>
        <w:ind w:left="640" w:right="502" w:hanging="360"/>
      </w:pPr>
      <w:r>
        <w:rPr/>
        <w:t>Restar</w:t>
      </w:r>
      <w:r>
        <w:rPr>
          <w:spacing w:val="-6"/>
        </w:rPr>
        <w:t> </w:t>
      </w:r>
      <w:r>
        <w:rPr/>
        <w:t>A, Jun H, Breslow</w:t>
      </w:r>
      <w:r>
        <w:rPr>
          <w:spacing w:val="-6"/>
        </w:rPr>
        <w:t> </w:t>
      </w:r>
      <w:r>
        <w:rPr/>
        <w:t>AS, et al. Developmental milestones in young transgender women in two</w:t>
      </w:r>
      <w:r>
        <w:rPr>
          <w:spacing w:val="-10"/>
        </w:rPr>
        <w:t> </w:t>
      </w:r>
      <w:r>
        <w:rPr/>
        <w:t>American cities: Results from a racially and ethnically</w:t>
      </w:r>
      <w:r>
        <w:rPr>
          <w:spacing w:val="-9"/>
        </w:rPr>
        <w:t> </w:t>
      </w:r>
      <w:r>
        <w:rPr/>
        <w:t>diverse</w:t>
      </w:r>
      <w:r>
        <w:rPr>
          <w:spacing w:val="-10"/>
        </w:rPr>
        <w:t> </w:t>
      </w:r>
      <w:r>
        <w:rPr/>
        <w:t>sample.</w:t>
      </w:r>
      <w:r>
        <w:rPr>
          <w:spacing w:val="-10"/>
        </w:rPr>
        <w:t> </w:t>
      </w:r>
      <w:r>
        <w:rPr>
          <w:i/>
        </w:rPr>
        <w:t>Transgend</w:t>
      </w:r>
      <w:r>
        <w:rPr>
          <w:i/>
          <w:spacing w:val="-9"/>
        </w:rPr>
        <w:t> </w:t>
      </w:r>
      <w:r>
        <w:rPr>
          <w:i/>
        </w:rPr>
        <w:t>Health</w:t>
      </w:r>
      <w:r>
        <w:rPr/>
        <w:t>.</w:t>
      </w:r>
      <w:r>
        <w:rPr>
          <w:spacing w:val="-9"/>
        </w:rPr>
        <w:t> </w:t>
      </w:r>
      <w:r>
        <w:rPr/>
        <w:t>2019;4(1):162167.</w:t>
      </w:r>
      <w:r>
        <w:rPr>
          <w:spacing w:val="-9"/>
        </w:rPr>
        <w:t> </w:t>
      </w:r>
      <w:r>
        <w:rPr/>
        <w:t>https:// </w:t>
      </w:r>
      <w:r>
        <w:rPr>
          <w:spacing w:val="-2"/>
        </w:rPr>
        <w:t>doi.org/10.1089/trgh.2019.0008</w:t>
      </w:r>
    </w:p>
    <w:p>
      <w:pPr>
        <w:pStyle w:val="BodyText"/>
        <w:spacing w:before="7"/>
        <w:rPr>
          <w:sz w:val="25"/>
        </w:rPr>
      </w:pPr>
    </w:p>
    <w:p>
      <w:pPr>
        <w:pStyle w:val="BodyText"/>
        <w:ind w:left="640" w:right="778" w:hanging="360"/>
        <w:jc w:val="both"/>
      </w:pPr>
      <w:r>
        <w:rPr/>
        <w:t>Russell</w:t>
      </w:r>
      <w:r>
        <w:rPr>
          <w:spacing w:val="-4"/>
        </w:rPr>
        <w:t> </w:t>
      </w:r>
      <w:r>
        <w:rPr/>
        <w:t>ST,</w:t>
      </w:r>
      <w:r>
        <w:rPr>
          <w:spacing w:val="-4"/>
        </w:rPr>
        <w:t> </w:t>
      </w:r>
      <w:r>
        <w:rPr/>
        <w:t>Fish</w:t>
      </w:r>
      <w:r>
        <w:rPr>
          <w:spacing w:val="-4"/>
        </w:rPr>
        <w:t> </w:t>
      </w:r>
      <w:r>
        <w:rPr/>
        <w:t>JN.</w:t>
      </w:r>
      <w:r>
        <w:rPr>
          <w:spacing w:val="-4"/>
        </w:rPr>
        <w:t> </w:t>
      </w:r>
      <w:r>
        <w:rPr/>
        <w:t>Mental</w:t>
      </w:r>
      <w:r>
        <w:rPr>
          <w:spacing w:val="-4"/>
        </w:rPr>
        <w:t> </w:t>
      </w:r>
      <w:r>
        <w:rPr/>
        <w:t>health</w:t>
      </w:r>
      <w:r>
        <w:rPr>
          <w:spacing w:val="-4"/>
        </w:rPr>
        <w:t> </w:t>
      </w:r>
      <w:r>
        <w:rPr/>
        <w:t>in</w:t>
      </w:r>
      <w:r>
        <w:rPr>
          <w:spacing w:val="-4"/>
        </w:rPr>
        <w:t> </w:t>
      </w:r>
      <w:r>
        <w:rPr/>
        <w:t>lesbian,</w:t>
      </w:r>
      <w:r>
        <w:rPr>
          <w:spacing w:val="-4"/>
        </w:rPr>
        <w:t> </w:t>
      </w:r>
      <w:r>
        <w:rPr/>
        <w:t>gay,</w:t>
      </w:r>
      <w:r>
        <w:rPr>
          <w:spacing w:val="-4"/>
        </w:rPr>
        <w:t> </w:t>
      </w:r>
      <w:r>
        <w:rPr/>
        <w:t>bisexual,</w:t>
      </w:r>
      <w:r>
        <w:rPr>
          <w:spacing w:val="-4"/>
        </w:rPr>
        <w:t> </w:t>
      </w:r>
      <w:r>
        <w:rPr/>
        <w:t>and</w:t>
      </w:r>
      <w:r>
        <w:rPr>
          <w:spacing w:val="-4"/>
        </w:rPr>
        <w:t> </w:t>
      </w:r>
      <w:r>
        <w:rPr/>
        <w:t>transgender (LGBT)</w:t>
      </w:r>
      <w:r>
        <w:rPr>
          <w:spacing w:val="-18"/>
        </w:rPr>
        <w:t> </w:t>
      </w:r>
      <w:r>
        <w:rPr/>
        <w:t>Youth.</w:t>
      </w:r>
      <w:r>
        <w:rPr>
          <w:spacing w:val="-13"/>
        </w:rPr>
        <w:t> </w:t>
      </w:r>
      <w:r>
        <w:rPr>
          <w:i/>
        </w:rPr>
        <w:t>Annu</w:t>
      </w:r>
      <w:r>
        <w:rPr>
          <w:i/>
          <w:spacing w:val="-10"/>
        </w:rPr>
        <w:t> </w:t>
      </w:r>
      <w:r>
        <w:rPr>
          <w:i/>
        </w:rPr>
        <w:t>Rev</w:t>
      </w:r>
      <w:r>
        <w:rPr>
          <w:i/>
          <w:spacing w:val="-11"/>
        </w:rPr>
        <w:t> </w:t>
      </w:r>
      <w:r>
        <w:rPr>
          <w:i/>
        </w:rPr>
        <w:t>Clin</w:t>
      </w:r>
      <w:r>
        <w:rPr>
          <w:i/>
          <w:spacing w:val="-10"/>
        </w:rPr>
        <w:t> </w:t>
      </w:r>
      <w:r>
        <w:rPr>
          <w:i/>
        </w:rPr>
        <w:t>Psychol</w:t>
      </w:r>
      <w:r>
        <w:rPr/>
        <w:t>.</w:t>
      </w:r>
      <w:r>
        <w:rPr>
          <w:spacing w:val="-10"/>
        </w:rPr>
        <w:t> </w:t>
      </w:r>
      <w:r>
        <w:rPr/>
        <w:t>2016;12:465-487.</w:t>
      </w:r>
      <w:r>
        <w:rPr>
          <w:spacing w:val="-10"/>
        </w:rPr>
        <w:t> </w:t>
      </w:r>
      <w:r>
        <w:rPr/>
        <w:t>https://doi.org/ </w:t>
      </w:r>
      <w:r>
        <w:rPr>
          <w:spacing w:val="-2"/>
        </w:rPr>
        <w:t>10.1146/annurev-clinpsy021815-093153</w:t>
      </w:r>
    </w:p>
    <w:p>
      <w:pPr>
        <w:pStyle w:val="BodyText"/>
        <w:rPr>
          <w:sz w:val="30"/>
        </w:rPr>
      </w:pPr>
    </w:p>
    <w:p>
      <w:pPr>
        <w:pStyle w:val="BodyText"/>
        <w:spacing w:before="2"/>
        <w:rPr>
          <w:sz w:val="25"/>
        </w:rPr>
      </w:pPr>
    </w:p>
    <w:p>
      <w:pPr>
        <w:pStyle w:val="BodyText"/>
        <w:ind w:left="640" w:right="499" w:hanging="360"/>
      </w:pPr>
      <w:r>
        <w:rPr/>
        <w:t>Mongelli F, Perrone D, Balducci J, et al. Minority stress and mental health among</w:t>
      </w:r>
      <w:r>
        <w:rPr>
          <w:spacing w:val="-12"/>
        </w:rPr>
        <w:t> </w:t>
      </w:r>
      <w:r>
        <w:rPr/>
        <w:t>LGBT</w:t>
      </w:r>
      <w:r>
        <w:rPr>
          <w:spacing w:val="-13"/>
        </w:rPr>
        <w:t> </w:t>
      </w:r>
      <w:r>
        <w:rPr/>
        <w:t>populations:</w:t>
      </w:r>
      <w:r>
        <w:rPr>
          <w:spacing w:val="-18"/>
        </w:rPr>
        <w:t> </w:t>
      </w:r>
      <w:r>
        <w:rPr/>
        <w:t>An</w:t>
      </w:r>
      <w:r>
        <w:rPr>
          <w:spacing w:val="-7"/>
        </w:rPr>
        <w:t> </w:t>
      </w:r>
      <w:r>
        <w:rPr/>
        <w:t>update</w:t>
      </w:r>
      <w:r>
        <w:rPr>
          <w:spacing w:val="-9"/>
        </w:rPr>
        <w:t> </w:t>
      </w:r>
      <w:r>
        <w:rPr/>
        <w:t>on</w:t>
      </w:r>
      <w:r>
        <w:rPr>
          <w:spacing w:val="-8"/>
        </w:rPr>
        <w:t> </w:t>
      </w:r>
      <w:r>
        <w:rPr/>
        <w:t>the</w:t>
      </w:r>
      <w:r>
        <w:rPr>
          <w:spacing w:val="-9"/>
        </w:rPr>
        <w:t> </w:t>
      </w:r>
      <w:r>
        <w:rPr/>
        <w:t>evidence.</w:t>
      </w:r>
      <w:r>
        <w:rPr>
          <w:spacing w:val="-9"/>
        </w:rPr>
        <w:t> </w:t>
      </w:r>
      <w:r>
        <w:rPr>
          <w:i/>
        </w:rPr>
        <w:t>Minerva</w:t>
      </w:r>
      <w:r>
        <w:rPr>
          <w:i/>
          <w:spacing w:val="-8"/>
        </w:rPr>
        <w:t> </w:t>
      </w:r>
      <w:r>
        <w:rPr>
          <w:i/>
        </w:rPr>
        <w:t>Psychiatr.</w:t>
      </w:r>
      <w:r>
        <w:rPr>
          <w:i/>
        </w:rPr>
        <w:t> </w:t>
      </w:r>
      <w:r>
        <w:rPr/>
        <w:t>2019;60(1):2750. https://doi.org/10.23736/S03911772.18.01995-7</w:t>
      </w:r>
    </w:p>
    <w:p>
      <w:pPr>
        <w:pStyle w:val="BodyText"/>
        <w:spacing w:before="9"/>
        <w:rPr>
          <w:sz w:val="25"/>
        </w:rPr>
      </w:pPr>
    </w:p>
    <w:p>
      <w:pPr>
        <w:pStyle w:val="BodyText"/>
        <w:spacing w:before="1"/>
        <w:ind w:left="640" w:right="544" w:hanging="360"/>
      </w:pPr>
      <w:r>
        <w:rPr/>
        <w:t>Bowleg</w:t>
      </w:r>
      <w:r>
        <w:rPr>
          <w:spacing w:val="-6"/>
        </w:rPr>
        <w:t> </w:t>
      </w:r>
      <w:r>
        <w:rPr/>
        <w:t>L.</w:t>
      </w:r>
      <w:r>
        <w:rPr>
          <w:spacing w:val="-12"/>
        </w:rPr>
        <w:t> </w:t>
      </w:r>
      <w:r>
        <w:rPr/>
        <w:t>Towards</w:t>
      </w:r>
      <w:r>
        <w:rPr>
          <w:spacing w:val="-6"/>
        </w:rPr>
        <w:t> </w:t>
      </w:r>
      <w:r>
        <w:rPr/>
        <w:t>a</w:t>
      </w:r>
      <w:r>
        <w:rPr>
          <w:spacing w:val="-7"/>
        </w:rPr>
        <w:t> </w:t>
      </w:r>
      <w:r>
        <w:rPr/>
        <w:t>critical</w:t>
      </w:r>
      <w:r>
        <w:rPr>
          <w:spacing w:val="-6"/>
        </w:rPr>
        <w:t> </w:t>
      </w:r>
      <w:r>
        <w:rPr/>
        <w:t>health</w:t>
      </w:r>
      <w:r>
        <w:rPr>
          <w:spacing w:val="-6"/>
        </w:rPr>
        <w:t> </w:t>
      </w:r>
      <w:r>
        <w:rPr/>
        <w:t>equity</w:t>
      </w:r>
      <w:r>
        <w:rPr>
          <w:spacing w:val="-6"/>
        </w:rPr>
        <w:t> </w:t>
      </w:r>
      <w:r>
        <w:rPr/>
        <w:t>research</w:t>
      </w:r>
      <w:r>
        <w:rPr>
          <w:spacing w:val="-6"/>
        </w:rPr>
        <w:t> </w:t>
      </w:r>
      <w:r>
        <w:rPr/>
        <w:t>stance:</w:t>
      </w:r>
      <w:r>
        <w:rPr>
          <w:spacing w:val="-12"/>
        </w:rPr>
        <w:t> </w:t>
      </w:r>
      <w:r>
        <w:rPr/>
        <w:t>Why</w:t>
      </w:r>
      <w:r>
        <w:rPr>
          <w:spacing w:val="-6"/>
        </w:rPr>
        <w:t> </w:t>
      </w:r>
      <w:r>
        <w:rPr/>
        <w:t>epistemology and methodology matter more than qualitative methods. </w:t>
      </w:r>
      <w:r>
        <w:rPr>
          <w:i/>
        </w:rPr>
        <w:t>Health Educ</w:t>
      </w:r>
      <w:r>
        <w:rPr>
          <w:i/>
        </w:rPr>
        <w:t> Behav</w:t>
      </w:r>
      <w:r>
        <w:rPr/>
        <w:t>. 2017;44(5):677-684. https://doi.org/10.1177/1090198117728760</w:t>
      </w:r>
    </w:p>
    <w:p>
      <w:pPr>
        <w:spacing w:after="0"/>
        <w:sectPr>
          <w:pgSz w:w="12240" w:h="15840"/>
          <w:pgMar w:header="0" w:footer="783" w:top="1260" w:bottom="980" w:left="1400" w:right="1180"/>
        </w:sectPr>
      </w:pPr>
    </w:p>
    <w:p>
      <w:pPr>
        <w:spacing w:before="66"/>
        <w:ind w:left="640" w:right="0" w:hanging="360"/>
        <w:jc w:val="left"/>
        <w:rPr>
          <w:sz w:val="28"/>
        </w:rPr>
      </w:pPr>
      <w:r>
        <w:rPr>
          <w:sz w:val="28"/>
        </w:rPr>
        <w:t>Meyer</w:t>
      </w:r>
      <w:r>
        <w:rPr>
          <w:spacing w:val="-4"/>
          <w:sz w:val="28"/>
        </w:rPr>
        <w:t> </w:t>
      </w:r>
      <w:r>
        <w:rPr>
          <w:sz w:val="28"/>
        </w:rPr>
        <w:t>IH,</w:t>
      </w:r>
      <w:r>
        <w:rPr>
          <w:spacing w:val="-4"/>
          <w:sz w:val="28"/>
        </w:rPr>
        <w:t> </w:t>
      </w:r>
      <w:r>
        <w:rPr>
          <w:sz w:val="28"/>
        </w:rPr>
        <w:t>Frost</w:t>
      </w:r>
      <w:r>
        <w:rPr>
          <w:spacing w:val="-4"/>
          <w:sz w:val="28"/>
        </w:rPr>
        <w:t> </w:t>
      </w:r>
      <w:r>
        <w:rPr>
          <w:sz w:val="28"/>
        </w:rPr>
        <w:t>DM.</w:t>
      </w:r>
      <w:r>
        <w:rPr>
          <w:spacing w:val="-4"/>
          <w:sz w:val="28"/>
        </w:rPr>
        <w:t> </w:t>
      </w:r>
      <w:r>
        <w:rPr>
          <w:sz w:val="28"/>
        </w:rPr>
        <w:t>Minority</w:t>
      </w:r>
      <w:r>
        <w:rPr>
          <w:spacing w:val="-4"/>
          <w:sz w:val="28"/>
        </w:rPr>
        <w:t> </w:t>
      </w:r>
      <w:r>
        <w:rPr>
          <w:sz w:val="28"/>
        </w:rPr>
        <w:t>stress</w:t>
      </w:r>
      <w:r>
        <w:rPr>
          <w:spacing w:val="-4"/>
          <w:sz w:val="28"/>
        </w:rPr>
        <w:t> </w:t>
      </w:r>
      <w:r>
        <w:rPr>
          <w:sz w:val="28"/>
        </w:rPr>
        <w:t>and</w:t>
      </w:r>
      <w:r>
        <w:rPr>
          <w:spacing w:val="-4"/>
          <w:sz w:val="28"/>
        </w:rPr>
        <w:t> </w:t>
      </w:r>
      <w:r>
        <w:rPr>
          <w:sz w:val="28"/>
        </w:rPr>
        <w:t>the</w:t>
      </w:r>
      <w:r>
        <w:rPr>
          <w:spacing w:val="-5"/>
          <w:sz w:val="28"/>
        </w:rPr>
        <w:t> </w:t>
      </w:r>
      <w:r>
        <w:rPr>
          <w:sz w:val="28"/>
        </w:rPr>
        <w:t>health</w:t>
      </w:r>
      <w:r>
        <w:rPr>
          <w:spacing w:val="-4"/>
          <w:sz w:val="28"/>
        </w:rPr>
        <w:t> </w:t>
      </w:r>
      <w:r>
        <w:rPr>
          <w:sz w:val="28"/>
        </w:rPr>
        <w:t>of</w:t>
      </w:r>
      <w:r>
        <w:rPr>
          <w:spacing w:val="-4"/>
          <w:sz w:val="28"/>
        </w:rPr>
        <w:t> </w:t>
      </w:r>
      <w:r>
        <w:rPr>
          <w:sz w:val="28"/>
        </w:rPr>
        <w:t>sexual</w:t>
      </w:r>
      <w:r>
        <w:rPr>
          <w:spacing w:val="-4"/>
          <w:sz w:val="28"/>
        </w:rPr>
        <w:t> </w:t>
      </w:r>
      <w:r>
        <w:rPr>
          <w:sz w:val="28"/>
        </w:rPr>
        <w:t>minorities.</w:t>
      </w:r>
      <w:r>
        <w:rPr>
          <w:spacing w:val="-4"/>
          <w:sz w:val="28"/>
        </w:rPr>
        <w:t> </w:t>
      </w:r>
      <w:r>
        <w:rPr>
          <w:sz w:val="28"/>
        </w:rPr>
        <w:t>In: Patterson CJ, D'Augelli</w:t>
      </w:r>
      <w:r>
        <w:rPr>
          <w:spacing w:val="-3"/>
          <w:sz w:val="28"/>
        </w:rPr>
        <w:t> </w:t>
      </w:r>
      <w:r>
        <w:rPr>
          <w:sz w:val="28"/>
        </w:rPr>
        <w:t>AR, eds. </w:t>
      </w:r>
      <w:r>
        <w:rPr>
          <w:i/>
          <w:sz w:val="28"/>
        </w:rPr>
        <w:t>Handbook of psychology and sexual</w:t>
      </w:r>
      <w:r>
        <w:rPr>
          <w:i/>
          <w:sz w:val="28"/>
        </w:rPr>
        <w:t> orientation</w:t>
      </w:r>
      <w:r>
        <w:rPr>
          <w:sz w:val="28"/>
        </w:rPr>
        <w:t>. Oxford University Press; 2013:252-266.</w:t>
      </w:r>
    </w:p>
    <w:p>
      <w:pPr>
        <w:pStyle w:val="BodyText"/>
        <w:spacing w:before="9"/>
        <w:rPr>
          <w:sz w:val="25"/>
        </w:rPr>
      </w:pPr>
    </w:p>
    <w:p>
      <w:pPr>
        <w:pStyle w:val="BodyText"/>
        <w:ind w:left="640" w:right="604" w:hanging="360"/>
      </w:pPr>
      <w:r>
        <w:rPr/>
        <w:t>Testa RJ, Habarth J, Peta J, Balsam K, Bockting W. Development of the gender</w:t>
      </w:r>
      <w:r>
        <w:rPr>
          <w:spacing w:val="-4"/>
        </w:rPr>
        <w:t> </w:t>
      </w:r>
      <w:r>
        <w:rPr/>
        <w:t>minority</w:t>
      </w:r>
      <w:r>
        <w:rPr>
          <w:spacing w:val="-4"/>
        </w:rPr>
        <w:t> </w:t>
      </w:r>
      <w:r>
        <w:rPr/>
        <w:t>stress</w:t>
      </w:r>
      <w:r>
        <w:rPr>
          <w:spacing w:val="-4"/>
        </w:rPr>
        <w:t> </w:t>
      </w:r>
      <w:r>
        <w:rPr/>
        <w:t>and</w:t>
      </w:r>
      <w:r>
        <w:rPr>
          <w:spacing w:val="-4"/>
        </w:rPr>
        <w:t> </w:t>
      </w:r>
      <w:r>
        <w:rPr/>
        <w:t>resilience</w:t>
      </w:r>
      <w:r>
        <w:rPr>
          <w:spacing w:val="-5"/>
        </w:rPr>
        <w:t> </w:t>
      </w:r>
      <w:r>
        <w:rPr/>
        <w:t>measure.</w:t>
      </w:r>
      <w:r>
        <w:rPr>
          <w:spacing w:val="-5"/>
        </w:rPr>
        <w:t> </w:t>
      </w:r>
      <w:r>
        <w:rPr>
          <w:i/>
        </w:rPr>
        <w:t>Psychol</w:t>
      </w:r>
      <w:r>
        <w:rPr>
          <w:i/>
          <w:spacing w:val="-4"/>
        </w:rPr>
        <w:t> </w:t>
      </w:r>
      <w:r>
        <w:rPr>
          <w:i/>
        </w:rPr>
        <w:t>Sex</w:t>
      </w:r>
      <w:r>
        <w:rPr>
          <w:i/>
          <w:spacing w:val="-5"/>
        </w:rPr>
        <w:t> </w:t>
      </w:r>
      <w:r>
        <w:rPr>
          <w:i/>
        </w:rPr>
        <w:t>Orientat</w:t>
      </w:r>
      <w:r>
        <w:rPr>
          <w:i/>
          <w:spacing w:val="-4"/>
        </w:rPr>
        <w:t> </w:t>
      </w:r>
      <w:r>
        <w:rPr>
          <w:i/>
        </w:rPr>
        <w:t>Gend</w:t>
      </w:r>
      <w:r>
        <w:rPr>
          <w:i/>
        </w:rPr>
        <w:t> Divers. </w:t>
      </w:r>
      <w:r>
        <w:rPr/>
        <w:t>2015</w:t>
      </w:r>
      <w:r>
        <w:rPr>
          <w:i/>
        </w:rPr>
        <w:t>;</w:t>
      </w:r>
      <w:r>
        <w:rPr/>
        <w:t>2(1):65-77. https://doi.org/10.1037/sgd0000081</w:t>
      </w:r>
    </w:p>
    <w:p>
      <w:pPr>
        <w:pStyle w:val="BodyText"/>
        <w:spacing w:before="10"/>
        <w:rPr>
          <w:sz w:val="25"/>
        </w:rPr>
      </w:pPr>
    </w:p>
    <w:p>
      <w:pPr>
        <w:pStyle w:val="BodyText"/>
        <w:ind w:left="640" w:hanging="360"/>
      </w:pPr>
      <w:r>
        <w:rPr/>
        <w:t>Pachankis JE, Mahon CP, Jackson SD, Fetzner BK, Bränström R. Sexual orientation</w:t>
      </w:r>
      <w:r>
        <w:rPr>
          <w:spacing w:val="-10"/>
        </w:rPr>
        <w:t> </w:t>
      </w:r>
      <w:r>
        <w:rPr/>
        <w:t>concealment</w:t>
      </w:r>
      <w:r>
        <w:rPr>
          <w:spacing w:val="-6"/>
        </w:rPr>
        <w:t> </w:t>
      </w:r>
      <w:r>
        <w:rPr/>
        <w:t>and</w:t>
      </w:r>
      <w:r>
        <w:rPr>
          <w:spacing w:val="-6"/>
        </w:rPr>
        <w:t> </w:t>
      </w:r>
      <w:r>
        <w:rPr/>
        <w:t>mental</w:t>
      </w:r>
      <w:r>
        <w:rPr>
          <w:spacing w:val="-6"/>
        </w:rPr>
        <w:t> </w:t>
      </w:r>
      <w:r>
        <w:rPr/>
        <w:t>health:</w:t>
      </w:r>
      <w:r>
        <w:rPr>
          <w:spacing w:val="-18"/>
        </w:rPr>
        <w:t> </w:t>
      </w:r>
      <w:r>
        <w:rPr/>
        <w:t>A</w:t>
      </w:r>
      <w:r>
        <w:rPr>
          <w:spacing w:val="-17"/>
        </w:rPr>
        <w:t> </w:t>
      </w:r>
      <w:r>
        <w:rPr/>
        <w:t>conceptual</w:t>
      </w:r>
      <w:r>
        <w:rPr>
          <w:spacing w:val="-6"/>
        </w:rPr>
        <w:t> </w:t>
      </w:r>
      <w:r>
        <w:rPr/>
        <w:t>and</w:t>
      </w:r>
      <w:r>
        <w:rPr>
          <w:spacing w:val="-6"/>
        </w:rPr>
        <w:t> </w:t>
      </w:r>
      <w:r>
        <w:rPr/>
        <w:t>meta-analytic review. </w:t>
      </w:r>
      <w:r>
        <w:rPr>
          <w:i/>
        </w:rPr>
        <w:t>Psychol Bull</w:t>
      </w:r>
      <w:r>
        <w:rPr/>
        <w:t>. 2020;146(10):831-871. https://doi.org/10.1037/ </w:t>
      </w:r>
      <w:r>
        <w:rPr>
          <w:spacing w:val="-2"/>
        </w:rPr>
        <w:t>bul0000271</w:t>
      </w:r>
    </w:p>
    <w:p>
      <w:pPr>
        <w:pStyle w:val="BodyText"/>
        <w:spacing w:before="7"/>
        <w:rPr>
          <w:sz w:val="25"/>
        </w:rPr>
      </w:pPr>
    </w:p>
    <w:p>
      <w:pPr>
        <w:pStyle w:val="BodyText"/>
        <w:spacing w:before="1"/>
        <w:ind w:left="640" w:hanging="360"/>
      </w:pPr>
      <w:r>
        <w:rPr/>
        <w:t>Hatzenbuehler</w:t>
      </w:r>
      <w:r>
        <w:rPr>
          <w:spacing w:val="-5"/>
        </w:rPr>
        <w:t> </w:t>
      </w:r>
      <w:r>
        <w:rPr/>
        <w:t>ML,</w:t>
      </w:r>
      <w:r>
        <w:rPr>
          <w:spacing w:val="-5"/>
        </w:rPr>
        <w:t> </w:t>
      </w:r>
      <w:r>
        <w:rPr/>
        <w:t>Keyes</w:t>
      </w:r>
      <w:r>
        <w:rPr>
          <w:spacing w:val="-5"/>
        </w:rPr>
        <w:t> </w:t>
      </w:r>
      <w:r>
        <w:rPr/>
        <w:t>KM,</w:t>
      </w:r>
      <w:r>
        <w:rPr>
          <w:spacing w:val="-5"/>
        </w:rPr>
        <w:t> </w:t>
      </w:r>
      <w:r>
        <w:rPr/>
        <w:t>Hasin</w:t>
      </w:r>
      <w:r>
        <w:rPr>
          <w:spacing w:val="-5"/>
        </w:rPr>
        <w:t> </w:t>
      </w:r>
      <w:r>
        <w:rPr/>
        <w:t>DS.</w:t>
      </w:r>
      <w:r>
        <w:rPr>
          <w:spacing w:val="-5"/>
        </w:rPr>
        <w:t> </w:t>
      </w:r>
      <w:r>
        <w:rPr/>
        <w:t>State-level</w:t>
      </w:r>
      <w:r>
        <w:rPr>
          <w:spacing w:val="-5"/>
        </w:rPr>
        <w:t> </w:t>
      </w:r>
      <w:r>
        <w:rPr/>
        <w:t>policies</w:t>
      </w:r>
      <w:r>
        <w:rPr>
          <w:spacing w:val="-5"/>
        </w:rPr>
        <w:t> </w:t>
      </w:r>
      <w:r>
        <w:rPr/>
        <w:t>and</w:t>
      </w:r>
      <w:r>
        <w:rPr>
          <w:spacing w:val="-5"/>
        </w:rPr>
        <w:t> </w:t>
      </w:r>
      <w:r>
        <w:rPr/>
        <w:t>psychiatric morbidity in lesbian, gay, and bisexual populations. </w:t>
      </w:r>
      <w:r>
        <w:rPr>
          <w:i/>
        </w:rPr>
        <w:t>Am J Public Health</w:t>
      </w:r>
      <w:r>
        <w:rPr/>
        <w:t>.</w:t>
      </w:r>
    </w:p>
    <w:p>
      <w:pPr>
        <w:pStyle w:val="BodyText"/>
        <w:spacing w:line="318" w:lineRule="exact"/>
        <w:ind w:left="640"/>
      </w:pPr>
      <w:r>
        <w:rPr/>
        <w:t>2009;99(12):2275-2281. </w:t>
      </w:r>
      <w:r>
        <w:rPr>
          <w:spacing w:val="-2"/>
        </w:rPr>
        <w:t>https://doi.org/10.2105/AJPH.2008.153510</w:t>
      </w:r>
    </w:p>
    <w:p>
      <w:pPr>
        <w:pStyle w:val="BodyText"/>
        <w:spacing w:before="2"/>
        <w:rPr>
          <w:sz w:val="26"/>
        </w:rPr>
      </w:pPr>
    </w:p>
    <w:p>
      <w:pPr>
        <w:pStyle w:val="BodyText"/>
        <w:ind w:left="640" w:right="502" w:hanging="360"/>
      </w:pPr>
      <w:r>
        <w:rPr/>
        <w:t>National Academies of Sciences, Engineering, and Medicine. Reducing inequalities between lesbian, gay, bisexual, transgender, and queer adolescents</w:t>
      </w:r>
      <w:r>
        <w:rPr>
          <w:spacing w:val="-7"/>
        </w:rPr>
        <w:t> </w:t>
      </w:r>
      <w:r>
        <w:rPr/>
        <w:t>and</w:t>
      </w:r>
      <w:r>
        <w:rPr>
          <w:spacing w:val="-7"/>
        </w:rPr>
        <w:t> </w:t>
      </w:r>
      <w:r>
        <w:rPr/>
        <w:t>cisgender,</w:t>
      </w:r>
      <w:r>
        <w:rPr>
          <w:spacing w:val="-7"/>
        </w:rPr>
        <w:t> </w:t>
      </w:r>
      <w:r>
        <w:rPr/>
        <w:t>heterosexual</w:t>
      </w:r>
      <w:r>
        <w:rPr>
          <w:spacing w:val="-7"/>
        </w:rPr>
        <w:t> </w:t>
      </w:r>
      <w:r>
        <w:rPr/>
        <w:t>adolescents:</w:t>
      </w:r>
      <w:r>
        <w:rPr>
          <w:spacing w:val="-7"/>
        </w:rPr>
        <w:t> </w:t>
      </w:r>
      <w:r>
        <w:rPr/>
        <w:t>Proceedings</w:t>
      </w:r>
      <w:r>
        <w:rPr>
          <w:spacing w:val="-7"/>
        </w:rPr>
        <w:t> </w:t>
      </w:r>
      <w:r>
        <w:rPr/>
        <w:t>of</w:t>
      </w:r>
      <w:r>
        <w:rPr>
          <w:spacing w:val="-7"/>
        </w:rPr>
        <w:t> </w:t>
      </w:r>
      <w:r>
        <w:rPr/>
        <w:t>a workshop. The National Academies Press; 2022. https://doi.org/ </w:t>
      </w:r>
      <w:r>
        <w:rPr>
          <w:spacing w:val="-2"/>
        </w:rPr>
        <w:t>10.17226/26383</w:t>
      </w:r>
    </w:p>
    <w:p>
      <w:pPr>
        <w:pStyle w:val="BodyText"/>
        <w:spacing w:before="5"/>
        <w:rPr>
          <w:sz w:val="25"/>
        </w:rPr>
      </w:pPr>
    </w:p>
    <w:p>
      <w:pPr>
        <w:spacing w:before="0"/>
        <w:ind w:left="640" w:right="502" w:hanging="360"/>
        <w:jc w:val="left"/>
        <w:rPr>
          <w:sz w:val="28"/>
        </w:rPr>
      </w:pPr>
      <w:r>
        <w:rPr>
          <w:sz w:val="28"/>
        </w:rPr>
        <w:t>Meyer IH. Resilience in the study of minority stress and health of sexual and gender</w:t>
      </w:r>
      <w:r>
        <w:rPr>
          <w:spacing w:val="-7"/>
          <w:sz w:val="28"/>
        </w:rPr>
        <w:t> </w:t>
      </w:r>
      <w:r>
        <w:rPr>
          <w:sz w:val="28"/>
        </w:rPr>
        <w:t>minorities.</w:t>
      </w:r>
      <w:r>
        <w:rPr>
          <w:spacing w:val="-8"/>
          <w:sz w:val="28"/>
        </w:rPr>
        <w:t> </w:t>
      </w:r>
      <w:r>
        <w:rPr>
          <w:i/>
          <w:sz w:val="28"/>
        </w:rPr>
        <w:t>Psychology</w:t>
      </w:r>
      <w:r>
        <w:rPr>
          <w:i/>
          <w:spacing w:val="-8"/>
          <w:sz w:val="28"/>
        </w:rPr>
        <w:t> </w:t>
      </w:r>
      <w:r>
        <w:rPr>
          <w:i/>
          <w:sz w:val="28"/>
        </w:rPr>
        <w:t>of</w:t>
      </w:r>
      <w:r>
        <w:rPr>
          <w:i/>
          <w:spacing w:val="-7"/>
          <w:sz w:val="28"/>
        </w:rPr>
        <w:t> </w:t>
      </w:r>
      <w:r>
        <w:rPr>
          <w:i/>
          <w:sz w:val="28"/>
        </w:rPr>
        <w:t>Sexual</w:t>
      </w:r>
      <w:r>
        <w:rPr>
          <w:i/>
          <w:spacing w:val="-7"/>
          <w:sz w:val="28"/>
        </w:rPr>
        <w:t> </w:t>
      </w:r>
      <w:r>
        <w:rPr>
          <w:i/>
          <w:sz w:val="28"/>
        </w:rPr>
        <w:t>Orientation</w:t>
      </w:r>
      <w:r>
        <w:rPr>
          <w:i/>
          <w:spacing w:val="-7"/>
          <w:sz w:val="28"/>
        </w:rPr>
        <w:t> </w:t>
      </w:r>
      <w:r>
        <w:rPr>
          <w:i/>
          <w:sz w:val="28"/>
        </w:rPr>
        <w:t>and</w:t>
      </w:r>
      <w:r>
        <w:rPr>
          <w:i/>
          <w:spacing w:val="-7"/>
          <w:sz w:val="28"/>
        </w:rPr>
        <w:t> </w:t>
      </w:r>
      <w:r>
        <w:rPr>
          <w:i/>
          <w:sz w:val="28"/>
        </w:rPr>
        <w:t>Gender</w:t>
      </w:r>
      <w:r>
        <w:rPr>
          <w:i/>
          <w:spacing w:val="-7"/>
          <w:sz w:val="28"/>
        </w:rPr>
        <w:t> </w:t>
      </w:r>
      <w:r>
        <w:rPr>
          <w:i/>
          <w:sz w:val="28"/>
        </w:rPr>
        <w:t>Diversity,</w:t>
      </w:r>
      <w:r>
        <w:rPr>
          <w:i/>
          <w:sz w:val="28"/>
        </w:rPr>
        <w:t> 2015;2</w:t>
      </w:r>
      <w:r>
        <w:rPr>
          <w:sz w:val="28"/>
        </w:rPr>
        <w:t>(3), 209-213. https://doi.org/10.1037/sgd0000132</w:t>
      </w:r>
    </w:p>
    <w:p>
      <w:pPr>
        <w:pStyle w:val="BodyText"/>
        <w:spacing w:before="10"/>
        <w:rPr>
          <w:sz w:val="25"/>
        </w:rPr>
      </w:pPr>
    </w:p>
    <w:p>
      <w:pPr>
        <w:pStyle w:val="BodyText"/>
        <w:ind w:left="640" w:right="627" w:hanging="360"/>
      </w:pPr>
      <w:r>
        <w:rPr/>
        <w:t>Luthar SS, Cicchetti D, Becker B. The construct of resilience: a critical evaluation</w:t>
      </w:r>
      <w:r>
        <w:rPr>
          <w:spacing w:val="-5"/>
        </w:rPr>
        <w:t> </w:t>
      </w:r>
      <w:r>
        <w:rPr/>
        <w:t>and</w:t>
      </w:r>
      <w:r>
        <w:rPr>
          <w:spacing w:val="-5"/>
        </w:rPr>
        <w:t> </w:t>
      </w:r>
      <w:r>
        <w:rPr/>
        <w:t>guidelines</w:t>
      </w:r>
      <w:r>
        <w:rPr>
          <w:spacing w:val="-5"/>
        </w:rPr>
        <w:t> </w:t>
      </w:r>
      <w:r>
        <w:rPr/>
        <w:t>for</w:t>
      </w:r>
      <w:r>
        <w:rPr>
          <w:spacing w:val="-5"/>
        </w:rPr>
        <w:t> </w:t>
      </w:r>
      <w:r>
        <w:rPr/>
        <w:t>future</w:t>
      </w:r>
      <w:r>
        <w:rPr>
          <w:spacing w:val="-6"/>
        </w:rPr>
        <w:t> </w:t>
      </w:r>
      <w:r>
        <w:rPr/>
        <w:t>work.</w:t>
      </w:r>
      <w:r>
        <w:rPr>
          <w:spacing w:val="-6"/>
        </w:rPr>
        <w:t> </w:t>
      </w:r>
      <w:r>
        <w:rPr>
          <w:i/>
        </w:rPr>
        <w:t>Child</w:t>
      </w:r>
      <w:r>
        <w:rPr>
          <w:i/>
          <w:spacing w:val="-5"/>
        </w:rPr>
        <w:t> </w:t>
      </w:r>
      <w:r>
        <w:rPr>
          <w:i/>
        </w:rPr>
        <w:t>Dev</w:t>
      </w:r>
      <w:r>
        <w:rPr/>
        <w:t>.</w:t>
      </w:r>
      <w:r>
        <w:rPr>
          <w:spacing w:val="-5"/>
        </w:rPr>
        <w:t> </w:t>
      </w:r>
      <w:r>
        <w:rPr/>
        <w:t>2000;71(3):543-562. </w:t>
      </w:r>
      <w:r>
        <w:rPr>
          <w:spacing w:val="-2"/>
        </w:rPr>
        <w:t>https://doi.org/10.1111/1467-8624.00164</w:t>
      </w:r>
    </w:p>
    <w:p>
      <w:pPr>
        <w:pStyle w:val="BodyText"/>
        <w:spacing w:before="9"/>
        <w:rPr>
          <w:sz w:val="25"/>
        </w:rPr>
      </w:pPr>
    </w:p>
    <w:p>
      <w:pPr>
        <w:pStyle w:val="BodyText"/>
        <w:spacing w:before="1"/>
        <w:ind w:left="640" w:hanging="360"/>
      </w:pPr>
      <w:r>
        <w:rPr/>
        <w:t>McConnell</w:t>
      </w:r>
      <w:r>
        <w:rPr>
          <w:spacing w:val="-7"/>
        </w:rPr>
        <w:t> </w:t>
      </w:r>
      <w:r>
        <w:rPr/>
        <w:t>EA,</w:t>
      </w:r>
      <w:r>
        <w:rPr>
          <w:spacing w:val="-7"/>
        </w:rPr>
        <w:t> </w:t>
      </w:r>
      <w:r>
        <w:rPr/>
        <w:t>Janulis</w:t>
      </w:r>
      <w:r>
        <w:rPr>
          <w:spacing w:val="-7"/>
        </w:rPr>
        <w:t> </w:t>
      </w:r>
      <w:r>
        <w:rPr/>
        <w:t>P,</w:t>
      </w:r>
      <w:r>
        <w:rPr>
          <w:spacing w:val="-7"/>
        </w:rPr>
        <w:t> </w:t>
      </w:r>
      <w:r>
        <w:rPr/>
        <w:t>Phillips</w:t>
      </w:r>
      <w:r>
        <w:rPr>
          <w:spacing w:val="-7"/>
        </w:rPr>
        <w:t> </w:t>
      </w:r>
      <w:r>
        <w:rPr/>
        <w:t>GII,</w:t>
      </w:r>
      <w:r>
        <w:rPr>
          <w:spacing w:val="-13"/>
        </w:rPr>
        <w:t> </w:t>
      </w:r>
      <w:r>
        <w:rPr/>
        <w:t>Truong</w:t>
      </w:r>
      <w:r>
        <w:rPr>
          <w:spacing w:val="-7"/>
        </w:rPr>
        <w:t> </w:t>
      </w:r>
      <w:r>
        <w:rPr/>
        <w:t>R,</w:t>
      </w:r>
      <w:r>
        <w:rPr>
          <w:spacing w:val="-7"/>
        </w:rPr>
        <w:t> </w:t>
      </w:r>
      <w:r>
        <w:rPr/>
        <w:t>Birkett</w:t>
      </w:r>
      <w:r>
        <w:rPr>
          <w:spacing w:val="-7"/>
        </w:rPr>
        <w:t> </w:t>
      </w:r>
      <w:r>
        <w:rPr/>
        <w:t>M.</w:t>
      </w:r>
      <w:r>
        <w:rPr>
          <w:spacing w:val="-7"/>
        </w:rPr>
        <w:t> </w:t>
      </w:r>
      <w:r>
        <w:rPr/>
        <w:t>Multiple</w:t>
      </w:r>
      <w:r>
        <w:rPr>
          <w:spacing w:val="-8"/>
        </w:rPr>
        <w:t> </w:t>
      </w:r>
      <w:r>
        <w:rPr/>
        <w:t>minority stress and LGBT community resilience among sexual minority men.</w:t>
      </w:r>
    </w:p>
    <w:p>
      <w:pPr>
        <w:spacing w:line="237" w:lineRule="auto" w:before="0"/>
        <w:ind w:left="640" w:right="0" w:firstLine="0"/>
        <w:jc w:val="left"/>
        <w:rPr>
          <w:sz w:val="28"/>
        </w:rPr>
      </w:pPr>
      <w:r>
        <w:rPr>
          <w:i/>
          <w:sz w:val="28"/>
        </w:rPr>
        <w:t>Psychology</w:t>
      </w:r>
      <w:r>
        <w:rPr>
          <w:i/>
          <w:spacing w:val="-9"/>
          <w:sz w:val="28"/>
        </w:rPr>
        <w:t> </w:t>
      </w:r>
      <w:r>
        <w:rPr>
          <w:i/>
          <w:sz w:val="28"/>
        </w:rPr>
        <w:t>of</w:t>
      </w:r>
      <w:r>
        <w:rPr>
          <w:i/>
          <w:spacing w:val="-8"/>
          <w:sz w:val="28"/>
        </w:rPr>
        <w:t> </w:t>
      </w:r>
      <w:r>
        <w:rPr>
          <w:i/>
          <w:sz w:val="28"/>
        </w:rPr>
        <w:t>Sexual</w:t>
      </w:r>
      <w:r>
        <w:rPr>
          <w:i/>
          <w:spacing w:val="-8"/>
          <w:sz w:val="28"/>
        </w:rPr>
        <w:t> </w:t>
      </w:r>
      <w:r>
        <w:rPr>
          <w:i/>
          <w:sz w:val="28"/>
        </w:rPr>
        <w:t>Orientation</w:t>
      </w:r>
      <w:r>
        <w:rPr>
          <w:i/>
          <w:spacing w:val="-8"/>
          <w:sz w:val="28"/>
        </w:rPr>
        <w:t> </w:t>
      </w:r>
      <w:r>
        <w:rPr>
          <w:i/>
          <w:sz w:val="28"/>
        </w:rPr>
        <w:t>and</w:t>
      </w:r>
      <w:r>
        <w:rPr>
          <w:i/>
          <w:spacing w:val="-8"/>
          <w:sz w:val="28"/>
        </w:rPr>
        <w:t> </w:t>
      </w:r>
      <w:r>
        <w:rPr>
          <w:i/>
          <w:sz w:val="28"/>
        </w:rPr>
        <w:t>Gender</w:t>
      </w:r>
      <w:r>
        <w:rPr>
          <w:i/>
          <w:spacing w:val="-8"/>
          <w:sz w:val="28"/>
        </w:rPr>
        <w:t> </w:t>
      </w:r>
      <w:r>
        <w:rPr>
          <w:i/>
          <w:sz w:val="28"/>
        </w:rPr>
        <w:t>Diversity,</w:t>
      </w:r>
      <w:r>
        <w:rPr>
          <w:i/>
          <w:spacing w:val="-8"/>
          <w:sz w:val="28"/>
        </w:rPr>
        <w:t> </w:t>
      </w:r>
      <w:r>
        <w:rPr>
          <w:i/>
          <w:sz w:val="28"/>
        </w:rPr>
        <w:t>2018;5</w:t>
      </w:r>
      <w:r>
        <w:rPr>
          <w:sz w:val="28"/>
        </w:rPr>
        <w:t>(1):1-12. </w:t>
      </w:r>
      <w:r>
        <w:rPr>
          <w:spacing w:val="-2"/>
          <w:sz w:val="28"/>
        </w:rPr>
        <w:t>https://doi.org/10.1037/sgd0000265</w:t>
      </w:r>
    </w:p>
    <w:p>
      <w:pPr>
        <w:pStyle w:val="BodyText"/>
        <w:spacing w:before="2"/>
        <w:rPr>
          <w:sz w:val="26"/>
        </w:rPr>
      </w:pPr>
    </w:p>
    <w:p>
      <w:pPr>
        <w:pStyle w:val="BodyText"/>
        <w:ind w:left="640" w:right="520" w:hanging="360"/>
      </w:pPr>
      <w:r>
        <w:rPr/>
        <w:t>Bowleg L. The problem with the phrase women and minorities: intersectionality-an</w:t>
      </w:r>
      <w:r>
        <w:rPr>
          <w:spacing w:val="-5"/>
        </w:rPr>
        <w:t> </w:t>
      </w:r>
      <w:r>
        <w:rPr/>
        <w:t>important</w:t>
      </w:r>
      <w:r>
        <w:rPr>
          <w:spacing w:val="-5"/>
        </w:rPr>
        <w:t> </w:t>
      </w:r>
      <w:r>
        <w:rPr/>
        <w:t>theoretical</w:t>
      </w:r>
      <w:r>
        <w:rPr>
          <w:spacing w:val="-5"/>
        </w:rPr>
        <w:t> </w:t>
      </w:r>
      <w:r>
        <w:rPr/>
        <w:t>framework</w:t>
      </w:r>
      <w:r>
        <w:rPr>
          <w:spacing w:val="-5"/>
        </w:rPr>
        <w:t> </w:t>
      </w:r>
      <w:r>
        <w:rPr/>
        <w:t>for</w:t>
      </w:r>
      <w:r>
        <w:rPr>
          <w:spacing w:val="-5"/>
        </w:rPr>
        <w:t> </w:t>
      </w:r>
      <w:r>
        <w:rPr/>
        <w:t>public</w:t>
      </w:r>
      <w:r>
        <w:rPr>
          <w:spacing w:val="-6"/>
        </w:rPr>
        <w:t> </w:t>
      </w:r>
      <w:r>
        <w:rPr/>
        <w:t>health.</w:t>
      </w:r>
      <w:r>
        <w:rPr>
          <w:spacing w:val="-6"/>
        </w:rPr>
        <w:t> </w:t>
      </w:r>
      <w:r>
        <w:rPr>
          <w:i/>
        </w:rPr>
        <w:t>Am</w:t>
      </w:r>
      <w:r>
        <w:rPr>
          <w:i/>
          <w:spacing w:val="-5"/>
        </w:rPr>
        <w:t> </w:t>
      </w:r>
      <w:r>
        <w:rPr>
          <w:i/>
        </w:rPr>
        <w:t>J</w:t>
      </w:r>
      <w:r>
        <w:rPr>
          <w:i/>
        </w:rPr>
        <w:t> Public Health</w:t>
      </w:r>
      <w:r>
        <w:rPr/>
        <w:t>. 2012;102(7):1267-1273. https://doi.org/10.2105/ </w:t>
      </w:r>
      <w:r>
        <w:rPr>
          <w:spacing w:val="-2"/>
        </w:rPr>
        <w:t>AJPH.2012.300750</w:t>
      </w:r>
    </w:p>
    <w:p>
      <w:pPr>
        <w:spacing w:after="0"/>
        <w:sectPr>
          <w:pgSz w:w="12240" w:h="15840"/>
          <w:pgMar w:header="0" w:footer="783" w:top="1260" w:bottom="980" w:left="1400" w:right="1180"/>
        </w:sectPr>
      </w:pPr>
    </w:p>
    <w:p>
      <w:pPr>
        <w:pStyle w:val="BodyText"/>
        <w:spacing w:before="66"/>
        <w:ind w:left="640" w:right="1281" w:hanging="360"/>
      </w:pPr>
      <w:r>
        <w:rPr/>
        <w:t>Collins PH. Intersectionality’s definitional dilemmas. </w:t>
      </w:r>
      <w:r>
        <w:rPr>
          <w:i/>
        </w:rPr>
        <w:t>Annu Rev Sociol</w:t>
      </w:r>
      <w:r>
        <w:rPr/>
        <w:t>. </w:t>
      </w:r>
      <w:r>
        <w:rPr>
          <w:spacing w:val="-2"/>
        </w:rPr>
        <w:t>2015;41(1):1-20. https://doi.org/10.1146/annurev-soc-073014112142</w:t>
      </w:r>
    </w:p>
    <w:p>
      <w:pPr>
        <w:pStyle w:val="BodyText"/>
        <w:rPr>
          <w:sz w:val="26"/>
        </w:rPr>
      </w:pPr>
    </w:p>
    <w:p>
      <w:pPr>
        <w:pStyle w:val="BodyText"/>
        <w:ind w:left="640" w:right="499" w:hanging="360"/>
      </w:pPr>
      <w:r>
        <w:rPr/>
        <w:t>Tan</w:t>
      </w:r>
      <w:r>
        <w:rPr>
          <w:spacing w:val="-15"/>
        </w:rPr>
        <w:t> </w:t>
      </w:r>
      <w:r>
        <w:rPr/>
        <w:t>K,</w:t>
      </w:r>
      <w:r>
        <w:rPr>
          <w:spacing w:val="-15"/>
        </w:rPr>
        <w:t> </w:t>
      </w:r>
      <w:r>
        <w:rPr/>
        <w:t>Treharne</w:t>
      </w:r>
      <w:r>
        <w:rPr>
          <w:spacing w:val="-11"/>
        </w:rPr>
        <w:t> </w:t>
      </w:r>
      <w:r>
        <w:rPr/>
        <w:t>GJ,</w:t>
      </w:r>
      <w:r>
        <w:rPr>
          <w:spacing w:val="-10"/>
        </w:rPr>
        <w:t> </w:t>
      </w:r>
      <w:r>
        <w:rPr/>
        <w:t>Ellis</w:t>
      </w:r>
      <w:r>
        <w:rPr>
          <w:spacing w:val="-10"/>
        </w:rPr>
        <w:t> </w:t>
      </w:r>
      <w:r>
        <w:rPr/>
        <w:t>SJ,</w:t>
      </w:r>
      <w:r>
        <w:rPr>
          <w:spacing w:val="-10"/>
        </w:rPr>
        <w:t> </w:t>
      </w:r>
      <w:r>
        <w:rPr/>
        <w:t>Schmidt</w:t>
      </w:r>
      <w:r>
        <w:rPr>
          <w:spacing w:val="-10"/>
        </w:rPr>
        <w:t> </w:t>
      </w:r>
      <w:r>
        <w:rPr/>
        <w:t>JM,</w:t>
      </w:r>
      <w:r>
        <w:rPr>
          <w:spacing w:val="-15"/>
        </w:rPr>
        <w:t> </w:t>
      </w:r>
      <w:r>
        <w:rPr/>
        <w:t>Veale</w:t>
      </w:r>
      <w:r>
        <w:rPr>
          <w:spacing w:val="-11"/>
        </w:rPr>
        <w:t> </w:t>
      </w:r>
      <w:r>
        <w:rPr/>
        <w:t>JF.</w:t>
      </w:r>
      <w:r>
        <w:rPr>
          <w:spacing w:val="-10"/>
        </w:rPr>
        <w:t> </w:t>
      </w:r>
      <w:r>
        <w:rPr/>
        <w:t>Gender</w:t>
      </w:r>
      <w:r>
        <w:rPr>
          <w:spacing w:val="-10"/>
        </w:rPr>
        <w:t> </w:t>
      </w:r>
      <w:r>
        <w:rPr/>
        <w:t>minority</w:t>
      </w:r>
      <w:r>
        <w:rPr>
          <w:spacing w:val="-10"/>
        </w:rPr>
        <w:t> </w:t>
      </w:r>
      <w:r>
        <w:rPr/>
        <w:t>stress:</w:t>
      </w:r>
      <w:r>
        <w:rPr>
          <w:spacing w:val="-18"/>
        </w:rPr>
        <w:t> </w:t>
      </w:r>
      <w:r>
        <w:rPr/>
        <w:t>A critical review. </w:t>
      </w:r>
      <w:r>
        <w:rPr>
          <w:i/>
        </w:rPr>
        <w:t>J Homosex. </w:t>
      </w:r>
      <w:r>
        <w:rPr/>
        <w:t>2020;67(10):1471-1489. https://doi.org/ 10.1080/00918369.2019.15917 89</w:t>
      </w:r>
    </w:p>
    <w:p>
      <w:pPr>
        <w:pStyle w:val="BodyText"/>
        <w:spacing w:before="9"/>
        <w:rPr>
          <w:sz w:val="25"/>
        </w:rPr>
      </w:pPr>
    </w:p>
    <w:p>
      <w:pPr>
        <w:pStyle w:val="BodyText"/>
        <w:spacing w:before="1"/>
        <w:ind w:left="640" w:right="502" w:hanging="360"/>
      </w:pPr>
      <w:r>
        <w:rPr/>
        <w:t>Martin-Storey</w:t>
      </w:r>
      <w:r>
        <w:rPr>
          <w:spacing w:val="-18"/>
        </w:rPr>
        <w:t> </w:t>
      </w:r>
      <w:r>
        <w:rPr/>
        <w:t>A,</w:t>
      </w:r>
      <w:r>
        <w:rPr>
          <w:spacing w:val="-11"/>
        </w:rPr>
        <w:t> </w:t>
      </w:r>
      <w:r>
        <w:rPr/>
        <w:t>Fish</w:t>
      </w:r>
      <w:r>
        <w:rPr>
          <w:spacing w:val="-7"/>
        </w:rPr>
        <w:t> </w:t>
      </w:r>
      <w:r>
        <w:rPr/>
        <w:t>J.</w:t>
      </w:r>
      <w:r>
        <w:rPr>
          <w:spacing w:val="-13"/>
        </w:rPr>
        <w:t> </w:t>
      </w:r>
      <w:r>
        <w:rPr/>
        <w:t>Victimization</w:t>
      </w:r>
      <w:r>
        <w:rPr>
          <w:spacing w:val="-7"/>
        </w:rPr>
        <w:t> </w:t>
      </w:r>
      <w:r>
        <w:rPr/>
        <w:t>disparities</w:t>
      </w:r>
      <w:r>
        <w:rPr>
          <w:spacing w:val="-7"/>
        </w:rPr>
        <w:t> </w:t>
      </w:r>
      <w:r>
        <w:rPr/>
        <w:t>between</w:t>
      </w:r>
      <w:r>
        <w:rPr>
          <w:spacing w:val="-7"/>
        </w:rPr>
        <w:t> </w:t>
      </w:r>
      <w:r>
        <w:rPr/>
        <w:t>heterosexual</w:t>
      </w:r>
      <w:r>
        <w:rPr>
          <w:spacing w:val="-7"/>
        </w:rPr>
        <w:t> </w:t>
      </w:r>
      <w:r>
        <w:rPr/>
        <w:t>and sexual minority youth from ages 9 to 15. </w:t>
      </w:r>
      <w:r>
        <w:rPr>
          <w:i/>
        </w:rPr>
        <w:t>Child Dev</w:t>
      </w:r>
      <w:r>
        <w:rPr/>
        <w:t>. 2019;90(1):71-81. </w:t>
      </w:r>
      <w:r>
        <w:rPr>
          <w:spacing w:val="-2"/>
        </w:rPr>
        <w:t>https://doi.org/10.1111/cdev.13107</w:t>
      </w:r>
    </w:p>
    <w:p>
      <w:pPr>
        <w:pStyle w:val="BodyText"/>
        <w:spacing w:before="9"/>
        <w:rPr>
          <w:sz w:val="25"/>
        </w:rPr>
      </w:pPr>
    </w:p>
    <w:p>
      <w:pPr>
        <w:pStyle w:val="BodyText"/>
        <w:ind w:left="640" w:hanging="360"/>
      </w:pPr>
      <w:r>
        <w:rPr/>
        <w:t>Mittleman</w:t>
      </w:r>
      <w:r>
        <w:rPr>
          <w:spacing w:val="-4"/>
        </w:rPr>
        <w:t> </w:t>
      </w:r>
      <w:r>
        <w:rPr/>
        <w:t>J.</w:t>
      </w:r>
      <w:r>
        <w:rPr>
          <w:spacing w:val="-4"/>
        </w:rPr>
        <w:t> </w:t>
      </w:r>
      <w:r>
        <w:rPr/>
        <w:t>Sexual</w:t>
      </w:r>
      <w:r>
        <w:rPr>
          <w:spacing w:val="-4"/>
        </w:rPr>
        <w:t> </w:t>
      </w:r>
      <w:r>
        <w:rPr/>
        <w:t>minority</w:t>
      </w:r>
      <w:r>
        <w:rPr>
          <w:spacing w:val="-4"/>
        </w:rPr>
        <w:t> </w:t>
      </w:r>
      <w:r>
        <w:rPr/>
        <w:t>bullying</w:t>
      </w:r>
      <w:r>
        <w:rPr>
          <w:spacing w:val="-4"/>
        </w:rPr>
        <w:t> </w:t>
      </w:r>
      <w:r>
        <w:rPr/>
        <w:t>and</w:t>
      </w:r>
      <w:r>
        <w:rPr>
          <w:spacing w:val="-4"/>
        </w:rPr>
        <w:t> </w:t>
      </w:r>
      <w:r>
        <w:rPr/>
        <w:t>mental</w:t>
      </w:r>
      <w:r>
        <w:rPr>
          <w:spacing w:val="-4"/>
        </w:rPr>
        <w:t> </w:t>
      </w:r>
      <w:r>
        <w:rPr/>
        <w:t>health</w:t>
      </w:r>
      <w:r>
        <w:rPr>
          <w:spacing w:val="-4"/>
        </w:rPr>
        <w:t> </w:t>
      </w:r>
      <w:r>
        <w:rPr/>
        <w:t>from</w:t>
      </w:r>
      <w:r>
        <w:rPr>
          <w:spacing w:val="-4"/>
        </w:rPr>
        <w:t> </w:t>
      </w:r>
      <w:r>
        <w:rPr/>
        <w:t>early</w:t>
      </w:r>
      <w:r>
        <w:rPr>
          <w:spacing w:val="-4"/>
        </w:rPr>
        <w:t> </w:t>
      </w:r>
      <w:r>
        <w:rPr/>
        <w:t>childhood through adolescence. </w:t>
      </w:r>
      <w:r>
        <w:rPr>
          <w:i/>
        </w:rPr>
        <w:t>J Adolesc Health</w:t>
      </w:r>
      <w:r>
        <w:rPr/>
        <w:t>. 2019;64(2):172-178. https:// doi.org/10.1016/j.jadohealth.2018.08. 020</w:t>
      </w:r>
    </w:p>
    <w:p>
      <w:pPr>
        <w:pStyle w:val="BodyText"/>
        <w:spacing w:before="10"/>
        <w:rPr>
          <w:sz w:val="25"/>
        </w:rPr>
      </w:pPr>
    </w:p>
    <w:p>
      <w:pPr>
        <w:pStyle w:val="BodyText"/>
        <w:ind w:left="640" w:right="502" w:hanging="360"/>
      </w:pPr>
      <w:r>
        <w:rPr/>
        <w:t>Becerra-Culqui</w:t>
      </w:r>
      <w:r>
        <w:rPr>
          <w:spacing w:val="-14"/>
        </w:rPr>
        <w:t> </w:t>
      </w:r>
      <w:r>
        <w:rPr/>
        <w:t>TA,</w:t>
      </w:r>
      <w:r>
        <w:rPr>
          <w:spacing w:val="-9"/>
        </w:rPr>
        <w:t> </w:t>
      </w:r>
      <w:r>
        <w:rPr/>
        <w:t>Liu</w:t>
      </w:r>
      <w:r>
        <w:rPr>
          <w:spacing w:val="-18"/>
        </w:rPr>
        <w:t> </w:t>
      </w:r>
      <w:r>
        <w:rPr/>
        <w:t>Y,</w:t>
      </w:r>
      <w:r>
        <w:rPr>
          <w:spacing w:val="-8"/>
        </w:rPr>
        <w:t> </w:t>
      </w:r>
      <w:r>
        <w:rPr/>
        <w:t>Nash</w:t>
      </w:r>
      <w:r>
        <w:rPr>
          <w:spacing w:val="-9"/>
        </w:rPr>
        <w:t> </w:t>
      </w:r>
      <w:r>
        <w:rPr/>
        <w:t>R,</w:t>
      </w:r>
      <w:r>
        <w:rPr>
          <w:spacing w:val="-9"/>
        </w:rPr>
        <w:t> </w:t>
      </w:r>
      <w:r>
        <w:rPr/>
        <w:t>et</w:t>
      </w:r>
      <w:r>
        <w:rPr>
          <w:spacing w:val="-9"/>
        </w:rPr>
        <w:t> </w:t>
      </w:r>
      <w:r>
        <w:rPr/>
        <w:t>al.</w:t>
      </w:r>
      <w:r>
        <w:rPr>
          <w:spacing w:val="-9"/>
        </w:rPr>
        <w:t> </w:t>
      </w:r>
      <w:r>
        <w:rPr/>
        <w:t>Mental</w:t>
      </w:r>
      <w:r>
        <w:rPr>
          <w:spacing w:val="-9"/>
        </w:rPr>
        <w:t> </w:t>
      </w:r>
      <w:r>
        <w:rPr/>
        <w:t>health</w:t>
      </w:r>
      <w:r>
        <w:rPr>
          <w:spacing w:val="-9"/>
        </w:rPr>
        <w:t> </w:t>
      </w:r>
      <w:r>
        <w:rPr/>
        <w:t>of</w:t>
      </w:r>
      <w:r>
        <w:rPr>
          <w:spacing w:val="-9"/>
        </w:rPr>
        <w:t> </w:t>
      </w:r>
      <w:r>
        <w:rPr/>
        <w:t>transgender</w:t>
      </w:r>
      <w:r>
        <w:rPr>
          <w:spacing w:val="-9"/>
        </w:rPr>
        <w:t> </w:t>
      </w:r>
      <w:r>
        <w:rPr/>
        <w:t>and gender nonconforming youth compared with their peers. </w:t>
      </w:r>
      <w:r>
        <w:rPr>
          <w:i/>
        </w:rPr>
        <w:t>Pediatrics</w:t>
      </w:r>
      <w:r>
        <w:rPr/>
        <w:t>.</w:t>
      </w:r>
    </w:p>
    <w:p>
      <w:pPr>
        <w:pStyle w:val="BodyText"/>
        <w:spacing w:line="318" w:lineRule="exact"/>
        <w:ind w:left="640"/>
      </w:pPr>
      <w:r>
        <w:rPr/>
        <w:t>2018;141(5):e20173845.</w:t>
      </w:r>
      <w:r>
        <w:rPr>
          <w:spacing w:val="-12"/>
        </w:rPr>
        <w:t> </w:t>
      </w:r>
      <w:r>
        <w:rPr/>
        <w:t>https://doi.org/10.1542/peds.2017-</w:t>
      </w:r>
      <w:r>
        <w:rPr>
          <w:spacing w:val="-4"/>
        </w:rPr>
        <w:t>3845</w:t>
      </w:r>
    </w:p>
    <w:p>
      <w:pPr>
        <w:pStyle w:val="BodyText"/>
        <w:spacing w:before="7"/>
        <w:rPr>
          <w:sz w:val="27"/>
        </w:rPr>
      </w:pPr>
    </w:p>
    <w:p>
      <w:pPr>
        <w:pStyle w:val="BodyText"/>
        <w:ind w:left="640" w:right="511" w:hanging="360"/>
      </w:pPr>
      <w:r>
        <w:rPr/>
        <w:t>Holt V, Skagerberg E, Dunsford M.</w:t>
      </w:r>
      <w:r>
        <w:rPr>
          <w:spacing w:val="-6"/>
        </w:rPr>
        <w:t> </w:t>
      </w:r>
      <w:r>
        <w:rPr/>
        <w:t>Young people with features of gender dysphoria: demographics and associated difficulties. </w:t>
      </w:r>
      <w:r>
        <w:rPr>
          <w:i/>
        </w:rPr>
        <w:t>Clin Child Psychol</w:t>
      </w:r>
      <w:r>
        <w:rPr>
          <w:i/>
        </w:rPr>
        <w:t> Psychiatry</w:t>
      </w:r>
      <w:r>
        <w:rPr/>
        <w:t>.</w:t>
      </w:r>
      <w:r>
        <w:rPr>
          <w:spacing w:val="-18"/>
        </w:rPr>
        <w:t> </w:t>
      </w:r>
      <w:r>
        <w:rPr/>
        <w:t>2016;21(1):108118.</w:t>
      </w:r>
      <w:r>
        <w:rPr>
          <w:spacing w:val="-17"/>
        </w:rPr>
        <w:t> </w:t>
      </w:r>
      <w:r>
        <w:rPr/>
        <w:t>https://doi.org/10.1177/1359104514558431</w:t>
      </w:r>
    </w:p>
    <w:p>
      <w:pPr>
        <w:pStyle w:val="BodyText"/>
        <w:spacing w:before="10"/>
        <w:rPr>
          <w:sz w:val="25"/>
        </w:rPr>
      </w:pPr>
    </w:p>
    <w:p>
      <w:pPr>
        <w:pStyle w:val="BodyText"/>
        <w:ind w:left="640" w:right="502" w:hanging="360"/>
      </w:pPr>
      <w:r>
        <w:rPr/>
        <w:t>Spack</w:t>
      </w:r>
      <w:r>
        <w:rPr>
          <w:spacing w:val="-7"/>
        </w:rPr>
        <w:t> </w:t>
      </w:r>
      <w:r>
        <w:rPr/>
        <w:t>NP,</w:t>
      </w:r>
      <w:r>
        <w:rPr>
          <w:spacing w:val="-7"/>
        </w:rPr>
        <w:t> </w:t>
      </w:r>
      <w:r>
        <w:rPr/>
        <w:t>Edwards-Leeper</w:t>
      </w:r>
      <w:r>
        <w:rPr>
          <w:spacing w:val="-7"/>
        </w:rPr>
        <w:t> </w:t>
      </w:r>
      <w:r>
        <w:rPr/>
        <w:t>L,</w:t>
      </w:r>
      <w:r>
        <w:rPr>
          <w:spacing w:val="-7"/>
        </w:rPr>
        <w:t> </w:t>
      </w:r>
      <w:r>
        <w:rPr/>
        <w:t>Feldman</w:t>
      </w:r>
      <w:r>
        <w:rPr>
          <w:spacing w:val="-7"/>
        </w:rPr>
        <w:t> </w:t>
      </w:r>
      <w:r>
        <w:rPr/>
        <w:t>HA,</w:t>
      </w:r>
      <w:r>
        <w:rPr>
          <w:spacing w:val="-7"/>
        </w:rPr>
        <w:t> </w:t>
      </w:r>
      <w:r>
        <w:rPr/>
        <w:t>et</w:t>
      </w:r>
      <w:r>
        <w:rPr>
          <w:spacing w:val="-7"/>
        </w:rPr>
        <w:t> </w:t>
      </w:r>
      <w:r>
        <w:rPr/>
        <w:t>al.</w:t>
      </w:r>
      <w:r>
        <w:rPr>
          <w:spacing w:val="-7"/>
        </w:rPr>
        <w:t> </w:t>
      </w:r>
      <w:r>
        <w:rPr/>
        <w:t>Children</w:t>
      </w:r>
      <w:r>
        <w:rPr>
          <w:spacing w:val="-7"/>
        </w:rPr>
        <w:t> </w:t>
      </w:r>
      <w:r>
        <w:rPr/>
        <w:t>and</w:t>
      </w:r>
      <w:r>
        <w:rPr>
          <w:spacing w:val="-7"/>
        </w:rPr>
        <w:t> </w:t>
      </w:r>
      <w:r>
        <w:rPr/>
        <w:t>adolescents with gender identity disorder referred to a pediatric medical center.</w:t>
      </w:r>
    </w:p>
    <w:p>
      <w:pPr>
        <w:pStyle w:val="BodyText"/>
        <w:spacing w:line="318" w:lineRule="exact"/>
        <w:ind w:left="640"/>
      </w:pPr>
      <w:r>
        <w:rPr>
          <w:i/>
        </w:rPr>
        <w:t>Pediatrics</w:t>
      </w:r>
      <w:r>
        <w:rPr/>
        <w:t>.</w:t>
      </w:r>
      <w:r>
        <w:rPr>
          <w:spacing w:val="-14"/>
        </w:rPr>
        <w:t> </w:t>
      </w:r>
      <w:r>
        <w:rPr/>
        <w:t>2012;129(3):418425.</w:t>
      </w:r>
      <w:r>
        <w:rPr>
          <w:spacing w:val="-12"/>
        </w:rPr>
        <w:t> </w:t>
      </w:r>
      <w:r>
        <w:rPr/>
        <w:t>https://doi.org/10.1542/peds.2011-</w:t>
      </w:r>
      <w:r>
        <w:rPr>
          <w:spacing w:val="-4"/>
        </w:rPr>
        <w:t>0907</w:t>
      </w:r>
    </w:p>
    <w:p>
      <w:pPr>
        <w:pStyle w:val="BodyText"/>
        <w:spacing w:before="2"/>
        <w:rPr>
          <w:sz w:val="26"/>
        </w:rPr>
      </w:pPr>
    </w:p>
    <w:p>
      <w:pPr>
        <w:pStyle w:val="BodyText"/>
        <w:ind w:left="640" w:right="502" w:hanging="360"/>
      </w:pPr>
      <w:r>
        <w:rPr/>
        <w:t>Durwood</w:t>
      </w:r>
      <w:r>
        <w:rPr>
          <w:spacing w:val="-4"/>
        </w:rPr>
        <w:t> </w:t>
      </w:r>
      <w:r>
        <w:rPr/>
        <w:t>L,</w:t>
      </w:r>
      <w:r>
        <w:rPr>
          <w:spacing w:val="-4"/>
        </w:rPr>
        <w:t> </w:t>
      </w:r>
      <w:r>
        <w:rPr/>
        <w:t>McLaughlin</w:t>
      </w:r>
      <w:r>
        <w:rPr>
          <w:spacing w:val="-4"/>
        </w:rPr>
        <w:t> </w:t>
      </w:r>
      <w:r>
        <w:rPr/>
        <w:t>KA,</w:t>
      </w:r>
      <w:r>
        <w:rPr>
          <w:spacing w:val="-4"/>
        </w:rPr>
        <w:t> </w:t>
      </w:r>
      <w:r>
        <w:rPr/>
        <w:t>Olson</w:t>
      </w:r>
      <w:r>
        <w:rPr>
          <w:spacing w:val="-4"/>
        </w:rPr>
        <w:t> </w:t>
      </w:r>
      <w:r>
        <w:rPr/>
        <w:t>KR.</w:t>
      </w:r>
      <w:r>
        <w:rPr>
          <w:spacing w:val="-4"/>
        </w:rPr>
        <w:t> </w:t>
      </w:r>
      <w:r>
        <w:rPr/>
        <w:t>Mental</w:t>
      </w:r>
      <w:r>
        <w:rPr>
          <w:spacing w:val="-4"/>
        </w:rPr>
        <w:t> </w:t>
      </w:r>
      <w:r>
        <w:rPr/>
        <w:t>health</w:t>
      </w:r>
      <w:r>
        <w:rPr>
          <w:spacing w:val="-4"/>
        </w:rPr>
        <w:t> </w:t>
      </w:r>
      <w:r>
        <w:rPr/>
        <w:t>and</w:t>
      </w:r>
      <w:r>
        <w:rPr>
          <w:spacing w:val="-4"/>
        </w:rPr>
        <w:t> </w:t>
      </w:r>
      <w:r>
        <w:rPr/>
        <w:t>self-worth</w:t>
      </w:r>
      <w:r>
        <w:rPr>
          <w:spacing w:val="-4"/>
        </w:rPr>
        <w:t> </w:t>
      </w:r>
      <w:r>
        <w:rPr/>
        <w:t>in socially transitioned transgender youth. </w:t>
      </w:r>
      <w:r>
        <w:rPr>
          <w:i/>
        </w:rPr>
        <w:t>J</w:t>
      </w:r>
      <w:r>
        <w:rPr>
          <w:i/>
          <w:spacing w:val="-5"/>
        </w:rPr>
        <w:t> </w:t>
      </w:r>
      <w:r>
        <w:rPr>
          <w:i/>
        </w:rPr>
        <w:t>Am</w:t>
      </w:r>
      <w:r>
        <w:rPr>
          <w:i/>
          <w:spacing w:val="-5"/>
        </w:rPr>
        <w:t> </w:t>
      </w:r>
      <w:r>
        <w:rPr>
          <w:i/>
        </w:rPr>
        <w:t>Acad Child and</w:t>
      </w:r>
      <w:r>
        <w:rPr>
          <w:i/>
          <w:spacing w:val="-5"/>
        </w:rPr>
        <w:t> </w:t>
      </w:r>
      <w:r>
        <w:rPr>
          <w:i/>
        </w:rPr>
        <w:t>Adolesc</w:t>
      </w:r>
      <w:r>
        <w:rPr>
          <w:i/>
        </w:rPr>
        <w:t> Psychiatry</w:t>
      </w:r>
      <w:r>
        <w:rPr/>
        <w:t>, 2017;</w:t>
      </w:r>
      <w:r>
        <w:rPr>
          <w:i/>
        </w:rPr>
        <w:t>56</w:t>
      </w:r>
      <w:r>
        <w:rPr/>
        <w:t>(2):116-123.e2. https://doi.org/10.1016/ </w:t>
      </w:r>
      <w:r>
        <w:rPr>
          <w:spacing w:val="-2"/>
        </w:rPr>
        <w:t>j.jaac.2016.10.016</w:t>
      </w:r>
    </w:p>
    <w:p>
      <w:pPr>
        <w:pStyle w:val="BodyText"/>
        <w:spacing w:before="7"/>
        <w:rPr>
          <w:sz w:val="25"/>
        </w:rPr>
      </w:pPr>
    </w:p>
    <w:p>
      <w:pPr>
        <w:pStyle w:val="BodyText"/>
        <w:spacing w:before="1"/>
        <w:ind w:left="640" w:right="668" w:hanging="360"/>
      </w:pPr>
      <w:r>
        <w:rPr/>
        <w:t>Johns</w:t>
      </w:r>
      <w:r>
        <w:rPr>
          <w:spacing w:val="-9"/>
        </w:rPr>
        <w:t> </w:t>
      </w:r>
      <w:r>
        <w:rPr/>
        <w:t>MM,</w:t>
      </w:r>
      <w:r>
        <w:rPr>
          <w:spacing w:val="-9"/>
        </w:rPr>
        <w:t> </w:t>
      </w:r>
      <w:r>
        <w:rPr/>
        <w:t>Lowry</w:t>
      </w:r>
      <w:r>
        <w:rPr>
          <w:spacing w:val="-9"/>
        </w:rPr>
        <w:t> </w:t>
      </w:r>
      <w:r>
        <w:rPr/>
        <w:t>R,</w:t>
      </w:r>
      <w:r>
        <w:rPr>
          <w:spacing w:val="-9"/>
        </w:rPr>
        <w:t> </w:t>
      </w:r>
      <w:r>
        <w:rPr/>
        <w:t>Haderxhanaj</w:t>
      </w:r>
      <w:r>
        <w:rPr>
          <w:spacing w:val="-9"/>
        </w:rPr>
        <w:t> </w:t>
      </w:r>
      <w:r>
        <w:rPr/>
        <w:t>LT,</w:t>
      </w:r>
      <w:r>
        <w:rPr>
          <w:spacing w:val="-9"/>
        </w:rPr>
        <w:t> </w:t>
      </w:r>
      <w:r>
        <w:rPr/>
        <w:t>et</w:t>
      </w:r>
      <w:r>
        <w:rPr>
          <w:spacing w:val="-9"/>
        </w:rPr>
        <w:t> </w:t>
      </w:r>
      <w:r>
        <w:rPr/>
        <w:t>al.</w:t>
      </w:r>
      <w:r>
        <w:rPr>
          <w:spacing w:val="-14"/>
        </w:rPr>
        <w:t> </w:t>
      </w:r>
      <w:r>
        <w:rPr/>
        <w:t>Trends</w:t>
      </w:r>
      <w:r>
        <w:rPr>
          <w:spacing w:val="-9"/>
        </w:rPr>
        <w:t> </w:t>
      </w:r>
      <w:r>
        <w:rPr/>
        <w:t>in</w:t>
      </w:r>
      <w:r>
        <w:rPr>
          <w:spacing w:val="-9"/>
        </w:rPr>
        <w:t> </w:t>
      </w:r>
      <w:r>
        <w:rPr/>
        <w:t>violence</w:t>
      </w:r>
      <w:r>
        <w:rPr>
          <w:spacing w:val="-10"/>
        </w:rPr>
        <w:t> </w:t>
      </w:r>
      <w:r>
        <w:rPr/>
        <w:t>victimization and suicide risk by sexual identity among high school students—Youth Risk Behavior Survey, United States, 2015–2019. </w:t>
      </w:r>
      <w:r>
        <w:rPr>
          <w:i/>
        </w:rPr>
        <w:t>MMWR Suppl</w:t>
      </w:r>
      <w:r>
        <w:rPr/>
        <w:t>.</w:t>
      </w:r>
    </w:p>
    <w:p>
      <w:pPr>
        <w:pStyle w:val="BodyText"/>
        <w:spacing w:line="316" w:lineRule="exact"/>
        <w:ind w:left="640"/>
      </w:pPr>
      <w:r>
        <w:rPr/>
        <w:t>2020;69(1):19-27.</w:t>
      </w:r>
      <w:r>
        <w:rPr>
          <w:spacing w:val="-2"/>
        </w:rPr>
        <w:t> https://doi.org/10.15585/mmwr.su6901a3</w:t>
      </w:r>
    </w:p>
    <w:p>
      <w:pPr>
        <w:pStyle w:val="BodyText"/>
        <w:spacing w:before="1"/>
        <w:rPr>
          <w:sz w:val="26"/>
        </w:rPr>
      </w:pPr>
    </w:p>
    <w:p>
      <w:pPr>
        <w:pStyle w:val="BodyText"/>
        <w:spacing w:before="1"/>
        <w:ind w:left="640" w:right="668" w:hanging="360"/>
        <w:rPr>
          <w:i/>
        </w:rPr>
      </w:pPr>
      <w:r>
        <w:rPr/>
        <w:t>Johns MM, Lowry R,</w:t>
      </w:r>
      <w:r>
        <w:rPr>
          <w:spacing w:val="-6"/>
        </w:rPr>
        <w:t> </w:t>
      </w:r>
      <w:r>
        <w:rPr/>
        <w:t>Andrzejewski J, et al. Transgender identity and experiences of violence victimization, substance use, suicide risk, and sexual</w:t>
      </w:r>
      <w:r>
        <w:rPr>
          <w:spacing w:val="-5"/>
        </w:rPr>
        <w:t> </w:t>
      </w:r>
      <w:r>
        <w:rPr/>
        <w:t>risk</w:t>
      </w:r>
      <w:r>
        <w:rPr>
          <w:spacing w:val="-5"/>
        </w:rPr>
        <w:t> </w:t>
      </w:r>
      <w:r>
        <w:rPr/>
        <w:t>behaviors</w:t>
      </w:r>
      <w:r>
        <w:rPr>
          <w:spacing w:val="-5"/>
        </w:rPr>
        <w:t> </w:t>
      </w:r>
      <w:r>
        <w:rPr/>
        <w:t>among</w:t>
      </w:r>
      <w:r>
        <w:rPr>
          <w:spacing w:val="-5"/>
        </w:rPr>
        <w:t> </w:t>
      </w:r>
      <w:r>
        <w:rPr/>
        <w:t>high</w:t>
      </w:r>
      <w:r>
        <w:rPr>
          <w:spacing w:val="-5"/>
        </w:rPr>
        <w:t> </w:t>
      </w:r>
      <w:r>
        <w:rPr/>
        <w:t>school</w:t>
      </w:r>
      <w:r>
        <w:rPr>
          <w:spacing w:val="-5"/>
        </w:rPr>
        <w:t> </w:t>
      </w:r>
      <w:r>
        <w:rPr/>
        <w:t>students—19</w:t>
      </w:r>
      <w:r>
        <w:rPr>
          <w:spacing w:val="-5"/>
        </w:rPr>
        <w:t> </w:t>
      </w:r>
      <w:r>
        <w:rPr/>
        <w:t>states</w:t>
      </w:r>
      <w:r>
        <w:rPr>
          <w:spacing w:val="-5"/>
        </w:rPr>
        <w:t> </w:t>
      </w:r>
      <w:r>
        <w:rPr/>
        <w:t>and</w:t>
      </w:r>
      <w:r>
        <w:rPr>
          <w:spacing w:val="-5"/>
        </w:rPr>
        <w:t> </w:t>
      </w:r>
      <w:r>
        <w:rPr/>
        <w:t>large urban school districts, 2017. </w:t>
      </w:r>
      <w:r>
        <w:rPr>
          <w:i/>
        </w:rPr>
        <w:t>MMWR Morb Mortal Wkly Rep.</w:t>
      </w:r>
    </w:p>
    <w:p>
      <w:pPr>
        <w:pStyle w:val="BodyText"/>
        <w:spacing w:line="314" w:lineRule="exact"/>
        <w:ind w:left="640"/>
      </w:pPr>
      <w:r>
        <w:rPr/>
        <w:t>2019;68(3):67-71.</w:t>
      </w:r>
      <w:r>
        <w:rPr>
          <w:spacing w:val="-2"/>
        </w:rPr>
        <w:t> https://doi.org/10.15585/mmwr.mm6803a3</w:t>
      </w:r>
    </w:p>
    <w:p>
      <w:pPr>
        <w:spacing w:after="0" w:line="314" w:lineRule="exact"/>
        <w:sectPr>
          <w:pgSz w:w="12240" w:h="15840"/>
          <w:pgMar w:header="0" w:footer="783" w:top="1260" w:bottom="980" w:left="1400" w:right="1180"/>
        </w:sectPr>
      </w:pPr>
    </w:p>
    <w:p>
      <w:pPr>
        <w:pStyle w:val="BodyText"/>
        <w:spacing w:before="66"/>
        <w:ind w:left="640" w:right="502" w:hanging="360"/>
      </w:pPr>
      <w:r>
        <w:rPr/>
        <w:t>Chakraborty Pl,</w:t>
      </w:r>
      <w:r>
        <w:rPr>
          <w:spacing w:val="-15"/>
        </w:rPr>
        <w:t> </w:t>
      </w:r>
      <w:r>
        <w:rPr/>
        <w:t>Alalwan M, Johnson RM, Li L, Lancaster KE, Zhu M. Mental health and substance use by sexual minority status in high school students who</w:t>
      </w:r>
      <w:r>
        <w:rPr>
          <w:spacing w:val="-6"/>
        </w:rPr>
        <w:t> </w:t>
      </w:r>
      <w:r>
        <w:rPr/>
        <w:t>experienced</w:t>
      </w:r>
      <w:r>
        <w:rPr>
          <w:spacing w:val="-6"/>
        </w:rPr>
        <w:t> </w:t>
      </w:r>
      <w:r>
        <w:rPr/>
        <w:t>sexual</w:t>
      </w:r>
      <w:r>
        <w:rPr>
          <w:spacing w:val="-6"/>
        </w:rPr>
        <w:t> </w:t>
      </w:r>
      <w:r>
        <w:rPr/>
        <w:t>violence.</w:t>
      </w:r>
      <w:r>
        <w:rPr>
          <w:spacing w:val="-7"/>
        </w:rPr>
        <w:t> </w:t>
      </w:r>
      <w:r>
        <w:rPr>
          <w:i/>
        </w:rPr>
        <w:t>Ann</w:t>
      </w:r>
      <w:r>
        <w:rPr>
          <w:i/>
          <w:spacing w:val="-6"/>
        </w:rPr>
        <w:t> </w:t>
      </w:r>
      <w:r>
        <w:rPr>
          <w:i/>
        </w:rPr>
        <w:t>Epidemiol</w:t>
      </w:r>
      <w:r>
        <w:rPr/>
        <w:t>.</w:t>
      </w:r>
      <w:r>
        <w:rPr>
          <w:spacing w:val="-6"/>
        </w:rPr>
        <w:t> </w:t>
      </w:r>
      <w:r>
        <w:rPr/>
        <w:t>2021:64:127-131.</w:t>
      </w:r>
      <w:r>
        <w:rPr>
          <w:spacing w:val="-6"/>
        </w:rPr>
        <w:t> </w:t>
      </w:r>
      <w:r>
        <w:rPr/>
        <w:t>https:// doi.org/10.1016/j.annepidem.2021.09.0 02</w:t>
      </w:r>
    </w:p>
    <w:p>
      <w:pPr>
        <w:pStyle w:val="BodyText"/>
        <w:spacing w:before="7"/>
        <w:rPr>
          <w:sz w:val="25"/>
        </w:rPr>
      </w:pPr>
    </w:p>
    <w:p>
      <w:pPr>
        <w:pStyle w:val="BodyText"/>
        <w:ind w:left="640" w:right="502" w:hanging="360"/>
      </w:pPr>
      <w:r>
        <w:rPr/>
        <w:t>Ivey-Stephenson</w:t>
      </w:r>
      <w:r>
        <w:rPr>
          <w:spacing w:val="-5"/>
        </w:rPr>
        <w:t> </w:t>
      </w:r>
      <w:r>
        <w:rPr/>
        <w:t>AZ, Demissie Z, Crosby</w:t>
      </w:r>
      <w:r>
        <w:rPr>
          <w:spacing w:val="-5"/>
        </w:rPr>
        <w:t> </w:t>
      </w:r>
      <w:r>
        <w:rPr/>
        <w:t>AE, et al. Suicidal ideation and behaviors</w:t>
      </w:r>
      <w:r>
        <w:rPr>
          <w:spacing w:val="-7"/>
        </w:rPr>
        <w:t> </w:t>
      </w:r>
      <w:r>
        <w:rPr/>
        <w:t>among</w:t>
      </w:r>
      <w:r>
        <w:rPr>
          <w:spacing w:val="-7"/>
        </w:rPr>
        <w:t> </w:t>
      </w:r>
      <w:r>
        <w:rPr/>
        <w:t>high</w:t>
      </w:r>
      <w:r>
        <w:rPr>
          <w:spacing w:val="-7"/>
        </w:rPr>
        <w:t> </w:t>
      </w:r>
      <w:r>
        <w:rPr/>
        <w:t>school</w:t>
      </w:r>
      <w:r>
        <w:rPr>
          <w:spacing w:val="-7"/>
        </w:rPr>
        <w:t> </w:t>
      </w:r>
      <w:r>
        <w:rPr/>
        <w:t>students—youth</w:t>
      </w:r>
      <w:r>
        <w:rPr>
          <w:spacing w:val="-7"/>
        </w:rPr>
        <w:t> </w:t>
      </w:r>
      <w:r>
        <w:rPr/>
        <w:t>risk</w:t>
      </w:r>
      <w:r>
        <w:rPr>
          <w:spacing w:val="-7"/>
        </w:rPr>
        <w:t> </w:t>
      </w:r>
      <w:r>
        <w:rPr/>
        <w:t>behavior</w:t>
      </w:r>
      <w:r>
        <w:rPr>
          <w:spacing w:val="-7"/>
        </w:rPr>
        <w:t> </w:t>
      </w:r>
      <w:r>
        <w:rPr/>
        <w:t>survey,</w:t>
      </w:r>
      <w:r>
        <w:rPr>
          <w:spacing w:val="-7"/>
        </w:rPr>
        <w:t> </w:t>
      </w:r>
      <w:r>
        <w:rPr/>
        <w:t>United States, 2019. </w:t>
      </w:r>
      <w:r>
        <w:rPr>
          <w:i/>
        </w:rPr>
        <w:t>MMWR Suppl. </w:t>
      </w:r>
      <w:r>
        <w:rPr/>
        <w:t>2020;69(1):47-55. https://doi.org/10.15585/ </w:t>
      </w:r>
      <w:r>
        <w:rPr>
          <w:spacing w:val="-2"/>
        </w:rPr>
        <w:t>mmwr.su6901a6</w:t>
      </w:r>
    </w:p>
    <w:p>
      <w:pPr>
        <w:pStyle w:val="BodyText"/>
        <w:spacing w:before="8"/>
        <w:rPr>
          <w:sz w:val="25"/>
        </w:rPr>
      </w:pPr>
    </w:p>
    <w:p>
      <w:pPr>
        <w:pStyle w:val="BodyText"/>
        <w:ind w:left="640" w:right="544" w:hanging="360"/>
      </w:pPr>
      <w:r>
        <w:rPr/>
        <w:t>Jackman KB, Caceres BA, Kreuze EJ, Bockting WO. Suicidality among gender</w:t>
      </w:r>
      <w:r>
        <w:rPr>
          <w:spacing w:val="-11"/>
        </w:rPr>
        <w:t> </w:t>
      </w:r>
      <w:r>
        <w:rPr/>
        <w:t>minority</w:t>
      </w:r>
      <w:r>
        <w:rPr>
          <w:spacing w:val="-7"/>
        </w:rPr>
        <w:t> </w:t>
      </w:r>
      <w:r>
        <w:rPr/>
        <w:t>youth:</w:t>
      </w:r>
      <w:r>
        <w:rPr>
          <w:spacing w:val="-18"/>
        </w:rPr>
        <w:t> </w:t>
      </w:r>
      <w:r>
        <w:rPr/>
        <w:t>Analysis</w:t>
      </w:r>
      <w:r>
        <w:rPr>
          <w:spacing w:val="-7"/>
        </w:rPr>
        <w:t> </w:t>
      </w:r>
      <w:r>
        <w:rPr/>
        <w:t>of</w:t>
      </w:r>
      <w:r>
        <w:rPr>
          <w:spacing w:val="-7"/>
        </w:rPr>
        <w:t> </w:t>
      </w:r>
      <w:r>
        <w:rPr/>
        <w:t>2017</w:t>
      </w:r>
      <w:r>
        <w:rPr>
          <w:spacing w:val="-17"/>
        </w:rPr>
        <w:t> </w:t>
      </w:r>
      <w:r>
        <w:rPr/>
        <w:t>Youth</w:t>
      </w:r>
      <w:r>
        <w:rPr>
          <w:spacing w:val="-7"/>
        </w:rPr>
        <w:t> </w:t>
      </w:r>
      <w:r>
        <w:rPr/>
        <w:t>Risk</w:t>
      </w:r>
      <w:r>
        <w:rPr>
          <w:spacing w:val="-7"/>
        </w:rPr>
        <w:t> </w:t>
      </w:r>
      <w:r>
        <w:rPr/>
        <w:t>Behavior</w:t>
      </w:r>
      <w:r>
        <w:rPr>
          <w:spacing w:val="-7"/>
        </w:rPr>
        <w:t> </w:t>
      </w:r>
      <w:r>
        <w:rPr/>
        <w:t>Survey</w:t>
      </w:r>
      <w:r>
        <w:rPr>
          <w:spacing w:val="-7"/>
        </w:rPr>
        <w:t> </w:t>
      </w:r>
      <w:r>
        <w:rPr/>
        <w:t>data. </w:t>
      </w:r>
      <w:r>
        <w:rPr>
          <w:i/>
        </w:rPr>
        <w:t>Arch Suicide Res. </w:t>
      </w:r>
      <w:r>
        <w:rPr/>
        <w:t>2021;25(2):208-223. https://doi.org/ 10.1080/13811118.2019.1678 539</w:t>
      </w:r>
    </w:p>
    <w:p>
      <w:pPr>
        <w:pStyle w:val="BodyText"/>
        <w:spacing w:before="8"/>
        <w:rPr>
          <w:sz w:val="25"/>
        </w:rPr>
      </w:pPr>
    </w:p>
    <w:p>
      <w:pPr>
        <w:pStyle w:val="BodyText"/>
        <w:ind w:left="640" w:right="502" w:hanging="360"/>
      </w:pPr>
      <w:r>
        <w:rPr/>
        <w:t>Grossman</w:t>
      </w:r>
      <w:r>
        <w:rPr>
          <w:spacing w:val="-18"/>
        </w:rPr>
        <w:t> </w:t>
      </w:r>
      <w:r>
        <w:rPr/>
        <w:t>AH,</w:t>
      </w:r>
      <w:r>
        <w:rPr>
          <w:spacing w:val="-17"/>
        </w:rPr>
        <w:t> </w:t>
      </w:r>
      <w:r>
        <w:rPr/>
        <w:t>Park</w:t>
      </w:r>
      <w:r>
        <w:rPr>
          <w:spacing w:val="-11"/>
        </w:rPr>
        <w:t> </w:t>
      </w:r>
      <w:r>
        <w:rPr/>
        <w:t>JY,</w:t>
      </w:r>
      <w:r>
        <w:rPr>
          <w:spacing w:val="-11"/>
        </w:rPr>
        <w:t> </w:t>
      </w:r>
      <w:r>
        <w:rPr/>
        <w:t>Russell</w:t>
      </w:r>
      <w:r>
        <w:rPr>
          <w:spacing w:val="-11"/>
        </w:rPr>
        <w:t> </w:t>
      </w:r>
      <w:r>
        <w:rPr/>
        <w:t>ST.</w:t>
      </w:r>
      <w:r>
        <w:rPr>
          <w:spacing w:val="-16"/>
        </w:rPr>
        <w:t> </w:t>
      </w:r>
      <w:r>
        <w:rPr/>
        <w:t>Transgender</w:t>
      </w:r>
      <w:r>
        <w:rPr>
          <w:spacing w:val="-11"/>
        </w:rPr>
        <w:t> </w:t>
      </w:r>
      <w:r>
        <w:rPr/>
        <w:t>youth</w:t>
      </w:r>
      <w:r>
        <w:rPr>
          <w:spacing w:val="-11"/>
        </w:rPr>
        <w:t> </w:t>
      </w:r>
      <w:r>
        <w:rPr/>
        <w:t>and</w:t>
      </w:r>
      <w:r>
        <w:rPr>
          <w:spacing w:val="-11"/>
        </w:rPr>
        <w:t> </w:t>
      </w:r>
      <w:r>
        <w:rPr/>
        <w:t>suicidal</w:t>
      </w:r>
      <w:r>
        <w:rPr>
          <w:spacing w:val="-11"/>
        </w:rPr>
        <w:t> </w:t>
      </w:r>
      <w:r>
        <w:rPr/>
        <w:t>behaviors: Applying the interpersonal psychological theory of suicide. </w:t>
      </w:r>
      <w:r>
        <w:rPr>
          <w:i/>
        </w:rPr>
        <w:t>J Gay Lesbian</w:t>
      </w:r>
      <w:r>
        <w:rPr>
          <w:i/>
        </w:rPr>
        <w:t> Ment Health</w:t>
      </w:r>
      <w:r>
        <w:rPr/>
        <w:t>. 2016;20(4):329-349. https://doi.org/ 10.1080/19359705.2016.1207 581</w:t>
      </w:r>
    </w:p>
    <w:p>
      <w:pPr>
        <w:pStyle w:val="BodyText"/>
        <w:spacing w:before="7"/>
        <w:rPr>
          <w:sz w:val="25"/>
        </w:rPr>
      </w:pPr>
    </w:p>
    <w:p>
      <w:pPr>
        <w:pStyle w:val="BodyText"/>
        <w:ind w:left="640" w:right="1136" w:hanging="360"/>
        <w:jc w:val="both"/>
      </w:pPr>
      <w:r>
        <w:rPr/>
        <w:t>Toomey RB, Syvertsen</w:t>
      </w:r>
      <w:r>
        <w:rPr>
          <w:spacing w:val="-16"/>
        </w:rPr>
        <w:t> </w:t>
      </w:r>
      <w:r>
        <w:rPr/>
        <w:t>AK, Shramko M.</w:t>
      </w:r>
      <w:r>
        <w:rPr>
          <w:spacing w:val="-6"/>
        </w:rPr>
        <w:t> </w:t>
      </w:r>
      <w:r>
        <w:rPr/>
        <w:t>Transgender adolescent suicide behavior.</w:t>
      </w:r>
      <w:r>
        <w:rPr>
          <w:spacing w:val="-18"/>
        </w:rPr>
        <w:t> </w:t>
      </w:r>
      <w:r>
        <w:rPr>
          <w:i/>
        </w:rPr>
        <w:t>Pediatrics.</w:t>
      </w:r>
      <w:r>
        <w:rPr>
          <w:i/>
          <w:spacing w:val="-17"/>
        </w:rPr>
        <w:t> </w:t>
      </w:r>
      <w:r>
        <w:rPr/>
        <w:t>2018;142(4):e20174218.</w:t>
      </w:r>
      <w:r>
        <w:rPr>
          <w:spacing w:val="-18"/>
        </w:rPr>
        <w:t> </w:t>
      </w:r>
      <w:r>
        <w:rPr/>
        <w:t>https://doi.org/10.1542/ </w:t>
      </w:r>
      <w:r>
        <w:rPr>
          <w:spacing w:val="-2"/>
        </w:rPr>
        <w:t>peds.2017-4218</w:t>
      </w:r>
    </w:p>
    <w:p>
      <w:pPr>
        <w:pStyle w:val="BodyText"/>
        <w:spacing w:before="10"/>
        <w:rPr>
          <w:sz w:val="25"/>
        </w:rPr>
      </w:pPr>
    </w:p>
    <w:p>
      <w:pPr>
        <w:pStyle w:val="BodyText"/>
        <w:ind w:left="640" w:right="571" w:hanging="360"/>
      </w:pPr>
      <w:r>
        <w:rPr/>
        <w:t>Thoma</w:t>
      </w:r>
      <w:r>
        <w:rPr>
          <w:spacing w:val="-5"/>
        </w:rPr>
        <w:t> </w:t>
      </w:r>
      <w:r>
        <w:rPr/>
        <w:t>BC,</w:t>
      </w:r>
      <w:r>
        <w:rPr>
          <w:spacing w:val="-4"/>
        </w:rPr>
        <w:t> </w:t>
      </w:r>
      <w:r>
        <w:rPr/>
        <w:t>Salk</w:t>
      </w:r>
      <w:r>
        <w:rPr>
          <w:spacing w:val="-4"/>
        </w:rPr>
        <w:t> </w:t>
      </w:r>
      <w:r>
        <w:rPr/>
        <w:t>RH,</w:t>
      </w:r>
      <w:r>
        <w:rPr>
          <w:spacing w:val="-4"/>
        </w:rPr>
        <w:t> </w:t>
      </w:r>
      <w:r>
        <w:rPr/>
        <w:t>Choukas-Bradley</w:t>
      </w:r>
      <w:r>
        <w:rPr>
          <w:spacing w:val="-4"/>
        </w:rPr>
        <w:t> </w:t>
      </w:r>
      <w:r>
        <w:rPr/>
        <w:t>S,</w:t>
      </w:r>
      <w:r>
        <w:rPr>
          <w:spacing w:val="-4"/>
        </w:rPr>
        <w:t> </w:t>
      </w:r>
      <w:r>
        <w:rPr/>
        <w:t>Goldstein</w:t>
      </w:r>
      <w:r>
        <w:rPr>
          <w:spacing w:val="-10"/>
        </w:rPr>
        <w:t> </w:t>
      </w:r>
      <w:r>
        <w:rPr/>
        <w:t>TR,</w:t>
      </w:r>
      <w:r>
        <w:rPr>
          <w:spacing w:val="-4"/>
        </w:rPr>
        <w:t> </w:t>
      </w:r>
      <w:r>
        <w:rPr/>
        <w:t>Levine</w:t>
      </w:r>
      <w:r>
        <w:rPr>
          <w:spacing w:val="-5"/>
        </w:rPr>
        <w:t> </w:t>
      </w:r>
      <w:r>
        <w:rPr/>
        <w:t>MD,</w:t>
      </w:r>
      <w:r>
        <w:rPr>
          <w:spacing w:val="-4"/>
        </w:rPr>
        <w:t> </w:t>
      </w:r>
      <w:r>
        <w:rPr/>
        <w:t>Marshal MP. Suicidality Disparities Between Transgender and Cisgender Adolescents. </w:t>
      </w:r>
      <w:r>
        <w:rPr>
          <w:i/>
        </w:rPr>
        <w:t>Pediatrics</w:t>
      </w:r>
      <w:r>
        <w:rPr/>
        <w:t>. 2019;144(5):e20191183. https://doi.org/10.1542/ </w:t>
      </w:r>
      <w:r>
        <w:rPr>
          <w:spacing w:val="-2"/>
        </w:rPr>
        <w:t>peds.2019-1183</w:t>
      </w:r>
    </w:p>
    <w:p>
      <w:pPr>
        <w:pStyle w:val="BodyText"/>
        <w:spacing w:before="7"/>
        <w:rPr>
          <w:sz w:val="25"/>
        </w:rPr>
      </w:pPr>
    </w:p>
    <w:p>
      <w:pPr>
        <w:pStyle w:val="BodyText"/>
        <w:spacing w:before="1"/>
        <w:ind w:left="640" w:right="502" w:hanging="360"/>
      </w:pPr>
      <w:r>
        <w:rPr/>
        <w:t>Fuxman S, Valenti M, Kessel Schneider S, O’Brien KHM, O’Donnell L. Substance</w:t>
      </w:r>
      <w:r>
        <w:rPr>
          <w:spacing w:val="-5"/>
        </w:rPr>
        <w:t> </w:t>
      </w:r>
      <w:r>
        <w:rPr/>
        <w:t>use</w:t>
      </w:r>
      <w:r>
        <w:rPr>
          <w:spacing w:val="-5"/>
        </w:rPr>
        <w:t> </w:t>
      </w:r>
      <w:r>
        <w:rPr/>
        <w:t>among</w:t>
      </w:r>
      <w:r>
        <w:rPr>
          <w:spacing w:val="-4"/>
        </w:rPr>
        <w:t> </w:t>
      </w:r>
      <w:r>
        <w:rPr/>
        <w:t>transgender</w:t>
      </w:r>
      <w:r>
        <w:rPr>
          <w:spacing w:val="-4"/>
        </w:rPr>
        <w:t> </w:t>
      </w:r>
      <w:r>
        <w:rPr/>
        <w:t>and</w:t>
      </w:r>
      <w:r>
        <w:rPr>
          <w:spacing w:val="-4"/>
        </w:rPr>
        <w:t> </w:t>
      </w:r>
      <w:r>
        <w:rPr/>
        <w:t>cisgender</w:t>
      </w:r>
      <w:r>
        <w:rPr>
          <w:spacing w:val="-4"/>
        </w:rPr>
        <w:t> </w:t>
      </w:r>
      <w:r>
        <w:rPr/>
        <w:t>high</w:t>
      </w:r>
      <w:r>
        <w:rPr>
          <w:spacing w:val="-4"/>
        </w:rPr>
        <w:t> </w:t>
      </w:r>
      <w:r>
        <w:rPr/>
        <w:t>school</w:t>
      </w:r>
      <w:r>
        <w:rPr>
          <w:spacing w:val="-4"/>
        </w:rPr>
        <w:t> </w:t>
      </w:r>
      <w:r>
        <w:rPr/>
        <w:t>students.</w:t>
      </w:r>
      <w:r>
        <w:rPr>
          <w:spacing w:val="-5"/>
        </w:rPr>
        <w:t> </w:t>
      </w:r>
      <w:r>
        <w:rPr>
          <w:i/>
        </w:rPr>
        <w:t>J</w:t>
      </w:r>
      <w:r>
        <w:rPr>
          <w:i/>
        </w:rPr>
        <w:t> LGBT Youth</w:t>
      </w:r>
      <w:r>
        <w:rPr/>
        <w:t>. 2021;18(1):40-59. https://doi.org/ 10.1080/19361653.2020.1727 814</w:t>
      </w:r>
    </w:p>
    <w:p>
      <w:pPr>
        <w:pStyle w:val="BodyText"/>
        <w:spacing w:before="7"/>
        <w:rPr>
          <w:sz w:val="25"/>
        </w:rPr>
      </w:pPr>
    </w:p>
    <w:p>
      <w:pPr>
        <w:pStyle w:val="BodyText"/>
        <w:ind w:left="640" w:right="604" w:hanging="360"/>
      </w:pPr>
      <w:r>
        <w:rPr/>
        <w:t>Jones</w:t>
      </w:r>
      <w:r>
        <w:rPr>
          <w:spacing w:val="-6"/>
        </w:rPr>
        <w:t> </w:t>
      </w:r>
      <w:r>
        <w:rPr/>
        <w:t>CM,</w:t>
      </w:r>
      <w:r>
        <w:rPr>
          <w:spacing w:val="-6"/>
        </w:rPr>
        <w:t> </w:t>
      </w:r>
      <w:r>
        <w:rPr/>
        <w:t>Clayton</w:t>
      </w:r>
      <w:r>
        <w:rPr>
          <w:spacing w:val="-6"/>
        </w:rPr>
        <w:t> </w:t>
      </w:r>
      <w:r>
        <w:rPr/>
        <w:t>HB,</w:t>
      </w:r>
      <w:r>
        <w:rPr>
          <w:spacing w:val="-6"/>
        </w:rPr>
        <w:t> </w:t>
      </w:r>
      <w:r>
        <w:rPr/>
        <w:t>Deputy</w:t>
      </w:r>
      <w:r>
        <w:rPr>
          <w:spacing w:val="-6"/>
        </w:rPr>
        <w:t> </w:t>
      </w:r>
      <w:r>
        <w:rPr/>
        <w:t>NP,</w:t>
      </w:r>
      <w:r>
        <w:rPr>
          <w:spacing w:val="-6"/>
        </w:rPr>
        <w:t> </w:t>
      </w:r>
      <w:r>
        <w:rPr/>
        <w:t>et</w:t>
      </w:r>
      <w:r>
        <w:rPr>
          <w:spacing w:val="-6"/>
        </w:rPr>
        <w:t> </w:t>
      </w:r>
      <w:r>
        <w:rPr/>
        <w:t>al.</w:t>
      </w:r>
      <w:r>
        <w:rPr>
          <w:spacing w:val="-6"/>
        </w:rPr>
        <w:t> </w:t>
      </w:r>
      <w:r>
        <w:rPr/>
        <w:t>Prescription</w:t>
      </w:r>
      <w:r>
        <w:rPr>
          <w:spacing w:val="-6"/>
        </w:rPr>
        <w:t> </w:t>
      </w:r>
      <w:r>
        <w:rPr/>
        <w:t>opioid</w:t>
      </w:r>
      <w:r>
        <w:rPr>
          <w:spacing w:val="-6"/>
        </w:rPr>
        <w:t> </w:t>
      </w:r>
      <w:r>
        <w:rPr/>
        <w:t>misuse</w:t>
      </w:r>
      <w:r>
        <w:rPr>
          <w:spacing w:val="-7"/>
        </w:rPr>
        <w:t> </w:t>
      </w:r>
      <w:r>
        <w:rPr/>
        <w:t>and</w:t>
      </w:r>
      <w:r>
        <w:rPr>
          <w:spacing w:val="-6"/>
        </w:rPr>
        <w:t> </w:t>
      </w:r>
      <w:r>
        <w:rPr/>
        <w:t>use of</w:t>
      </w:r>
      <w:r>
        <w:rPr>
          <w:spacing w:val="-4"/>
        </w:rPr>
        <w:t> </w:t>
      </w:r>
      <w:r>
        <w:rPr/>
        <w:t>alcohol</w:t>
      </w:r>
      <w:r>
        <w:rPr>
          <w:spacing w:val="-4"/>
        </w:rPr>
        <w:t> </w:t>
      </w:r>
      <w:r>
        <w:rPr/>
        <w:t>and</w:t>
      </w:r>
      <w:r>
        <w:rPr>
          <w:spacing w:val="-4"/>
        </w:rPr>
        <w:t> </w:t>
      </w:r>
      <w:r>
        <w:rPr/>
        <w:t>other</w:t>
      </w:r>
      <w:r>
        <w:rPr>
          <w:spacing w:val="-4"/>
        </w:rPr>
        <w:t> </w:t>
      </w:r>
      <w:r>
        <w:rPr/>
        <w:t>substances</w:t>
      </w:r>
      <w:r>
        <w:rPr>
          <w:spacing w:val="-4"/>
        </w:rPr>
        <w:t> </w:t>
      </w:r>
      <w:r>
        <w:rPr/>
        <w:t>among</w:t>
      </w:r>
      <w:r>
        <w:rPr>
          <w:spacing w:val="-4"/>
        </w:rPr>
        <w:t> </w:t>
      </w:r>
      <w:r>
        <w:rPr/>
        <w:t>high</w:t>
      </w:r>
      <w:r>
        <w:rPr>
          <w:spacing w:val="-4"/>
        </w:rPr>
        <w:t> </w:t>
      </w:r>
      <w:r>
        <w:rPr/>
        <w:t>school</w:t>
      </w:r>
      <w:r>
        <w:rPr>
          <w:spacing w:val="-4"/>
        </w:rPr>
        <w:t> </w:t>
      </w:r>
      <w:r>
        <w:rPr/>
        <w:t>students—Youth</w:t>
      </w:r>
      <w:r>
        <w:rPr>
          <w:spacing w:val="-4"/>
        </w:rPr>
        <w:t> </w:t>
      </w:r>
      <w:r>
        <w:rPr/>
        <w:t>Risk Behavior Survey, United States, 2019. </w:t>
      </w:r>
      <w:r>
        <w:rPr>
          <w:i/>
        </w:rPr>
        <w:t>MMWR Suppl</w:t>
      </w:r>
      <w:r>
        <w:rPr/>
        <w:t>. 2020;69(1):38-46. </w:t>
      </w:r>
      <w:r>
        <w:rPr>
          <w:spacing w:val="-2"/>
        </w:rPr>
        <w:t>https://doi.org/10.15585/mmwr.su6901a5</w:t>
      </w:r>
    </w:p>
    <w:p>
      <w:pPr>
        <w:pStyle w:val="BodyText"/>
        <w:spacing w:before="8"/>
        <w:rPr>
          <w:sz w:val="25"/>
        </w:rPr>
      </w:pPr>
    </w:p>
    <w:p>
      <w:pPr>
        <w:pStyle w:val="BodyText"/>
        <w:ind w:left="640" w:right="806" w:hanging="360"/>
        <w:jc w:val="both"/>
      </w:pPr>
      <w:r>
        <w:rPr/>
        <w:t>Parker LL, Harriger JA. Eating disorders and disordered eating behaviors in the</w:t>
      </w:r>
      <w:r>
        <w:rPr>
          <w:spacing w:val="-5"/>
        </w:rPr>
        <w:t> </w:t>
      </w:r>
      <w:r>
        <w:rPr/>
        <w:t>LGBT</w:t>
      </w:r>
      <w:r>
        <w:rPr>
          <w:spacing w:val="-10"/>
        </w:rPr>
        <w:t> </w:t>
      </w:r>
      <w:r>
        <w:rPr/>
        <w:t>population:</w:t>
      </w:r>
      <w:r>
        <w:rPr>
          <w:spacing w:val="-4"/>
        </w:rPr>
        <w:t> </w:t>
      </w:r>
      <w:r>
        <w:rPr/>
        <w:t>a</w:t>
      </w:r>
      <w:r>
        <w:rPr>
          <w:spacing w:val="-5"/>
        </w:rPr>
        <w:t> </w:t>
      </w:r>
      <w:r>
        <w:rPr/>
        <w:t>review</w:t>
      </w:r>
      <w:r>
        <w:rPr>
          <w:spacing w:val="-4"/>
        </w:rPr>
        <w:t> </w:t>
      </w:r>
      <w:r>
        <w:rPr/>
        <w:t>of</w:t>
      </w:r>
      <w:r>
        <w:rPr>
          <w:spacing w:val="-4"/>
        </w:rPr>
        <w:t> </w:t>
      </w:r>
      <w:r>
        <w:rPr/>
        <w:t>the</w:t>
      </w:r>
      <w:r>
        <w:rPr>
          <w:spacing w:val="-5"/>
        </w:rPr>
        <w:t> </w:t>
      </w:r>
      <w:r>
        <w:rPr/>
        <w:t>literature.</w:t>
      </w:r>
      <w:r>
        <w:rPr>
          <w:spacing w:val="-5"/>
        </w:rPr>
        <w:t> </w:t>
      </w:r>
      <w:r>
        <w:rPr>
          <w:i/>
        </w:rPr>
        <w:t>J</w:t>
      </w:r>
      <w:r>
        <w:rPr>
          <w:i/>
          <w:spacing w:val="-5"/>
        </w:rPr>
        <w:t> </w:t>
      </w:r>
      <w:r>
        <w:rPr>
          <w:i/>
        </w:rPr>
        <w:t>Eat</w:t>
      </w:r>
      <w:r>
        <w:rPr>
          <w:i/>
          <w:spacing w:val="-4"/>
        </w:rPr>
        <w:t> </w:t>
      </w:r>
      <w:r>
        <w:rPr>
          <w:i/>
        </w:rPr>
        <w:t>Disord</w:t>
      </w:r>
      <w:r>
        <w:rPr/>
        <w:t>.</w:t>
      </w:r>
      <w:r>
        <w:rPr>
          <w:spacing w:val="-4"/>
        </w:rPr>
        <w:t> </w:t>
      </w:r>
      <w:r>
        <w:rPr/>
        <w:t>2020;8:51. Published 2020 Oct 16. https://doi.org/10.1186/s40337-020-00327-y</w:t>
      </w:r>
    </w:p>
    <w:p>
      <w:pPr>
        <w:spacing w:after="0"/>
        <w:jc w:val="both"/>
        <w:sectPr>
          <w:pgSz w:w="12240" w:h="15840"/>
          <w:pgMar w:header="0" w:footer="783" w:top="1260" w:bottom="980" w:left="1400" w:right="1180"/>
        </w:sectPr>
      </w:pPr>
    </w:p>
    <w:p>
      <w:pPr>
        <w:pStyle w:val="BodyText"/>
        <w:spacing w:before="66"/>
        <w:ind w:left="640" w:right="502" w:hanging="360"/>
      </w:pPr>
      <w:r>
        <w:rPr/>
        <w:t>Perez-Brumer</w:t>
      </w:r>
      <w:r>
        <w:rPr>
          <w:spacing w:val="-6"/>
        </w:rPr>
        <w:t> </w:t>
      </w:r>
      <w:r>
        <w:rPr/>
        <w:t>A, Day JK, Russell ST, Hatzenbuehler ML. Prevalence and correlates of suicidal ideation among transgender youth in California: Findings from a representative, population-based sample of high school students.</w:t>
      </w:r>
      <w:r>
        <w:rPr>
          <w:spacing w:val="-8"/>
        </w:rPr>
        <w:t> </w:t>
      </w:r>
      <w:r>
        <w:rPr>
          <w:i/>
        </w:rPr>
        <w:t>J</w:t>
      </w:r>
      <w:r>
        <w:rPr>
          <w:i/>
          <w:spacing w:val="-12"/>
        </w:rPr>
        <w:t> </w:t>
      </w:r>
      <w:r>
        <w:rPr>
          <w:i/>
        </w:rPr>
        <w:t>Am</w:t>
      </w:r>
      <w:r>
        <w:rPr>
          <w:i/>
          <w:spacing w:val="-12"/>
        </w:rPr>
        <w:t> </w:t>
      </w:r>
      <w:r>
        <w:rPr>
          <w:i/>
        </w:rPr>
        <w:t>Acad</w:t>
      </w:r>
      <w:r>
        <w:rPr>
          <w:i/>
          <w:spacing w:val="-7"/>
        </w:rPr>
        <w:t> </w:t>
      </w:r>
      <w:r>
        <w:rPr>
          <w:i/>
        </w:rPr>
        <w:t>Child</w:t>
      </w:r>
      <w:r>
        <w:rPr>
          <w:i/>
          <w:spacing w:val="-12"/>
        </w:rPr>
        <w:t> </w:t>
      </w:r>
      <w:r>
        <w:rPr>
          <w:i/>
        </w:rPr>
        <w:t>Adolesc</w:t>
      </w:r>
      <w:r>
        <w:rPr>
          <w:i/>
          <w:spacing w:val="-8"/>
        </w:rPr>
        <w:t> </w:t>
      </w:r>
      <w:r>
        <w:rPr>
          <w:i/>
        </w:rPr>
        <w:t>Psychiatry.</w:t>
      </w:r>
      <w:r>
        <w:rPr>
          <w:i/>
          <w:spacing w:val="-8"/>
        </w:rPr>
        <w:t> </w:t>
      </w:r>
      <w:r>
        <w:rPr/>
        <w:t>2017;56(9):739-746.</w:t>
      </w:r>
      <w:r>
        <w:rPr>
          <w:spacing w:val="-7"/>
        </w:rPr>
        <w:t> </w:t>
      </w:r>
      <w:r>
        <w:rPr/>
        <w:t>https:// </w:t>
      </w:r>
      <w:r>
        <w:rPr>
          <w:spacing w:val="-2"/>
        </w:rPr>
        <w:t>doi.org/10.1016/j.jaac.2017.06.010</w:t>
      </w:r>
    </w:p>
    <w:p>
      <w:pPr>
        <w:pStyle w:val="BodyText"/>
        <w:spacing w:before="5"/>
        <w:rPr>
          <w:sz w:val="25"/>
        </w:rPr>
      </w:pPr>
    </w:p>
    <w:p>
      <w:pPr>
        <w:pStyle w:val="BodyText"/>
        <w:ind w:left="640" w:right="505" w:hanging="360"/>
      </w:pPr>
      <w:r>
        <w:rPr/>
        <w:t>De Pedro KT, Gorse MM. Substance use among transgender youth: associations with school-based victimization and school protective factors. </w:t>
      </w:r>
      <w:r>
        <w:rPr>
          <w:i/>
        </w:rPr>
        <w:t>J</w:t>
      </w:r>
      <w:r>
        <w:rPr>
          <w:i/>
          <w:spacing w:val="-9"/>
        </w:rPr>
        <w:t> </w:t>
      </w:r>
      <w:r>
        <w:rPr>
          <w:i/>
        </w:rPr>
        <w:t>LGBT</w:t>
      </w:r>
      <w:r>
        <w:rPr>
          <w:i/>
          <w:spacing w:val="-12"/>
        </w:rPr>
        <w:t> </w:t>
      </w:r>
      <w:r>
        <w:rPr>
          <w:i/>
        </w:rPr>
        <w:t>Youth</w:t>
      </w:r>
      <w:r>
        <w:rPr/>
        <w:t>.</w:t>
      </w:r>
      <w:r>
        <w:rPr>
          <w:spacing w:val="-7"/>
        </w:rPr>
        <w:t> </w:t>
      </w:r>
      <w:r>
        <w:rPr/>
        <w:t>2022;1-17.</w:t>
      </w:r>
      <w:r>
        <w:rPr>
          <w:spacing w:val="-7"/>
        </w:rPr>
        <w:t> </w:t>
      </w:r>
      <w:r>
        <w:rPr/>
        <w:t>https://doi.org/10.1080/19361653.2022.2029</w:t>
      </w:r>
      <w:r>
        <w:rPr>
          <w:spacing w:val="-7"/>
        </w:rPr>
        <w:t> </w:t>
      </w:r>
      <w:r>
        <w:rPr>
          <w:spacing w:val="-5"/>
        </w:rPr>
        <w:t>727</w:t>
      </w:r>
    </w:p>
    <w:p>
      <w:pPr>
        <w:pStyle w:val="BodyText"/>
        <w:spacing w:before="10"/>
        <w:rPr>
          <w:sz w:val="25"/>
        </w:rPr>
      </w:pPr>
    </w:p>
    <w:p>
      <w:pPr>
        <w:pStyle w:val="BodyText"/>
        <w:ind w:left="640" w:right="502" w:hanging="360"/>
      </w:pPr>
      <w:r>
        <w:rPr/>
        <w:t>Austin</w:t>
      </w:r>
      <w:r>
        <w:rPr>
          <w:spacing w:val="-18"/>
        </w:rPr>
        <w:t> </w:t>
      </w:r>
      <w:r>
        <w:rPr/>
        <w:t>A,</w:t>
      </w:r>
      <w:r>
        <w:rPr>
          <w:spacing w:val="-5"/>
        </w:rPr>
        <w:t> </w:t>
      </w:r>
      <w:r>
        <w:rPr/>
        <w:t>Craig</w:t>
      </w:r>
      <w:r>
        <w:rPr>
          <w:spacing w:val="-4"/>
        </w:rPr>
        <w:t> </w:t>
      </w:r>
      <w:r>
        <w:rPr/>
        <w:t>SL,</w:t>
      </w:r>
      <w:r>
        <w:rPr>
          <w:spacing w:val="-4"/>
        </w:rPr>
        <w:t> </w:t>
      </w:r>
      <w:r>
        <w:rPr/>
        <w:t>D’Souza</w:t>
      </w:r>
      <w:r>
        <w:rPr>
          <w:spacing w:val="-5"/>
        </w:rPr>
        <w:t> </w:t>
      </w:r>
      <w:r>
        <w:rPr/>
        <w:t>SD,</w:t>
      </w:r>
      <w:r>
        <w:rPr>
          <w:spacing w:val="-4"/>
        </w:rPr>
        <w:t> </w:t>
      </w:r>
      <w:r>
        <w:rPr/>
        <w:t>McInroy</w:t>
      </w:r>
      <w:r>
        <w:rPr>
          <w:spacing w:val="-4"/>
        </w:rPr>
        <w:t> </w:t>
      </w:r>
      <w:r>
        <w:rPr/>
        <w:t>LB.</w:t>
      </w:r>
      <w:r>
        <w:rPr>
          <w:spacing w:val="-4"/>
        </w:rPr>
        <w:t> </w:t>
      </w:r>
      <w:r>
        <w:rPr/>
        <w:t>Suicidality</w:t>
      </w:r>
      <w:r>
        <w:rPr>
          <w:spacing w:val="-4"/>
        </w:rPr>
        <w:t> </w:t>
      </w:r>
      <w:r>
        <w:rPr/>
        <w:t>among</w:t>
      </w:r>
      <w:r>
        <w:rPr>
          <w:spacing w:val="-4"/>
        </w:rPr>
        <w:t> </w:t>
      </w:r>
      <w:r>
        <w:rPr/>
        <w:t>transgender youth: Elucidating the role of interpersonal risk factors. </w:t>
      </w:r>
      <w:r>
        <w:rPr>
          <w:i/>
        </w:rPr>
        <w:t>J Interpers</w:t>
      </w:r>
      <w:r>
        <w:rPr>
          <w:i/>
        </w:rPr>
        <w:t> Violence</w:t>
      </w:r>
      <w:r>
        <w:rPr/>
        <w:t>. 2022 Mar;37(56):NP2696-NP2718.</w:t>
      </w:r>
    </w:p>
    <w:p>
      <w:pPr>
        <w:pStyle w:val="BodyText"/>
        <w:spacing w:line="316" w:lineRule="exact"/>
        <w:ind w:left="640"/>
      </w:pPr>
      <w:r>
        <w:rPr>
          <w:spacing w:val="-2"/>
        </w:rPr>
        <w:t>DOI:10.1177/0886260520915554</w:t>
      </w:r>
    </w:p>
    <w:p>
      <w:pPr>
        <w:pStyle w:val="BodyText"/>
        <w:spacing w:before="2"/>
        <w:rPr>
          <w:sz w:val="26"/>
        </w:rPr>
      </w:pPr>
    </w:p>
    <w:p>
      <w:pPr>
        <w:pStyle w:val="BodyText"/>
        <w:ind w:left="640" w:right="502" w:hanging="360"/>
      </w:pPr>
      <w:r>
        <w:rPr/>
        <w:t>Thorne</w:t>
      </w:r>
      <w:r>
        <w:rPr>
          <w:spacing w:val="-18"/>
        </w:rPr>
        <w:t> </w:t>
      </w:r>
      <w:r>
        <w:rPr/>
        <w:t>N,</w:t>
      </w:r>
      <w:r>
        <w:rPr>
          <w:spacing w:val="-15"/>
        </w:rPr>
        <w:t> </w:t>
      </w:r>
      <w:r>
        <w:rPr/>
        <w:t>Witcomb</w:t>
      </w:r>
      <w:r>
        <w:rPr>
          <w:spacing w:val="-7"/>
        </w:rPr>
        <w:t> </w:t>
      </w:r>
      <w:r>
        <w:rPr/>
        <w:t>GL,</w:t>
      </w:r>
      <w:r>
        <w:rPr>
          <w:spacing w:val="-7"/>
        </w:rPr>
        <w:t> </w:t>
      </w:r>
      <w:r>
        <w:rPr/>
        <w:t>Nieder</w:t>
      </w:r>
      <w:r>
        <w:rPr>
          <w:spacing w:val="-12"/>
        </w:rPr>
        <w:t> </w:t>
      </w:r>
      <w:r>
        <w:rPr/>
        <w:t>T,</w:t>
      </w:r>
      <w:r>
        <w:rPr>
          <w:spacing w:val="-7"/>
        </w:rPr>
        <w:t> </w:t>
      </w:r>
      <w:r>
        <w:rPr/>
        <w:t>Nixon</w:t>
      </w:r>
      <w:r>
        <w:rPr>
          <w:spacing w:val="-7"/>
        </w:rPr>
        <w:t> </w:t>
      </w:r>
      <w:r>
        <w:rPr/>
        <w:t>E,</w:t>
      </w:r>
      <w:r>
        <w:rPr>
          <w:spacing w:val="-17"/>
        </w:rPr>
        <w:t> </w:t>
      </w:r>
      <w:r>
        <w:rPr/>
        <w:t>Yip</w:t>
      </w:r>
      <w:r>
        <w:rPr>
          <w:spacing w:val="-18"/>
        </w:rPr>
        <w:t> </w:t>
      </w:r>
      <w:r>
        <w:rPr/>
        <w:t>A,</w:t>
      </w:r>
      <w:r>
        <w:rPr>
          <w:spacing w:val="-17"/>
        </w:rPr>
        <w:t> </w:t>
      </w:r>
      <w:r>
        <w:rPr/>
        <w:t>Arcelus</w:t>
      </w:r>
      <w:r>
        <w:rPr>
          <w:spacing w:val="-7"/>
        </w:rPr>
        <w:t> </w:t>
      </w:r>
      <w:r>
        <w:rPr/>
        <w:t>J.</w:t>
      </w:r>
      <w:r>
        <w:rPr>
          <w:spacing w:val="-18"/>
        </w:rPr>
        <w:t> </w:t>
      </w:r>
      <w:r>
        <w:rPr/>
        <w:t>A</w:t>
      </w:r>
      <w:r>
        <w:rPr>
          <w:spacing w:val="-17"/>
        </w:rPr>
        <w:t> </w:t>
      </w:r>
      <w:r>
        <w:rPr/>
        <w:t>comparison</w:t>
      </w:r>
      <w:r>
        <w:rPr>
          <w:spacing w:val="-7"/>
        </w:rPr>
        <w:t> </w:t>
      </w:r>
      <w:r>
        <w:rPr/>
        <w:t>of mental health symptomatology and levels of social support in young treatment seeking transgender individuals who identify as binary and non- binary. </w:t>
      </w:r>
      <w:r>
        <w:rPr>
          <w:i/>
        </w:rPr>
        <w:t>Int J Transgend</w:t>
      </w:r>
      <w:r>
        <w:rPr/>
        <w:t>. 2018;20(23):241-250. https://doi.org/ 10.1080/15532739.2018.1452 660</w:t>
      </w:r>
    </w:p>
    <w:p>
      <w:pPr>
        <w:pStyle w:val="BodyText"/>
        <w:spacing w:before="6"/>
        <w:rPr>
          <w:sz w:val="25"/>
        </w:rPr>
      </w:pPr>
    </w:p>
    <w:p>
      <w:pPr>
        <w:pStyle w:val="BodyText"/>
        <w:ind w:left="640" w:hanging="360"/>
      </w:pPr>
      <w:r>
        <w:rPr/>
        <w:t>Rimes</w:t>
      </w:r>
      <w:r>
        <w:rPr>
          <w:spacing w:val="-5"/>
        </w:rPr>
        <w:t> </w:t>
      </w:r>
      <w:r>
        <w:rPr/>
        <w:t>KA,</w:t>
      </w:r>
      <w:r>
        <w:rPr>
          <w:spacing w:val="-5"/>
        </w:rPr>
        <w:t> </w:t>
      </w:r>
      <w:r>
        <w:rPr/>
        <w:t>Goodship</w:t>
      </w:r>
      <w:r>
        <w:rPr>
          <w:spacing w:val="-5"/>
        </w:rPr>
        <w:t> </w:t>
      </w:r>
      <w:r>
        <w:rPr/>
        <w:t>N,</w:t>
      </w:r>
      <w:r>
        <w:rPr>
          <w:spacing w:val="-5"/>
        </w:rPr>
        <w:t> </w:t>
      </w:r>
      <w:r>
        <w:rPr/>
        <w:t>Ussher</w:t>
      </w:r>
      <w:r>
        <w:rPr>
          <w:spacing w:val="-5"/>
        </w:rPr>
        <w:t> </w:t>
      </w:r>
      <w:r>
        <w:rPr/>
        <w:t>G,</w:t>
      </w:r>
      <w:r>
        <w:rPr>
          <w:spacing w:val="-5"/>
        </w:rPr>
        <w:t> </w:t>
      </w:r>
      <w:r>
        <w:rPr/>
        <w:t>Baker</w:t>
      </w:r>
      <w:r>
        <w:rPr>
          <w:spacing w:val="-5"/>
        </w:rPr>
        <w:t> </w:t>
      </w:r>
      <w:r>
        <w:rPr/>
        <w:t>D,</w:t>
      </w:r>
      <w:r>
        <w:rPr>
          <w:spacing w:val="-11"/>
        </w:rPr>
        <w:t> </w:t>
      </w:r>
      <w:r>
        <w:rPr/>
        <w:t>West</w:t>
      </w:r>
      <w:r>
        <w:rPr>
          <w:spacing w:val="-5"/>
        </w:rPr>
        <w:t> </w:t>
      </w:r>
      <w:r>
        <w:rPr/>
        <w:t>E.</w:t>
      </w:r>
      <w:r>
        <w:rPr>
          <w:spacing w:val="-5"/>
        </w:rPr>
        <w:t> </w:t>
      </w:r>
      <w:r>
        <w:rPr/>
        <w:t>Non-binary</w:t>
      </w:r>
      <w:r>
        <w:rPr>
          <w:spacing w:val="-5"/>
        </w:rPr>
        <w:t> </w:t>
      </w:r>
      <w:r>
        <w:rPr/>
        <w:t>and</w:t>
      </w:r>
      <w:r>
        <w:rPr>
          <w:spacing w:val="-5"/>
        </w:rPr>
        <w:t> </w:t>
      </w:r>
      <w:r>
        <w:rPr/>
        <w:t>binary transgender youth: Comparison of mental health, self-harm, suicidality, substance use and victimization experiences. </w:t>
      </w:r>
      <w:r>
        <w:rPr>
          <w:i/>
        </w:rPr>
        <w:t>Int J Transgend</w:t>
      </w:r>
      <w:r>
        <w:rPr/>
        <w:t>.</w:t>
      </w:r>
    </w:p>
    <w:p>
      <w:pPr>
        <w:pStyle w:val="BodyText"/>
        <w:spacing w:line="316" w:lineRule="exact"/>
        <w:ind w:left="640"/>
      </w:pPr>
      <w:r>
        <w:rPr/>
        <w:t>2017;20(2-3):230-240.</w:t>
      </w:r>
      <w:r>
        <w:rPr>
          <w:spacing w:val="-6"/>
        </w:rPr>
        <w:t> </w:t>
      </w:r>
      <w:r>
        <w:rPr/>
        <w:t>https://doi.org/10.1080/15532739.2017.1370</w:t>
      </w:r>
      <w:r>
        <w:rPr>
          <w:spacing w:val="-3"/>
        </w:rPr>
        <w:t> </w:t>
      </w:r>
      <w:r>
        <w:rPr>
          <w:spacing w:val="-5"/>
        </w:rPr>
        <w:t>627</w:t>
      </w:r>
    </w:p>
    <w:p>
      <w:pPr>
        <w:pStyle w:val="BodyText"/>
        <w:spacing w:before="2"/>
        <w:rPr>
          <w:sz w:val="26"/>
        </w:rPr>
      </w:pPr>
    </w:p>
    <w:p>
      <w:pPr>
        <w:pStyle w:val="BodyText"/>
        <w:ind w:left="640" w:right="529" w:hanging="360"/>
      </w:pPr>
      <w:r>
        <w:rPr/>
        <w:t>Thoma BC, Rezeppa TL, Choukas-Bradley S, Salk RH, Marshal MP. Disparities in childhood abuse between transgender and cisgender adolescents.</w:t>
      </w:r>
      <w:r>
        <w:rPr>
          <w:spacing w:val="-15"/>
        </w:rPr>
        <w:t> </w:t>
      </w:r>
      <w:r>
        <w:rPr>
          <w:i/>
        </w:rPr>
        <w:t>Pediatrics.</w:t>
      </w:r>
      <w:r>
        <w:rPr>
          <w:i/>
          <w:spacing w:val="-15"/>
        </w:rPr>
        <w:t> </w:t>
      </w:r>
      <w:r>
        <w:rPr/>
        <w:t>2021;148(2):e2020016907.</w:t>
      </w:r>
      <w:r>
        <w:rPr>
          <w:spacing w:val="-14"/>
        </w:rPr>
        <w:t> </w:t>
      </w:r>
      <w:r>
        <w:rPr/>
        <w:t>https://doi.org/10.1542/ </w:t>
      </w:r>
      <w:r>
        <w:rPr>
          <w:spacing w:val="-2"/>
        </w:rPr>
        <w:t>peds.2020-016907</w:t>
      </w:r>
    </w:p>
    <w:p>
      <w:pPr>
        <w:pStyle w:val="BodyText"/>
        <w:spacing w:before="7"/>
        <w:rPr>
          <w:sz w:val="25"/>
        </w:rPr>
      </w:pPr>
    </w:p>
    <w:p>
      <w:pPr>
        <w:pStyle w:val="BodyText"/>
        <w:spacing w:before="1"/>
        <w:ind w:left="640" w:right="515" w:hanging="360"/>
      </w:pPr>
      <w:r>
        <w:rPr/>
        <w:t>Wilson</w:t>
      </w:r>
      <w:r>
        <w:rPr>
          <w:spacing w:val="-9"/>
        </w:rPr>
        <w:t> </w:t>
      </w:r>
      <w:r>
        <w:rPr/>
        <w:t>BDM,</w:t>
      </w:r>
      <w:r>
        <w:rPr>
          <w:spacing w:val="-6"/>
        </w:rPr>
        <w:t> </w:t>
      </w:r>
      <w:r>
        <w:rPr/>
        <w:t>Kastanis</w:t>
      </w:r>
      <w:r>
        <w:rPr>
          <w:spacing w:val="-18"/>
        </w:rPr>
        <w:t> </w:t>
      </w:r>
      <w:r>
        <w:rPr/>
        <w:t>AA.</w:t>
      </w:r>
      <w:r>
        <w:rPr>
          <w:spacing w:val="-5"/>
        </w:rPr>
        <w:t> </w:t>
      </w:r>
      <w:r>
        <w:rPr/>
        <w:t>Sexual</w:t>
      </w:r>
      <w:r>
        <w:rPr>
          <w:spacing w:val="-6"/>
        </w:rPr>
        <w:t> </w:t>
      </w:r>
      <w:r>
        <w:rPr/>
        <w:t>and</w:t>
      </w:r>
      <w:r>
        <w:rPr>
          <w:spacing w:val="-6"/>
        </w:rPr>
        <w:t> </w:t>
      </w:r>
      <w:r>
        <w:rPr/>
        <w:t>gender</w:t>
      </w:r>
      <w:r>
        <w:rPr>
          <w:spacing w:val="-6"/>
        </w:rPr>
        <w:t> </w:t>
      </w:r>
      <w:r>
        <w:rPr/>
        <w:t>minority</w:t>
      </w:r>
      <w:r>
        <w:rPr>
          <w:spacing w:val="-6"/>
        </w:rPr>
        <w:t> </w:t>
      </w:r>
      <w:r>
        <w:rPr/>
        <w:t>disproportionality</w:t>
      </w:r>
      <w:r>
        <w:rPr>
          <w:spacing w:val="-6"/>
        </w:rPr>
        <w:t> </w:t>
      </w:r>
      <w:r>
        <w:rPr/>
        <w:t>and disparities in child welfare:</w:t>
      </w:r>
      <w:r>
        <w:rPr>
          <w:spacing w:val="-7"/>
        </w:rPr>
        <w:t> </w:t>
      </w:r>
      <w:r>
        <w:rPr/>
        <w:t>A</w:t>
      </w:r>
      <w:r>
        <w:rPr>
          <w:spacing w:val="-7"/>
        </w:rPr>
        <w:t> </w:t>
      </w:r>
      <w:r>
        <w:rPr/>
        <w:t>population-based study. </w:t>
      </w:r>
      <w:r>
        <w:rPr>
          <w:i/>
        </w:rPr>
        <w:t>Child Youth Serv</w:t>
      </w:r>
      <w:r>
        <w:rPr>
          <w:i/>
        </w:rPr>
        <w:t> Rev. </w:t>
      </w:r>
      <w:r>
        <w:rPr/>
        <w:t>2015;58:11-17. https://doi.org/10.1016/j.childyouth.2015.08.0 16</w:t>
      </w:r>
    </w:p>
    <w:p>
      <w:pPr>
        <w:pStyle w:val="BodyText"/>
        <w:spacing w:before="9"/>
        <w:rPr>
          <w:sz w:val="25"/>
        </w:rPr>
      </w:pPr>
    </w:p>
    <w:p>
      <w:pPr>
        <w:pStyle w:val="BodyText"/>
        <w:ind w:left="640" w:right="499" w:hanging="360"/>
      </w:pPr>
      <w:r>
        <w:rPr/>
        <w:t>Craig SL,</w:t>
      </w:r>
      <w:r>
        <w:rPr>
          <w:spacing w:val="-8"/>
        </w:rPr>
        <w:t> </w:t>
      </w:r>
      <w:r>
        <w:rPr/>
        <w:t>Austin</w:t>
      </w:r>
      <w:r>
        <w:rPr>
          <w:spacing w:val="-8"/>
        </w:rPr>
        <w:t> </w:t>
      </w:r>
      <w:r>
        <w:rPr/>
        <w:t>A, Levenson J, Leung VWY, Eaton</w:t>
      </w:r>
      <w:r>
        <w:rPr>
          <w:spacing w:val="-8"/>
        </w:rPr>
        <w:t> </w:t>
      </w:r>
      <w:r>
        <w:rPr/>
        <w:t>AD, D'Souza SA. Frequencies</w:t>
      </w:r>
      <w:r>
        <w:rPr>
          <w:spacing w:val="-5"/>
        </w:rPr>
        <w:t> </w:t>
      </w:r>
      <w:r>
        <w:rPr/>
        <w:t>and</w:t>
      </w:r>
      <w:r>
        <w:rPr>
          <w:spacing w:val="-5"/>
        </w:rPr>
        <w:t> </w:t>
      </w:r>
      <w:r>
        <w:rPr/>
        <w:t>patterns</w:t>
      </w:r>
      <w:r>
        <w:rPr>
          <w:spacing w:val="-5"/>
        </w:rPr>
        <w:t> </w:t>
      </w:r>
      <w:r>
        <w:rPr/>
        <w:t>of</w:t>
      </w:r>
      <w:r>
        <w:rPr>
          <w:spacing w:val="-5"/>
        </w:rPr>
        <w:t> </w:t>
      </w:r>
      <w:r>
        <w:rPr/>
        <w:t>adverse</w:t>
      </w:r>
      <w:r>
        <w:rPr>
          <w:spacing w:val="-6"/>
        </w:rPr>
        <w:t> </w:t>
      </w:r>
      <w:r>
        <w:rPr/>
        <w:t>childhood</w:t>
      </w:r>
      <w:r>
        <w:rPr>
          <w:spacing w:val="-5"/>
        </w:rPr>
        <w:t> </w:t>
      </w:r>
      <w:r>
        <w:rPr/>
        <w:t>events</w:t>
      </w:r>
      <w:r>
        <w:rPr>
          <w:spacing w:val="-5"/>
        </w:rPr>
        <w:t> </w:t>
      </w:r>
      <w:r>
        <w:rPr/>
        <w:t>in</w:t>
      </w:r>
      <w:r>
        <w:rPr>
          <w:spacing w:val="-5"/>
        </w:rPr>
        <w:t> </w:t>
      </w:r>
      <w:r>
        <w:rPr/>
        <w:t>LGBTQ+</w:t>
      </w:r>
      <w:r>
        <w:rPr>
          <w:spacing w:val="-5"/>
        </w:rPr>
        <w:t> </w:t>
      </w:r>
      <w:r>
        <w:rPr/>
        <w:t>youth. </w:t>
      </w:r>
      <w:r>
        <w:rPr>
          <w:i/>
        </w:rPr>
        <w:t>Child Abuse Negl</w:t>
      </w:r>
      <w:r>
        <w:rPr/>
        <w:t>. 2020;107:104623. https://doi.org/10.1016/ </w:t>
      </w:r>
      <w:r>
        <w:rPr>
          <w:spacing w:val="-2"/>
        </w:rPr>
        <w:t>j.chiabu.2020.104623</w:t>
      </w:r>
    </w:p>
    <w:p>
      <w:pPr>
        <w:spacing w:after="0"/>
        <w:sectPr>
          <w:pgSz w:w="12240" w:h="15840"/>
          <w:pgMar w:header="0" w:footer="783" w:top="1580" w:bottom="980" w:left="1400" w:right="1180"/>
        </w:sectPr>
      </w:pPr>
    </w:p>
    <w:p>
      <w:pPr>
        <w:pStyle w:val="BodyText"/>
        <w:spacing w:before="66"/>
        <w:ind w:left="640" w:right="502" w:hanging="360"/>
      </w:pPr>
      <w:r>
        <w:rPr/>
        <w:t>Kuper LE, Mathews S, Lau M. Baseline mental health and psychosocial functioning of transgender adolescents seeking gender-affirming hormone therapy.</w:t>
      </w:r>
      <w:r>
        <w:rPr>
          <w:spacing w:val="-16"/>
        </w:rPr>
        <w:t> </w:t>
      </w:r>
      <w:r>
        <w:rPr>
          <w:i/>
        </w:rPr>
        <w:t>J</w:t>
      </w:r>
      <w:r>
        <w:rPr>
          <w:i/>
          <w:spacing w:val="-16"/>
        </w:rPr>
        <w:t> </w:t>
      </w:r>
      <w:r>
        <w:rPr>
          <w:i/>
        </w:rPr>
        <w:t>Dev</w:t>
      </w:r>
      <w:r>
        <w:rPr>
          <w:i/>
          <w:spacing w:val="-16"/>
        </w:rPr>
        <w:t> </w:t>
      </w:r>
      <w:r>
        <w:rPr>
          <w:i/>
        </w:rPr>
        <w:t>Behav</w:t>
      </w:r>
      <w:r>
        <w:rPr>
          <w:i/>
          <w:spacing w:val="-16"/>
        </w:rPr>
        <w:t> </w:t>
      </w:r>
      <w:r>
        <w:rPr>
          <w:i/>
        </w:rPr>
        <w:t>Pediatr.</w:t>
      </w:r>
      <w:r>
        <w:rPr>
          <w:i/>
          <w:spacing w:val="-16"/>
        </w:rPr>
        <w:t> </w:t>
      </w:r>
      <w:r>
        <w:rPr/>
        <w:t>2019;40(8):589-596.</w:t>
      </w:r>
      <w:r>
        <w:rPr>
          <w:spacing w:val="-15"/>
        </w:rPr>
        <w:t> </w:t>
      </w:r>
      <w:r>
        <w:rPr/>
        <w:t>https://doi.org/10.1097/ DBP.0000000000000 697</w:t>
      </w:r>
    </w:p>
    <w:p>
      <w:pPr>
        <w:pStyle w:val="BodyText"/>
        <w:spacing w:before="7"/>
        <w:rPr>
          <w:sz w:val="25"/>
        </w:rPr>
      </w:pPr>
    </w:p>
    <w:p>
      <w:pPr>
        <w:pStyle w:val="BodyText"/>
        <w:ind w:left="640" w:right="502" w:hanging="360"/>
        <w:rPr>
          <w:i/>
        </w:rPr>
      </w:pPr>
      <w:r>
        <w:rPr/>
        <w:t>Nahata</w:t>
      </w:r>
      <w:r>
        <w:rPr>
          <w:spacing w:val="-14"/>
        </w:rPr>
        <w:t> </w:t>
      </w:r>
      <w:r>
        <w:rPr/>
        <w:t>L,</w:t>
      </w:r>
      <w:r>
        <w:rPr>
          <w:spacing w:val="-8"/>
        </w:rPr>
        <w:t> </w:t>
      </w:r>
      <w:r>
        <w:rPr/>
        <w:t>Quinn</w:t>
      </w:r>
      <w:r>
        <w:rPr>
          <w:spacing w:val="-8"/>
        </w:rPr>
        <w:t> </w:t>
      </w:r>
      <w:r>
        <w:rPr/>
        <w:t>GP,</w:t>
      </w:r>
      <w:r>
        <w:rPr>
          <w:spacing w:val="-8"/>
        </w:rPr>
        <w:t> </w:t>
      </w:r>
      <w:r>
        <w:rPr/>
        <w:t>Caltabellotta</w:t>
      </w:r>
      <w:r>
        <w:rPr>
          <w:spacing w:val="-9"/>
        </w:rPr>
        <w:t> </w:t>
      </w:r>
      <w:r>
        <w:rPr/>
        <w:t>NM,</w:t>
      </w:r>
      <w:r>
        <w:rPr>
          <w:spacing w:val="-14"/>
        </w:rPr>
        <w:t> </w:t>
      </w:r>
      <w:r>
        <w:rPr/>
        <w:t>Tishelman</w:t>
      </w:r>
      <w:r>
        <w:rPr>
          <w:spacing w:val="-18"/>
        </w:rPr>
        <w:t> </w:t>
      </w:r>
      <w:r>
        <w:rPr/>
        <w:t>AC.</w:t>
      </w:r>
      <w:r>
        <w:rPr>
          <w:spacing w:val="-8"/>
        </w:rPr>
        <w:t> </w:t>
      </w:r>
      <w:r>
        <w:rPr/>
        <w:t>Mental</w:t>
      </w:r>
      <w:r>
        <w:rPr>
          <w:spacing w:val="-8"/>
        </w:rPr>
        <w:t> </w:t>
      </w:r>
      <w:r>
        <w:rPr/>
        <w:t>health</w:t>
      </w:r>
      <w:r>
        <w:rPr>
          <w:spacing w:val="-8"/>
        </w:rPr>
        <w:t> </w:t>
      </w:r>
      <w:r>
        <w:rPr/>
        <w:t>concerns and insurance denials among transgender adolescents. </w:t>
      </w:r>
      <w:r>
        <w:rPr>
          <w:i/>
        </w:rPr>
        <w:t>LGBT Health.</w:t>
      </w:r>
    </w:p>
    <w:p>
      <w:pPr>
        <w:pStyle w:val="BodyText"/>
        <w:spacing w:line="318" w:lineRule="exact"/>
        <w:ind w:left="640"/>
      </w:pPr>
      <w:r>
        <w:rPr/>
        <w:t>2017;4(3):188193. </w:t>
      </w:r>
      <w:r>
        <w:rPr>
          <w:spacing w:val="-2"/>
        </w:rPr>
        <w:t>https://doi.org/10.1089/lgbt.2016.0151</w:t>
      </w:r>
    </w:p>
    <w:p>
      <w:pPr>
        <w:pStyle w:val="BodyText"/>
        <w:spacing w:before="2"/>
        <w:rPr>
          <w:sz w:val="26"/>
        </w:rPr>
      </w:pPr>
    </w:p>
    <w:p>
      <w:pPr>
        <w:pStyle w:val="BodyText"/>
        <w:spacing w:before="1"/>
        <w:ind w:left="640" w:hanging="360"/>
        <w:rPr>
          <w:i/>
        </w:rPr>
      </w:pPr>
      <w:r>
        <w:rPr/>
        <w:t>Glidden</w:t>
      </w:r>
      <w:r>
        <w:rPr>
          <w:spacing w:val="-10"/>
        </w:rPr>
        <w:t> </w:t>
      </w:r>
      <w:r>
        <w:rPr/>
        <w:t>D,</w:t>
      </w:r>
      <w:r>
        <w:rPr>
          <w:spacing w:val="-7"/>
        </w:rPr>
        <w:t> </w:t>
      </w:r>
      <w:r>
        <w:rPr/>
        <w:t>Bouman</w:t>
      </w:r>
      <w:r>
        <w:rPr>
          <w:spacing w:val="-12"/>
        </w:rPr>
        <w:t> </w:t>
      </w:r>
      <w:r>
        <w:rPr/>
        <w:t>WP,</w:t>
      </w:r>
      <w:r>
        <w:rPr>
          <w:spacing w:val="-7"/>
        </w:rPr>
        <w:t> </w:t>
      </w:r>
      <w:r>
        <w:rPr/>
        <w:t>Jones</w:t>
      </w:r>
      <w:r>
        <w:rPr>
          <w:spacing w:val="-7"/>
        </w:rPr>
        <w:t> </w:t>
      </w:r>
      <w:r>
        <w:rPr/>
        <w:t>BA,</w:t>
      </w:r>
      <w:r>
        <w:rPr>
          <w:spacing w:val="-18"/>
        </w:rPr>
        <w:t> </w:t>
      </w:r>
      <w:r>
        <w:rPr/>
        <w:t>Arcelus</w:t>
      </w:r>
      <w:r>
        <w:rPr>
          <w:spacing w:val="-6"/>
        </w:rPr>
        <w:t> </w:t>
      </w:r>
      <w:r>
        <w:rPr/>
        <w:t>J.</w:t>
      </w:r>
      <w:r>
        <w:rPr>
          <w:spacing w:val="-7"/>
        </w:rPr>
        <w:t> </w:t>
      </w:r>
      <w:r>
        <w:rPr/>
        <w:t>Gender</w:t>
      </w:r>
      <w:r>
        <w:rPr>
          <w:spacing w:val="-7"/>
        </w:rPr>
        <w:t> </w:t>
      </w:r>
      <w:r>
        <w:rPr/>
        <w:t>dysphoria</w:t>
      </w:r>
      <w:r>
        <w:rPr>
          <w:spacing w:val="-8"/>
        </w:rPr>
        <w:t> </w:t>
      </w:r>
      <w:r>
        <w:rPr/>
        <w:t>and</w:t>
      </w:r>
      <w:r>
        <w:rPr>
          <w:spacing w:val="-7"/>
        </w:rPr>
        <w:t> </w:t>
      </w:r>
      <w:r>
        <w:rPr/>
        <w:t>autism spectrum disorder:</w:t>
      </w:r>
      <w:r>
        <w:rPr>
          <w:spacing w:val="-6"/>
        </w:rPr>
        <w:t> </w:t>
      </w:r>
      <w:r>
        <w:rPr/>
        <w:t>A</w:t>
      </w:r>
      <w:r>
        <w:rPr>
          <w:spacing w:val="-6"/>
        </w:rPr>
        <w:t> </w:t>
      </w:r>
      <w:r>
        <w:rPr/>
        <w:t>systematic review of the literature. </w:t>
      </w:r>
      <w:r>
        <w:rPr>
          <w:i/>
        </w:rPr>
        <w:t>Sex Med Rev.</w:t>
      </w:r>
    </w:p>
    <w:p>
      <w:pPr>
        <w:pStyle w:val="BodyText"/>
        <w:spacing w:line="318" w:lineRule="exact"/>
        <w:ind w:left="640"/>
      </w:pPr>
      <w:r>
        <w:rPr/>
        <w:t>2016;4(1):3-14. </w:t>
      </w:r>
      <w:r>
        <w:rPr>
          <w:spacing w:val="-2"/>
        </w:rPr>
        <w:t>https://doi.org/10.1016/j.sxmr.2015.10.003</w:t>
      </w:r>
    </w:p>
    <w:p>
      <w:pPr>
        <w:pStyle w:val="BodyText"/>
        <w:spacing w:before="1"/>
        <w:rPr>
          <w:sz w:val="26"/>
        </w:rPr>
      </w:pPr>
    </w:p>
    <w:p>
      <w:pPr>
        <w:pStyle w:val="BodyText"/>
        <w:spacing w:before="1"/>
        <w:ind w:left="640" w:hanging="360"/>
      </w:pPr>
      <w:r>
        <w:rPr/>
        <w:t>Van Der Miesen</w:t>
      </w:r>
      <w:r>
        <w:rPr>
          <w:spacing w:val="-16"/>
        </w:rPr>
        <w:t> </w:t>
      </w:r>
      <w:r>
        <w:rPr/>
        <w:t>AIR, Hurley H, D</w:t>
      </w:r>
      <w:r>
        <w:rPr>
          <w:spacing w:val="-6"/>
        </w:rPr>
        <w:t> </w:t>
      </w:r>
      <w:r>
        <w:rPr/>
        <w:t>Vries</w:t>
      </w:r>
      <w:r>
        <w:rPr>
          <w:spacing w:val="-16"/>
        </w:rPr>
        <w:t> </w:t>
      </w:r>
      <w:r>
        <w:rPr/>
        <w:t>ALC. Gender dysphoria</w:t>
      </w:r>
      <w:r>
        <w:rPr>
          <w:spacing w:val="-1"/>
        </w:rPr>
        <w:t> </w:t>
      </w:r>
      <w:r>
        <w:rPr/>
        <w:t>and autism spectrum</w:t>
      </w:r>
      <w:r>
        <w:rPr>
          <w:spacing w:val="-15"/>
        </w:rPr>
        <w:t> </w:t>
      </w:r>
      <w:r>
        <w:rPr/>
        <w:t>disorder:</w:t>
      </w:r>
      <w:r>
        <w:rPr>
          <w:spacing w:val="-18"/>
        </w:rPr>
        <w:t> </w:t>
      </w:r>
      <w:r>
        <w:rPr/>
        <w:t>A</w:t>
      </w:r>
      <w:r>
        <w:rPr>
          <w:spacing w:val="-17"/>
        </w:rPr>
        <w:t> </w:t>
      </w:r>
      <w:r>
        <w:rPr/>
        <w:t>narrative</w:t>
      </w:r>
      <w:r>
        <w:rPr>
          <w:spacing w:val="-8"/>
        </w:rPr>
        <w:t> </w:t>
      </w:r>
      <w:r>
        <w:rPr/>
        <w:t>review.</w:t>
      </w:r>
      <w:r>
        <w:rPr>
          <w:spacing w:val="-8"/>
        </w:rPr>
        <w:t> </w:t>
      </w:r>
      <w:r>
        <w:rPr>
          <w:i/>
        </w:rPr>
        <w:t>J</w:t>
      </w:r>
      <w:r>
        <w:rPr>
          <w:i/>
          <w:spacing w:val="-8"/>
        </w:rPr>
        <w:t> </w:t>
      </w:r>
      <w:r>
        <w:rPr>
          <w:i/>
        </w:rPr>
        <w:t>Int</w:t>
      </w:r>
      <w:r>
        <w:rPr>
          <w:i/>
          <w:spacing w:val="-7"/>
        </w:rPr>
        <w:t> </w:t>
      </w:r>
      <w:r>
        <w:rPr>
          <w:i/>
        </w:rPr>
        <w:t>Psychiatry</w:t>
      </w:r>
      <w:r>
        <w:rPr/>
        <w:t>.</w:t>
      </w:r>
      <w:r>
        <w:rPr>
          <w:spacing w:val="-7"/>
        </w:rPr>
        <w:t> </w:t>
      </w:r>
      <w:r>
        <w:rPr/>
        <w:t>2016;28(1):70-80. https://doi.org/10.3109/09540261.2015.11111 99</w:t>
      </w:r>
    </w:p>
    <w:p>
      <w:pPr>
        <w:pStyle w:val="BodyText"/>
        <w:spacing w:before="9"/>
        <w:rPr>
          <w:sz w:val="25"/>
        </w:rPr>
      </w:pPr>
    </w:p>
    <w:p>
      <w:pPr>
        <w:spacing w:before="0"/>
        <w:ind w:left="640" w:right="502" w:hanging="360"/>
        <w:jc w:val="left"/>
        <w:rPr>
          <w:sz w:val="28"/>
        </w:rPr>
      </w:pPr>
      <w:r>
        <w:rPr>
          <w:sz w:val="28"/>
        </w:rPr>
        <w:t>Turban</w:t>
      </w:r>
      <w:r>
        <w:rPr>
          <w:spacing w:val="-8"/>
          <w:sz w:val="28"/>
        </w:rPr>
        <w:t> </w:t>
      </w:r>
      <w:r>
        <w:rPr>
          <w:sz w:val="28"/>
        </w:rPr>
        <w:t>JL,</w:t>
      </w:r>
      <w:r>
        <w:rPr>
          <w:spacing w:val="-6"/>
          <w:sz w:val="28"/>
        </w:rPr>
        <w:t> </w:t>
      </w:r>
      <w:r>
        <w:rPr>
          <w:sz w:val="28"/>
        </w:rPr>
        <w:t>van</w:t>
      </w:r>
      <w:r>
        <w:rPr>
          <w:spacing w:val="-6"/>
          <w:sz w:val="28"/>
        </w:rPr>
        <w:t> </w:t>
      </w:r>
      <w:r>
        <w:rPr>
          <w:sz w:val="28"/>
        </w:rPr>
        <w:t>Schalkwyk</w:t>
      </w:r>
      <w:r>
        <w:rPr>
          <w:spacing w:val="-6"/>
          <w:sz w:val="28"/>
        </w:rPr>
        <w:t> </w:t>
      </w:r>
      <w:r>
        <w:rPr>
          <w:sz w:val="28"/>
        </w:rPr>
        <w:t>GI.</w:t>
      </w:r>
      <w:r>
        <w:rPr>
          <w:spacing w:val="-6"/>
          <w:sz w:val="28"/>
        </w:rPr>
        <w:t> </w:t>
      </w:r>
      <w:r>
        <w:rPr>
          <w:sz w:val="28"/>
        </w:rPr>
        <w:t>"Gender</w:t>
      </w:r>
      <w:r>
        <w:rPr>
          <w:spacing w:val="-6"/>
          <w:sz w:val="28"/>
        </w:rPr>
        <w:t> </w:t>
      </w:r>
      <w:r>
        <w:rPr>
          <w:sz w:val="28"/>
        </w:rPr>
        <w:t>Dysphoria"</w:t>
      </w:r>
      <w:r>
        <w:rPr>
          <w:spacing w:val="-6"/>
          <w:sz w:val="28"/>
        </w:rPr>
        <w:t> </w:t>
      </w:r>
      <w:r>
        <w:rPr>
          <w:sz w:val="28"/>
        </w:rPr>
        <w:t>and</w:t>
      </w:r>
      <w:r>
        <w:rPr>
          <w:spacing w:val="-18"/>
          <w:sz w:val="28"/>
        </w:rPr>
        <w:t> </w:t>
      </w:r>
      <w:r>
        <w:rPr>
          <w:sz w:val="28"/>
        </w:rPr>
        <w:t>Autism</w:t>
      </w:r>
      <w:r>
        <w:rPr>
          <w:spacing w:val="-5"/>
          <w:sz w:val="28"/>
        </w:rPr>
        <w:t> </w:t>
      </w:r>
      <w:r>
        <w:rPr>
          <w:sz w:val="28"/>
        </w:rPr>
        <w:t>Spectrum Disorder: Is the link real? </w:t>
      </w:r>
      <w:r>
        <w:rPr>
          <w:i/>
          <w:sz w:val="28"/>
        </w:rPr>
        <w:t>J Am Acad Child Adolesc Psychiatry</w:t>
      </w:r>
      <w:r>
        <w:rPr>
          <w:sz w:val="28"/>
        </w:rPr>
        <w:t>.</w:t>
      </w:r>
    </w:p>
    <w:p>
      <w:pPr>
        <w:pStyle w:val="BodyText"/>
        <w:spacing w:line="318" w:lineRule="exact"/>
        <w:ind w:left="640"/>
      </w:pPr>
      <w:r>
        <w:rPr/>
        <w:t>2018;57(1):8-9.e2.</w:t>
      </w:r>
      <w:r>
        <w:rPr>
          <w:spacing w:val="-1"/>
        </w:rPr>
        <w:t> </w:t>
      </w:r>
      <w:r>
        <w:rPr>
          <w:spacing w:val="-2"/>
        </w:rPr>
        <w:t>https://doi.org/10.1016/j.jaac.2017.08.017</w:t>
      </w:r>
    </w:p>
    <w:p>
      <w:pPr>
        <w:pStyle w:val="BodyText"/>
        <w:spacing w:before="2"/>
        <w:rPr>
          <w:sz w:val="26"/>
        </w:rPr>
      </w:pPr>
    </w:p>
    <w:p>
      <w:pPr>
        <w:pStyle w:val="BodyText"/>
        <w:ind w:left="640" w:right="668" w:hanging="360"/>
      </w:pPr>
      <w:r>
        <w:rPr/>
        <w:t>Thrower E, Bretherton I, Pang KC, Zajac JD, Cheung</w:t>
      </w:r>
      <w:r>
        <w:rPr>
          <w:spacing w:val="-6"/>
        </w:rPr>
        <w:t> </w:t>
      </w:r>
      <w:r>
        <w:rPr/>
        <w:t>AS. Prevalence of autism spectrum disorder and attention-deficit hyperactivity disorder amongst</w:t>
      </w:r>
      <w:r>
        <w:rPr>
          <w:spacing w:val="-6"/>
        </w:rPr>
        <w:t> </w:t>
      </w:r>
      <w:r>
        <w:rPr/>
        <w:t>individuals</w:t>
      </w:r>
      <w:r>
        <w:rPr>
          <w:spacing w:val="-6"/>
        </w:rPr>
        <w:t> </w:t>
      </w:r>
      <w:r>
        <w:rPr/>
        <w:t>with</w:t>
      </w:r>
      <w:r>
        <w:rPr>
          <w:spacing w:val="-6"/>
        </w:rPr>
        <w:t> </w:t>
      </w:r>
      <w:r>
        <w:rPr/>
        <w:t>gender</w:t>
      </w:r>
      <w:r>
        <w:rPr>
          <w:spacing w:val="-6"/>
        </w:rPr>
        <w:t> </w:t>
      </w:r>
      <w:r>
        <w:rPr/>
        <w:t>dysphoria:</w:t>
      </w:r>
      <w:r>
        <w:rPr>
          <w:spacing w:val="-6"/>
        </w:rPr>
        <w:t> </w:t>
      </w:r>
      <w:r>
        <w:rPr/>
        <w:t>a</w:t>
      </w:r>
      <w:r>
        <w:rPr>
          <w:spacing w:val="-7"/>
        </w:rPr>
        <w:t> </w:t>
      </w:r>
      <w:r>
        <w:rPr/>
        <w:t>systematic</w:t>
      </w:r>
      <w:r>
        <w:rPr>
          <w:spacing w:val="-7"/>
        </w:rPr>
        <w:t> </w:t>
      </w:r>
      <w:r>
        <w:rPr/>
        <w:t>review.</w:t>
      </w:r>
      <w:r>
        <w:rPr>
          <w:spacing w:val="-7"/>
        </w:rPr>
        <w:t> </w:t>
      </w:r>
      <w:r>
        <w:rPr>
          <w:i/>
        </w:rPr>
        <w:t>J</w:t>
      </w:r>
      <w:r>
        <w:rPr>
          <w:i/>
          <w:spacing w:val="-12"/>
        </w:rPr>
        <w:t> </w:t>
      </w:r>
      <w:r>
        <w:rPr>
          <w:i/>
        </w:rPr>
        <w:t>Autism</w:t>
      </w:r>
      <w:r>
        <w:rPr>
          <w:i/>
        </w:rPr>
        <w:t> Dev Disord. </w:t>
      </w:r>
      <w:r>
        <w:rPr/>
        <w:t>2020;50(3):695-706. https://doi.org/10.1007/</w:t>
      </w:r>
    </w:p>
    <w:p>
      <w:pPr>
        <w:pStyle w:val="BodyText"/>
        <w:spacing w:line="314" w:lineRule="exact"/>
        <w:ind w:left="640"/>
      </w:pPr>
      <w:r>
        <w:rPr/>
        <w:t>s10803-019-04298-</w:t>
      </w:r>
      <w:r>
        <w:rPr>
          <w:spacing w:val="-10"/>
        </w:rPr>
        <w:t>1</w:t>
      </w:r>
    </w:p>
    <w:p>
      <w:pPr>
        <w:pStyle w:val="BodyText"/>
        <w:spacing w:before="8"/>
        <w:rPr>
          <w:sz w:val="27"/>
        </w:rPr>
      </w:pPr>
    </w:p>
    <w:p>
      <w:pPr>
        <w:pStyle w:val="BodyText"/>
        <w:ind w:left="640" w:hanging="360"/>
      </w:pPr>
      <w:r>
        <w:rPr/>
        <w:t>Edwards-Leeper L, Feldman HA, Lash BR, Shumer DE, Tishelman</w:t>
      </w:r>
      <w:r>
        <w:rPr>
          <w:spacing w:val="-5"/>
        </w:rPr>
        <w:t> </w:t>
      </w:r>
      <w:r>
        <w:rPr/>
        <w:t>AC. Psychological</w:t>
      </w:r>
      <w:r>
        <w:rPr>
          <w:spacing w:val="-4"/>
        </w:rPr>
        <w:t> </w:t>
      </w:r>
      <w:r>
        <w:rPr/>
        <w:t>profile</w:t>
      </w:r>
      <w:r>
        <w:rPr>
          <w:spacing w:val="-5"/>
        </w:rPr>
        <w:t> </w:t>
      </w:r>
      <w:r>
        <w:rPr/>
        <w:t>of</w:t>
      </w:r>
      <w:r>
        <w:rPr>
          <w:spacing w:val="-4"/>
        </w:rPr>
        <w:t> </w:t>
      </w:r>
      <w:r>
        <w:rPr/>
        <w:t>the</w:t>
      </w:r>
      <w:r>
        <w:rPr>
          <w:spacing w:val="-5"/>
        </w:rPr>
        <w:t> </w:t>
      </w:r>
      <w:r>
        <w:rPr/>
        <w:t>first</w:t>
      </w:r>
      <w:r>
        <w:rPr>
          <w:spacing w:val="-4"/>
        </w:rPr>
        <w:t> </w:t>
      </w:r>
      <w:r>
        <w:rPr/>
        <w:t>sample</w:t>
      </w:r>
      <w:r>
        <w:rPr>
          <w:spacing w:val="-5"/>
        </w:rPr>
        <w:t> </w:t>
      </w:r>
      <w:r>
        <w:rPr/>
        <w:t>of</w:t>
      </w:r>
      <w:r>
        <w:rPr>
          <w:spacing w:val="-4"/>
        </w:rPr>
        <w:t> </w:t>
      </w:r>
      <w:r>
        <w:rPr/>
        <w:t>transgender</w:t>
      </w:r>
      <w:r>
        <w:rPr>
          <w:spacing w:val="-4"/>
        </w:rPr>
        <w:t> </w:t>
      </w:r>
      <w:r>
        <w:rPr/>
        <w:t>youth</w:t>
      </w:r>
      <w:r>
        <w:rPr>
          <w:spacing w:val="-4"/>
        </w:rPr>
        <w:t> </w:t>
      </w:r>
      <w:r>
        <w:rPr/>
        <w:t>presenting</w:t>
      </w:r>
      <w:r>
        <w:rPr>
          <w:spacing w:val="-4"/>
        </w:rPr>
        <w:t> </w:t>
      </w:r>
      <w:r>
        <w:rPr/>
        <w:t>for medical</w:t>
      </w:r>
      <w:r>
        <w:rPr>
          <w:spacing w:val="-3"/>
        </w:rPr>
        <w:t> </w:t>
      </w:r>
      <w:r>
        <w:rPr/>
        <w:t>intervention</w:t>
      </w:r>
      <w:r>
        <w:rPr>
          <w:spacing w:val="-3"/>
        </w:rPr>
        <w:t> </w:t>
      </w:r>
      <w:r>
        <w:rPr/>
        <w:t>in</w:t>
      </w:r>
      <w:r>
        <w:rPr>
          <w:spacing w:val="-3"/>
        </w:rPr>
        <w:t> </w:t>
      </w:r>
      <w:r>
        <w:rPr/>
        <w:t>a</w:t>
      </w:r>
      <w:r>
        <w:rPr>
          <w:spacing w:val="-4"/>
        </w:rPr>
        <w:t> </w:t>
      </w:r>
      <w:r>
        <w:rPr/>
        <w:t>U.S.</w:t>
      </w:r>
      <w:r>
        <w:rPr>
          <w:spacing w:val="-3"/>
        </w:rPr>
        <w:t> </w:t>
      </w:r>
      <w:r>
        <w:rPr/>
        <w:t>pediatric</w:t>
      </w:r>
      <w:r>
        <w:rPr>
          <w:spacing w:val="-4"/>
        </w:rPr>
        <w:t> </w:t>
      </w:r>
      <w:r>
        <w:rPr/>
        <w:t>gender</w:t>
      </w:r>
      <w:r>
        <w:rPr>
          <w:spacing w:val="-3"/>
        </w:rPr>
        <w:t> </w:t>
      </w:r>
      <w:r>
        <w:rPr/>
        <w:t>center.</w:t>
      </w:r>
      <w:r>
        <w:rPr>
          <w:spacing w:val="-4"/>
        </w:rPr>
        <w:t> </w:t>
      </w:r>
      <w:r>
        <w:rPr>
          <w:i/>
        </w:rPr>
        <w:t>Psychol</w:t>
      </w:r>
      <w:r>
        <w:rPr>
          <w:i/>
          <w:spacing w:val="-3"/>
        </w:rPr>
        <w:t> </w:t>
      </w:r>
      <w:r>
        <w:rPr>
          <w:i/>
        </w:rPr>
        <w:t>Sex</w:t>
      </w:r>
      <w:r>
        <w:rPr>
          <w:i/>
          <w:spacing w:val="-4"/>
        </w:rPr>
        <w:t> </w:t>
      </w:r>
      <w:r>
        <w:rPr>
          <w:i/>
        </w:rPr>
        <w:t>Orientat</w:t>
      </w:r>
      <w:r>
        <w:rPr>
          <w:i/>
        </w:rPr>
        <w:t> Gend Divers</w:t>
      </w:r>
      <w:r>
        <w:rPr/>
        <w:t>. 2017;4(3):374-382. https://doi.org/10.1037/sgd0000239</w:t>
      </w:r>
    </w:p>
    <w:p>
      <w:pPr>
        <w:pStyle w:val="BodyText"/>
        <w:spacing w:before="7"/>
        <w:rPr>
          <w:sz w:val="25"/>
        </w:rPr>
      </w:pPr>
    </w:p>
    <w:p>
      <w:pPr>
        <w:pStyle w:val="BodyText"/>
        <w:ind w:left="640" w:right="502" w:hanging="360"/>
      </w:pPr>
      <w:r>
        <w:rPr/>
        <w:t>Watson</w:t>
      </w:r>
      <w:r>
        <w:rPr>
          <w:spacing w:val="-12"/>
        </w:rPr>
        <w:t> </w:t>
      </w:r>
      <w:r>
        <w:rPr/>
        <w:t>RJ,</w:t>
      </w:r>
      <w:r>
        <w:rPr>
          <w:spacing w:val="-8"/>
        </w:rPr>
        <w:t> </w:t>
      </w:r>
      <w:r>
        <w:rPr/>
        <w:t>Grossman</w:t>
      </w:r>
      <w:r>
        <w:rPr>
          <w:spacing w:val="-18"/>
        </w:rPr>
        <w:t> </w:t>
      </w:r>
      <w:r>
        <w:rPr/>
        <w:t>AH,</w:t>
      </w:r>
      <w:r>
        <w:rPr>
          <w:spacing w:val="-7"/>
        </w:rPr>
        <w:t> </w:t>
      </w:r>
      <w:r>
        <w:rPr/>
        <w:t>Russell</w:t>
      </w:r>
      <w:r>
        <w:rPr>
          <w:spacing w:val="-8"/>
        </w:rPr>
        <w:t> </w:t>
      </w:r>
      <w:r>
        <w:rPr/>
        <w:t>ST.</w:t>
      </w:r>
      <w:r>
        <w:rPr>
          <w:spacing w:val="-8"/>
        </w:rPr>
        <w:t> </w:t>
      </w:r>
      <w:r>
        <w:rPr/>
        <w:t>Sources</w:t>
      </w:r>
      <w:r>
        <w:rPr>
          <w:spacing w:val="-8"/>
        </w:rPr>
        <w:t> </w:t>
      </w:r>
      <w:r>
        <w:rPr/>
        <w:t>of</w:t>
      </w:r>
      <w:r>
        <w:rPr>
          <w:spacing w:val="-8"/>
        </w:rPr>
        <w:t> </w:t>
      </w:r>
      <w:r>
        <w:rPr/>
        <w:t>social</w:t>
      </w:r>
      <w:r>
        <w:rPr>
          <w:spacing w:val="-8"/>
        </w:rPr>
        <w:t> </w:t>
      </w:r>
      <w:r>
        <w:rPr/>
        <w:t>support</w:t>
      </w:r>
      <w:r>
        <w:rPr>
          <w:spacing w:val="-8"/>
        </w:rPr>
        <w:t> </w:t>
      </w:r>
      <w:r>
        <w:rPr/>
        <w:t>and</w:t>
      </w:r>
      <w:r>
        <w:rPr>
          <w:spacing w:val="-8"/>
        </w:rPr>
        <w:t> </w:t>
      </w:r>
      <w:r>
        <w:rPr/>
        <w:t>mental health among LGB youth. </w:t>
      </w:r>
      <w:r>
        <w:rPr>
          <w:i/>
        </w:rPr>
        <w:t>Youth Soc</w:t>
      </w:r>
      <w:r>
        <w:rPr/>
        <w:t>. 2019;51(1):3048. https://doi.org/ </w:t>
      </w:r>
      <w:r>
        <w:rPr>
          <w:spacing w:val="-2"/>
        </w:rPr>
        <w:t>10.1177/0044118X16660110</w:t>
      </w:r>
    </w:p>
    <w:p>
      <w:pPr>
        <w:pStyle w:val="BodyText"/>
        <w:spacing w:before="10"/>
        <w:rPr>
          <w:sz w:val="25"/>
        </w:rPr>
      </w:pPr>
    </w:p>
    <w:p>
      <w:pPr>
        <w:spacing w:before="0"/>
        <w:ind w:left="640" w:right="499" w:hanging="360"/>
        <w:jc w:val="left"/>
        <w:rPr>
          <w:sz w:val="28"/>
        </w:rPr>
      </w:pPr>
      <w:r>
        <w:rPr>
          <w:sz w:val="28"/>
        </w:rPr>
        <w:t>Bronfenbrenner</w:t>
      </w:r>
      <w:r>
        <w:rPr>
          <w:spacing w:val="-4"/>
          <w:sz w:val="28"/>
        </w:rPr>
        <w:t> </w:t>
      </w:r>
      <w:r>
        <w:rPr>
          <w:sz w:val="28"/>
        </w:rPr>
        <w:t>U.</w:t>
      </w:r>
      <w:r>
        <w:rPr>
          <w:spacing w:val="-5"/>
          <w:sz w:val="28"/>
        </w:rPr>
        <w:t> </w:t>
      </w:r>
      <w:r>
        <w:rPr>
          <w:i/>
          <w:sz w:val="28"/>
        </w:rPr>
        <w:t>The</w:t>
      </w:r>
      <w:r>
        <w:rPr>
          <w:i/>
          <w:spacing w:val="-5"/>
          <w:sz w:val="28"/>
        </w:rPr>
        <w:t> </w:t>
      </w:r>
      <w:r>
        <w:rPr>
          <w:i/>
          <w:sz w:val="28"/>
        </w:rPr>
        <w:t>ecology</w:t>
      </w:r>
      <w:r>
        <w:rPr>
          <w:i/>
          <w:spacing w:val="-5"/>
          <w:sz w:val="28"/>
        </w:rPr>
        <w:t> </w:t>
      </w:r>
      <w:r>
        <w:rPr>
          <w:i/>
          <w:sz w:val="28"/>
        </w:rPr>
        <w:t>of</w:t>
      </w:r>
      <w:r>
        <w:rPr>
          <w:i/>
          <w:spacing w:val="-4"/>
          <w:sz w:val="28"/>
        </w:rPr>
        <w:t> </w:t>
      </w:r>
      <w:r>
        <w:rPr>
          <w:i/>
          <w:sz w:val="28"/>
        </w:rPr>
        <w:t>human</w:t>
      </w:r>
      <w:r>
        <w:rPr>
          <w:i/>
          <w:spacing w:val="-4"/>
          <w:sz w:val="28"/>
        </w:rPr>
        <w:t> </w:t>
      </w:r>
      <w:r>
        <w:rPr>
          <w:i/>
          <w:sz w:val="28"/>
        </w:rPr>
        <w:t>development:</w:t>
      </w:r>
      <w:r>
        <w:rPr>
          <w:i/>
          <w:spacing w:val="-4"/>
          <w:sz w:val="28"/>
        </w:rPr>
        <w:t> </w:t>
      </w:r>
      <w:r>
        <w:rPr>
          <w:i/>
          <w:sz w:val="28"/>
        </w:rPr>
        <w:t>Experiments</w:t>
      </w:r>
      <w:r>
        <w:rPr>
          <w:i/>
          <w:spacing w:val="-4"/>
          <w:sz w:val="28"/>
        </w:rPr>
        <w:t> </w:t>
      </w:r>
      <w:r>
        <w:rPr>
          <w:i/>
          <w:sz w:val="28"/>
        </w:rPr>
        <w:t>by</w:t>
      </w:r>
      <w:r>
        <w:rPr>
          <w:i/>
          <w:spacing w:val="-5"/>
          <w:sz w:val="28"/>
        </w:rPr>
        <w:t> </w:t>
      </w:r>
      <w:r>
        <w:rPr>
          <w:i/>
          <w:sz w:val="28"/>
        </w:rPr>
        <w:t>design</w:t>
      </w:r>
      <w:r>
        <w:rPr>
          <w:i/>
          <w:sz w:val="28"/>
        </w:rPr>
        <w:t> and nature</w:t>
      </w:r>
      <w:r>
        <w:rPr>
          <w:sz w:val="28"/>
        </w:rPr>
        <w:t>. Cambridge, MA: Harvard University Press; 1979.</w:t>
      </w:r>
    </w:p>
    <w:p>
      <w:pPr>
        <w:pStyle w:val="BodyText"/>
        <w:rPr>
          <w:sz w:val="26"/>
        </w:rPr>
      </w:pPr>
    </w:p>
    <w:p>
      <w:pPr>
        <w:pStyle w:val="BodyText"/>
        <w:ind w:left="640" w:right="499" w:hanging="360"/>
      </w:pPr>
      <w:r>
        <w:rPr/>
        <w:t>Mustanski B, Birkett M, Greene GJ, Hatzenbuehler ML, Newcomb ME. Envisioning</w:t>
      </w:r>
      <w:r>
        <w:rPr>
          <w:spacing w:val="-7"/>
        </w:rPr>
        <w:t> </w:t>
      </w:r>
      <w:r>
        <w:rPr/>
        <w:t>an</w:t>
      </w:r>
      <w:r>
        <w:rPr>
          <w:spacing w:val="-18"/>
        </w:rPr>
        <w:t> </w:t>
      </w:r>
      <w:r>
        <w:rPr/>
        <w:t>America</w:t>
      </w:r>
      <w:r>
        <w:rPr>
          <w:spacing w:val="-6"/>
        </w:rPr>
        <w:t> </w:t>
      </w:r>
      <w:r>
        <w:rPr/>
        <w:t>without</w:t>
      </w:r>
      <w:r>
        <w:rPr>
          <w:spacing w:val="-5"/>
        </w:rPr>
        <w:t> </w:t>
      </w:r>
      <w:r>
        <w:rPr/>
        <w:t>sexual</w:t>
      </w:r>
      <w:r>
        <w:rPr>
          <w:spacing w:val="-5"/>
        </w:rPr>
        <w:t> </w:t>
      </w:r>
      <w:r>
        <w:rPr/>
        <w:t>orientation</w:t>
      </w:r>
      <w:r>
        <w:rPr>
          <w:spacing w:val="-5"/>
        </w:rPr>
        <w:t> </w:t>
      </w:r>
      <w:r>
        <w:rPr/>
        <w:t>inequities</w:t>
      </w:r>
      <w:r>
        <w:rPr>
          <w:spacing w:val="-5"/>
        </w:rPr>
        <w:t> </w:t>
      </w:r>
      <w:r>
        <w:rPr/>
        <w:t>in</w:t>
      </w:r>
      <w:r>
        <w:rPr>
          <w:spacing w:val="-5"/>
        </w:rPr>
        <w:t> </w:t>
      </w:r>
      <w:r>
        <w:rPr/>
        <w:t>adolescent</w:t>
      </w:r>
    </w:p>
    <w:p>
      <w:pPr>
        <w:spacing w:after="0"/>
        <w:sectPr>
          <w:pgSz w:w="12240" w:h="15840"/>
          <w:pgMar w:header="0" w:footer="783" w:top="1260" w:bottom="980" w:left="1400" w:right="1180"/>
        </w:sectPr>
      </w:pPr>
    </w:p>
    <w:p>
      <w:pPr>
        <w:pStyle w:val="BodyText"/>
        <w:spacing w:before="66"/>
        <w:ind w:left="640"/>
      </w:pPr>
      <w:r>
        <w:rPr/>
        <w:t>health.</w:t>
      </w:r>
      <w:r>
        <w:rPr>
          <w:spacing w:val="-7"/>
        </w:rPr>
        <w:t> </w:t>
      </w:r>
      <w:r>
        <w:rPr>
          <w:i/>
        </w:rPr>
        <w:t>Am</w:t>
      </w:r>
      <w:r>
        <w:rPr>
          <w:i/>
          <w:spacing w:val="-7"/>
        </w:rPr>
        <w:t> </w:t>
      </w:r>
      <w:r>
        <w:rPr>
          <w:i/>
        </w:rPr>
        <w:t>J</w:t>
      </w:r>
      <w:r>
        <w:rPr>
          <w:i/>
          <w:spacing w:val="-8"/>
        </w:rPr>
        <w:t> </w:t>
      </w:r>
      <w:r>
        <w:rPr>
          <w:i/>
        </w:rPr>
        <w:t>Public</w:t>
      </w:r>
      <w:r>
        <w:rPr>
          <w:i/>
          <w:spacing w:val="-8"/>
        </w:rPr>
        <w:t> </w:t>
      </w:r>
      <w:r>
        <w:rPr>
          <w:i/>
        </w:rPr>
        <w:t>Health</w:t>
      </w:r>
      <w:r>
        <w:rPr/>
        <w:t>.</w:t>
      </w:r>
      <w:r>
        <w:rPr>
          <w:spacing w:val="-7"/>
        </w:rPr>
        <w:t> </w:t>
      </w:r>
      <w:r>
        <w:rPr/>
        <w:t>2014;104(2):218-225.</w:t>
      </w:r>
      <w:r>
        <w:rPr>
          <w:spacing w:val="-7"/>
        </w:rPr>
        <w:t> </w:t>
      </w:r>
      <w:r>
        <w:rPr/>
        <w:t>https://doi.org/10.2105/ </w:t>
      </w:r>
      <w:r>
        <w:rPr>
          <w:spacing w:val="-2"/>
        </w:rPr>
        <w:t>AJPH.2013.301625</w:t>
      </w:r>
    </w:p>
    <w:p>
      <w:pPr>
        <w:pStyle w:val="BodyText"/>
        <w:rPr>
          <w:sz w:val="26"/>
        </w:rPr>
      </w:pPr>
    </w:p>
    <w:p>
      <w:pPr>
        <w:spacing w:before="0"/>
        <w:ind w:left="640" w:right="499" w:hanging="360"/>
        <w:jc w:val="left"/>
        <w:rPr>
          <w:sz w:val="28"/>
        </w:rPr>
      </w:pPr>
      <w:r>
        <w:rPr>
          <w:sz w:val="28"/>
        </w:rPr>
        <w:t>National</w:t>
      </w:r>
      <w:r>
        <w:rPr>
          <w:spacing w:val="-4"/>
          <w:sz w:val="28"/>
        </w:rPr>
        <w:t> </w:t>
      </w:r>
      <w:r>
        <w:rPr>
          <w:sz w:val="28"/>
        </w:rPr>
        <w:t>Academies of Sciences, Engineering, and Medicine. The health of lesbian, gay, bisexual, and transgender people. In </w:t>
      </w:r>
      <w:r>
        <w:rPr>
          <w:i/>
          <w:sz w:val="28"/>
        </w:rPr>
        <w:t>The Health of Lesbian,</w:t>
      </w:r>
      <w:r>
        <w:rPr>
          <w:i/>
          <w:sz w:val="28"/>
        </w:rPr>
        <w:t> Gay,</w:t>
      </w:r>
      <w:r>
        <w:rPr>
          <w:i/>
          <w:spacing w:val="-8"/>
          <w:sz w:val="28"/>
        </w:rPr>
        <w:t> </w:t>
      </w:r>
      <w:r>
        <w:rPr>
          <w:i/>
          <w:sz w:val="28"/>
        </w:rPr>
        <w:t>Bisexual,</w:t>
      </w:r>
      <w:r>
        <w:rPr>
          <w:i/>
          <w:spacing w:val="-8"/>
          <w:sz w:val="28"/>
        </w:rPr>
        <w:t> </w:t>
      </w:r>
      <w:r>
        <w:rPr>
          <w:i/>
          <w:sz w:val="28"/>
        </w:rPr>
        <w:t>and</w:t>
      </w:r>
      <w:r>
        <w:rPr>
          <w:i/>
          <w:spacing w:val="-8"/>
          <w:sz w:val="28"/>
        </w:rPr>
        <w:t> </w:t>
      </w:r>
      <w:r>
        <w:rPr>
          <w:i/>
          <w:sz w:val="28"/>
        </w:rPr>
        <w:t>Transgender</w:t>
      </w:r>
      <w:r>
        <w:rPr>
          <w:i/>
          <w:spacing w:val="-8"/>
          <w:sz w:val="28"/>
        </w:rPr>
        <w:t> </w:t>
      </w:r>
      <w:r>
        <w:rPr>
          <w:i/>
          <w:sz w:val="28"/>
        </w:rPr>
        <w:t>People:</w:t>
      </w:r>
      <w:r>
        <w:rPr>
          <w:i/>
          <w:spacing w:val="-8"/>
          <w:sz w:val="28"/>
        </w:rPr>
        <w:t> </w:t>
      </w:r>
      <w:r>
        <w:rPr>
          <w:i/>
          <w:sz w:val="28"/>
        </w:rPr>
        <w:t>Building</w:t>
      </w:r>
      <w:r>
        <w:rPr>
          <w:i/>
          <w:spacing w:val="-8"/>
          <w:sz w:val="28"/>
        </w:rPr>
        <w:t> </w:t>
      </w:r>
      <w:r>
        <w:rPr>
          <w:i/>
          <w:sz w:val="28"/>
        </w:rPr>
        <w:t>a</w:t>
      </w:r>
      <w:r>
        <w:rPr>
          <w:i/>
          <w:spacing w:val="-8"/>
          <w:sz w:val="28"/>
        </w:rPr>
        <w:t> </w:t>
      </w:r>
      <w:r>
        <w:rPr>
          <w:i/>
          <w:sz w:val="28"/>
        </w:rPr>
        <w:t>Foundation</w:t>
      </w:r>
      <w:r>
        <w:rPr>
          <w:i/>
          <w:spacing w:val="-8"/>
          <w:sz w:val="28"/>
        </w:rPr>
        <w:t> </w:t>
      </w:r>
      <w:r>
        <w:rPr>
          <w:i/>
          <w:sz w:val="28"/>
        </w:rPr>
        <w:t>for</w:t>
      </w:r>
      <w:r>
        <w:rPr>
          <w:i/>
          <w:spacing w:val="-8"/>
          <w:sz w:val="28"/>
        </w:rPr>
        <w:t> </w:t>
      </w:r>
      <w:r>
        <w:rPr>
          <w:i/>
          <w:sz w:val="28"/>
        </w:rPr>
        <w:t>Better Understanding</w:t>
      </w:r>
      <w:r>
        <w:rPr>
          <w:sz w:val="28"/>
        </w:rPr>
        <w:t>. Washington, DC: The National</w:t>
      </w:r>
      <w:r>
        <w:rPr>
          <w:spacing w:val="-1"/>
          <w:sz w:val="28"/>
        </w:rPr>
        <w:t> </w:t>
      </w:r>
      <w:r>
        <w:rPr>
          <w:sz w:val="28"/>
        </w:rPr>
        <w:t>Academies Press;2011, chapter 4, https://doi.org/10.17226/13128</w:t>
      </w:r>
    </w:p>
    <w:p>
      <w:pPr>
        <w:pStyle w:val="BodyText"/>
        <w:spacing w:before="5"/>
        <w:rPr>
          <w:sz w:val="25"/>
        </w:rPr>
      </w:pPr>
    </w:p>
    <w:p>
      <w:pPr>
        <w:pStyle w:val="BodyText"/>
        <w:spacing w:before="1"/>
        <w:ind w:left="640" w:right="668" w:hanging="360"/>
      </w:pPr>
      <w:r>
        <w:rPr/>
        <w:t>van Bergen DD, Wilson BDM, Russell ST, Gordon</w:t>
      </w:r>
      <w:r>
        <w:rPr>
          <w:spacing w:val="-8"/>
        </w:rPr>
        <w:t> </w:t>
      </w:r>
      <w:r>
        <w:rPr/>
        <w:t>AG, Rothblum ED. Parental responses to coming out by lesbian, gay, bisexual, queer, pansexual,</w:t>
      </w:r>
      <w:r>
        <w:rPr>
          <w:spacing w:val="-4"/>
        </w:rPr>
        <w:t> </w:t>
      </w:r>
      <w:r>
        <w:rPr/>
        <w:t>or</w:t>
      </w:r>
      <w:r>
        <w:rPr>
          <w:spacing w:val="-4"/>
        </w:rPr>
        <w:t> </w:t>
      </w:r>
      <w:r>
        <w:rPr/>
        <w:t>two-spirited</w:t>
      </w:r>
      <w:r>
        <w:rPr>
          <w:spacing w:val="-4"/>
        </w:rPr>
        <w:t> </w:t>
      </w:r>
      <w:r>
        <w:rPr/>
        <w:t>people</w:t>
      </w:r>
      <w:r>
        <w:rPr>
          <w:spacing w:val="-5"/>
        </w:rPr>
        <w:t> </w:t>
      </w:r>
      <w:r>
        <w:rPr/>
        <w:t>across</w:t>
      </w:r>
      <w:r>
        <w:rPr>
          <w:spacing w:val="-4"/>
        </w:rPr>
        <w:t> </w:t>
      </w:r>
      <w:r>
        <w:rPr/>
        <w:t>three</w:t>
      </w:r>
      <w:r>
        <w:rPr>
          <w:spacing w:val="-5"/>
        </w:rPr>
        <w:t> </w:t>
      </w:r>
      <w:r>
        <w:rPr/>
        <w:t>age</w:t>
      </w:r>
      <w:r>
        <w:rPr>
          <w:spacing w:val="-5"/>
        </w:rPr>
        <w:t> </w:t>
      </w:r>
      <w:r>
        <w:rPr/>
        <w:t>cohorts.</w:t>
      </w:r>
      <w:r>
        <w:rPr>
          <w:spacing w:val="-5"/>
        </w:rPr>
        <w:t> </w:t>
      </w:r>
      <w:r>
        <w:rPr>
          <w:i/>
        </w:rPr>
        <w:t>J</w:t>
      </w:r>
      <w:r>
        <w:rPr>
          <w:i/>
          <w:spacing w:val="-5"/>
        </w:rPr>
        <w:t> </w:t>
      </w:r>
      <w:r>
        <w:rPr>
          <w:i/>
        </w:rPr>
        <w:t>Marriage</w:t>
      </w:r>
      <w:r>
        <w:rPr>
          <w:i/>
        </w:rPr>
        <w:t> Fam. </w:t>
      </w:r>
      <w:r>
        <w:rPr/>
        <w:t>2021;83(4):1116-1133. https://doi.org/10.1111/jomf.12731</w:t>
      </w:r>
    </w:p>
    <w:p>
      <w:pPr>
        <w:pStyle w:val="BodyText"/>
        <w:spacing w:before="7"/>
        <w:rPr>
          <w:sz w:val="25"/>
        </w:rPr>
      </w:pPr>
    </w:p>
    <w:p>
      <w:pPr>
        <w:pStyle w:val="BodyText"/>
        <w:ind w:left="640" w:right="874" w:hanging="360"/>
      </w:pPr>
      <w:r>
        <w:rPr/>
        <w:t>Ryan</w:t>
      </w:r>
      <w:r>
        <w:rPr>
          <w:spacing w:val="-4"/>
        </w:rPr>
        <w:t> </w:t>
      </w:r>
      <w:r>
        <w:rPr/>
        <w:t>C,</w:t>
      </w:r>
      <w:r>
        <w:rPr>
          <w:spacing w:val="-4"/>
        </w:rPr>
        <w:t> </w:t>
      </w:r>
      <w:r>
        <w:rPr/>
        <w:t>Huebner</w:t>
      </w:r>
      <w:r>
        <w:rPr>
          <w:spacing w:val="-4"/>
        </w:rPr>
        <w:t> </w:t>
      </w:r>
      <w:r>
        <w:rPr/>
        <w:t>D,</w:t>
      </w:r>
      <w:r>
        <w:rPr>
          <w:spacing w:val="-4"/>
        </w:rPr>
        <w:t> </w:t>
      </w:r>
      <w:r>
        <w:rPr/>
        <w:t>Diaz</w:t>
      </w:r>
      <w:r>
        <w:rPr>
          <w:spacing w:val="-5"/>
        </w:rPr>
        <w:t> </w:t>
      </w:r>
      <w:r>
        <w:rPr/>
        <w:t>RM,</w:t>
      </w:r>
      <w:r>
        <w:rPr>
          <w:spacing w:val="-4"/>
        </w:rPr>
        <w:t> </w:t>
      </w:r>
      <w:r>
        <w:rPr/>
        <w:t>Sanchez</w:t>
      </w:r>
      <w:r>
        <w:rPr>
          <w:spacing w:val="-5"/>
        </w:rPr>
        <w:t> </w:t>
      </w:r>
      <w:r>
        <w:rPr/>
        <w:t>J.</w:t>
      </w:r>
      <w:r>
        <w:rPr>
          <w:spacing w:val="-4"/>
        </w:rPr>
        <w:t> </w:t>
      </w:r>
      <w:r>
        <w:rPr/>
        <w:t>Family</w:t>
      </w:r>
      <w:r>
        <w:rPr>
          <w:spacing w:val="-4"/>
        </w:rPr>
        <w:t> </w:t>
      </w:r>
      <w:r>
        <w:rPr/>
        <w:t>rejection</w:t>
      </w:r>
      <w:r>
        <w:rPr>
          <w:spacing w:val="-4"/>
        </w:rPr>
        <w:t> </w:t>
      </w:r>
      <w:r>
        <w:rPr/>
        <w:t>as</w:t>
      </w:r>
      <w:r>
        <w:rPr>
          <w:spacing w:val="-4"/>
        </w:rPr>
        <w:t> </w:t>
      </w:r>
      <w:r>
        <w:rPr/>
        <w:t>a</w:t>
      </w:r>
      <w:r>
        <w:rPr>
          <w:spacing w:val="-5"/>
        </w:rPr>
        <w:t> </w:t>
      </w:r>
      <w:r>
        <w:rPr/>
        <w:t>predictor</w:t>
      </w:r>
      <w:r>
        <w:rPr>
          <w:spacing w:val="-4"/>
        </w:rPr>
        <w:t> </w:t>
      </w:r>
      <w:r>
        <w:rPr/>
        <w:t>of negative health outcomes in white and Latino lesbian, gay, and bisexual young adults. </w:t>
      </w:r>
      <w:r>
        <w:rPr>
          <w:i/>
        </w:rPr>
        <w:t>Pediatrics</w:t>
      </w:r>
      <w:r>
        <w:rPr/>
        <w:t>. 2009;123(1):346-352. https://doi.org/10.1542/ </w:t>
      </w:r>
      <w:r>
        <w:rPr>
          <w:spacing w:val="-2"/>
        </w:rPr>
        <w:t>peds.2007-3524</w:t>
      </w:r>
    </w:p>
    <w:p>
      <w:pPr>
        <w:pStyle w:val="BodyText"/>
        <w:spacing w:before="8"/>
        <w:rPr>
          <w:sz w:val="25"/>
        </w:rPr>
      </w:pPr>
    </w:p>
    <w:p>
      <w:pPr>
        <w:pStyle w:val="BodyText"/>
        <w:ind w:left="640" w:right="502" w:hanging="360"/>
      </w:pPr>
      <w:r>
        <w:rPr/>
        <w:t>Price</w:t>
      </w:r>
      <w:r>
        <w:rPr>
          <w:spacing w:val="-8"/>
        </w:rPr>
        <w:t> </w:t>
      </w:r>
      <w:r>
        <w:rPr/>
        <w:t>MN,</w:t>
      </w:r>
      <w:r>
        <w:rPr>
          <w:spacing w:val="-4"/>
        </w:rPr>
        <w:t> </w:t>
      </w:r>
      <w:r>
        <w:rPr/>
        <w:t>Green</w:t>
      </w:r>
      <w:r>
        <w:rPr>
          <w:spacing w:val="-18"/>
        </w:rPr>
        <w:t> </w:t>
      </w:r>
      <w:r>
        <w:rPr/>
        <w:t>AE.</w:t>
      </w:r>
      <w:r>
        <w:rPr>
          <w:spacing w:val="-17"/>
        </w:rPr>
        <w:t> </w:t>
      </w:r>
      <w:r>
        <w:rPr/>
        <w:t>Association</w:t>
      </w:r>
      <w:r>
        <w:rPr>
          <w:spacing w:val="-4"/>
        </w:rPr>
        <w:t> </w:t>
      </w:r>
      <w:r>
        <w:rPr/>
        <w:t>of</w:t>
      </w:r>
      <w:r>
        <w:rPr>
          <w:spacing w:val="-4"/>
        </w:rPr>
        <w:t> </w:t>
      </w:r>
      <w:r>
        <w:rPr/>
        <w:t>gender</w:t>
      </w:r>
      <w:r>
        <w:rPr>
          <w:spacing w:val="-4"/>
        </w:rPr>
        <w:t> </w:t>
      </w:r>
      <w:r>
        <w:rPr/>
        <w:t>identity</w:t>
      </w:r>
      <w:r>
        <w:rPr>
          <w:spacing w:val="-4"/>
        </w:rPr>
        <w:t> </w:t>
      </w:r>
      <w:r>
        <w:rPr/>
        <w:t>acceptance</w:t>
      </w:r>
      <w:r>
        <w:rPr>
          <w:spacing w:val="-5"/>
        </w:rPr>
        <w:t> </w:t>
      </w:r>
      <w:r>
        <w:rPr/>
        <w:t>with</w:t>
      </w:r>
      <w:r>
        <w:rPr>
          <w:spacing w:val="-4"/>
        </w:rPr>
        <w:t> </w:t>
      </w:r>
      <w:r>
        <w:rPr/>
        <w:t>fewer suicide attempts among transgender and nonbinary youth, </w:t>
      </w:r>
      <w:r>
        <w:rPr>
          <w:i/>
        </w:rPr>
        <w:t>Transgender</w:t>
      </w:r>
      <w:r>
        <w:rPr>
          <w:i/>
        </w:rPr>
        <w:t> Health </w:t>
      </w:r>
      <w:r>
        <w:rPr/>
        <w:t>2021;0:0:1–8. https://doi.org/10.1089/trgh.2021.0079</w:t>
      </w:r>
    </w:p>
    <w:p>
      <w:pPr>
        <w:pStyle w:val="BodyText"/>
        <w:spacing w:before="9"/>
        <w:rPr>
          <w:sz w:val="25"/>
        </w:rPr>
      </w:pPr>
    </w:p>
    <w:p>
      <w:pPr>
        <w:pStyle w:val="BodyText"/>
        <w:ind w:left="640" w:right="502" w:hanging="360"/>
      </w:pPr>
      <w:r>
        <w:rPr/>
        <w:t>Reczek</w:t>
      </w:r>
      <w:r>
        <w:rPr>
          <w:spacing w:val="-9"/>
        </w:rPr>
        <w:t> </w:t>
      </w:r>
      <w:r>
        <w:rPr/>
        <w:t>C.</w:t>
      </w:r>
      <w:r>
        <w:rPr>
          <w:spacing w:val="-5"/>
        </w:rPr>
        <w:t> </w:t>
      </w:r>
      <w:r>
        <w:rPr/>
        <w:t>Sexual-and</w:t>
      </w:r>
      <w:r>
        <w:rPr>
          <w:spacing w:val="-5"/>
        </w:rPr>
        <w:t> </w:t>
      </w:r>
      <w:r>
        <w:rPr/>
        <w:t>gender-minority</w:t>
      </w:r>
      <w:r>
        <w:rPr>
          <w:spacing w:val="-5"/>
        </w:rPr>
        <w:t> </w:t>
      </w:r>
      <w:r>
        <w:rPr/>
        <w:t>families:</w:t>
      </w:r>
      <w:r>
        <w:rPr>
          <w:spacing w:val="-18"/>
        </w:rPr>
        <w:t> </w:t>
      </w:r>
      <w:r>
        <w:rPr/>
        <w:t>A</w:t>
      </w:r>
      <w:r>
        <w:rPr>
          <w:spacing w:val="-17"/>
        </w:rPr>
        <w:t> </w:t>
      </w:r>
      <w:r>
        <w:rPr/>
        <w:t>2010</w:t>
      </w:r>
      <w:r>
        <w:rPr>
          <w:spacing w:val="-5"/>
        </w:rPr>
        <w:t> </w:t>
      </w:r>
      <w:r>
        <w:rPr/>
        <w:t>to</w:t>
      </w:r>
      <w:r>
        <w:rPr>
          <w:spacing w:val="-5"/>
        </w:rPr>
        <w:t> </w:t>
      </w:r>
      <w:r>
        <w:rPr/>
        <w:t>2020</w:t>
      </w:r>
      <w:r>
        <w:rPr>
          <w:spacing w:val="-5"/>
        </w:rPr>
        <w:t> </w:t>
      </w:r>
      <w:r>
        <w:rPr/>
        <w:t>decade</w:t>
      </w:r>
      <w:r>
        <w:rPr>
          <w:spacing w:val="-6"/>
        </w:rPr>
        <w:t> </w:t>
      </w:r>
      <w:r>
        <w:rPr/>
        <w:t>in review. </w:t>
      </w:r>
      <w:r>
        <w:rPr>
          <w:i/>
        </w:rPr>
        <w:t>J Marriage Fam</w:t>
      </w:r>
      <w:r>
        <w:rPr/>
        <w:t>. 2020;82(1):300-325. https://doi.org/10.1111/ </w:t>
      </w:r>
      <w:r>
        <w:rPr>
          <w:spacing w:val="-2"/>
        </w:rPr>
        <w:t>jomf.12607</w:t>
      </w:r>
    </w:p>
    <w:p>
      <w:pPr>
        <w:pStyle w:val="BodyText"/>
        <w:spacing w:before="10"/>
        <w:rPr>
          <w:sz w:val="25"/>
        </w:rPr>
      </w:pPr>
    </w:p>
    <w:p>
      <w:pPr>
        <w:pStyle w:val="BodyText"/>
        <w:ind w:left="640" w:right="502" w:hanging="360"/>
      </w:pPr>
      <w:r>
        <w:rPr/>
        <w:t>Grafsky</w:t>
      </w:r>
      <w:r>
        <w:rPr>
          <w:spacing w:val="-9"/>
        </w:rPr>
        <w:t> </w:t>
      </w:r>
      <w:r>
        <w:rPr/>
        <w:t>EL,</w:t>
      </w:r>
      <w:r>
        <w:rPr>
          <w:spacing w:val="-8"/>
        </w:rPr>
        <w:t> </w:t>
      </w:r>
      <w:r>
        <w:rPr/>
        <w:t>Hickey</w:t>
      </w:r>
      <w:r>
        <w:rPr>
          <w:spacing w:val="-8"/>
        </w:rPr>
        <w:t> </w:t>
      </w:r>
      <w:r>
        <w:rPr/>
        <w:t>K,</w:t>
      </w:r>
      <w:r>
        <w:rPr>
          <w:spacing w:val="-8"/>
        </w:rPr>
        <w:t> </w:t>
      </w:r>
      <w:r>
        <w:rPr/>
        <w:t>Nguyen</w:t>
      </w:r>
      <w:r>
        <w:rPr>
          <w:spacing w:val="-8"/>
        </w:rPr>
        <w:t> </w:t>
      </w:r>
      <w:r>
        <w:rPr/>
        <w:t>HN,</w:t>
      </w:r>
      <w:r>
        <w:rPr>
          <w:spacing w:val="-14"/>
        </w:rPr>
        <w:t> </w:t>
      </w:r>
      <w:r>
        <w:rPr/>
        <w:t>Wall</w:t>
      </w:r>
      <w:r>
        <w:rPr>
          <w:spacing w:val="-8"/>
        </w:rPr>
        <w:t> </w:t>
      </w:r>
      <w:r>
        <w:rPr/>
        <w:t>JD.</w:t>
      </w:r>
      <w:r>
        <w:rPr>
          <w:spacing w:val="-18"/>
        </w:rPr>
        <w:t> </w:t>
      </w:r>
      <w:r>
        <w:rPr/>
        <w:t>Youth</w:t>
      </w:r>
      <w:r>
        <w:rPr>
          <w:spacing w:val="-8"/>
        </w:rPr>
        <w:t> </w:t>
      </w:r>
      <w:r>
        <w:rPr/>
        <w:t>disclosure</w:t>
      </w:r>
      <w:r>
        <w:rPr>
          <w:spacing w:val="-9"/>
        </w:rPr>
        <w:t> </w:t>
      </w:r>
      <w:r>
        <w:rPr/>
        <w:t>of</w:t>
      </w:r>
      <w:r>
        <w:rPr>
          <w:spacing w:val="-8"/>
        </w:rPr>
        <w:t> </w:t>
      </w:r>
      <w:r>
        <w:rPr/>
        <w:t>sexual orientation to siblings and extended family. </w:t>
      </w:r>
      <w:r>
        <w:rPr>
          <w:i/>
        </w:rPr>
        <w:t>Fam Relat</w:t>
      </w:r>
      <w:r>
        <w:rPr/>
        <w:t>.</w:t>
      </w:r>
    </w:p>
    <w:p>
      <w:pPr>
        <w:pStyle w:val="BodyText"/>
        <w:spacing w:line="318" w:lineRule="exact"/>
        <w:ind w:left="640"/>
      </w:pPr>
      <w:r>
        <w:rPr/>
        <w:t>2018;67(1):147-160.</w:t>
      </w:r>
      <w:r>
        <w:rPr>
          <w:spacing w:val="-2"/>
        </w:rPr>
        <w:t> https://doi.org/10.1111/fare.12299</w:t>
      </w:r>
    </w:p>
    <w:p>
      <w:pPr>
        <w:pStyle w:val="BodyText"/>
        <w:spacing w:before="2"/>
        <w:rPr>
          <w:sz w:val="26"/>
        </w:rPr>
      </w:pPr>
    </w:p>
    <w:p>
      <w:pPr>
        <w:pStyle w:val="BodyText"/>
        <w:ind w:left="640" w:right="502" w:hanging="360"/>
      </w:pPr>
      <w:r>
        <w:rPr/>
        <w:t>Clements-Nolle K, Lensch</w:t>
      </w:r>
      <w:r>
        <w:rPr>
          <w:spacing w:val="-1"/>
        </w:rPr>
        <w:t> </w:t>
      </w:r>
      <w:r>
        <w:rPr/>
        <w:t>T, Baxa</w:t>
      </w:r>
      <w:r>
        <w:rPr>
          <w:spacing w:val="-12"/>
        </w:rPr>
        <w:t> </w:t>
      </w:r>
      <w:r>
        <w:rPr/>
        <w:t>A, Gay C, Larson S,</w:t>
      </w:r>
      <w:r>
        <w:rPr>
          <w:spacing w:val="-6"/>
        </w:rPr>
        <w:t> </w:t>
      </w:r>
      <w:r>
        <w:rPr/>
        <w:t>Yang</w:t>
      </w:r>
      <w:r>
        <w:rPr>
          <w:spacing w:val="-1"/>
        </w:rPr>
        <w:t> </w:t>
      </w:r>
      <w:r>
        <w:rPr/>
        <w:t>W. Sexual identity,</w:t>
      </w:r>
      <w:r>
        <w:rPr>
          <w:spacing w:val="-7"/>
        </w:rPr>
        <w:t> </w:t>
      </w:r>
      <w:r>
        <w:rPr/>
        <w:t>adverse</w:t>
      </w:r>
      <w:r>
        <w:rPr>
          <w:spacing w:val="-8"/>
        </w:rPr>
        <w:t> </w:t>
      </w:r>
      <w:r>
        <w:rPr/>
        <w:t>childhood</w:t>
      </w:r>
      <w:r>
        <w:rPr>
          <w:spacing w:val="-7"/>
        </w:rPr>
        <w:t> </w:t>
      </w:r>
      <w:r>
        <w:rPr/>
        <w:t>experiences,</w:t>
      </w:r>
      <w:r>
        <w:rPr>
          <w:spacing w:val="-7"/>
        </w:rPr>
        <w:t> </w:t>
      </w:r>
      <w:r>
        <w:rPr/>
        <w:t>and</w:t>
      </w:r>
      <w:r>
        <w:rPr>
          <w:spacing w:val="-7"/>
        </w:rPr>
        <w:t> </w:t>
      </w:r>
      <w:r>
        <w:rPr/>
        <w:t>suicidal</w:t>
      </w:r>
      <w:r>
        <w:rPr>
          <w:spacing w:val="-7"/>
        </w:rPr>
        <w:t> </w:t>
      </w:r>
      <w:r>
        <w:rPr/>
        <w:t>behaviours.</w:t>
      </w:r>
      <w:r>
        <w:rPr>
          <w:spacing w:val="-8"/>
        </w:rPr>
        <w:t> </w:t>
      </w:r>
      <w:r>
        <w:rPr>
          <w:i/>
        </w:rPr>
        <w:t>J</w:t>
      </w:r>
      <w:r>
        <w:rPr>
          <w:i/>
          <w:spacing w:val="-13"/>
        </w:rPr>
        <w:t> </w:t>
      </w:r>
      <w:r>
        <w:rPr>
          <w:i/>
        </w:rPr>
        <w:t>Adolesc</w:t>
      </w:r>
      <w:r>
        <w:rPr>
          <w:i/>
        </w:rPr>
        <w:t> Health. </w:t>
      </w:r>
      <w:r>
        <w:rPr/>
        <w:t>2018;62(2):198-204. https://doi.org/10.1016/j.jadohealth.2017.09.</w:t>
      </w:r>
    </w:p>
    <w:p>
      <w:pPr>
        <w:pStyle w:val="BodyText"/>
        <w:spacing w:line="316" w:lineRule="exact"/>
        <w:ind w:left="640"/>
      </w:pPr>
      <w:r>
        <w:rPr>
          <w:spacing w:val="-5"/>
        </w:rPr>
        <w:t>022</w:t>
      </w:r>
    </w:p>
    <w:p>
      <w:pPr>
        <w:pStyle w:val="BodyText"/>
        <w:spacing w:before="2"/>
        <w:rPr>
          <w:sz w:val="26"/>
        </w:rPr>
      </w:pPr>
    </w:p>
    <w:p>
      <w:pPr>
        <w:pStyle w:val="BodyText"/>
        <w:ind w:left="640" w:hanging="360"/>
      </w:pPr>
      <w:r>
        <w:rPr/>
        <w:t>Sterzing</w:t>
      </w:r>
      <w:r>
        <w:rPr>
          <w:spacing w:val="-6"/>
        </w:rPr>
        <w:t> </w:t>
      </w:r>
      <w:r>
        <w:rPr/>
        <w:t>PR,</w:t>
      </w:r>
      <w:r>
        <w:rPr>
          <w:spacing w:val="-4"/>
        </w:rPr>
        <w:t> </w:t>
      </w:r>
      <w:r>
        <w:rPr/>
        <w:t>Fisher</w:t>
      </w:r>
      <w:r>
        <w:rPr>
          <w:spacing w:val="-18"/>
        </w:rPr>
        <w:t> </w:t>
      </w:r>
      <w:r>
        <w:rPr/>
        <w:t>AJ,</w:t>
      </w:r>
      <w:r>
        <w:rPr>
          <w:spacing w:val="-4"/>
        </w:rPr>
        <w:t> </w:t>
      </w:r>
      <w:r>
        <w:rPr/>
        <w:t>Gartner</w:t>
      </w:r>
      <w:r>
        <w:rPr>
          <w:spacing w:val="-4"/>
        </w:rPr>
        <w:t> </w:t>
      </w:r>
      <w:r>
        <w:rPr/>
        <w:t>RE</w:t>
      </w:r>
      <w:r>
        <w:rPr>
          <w:spacing w:val="-5"/>
        </w:rPr>
        <w:t> </w:t>
      </w:r>
      <w:r>
        <w:rPr/>
        <w:t>Familial</w:t>
      </w:r>
      <w:r>
        <w:rPr>
          <w:spacing w:val="-4"/>
        </w:rPr>
        <w:t> </w:t>
      </w:r>
      <w:r>
        <w:rPr/>
        <w:t>pathways</w:t>
      </w:r>
      <w:r>
        <w:rPr>
          <w:spacing w:val="-4"/>
        </w:rPr>
        <w:t> </w:t>
      </w:r>
      <w:r>
        <w:rPr/>
        <w:t>to</w:t>
      </w:r>
      <w:r>
        <w:rPr>
          <w:spacing w:val="-4"/>
        </w:rPr>
        <w:t> </w:t>
      </w:r>
      <w:r>
        <w:rPr/>
        <w:t>polyvictimization</w:t>
      </w:r>
      <w:r>
        <w:rPr>
          <w:spacing w:val="-4"/>
        </w:rPr>
        <w:t> </w:t>
      </w:r>
      <w:r>
        <w:rPr/>
        <w:t>for sexual and gender minority adolescents: Microaffirming, microaggressing, violent, and adverse families. </w:t>
      </w:r>
      <w:r>
        <w:rPr>
          <w:i/>
        </w:rPr>
        <w:t>Psychology of Violence</w:t>
      </w:r>
      <w:r>
        <w:rPr/>
        <w:t>. 2019;9(4), 461-470. </w:t>
      </w:r>
      <w:r>
        <w:rPr>
          <w:spacing w:val="-2"/>
        </w:rPr>
        <w:t>https://doi.org/10.1037/vio0000224</w:t>
      </w:r>
    </w:p>
    <w:p>
      <w:pPr>
        <w:spacing w:after="0"/>
        <w:sectPr>
          <w:pgSz w:w="12240" w:h="15840"/>
          <w:pgMar w:header="0" w:footer="783" w:top="1260" w:bottom="980" w:left="1400" w:right="1180"/>
        </w:sectPr>
      </w:pPr>
    </w:p>
    <w:p>
      <w:pPr>
        <w:pStyle w:val="BodyText"/>
        <w:spacing w:before="66"/>
        <w:ind w:left="640" w:right="668" w:hanging="360"/>
      </w:pPr>
      <w:r>
        <w:rPr/>
        <w:t>Atlanta</w:t>
      </w:r>
      <w:r>
        <w:rPr>
          <w:spacing w:val="-17"/>
        </w:rPr>
        <w:t> </w:t>
      </w:r>
      <w:r>
        <w:rPr/>
        <w:t>Youth</w:t>
      </w:r>
      <w:r>
        <w:rPr>
          <w:spacing w:val="-7"/>
        </w:rPr>
        <w:t> </w:t>
      </w:r>
      <w:r>
        <w:rPr/>
        <w:t>Count</w:t>
      </w:r>
      <w:r>
        <w:rPr>
          <w:spacing w:val="-7"/>
        </w:rPr>
        <w:t> </w:t>
      </w:r>
      <w:r>
        <w:rPr/>
        <w:t>2018</w:t>
      </w:r>
      <w:r>
        <w:rPr>
          <w:spacing w:val="-7"/>
        </w:rPr>
        <w:t> </w:t>
      </w:r>
      <w:r>
        <w:rPr/>
        <w:t>Community</w:t>
      </w:r>
      <w:r>
        <w:rPr>
          <w:spacing w:val="-7"/>
        </w:rPr>
        <w:t> </w:t>
      </w:r>
      <w:r>
        <w:rPr/>
        <w:t>Report:</w:t>
      </w:r>
      <w:r>
        <w:rPr>
          <w:spacing w:val="-12"/>
        </w:rPr>
        <w:t> </w:t>
      </w:r>
      <w:r>
        <w:rPr/>
        <w:t>The</w:t>
      </w:r>
      <w:r>
        <w:rPr>
          <w:spacing w:val="-8"/>
        </w:rPr>
        <w:t> </w:t>
      </w:r>
      <w:r>
        <w:rPr/>
        <w:t>prevalence</w:t>
      </w:r>
      <w:r>
        <w:rPr>
          <w:spacing w:val="-8"/>
        </w:rPr>
        <w:t> </w:t>
      </w:r>
      <w:r>
        <w:rPr/>
        <w:t>of</w:t>
      </w:r>
      <w:r>
        <w:rPr>
          <w:spacing w:val="-7"/>
        </w:rPr>
        <w:t> </w:t>
      </w:r>
      <w:r>
        <w:rPr/>
        <w:t>sex</w:t>
      </w:r>
      <w:r>
        <w:rPr>
          <w:spacing w:val="-7"/>
        </w:rPr>
        <w:t> </w:t>
      </w:r>
      <w:r>
        <w:rPr/>
        <w:t>and labor trafficking among homeless youth in Metro</w:t>
      </w:r>
      <w:r>
        <w:rPr>
          <w:spacing w:val="-2"/>
        </w:rPr>
        <w:t> </w:t>
      </w:r>
      <w:r>
        <w:rPr/>
        <w:t>Atlanta. https:// </w:t>
      </w:r>
      <w:r>
        <w:rPr>
          <w:spacing w:val="-2"/>
        </w:rPr>
        <w:t>atlantayouthcount.weebly.com/</w:t>
      </w:r>
    </w:p>
    <w:p>
      <w:pPr>
        <w:pStyle w:val="BodyText"/>
        <w:spacing w:before="9"/>
        <w:rPr>
          <w:sz w:val="25"/>
        </w:rPr>
      </w:pPr>
    </w:p>
    <w:p>
      <w:pPr>
        <w:pStyle w:val="BodyText"/>
        <w:ind w:left="640" w:right="528" w:hanging="360"/>
      </w:pPr>
      <w:r>
        <w:rPr/>
        <w:t>Choi SK,</w:t>
      </w:r>
      <w:r>
        <w:rPr>
          <w:spacing w:val="-3"/>
        </w:rPr>
        <w:t> </w:t>
      </w:r>
      <w:r>
        <w:rPr/>
        <w:t>Wilson BDM, Shelton J, Gates G. Serving our youth:</w:t>
      </w:r>
      <w:r>
        <w:rPr>
          <w:spacing w:val="-3"/>
        </w:rPr>
        <w:t> </w:t>
      </w:r>
      <w:r>
        <w:rPr/>
        <w:t>The needs and experiences of lesbian, gay, bisexual, transgender, and questioning youth experiencing homelessness.</w:t>
      </w:r>
      <w:r>
        <w:rPr>
          <w:spacing w:val="-5"/>
        </w:rPr>
        <w:t> </w:t>
      </w:r>
      <w:r>
        <w:rPr/>
        <w:t>The</w:t>
      </w:r>
      <w:r>
        <w:rPr>
          <w:spacing w:val="-5"/>
        </w:rPr>
        <w:t> </w:t>
      </w:r>
      <w:r>
        <w:rPr/>
        <w:t>Williams Institute</w:t>
      </w:r>
      <w:r>
        <w:rPr>
          <w:spacing w:val="-5"/>
        </w:rPr>
        <w:t> </w:t>
      </w:r>
      <w:r>
        <w:rPr/>
        <w:t>With</w:t>
      </w:r>
      <w:r>
        <w:rPr>
          <w:spacing w:val="-5"/>
        </w:rPr>
        <w:t> </w:t>
      </w:r>
      <w:r>
        <w:rPr/>
        <w:t>True Colors Fund; </w:t>
      </w:r>
      <w:r>
        <w:rPr>
          <w:spacing w:val="-2"/>
        </w:rPr>
        <w:t>2015. https://truecolorsunited.org/wpcontent/uploads/2015/05/Serving-Our- YouthJune-2015.pdf</w:t>
      </w:r>
    </w:p>
    <w:p>
      <w:pPr>
        <w:pStyle w:val="BodyText"/>
        <w:spacing w:before="6"/>
        <w:rPr>
          <w:sz w:val="25"/>
        </w:rPr>
      </w:pPr>
    </w:p>
    <w:p>
      <w:pPr>
        <w:pStyle w:val="BodyText"/>
        <w:ind w:left="640" w:right="621" w:hanging="360"/>
      </w:pPr>
      <w:r>
        <w:rPr/>
        <w:t>Hull KE, Ortyl TA. Conventional and cutting-edge: Definitions of family in LGBT</w:t>
      </w:r>
      <w:r>
        <w:rPr>
          <w:spacing w:val="-14"/>
        </w:rPr>
        <w:t> </w:t>
      </w:r>
      <w:r>
        <w:rPr/>
        <w:t>communities.</w:t>
      </w:r>
      <w:r>
        <w:rPr>
          <w:spacing w:val="-9"/>
        </w:rPr>
        <w:t> </w:t>
      </w:r>
      <w:r>
        <w:rPr>
          <w:i/>
        </w:rPr>
        <w:t>Sex</w:t>
      </w:r>
      <w:r>
        <w:rPr>
          <w:i/>
          <w:spacing w:val="-9"/>
        </w:rPr>
        <w:t> </w:t>
      </w:r>
      <w:r>
        <w:rPr>
          <w:i/>
        </w:rPr>
        <w:t>Res</w:t>
      </w:r>
      <w:r>
        <w:rPr>
          <w:i/>
          <w:spacing w:val="-8"/>
        </w:rPr>
        <w:t> </w:t>
      </w:r>
      <w:r>
        <w:rPr>
          <w:i/>
        </w:rPr>
        <w:t>Soc</w:t>
      </w:r>
      <w:r>
        <w:rPr>
          <w:i/>
          <w:spacing w:val="-9"/>
        </w:rPr>
        <w:t> </w:t>
      </w:r>
      <w:r>
        <w:rPr>
          <w:i/>
        </w:rPr>
        <w:t>Policy.</w:t>
      </w:r>
      <w:r>
        <w:rPr>
          <w:i/>
          <w:spacing w:val="-9"/>
        </w:rPr>
        <w:t> </w:t>
      </w:r>
      <w:r>
        <w:rPr/>
        <w:t>2019;16(1):31-43.</w:t>
      </w:r>
      <w:r>
        <w:rPr>
          <w:spacing w:val="-8"/>
        </w:rPr>
        <w:t> </w:t>
      </w:r>
      <w:r>
        <w:rPr/>
        <w:t>https://doi.org/ </w:t>
      </w:r>
      <w:r>
        <w:rPr>
          <w:spacing w:val="-2"/>
        </w:rPr>
        <w:t>10.1007/s13178-018-0324-2</w:t>
      </w:r>
    </w:p>
    <w:p>
      <w:pPr>
        <w:pStyle w:val="BodyText"/>
        <w:spacing w:before="4"/>
        <w:rPr>
          <w:sz w:val="27"/>
        </w:rPr>
      </w:pPr>
    </w:p>
    <w:p>
      <w:pPr>
        <w:pStyle w:val="BodyText"/>
        <w:ind w:left="640" w:right="502" w:hanging="360"/>
      </w:pPr>
      <w:r>
        <w:rPr/>
        <w:t>Moon</w:t>
      </w:r>
      <w:r>
        <w:rPr>
          <w:spacing w:val="-6"/>
        </w:rPr>
        <w:t> </w:t>
      </w:r>
      <w:r>
        <w:rPr/>
        <w:t>D.</w:t>
      </w:r>
      <w:r>
        <w:rPr>
          <w:spacing w:val="-6"/>
        </w:rPr>
        <w:t> </w:t>
      </w:r>
      <w:r>
        <w:rPr/>
        <w:t>Beyond</w:t>
      </w:r>
      <w:r>
        <w:rPr>
          <w:spacing w:val="-6"/>
        </w:rPr>
        <w:t> </w:t>
      </w:r>
      <w:r>
        <w:rPr/>
        <w:t>the</w:t>
      </w:r>
      <w:r>
        <w:rPr>
          <w:spacing w:val="-7"/>
        </w:rPr>
        <w:t> </w:t>
      </w:r>
      <w:r>
        <w:rPr/>
        <w:t>dichotomy:</w:t>
      </w:r>
      <w:r>
        <w:rPr>
          <w:spacing w:val="-6"/>
        </w:rPr>
        <w:t> </w:t>
      </w:r>
      <w:r>
        <w:rPr/>
        <w:t>six</w:t>
      </w:r>
      <w:r>
        <w:rPr>
          <w:spacing w:val="-6"/>
        </w:rPr>
        <w:t> </w:t>
      </w:r>
      <w:r>
        <w:rPr/>
        <w:t>religious</w:t>
      </w:r>
      <w:r>
        <w:rPr>
          <w:spacing w:val="-6"/>
        </w:rPr>
        <w:t> </w:t>
      </w:r>
      <w:r>
        <w:rPr/>
        <w:t>views</w:t>
      </w:r>
      <w:r>
        <w:rPr>
          <w:spacing w:val="-6"/>
        </w:rPr>
        <w:t> </w:t>
      </w:r>
      <w:r>
        <w:rPr/>
        <w:t>of</w:t>
      </w:r>
      <w:r>
        <w:rPr>
          <w:spacing w:val="-6"/>
        </w:rPr>
        <w:t> </w:t>
      </w:r>
      <w:r>
        <w:rPr/>
        <w:t>homosexuality.</w:t>
      </w:r>
      <w:r>
        <w:rPr>
          <w:spacing w:val="-7"/>
        </w:rPr>
        <w:t> </w:t>
      </w:r>
      <w:r>
        <w:rPr>
          <w:i/>
        </w:rPr>
        <w:t>J</w:t>
      </w:r>
      <w:r>
        <w:rPr>
          <w:i/>
        </w:rPr>
        <w:t> Homosex</w:t>
      </w:r>
      <w:r>
        <w:rPr/>
        <w:t>. 2014;61(9):1215-1241. https://doi.org/</w:t>
      </w:r>
    </w:p>
    <w:p>
      <w:pPr>
        <w:pStyle w:val="BodyText"/>
        <w:spacing w:line="318" w:lineRule="exact"/>
        <w:ind w:left="640"/>
      </w:pPr>
      <w:r>
        <w:rPr/>
        <w:t>10.1080/00918369.2014.9267 </w:t>
      </w:r>
      <w:r>
        <w:rPr>
          <w:spacing w:val="-5"/>
        </w:rPr>
        <w:t>62</w:t>
      </w:r>
    </w:p>
    <w:p>
      <w:pPr>
        <w:pStyle w:val="BodyText"/>
        <w:spacing w:before="2"/>
        <w:rPr>
          <w:sz w:val="26"/>
        </w:rPr>
      </w:pPr>
    </w:p>
    <w:p>
      <w:pPr>
        <w:pStyle w:val="BodyText"/>
        <w:ind w:left="640" w:right="502" w:hanging="360"/>
      </w:pPr>
      <w:r>
        <w:rPr/>
        <w:t>Campbell M, Hinton JDX,</w:t>
      </w:r>
      <w:r>
        <w:rPr>
          <w:spacing w:val="-4"/>
        </w:rPr>
        <w:t> </w:t>
      </w:r>
      <w:r>
        <w:rPr/>
        <w:t>Anderson JR.</w:t>
      </w:r>
      <w:r>
        <w:rPr>
          <w:spacing w:val="-4"/>
        </w:rPr>
        <w:t> </w:t>
      </w:r>
      <w:r>
        <w:rPr/>
        <w:t>A</w:t>
      </w:r>
      <w:r>
        <w:rPr>
          <w:spacing w:val="-4"/>
        </w:rPr>
        <w:t> </w:t>
      </w:r>
      <w:r>
        <w:rPr/>
        <w:t>systematic review of the relationship</w:t>
      </w:r>
      <w:r>
        <w:rPr>
          <w:spacing w:val="-6"/>
        </w:rPr>
        <w:t> </w:t>
      </w:r>
      <w:r>
        <w:rPr/>
        <w:t>between</w:t>
      </w:r>
      <w:r>
        <w:rPr>
          <w:spacing w:val="-6"/>
        </w:rPr>
        <w:t> </w:t>
      </w:r>
      <w:r>
        <w:rPr/>
        <w:t>religion</w:t>
      </w:r>
      <w:r>
        <w:rPr>
          <w:spacing w:val="-6"/>
        </w:rPr>
        <w:t> </w:t>
      </w:r>
      <w:r>
        <w:rPr/>
        <w:t>and</w:t>
      </w:r>
      <w:r>
        <w:rPr>
          <w:spacing w:val="-6"/>
        </w:rPr>
        <w:t> </w:t>
      </w:r>
      <w:r>
        <w:rPr/>
        <w:t>attitudes</w:t>
      </w:r>
      <w:r>
        <w:rPr>
          <w:spacing w:val="-6"/>
        </w:rPr>
        <w:t> </w:t>
      </w:r>
      <w:r>
        <w:rPr/>
        <w:t>toward</w:t>
      </w:r>
      <w:r>
        <w:rPr>
          <w:spacing w:val="-6"/>
        </w:rPr>
        <w:t> </w:t>
      </w:r>
      <w:r>
        <w:rPr/>
        <w:t>transgender</w:t>
      </w:r>
      <w:r>
        <w:rPr>
          <w:spacing w:val="-6"/>
        </w:rPr>
        <w:t> </w:t>
      </w:r>
      <w:r>
        <w:rPr/>
        <w:t>and</w:t>
      </w:r>
      <w:r>
        <w:rPr>
          <w:spacing w:val="-6"/>
        </w:rPr>
        <w:t> </w:t>
      </w:r>
      <w:r>
        <w:rPr/>
        <w:t>gender- variant people. </w:t>
      </w:r>
      <w:r>
        <w:rPr>
          <w:i/>
        </w:rPr>
        <w:t>Int J Transgend</w:t>
      </w:r>
      <w:r>
        <w:rPr/>
        <w:t>. 2019;20(1):21-38. https://doi.org/ 10.1080/15532739.2018.1545 149</w:t>
      </w:r>
    </w:p>
    <w:p>
      <w:pPr>
        <w:pStyle w:val="BodyText"/>
        <w:spacing w:before="7"/>
        <w:rPr>
          <w:sz w:val="25"/>
        </w:rPr>
      </w:pPr>
    </w:p>
    <w:p>
      <w:pPr>
        <w:pStyle w:val="BodyText"/>
        <w:ind w:left="640" w:right="521" w:hanging="360"/>
      </w:pPr>
      <w:r>
        <w:rPr/>
        <w:t>Fields E, Morgan</w:t>
      </w:r>
      <w:r>
        <w:rPr>
          <w:spacing w:val="-13"/>
        </w:rPr>
        <w:t> </w:t>
      </w:r>
      <w:r>
        <w:rPr/>
        <w:t>A, Sanders RA.</w:t>
      </w:r>
      <w:r>
        <w:rPr>
          <w:spacing w:val="-2"/>
        </w:rPr>
        <w:t> </w:t>
      </w:r>
      <w:r>
        <w:rPr/>
        <w:t>The intersection of sociocultural factors and health-related behavior in lesbian, gay, bisexual, and transgender youth: experiences among young black gay males as an example. </w:t>
      </w:r>
      <w:r>
        <w:rPr>
          <w:i/>
        </w:rPr>
        <w:t>Pediatr Clin</w:t>
      </w:r>
      <w:r>
        <w:rPr>
          <w:i/>
        </w:rPr>
        <w:t> North</w:t>
      </w:r>
      <w:r>
        <w:rPr>
          <w:i/>
          <w:spacing w:val="-18"/>
        </w:rPr>
        <w:t> </w:t>
      </w:r>
      <w:r>
        <w:rPr>
          <w:i/>
        </w:rPr>
        <w:t>Am.</w:t>
      </w:r>
      <w:r>
        <w:rPr>
          <w:i/>
          <w:spacing w:val="-17"/>
        </w:rPr>
        <w:t> </w:t>
      </w:r>
      <w:r>
        <w:rPr/>
        <w:t>2016;63(6):1091-1106.</w:t>
      </w:r>
      <w:r>
        <w:rPr>
          <w:spacing w:val="-18"/>
        </w:rPr>
        <w:t> </w:t>
      </w:r>
      <w:r>
        <w:rPr/>
        <w:t>https://doi.org/10.1016/j.pcl.2016.07.009</w:t>
      </w:r>
    </w:p>
    <w:p>
      <w:pPr>
        <w:pStyle w:val="BodyText"/>
        <w:spacing w:before="8"/>
        <w:rPr>
          <w:sz w:val="25"/>
        </w:rPr>
      </w:pPr>
    </w:p>
    <w:p>
      <w:pPr>
        <w:pStyle w:val="BodyText"/>
        <w:ind w:left="640" w:right="499" w:hanging="360"/>
      </w:pPr>
      <w:r>
        <w:rPr/>
        <w:t>Lefevor GT, Davis EB, Paiz JY, Smack</w:t>
      </w:r>
      <w:r>
        <w:rPr>
          <w:spacing w:val="-12"/>
        </w:rPr>
        <w:t> </w:t>
      </w:r>
      <w:r>
        <w:rPr/>
        <w:t>ACP.</w:t>
      </w:r>
      <w:r>
        <w:rPr>
          <w:spacing w:val="-1"/>
        </w:rPr>
        <w:t> </w:t>
      </w:r>
      <w:r>
        <w:rPr/>
        <w:t>The relationship between religiousness</w:t>
      </w:r>
      <w:r>
        <w:rPr>
          <w:spacing w:val="-9"/>
        </w:rPr>
        <w:t> </w:t>
      </w:r>
      <w:r>
        <w:rPr/>
        <w:t>and</w:t>
      </w:r>
      <w:r>
        <w:rPr>
          <w:spacing w:val="-5"/>
        </w:rPr>
        <w:t> </w:t>
      </w:r>
      <w:r>
        <w:rPr/>
        <w:t>health</w:t>
      </w:r>
      <w:r>
        <w:rPr>
          <w:spacing w:val="-5"/>
        </w:rPr>
        <w:t> </w:t>
      </w:r>
      <w:r>
        <w:rPr/>
        <w:t>among</w:t>
      </w:r>
      <w:r>
        <w:rPr>
          <w:spacing w:val="-5"/>
        </w:rPr>
        <w:t> </w:t>
      </w:r>
      <w:r>
        <w:rPr/>
        <w:t>sexual</w:t>
      </w:r>
      <w:r>
        <w:rPr>
          <w:spacing w:val="-5"/>
        </w:rPr>
        <w:t> </w:t>
      </w:r>
      <w:r>
        <w:rPr/>
        <w:t>minorities:</w:t>
      </w:r>
      <w:r>
        <w:rPr>
          <w:spacing w:val="-18"/>
        </w:rPr>
        <w:t> </w:t>
      </w:r>
      <w:r>
        <w:rPr/>
        <w:t>A</w:t>
      </w:r>
      <w:r>
        <w:rPr>
          <w:spacing w:val="-17"/>
        </w:rPr>
        <w:t> </w:t>
      </w:r>
      <w:r>
        <w:rPr/>
        <w:t>meta-analysis.</w:t>
      </w:r>
      <w:r>
        <w:rPr>
          <w:spacing w:val="-6"/>
        </w:rPr>
        <w:t> </w:t>
      </w:r>
      <w:r>
        <w:rPr>
          <w:i/>
        </w:rPr>
        <w:t>Psychol</w:t>
      </w:r>
      <w:r>
        <w:rPr>
          <w:i/>
        </w:rPr>
        <w:t> Bull</w:t>
      </w:r>
      <w:r>
        <w:rPr/>
        <w:t>. 2021;147(7):647-666. https://doi.org/10.1037/bul0000321</w:t>
      </w:r>
    </w:p>
    <w:p>
      <w:pPr>
        <w:pStyle w:val="BodyText"/>
        <w:spacing w:before="9"/>
        <w:rPr>
          <w:sz w:val="25"/>
        </w:rPr>
      </w:pPr>
    </w:p>
    <w:p>
      <w:pPr>
        <w:pStyle w:val="BodyText"/>
        <w:spacing w:before="1"/>
        <w:ind w:left="640" w:right="502" w:hanging="360"/>
      </w:pPr>
      <w:r>
        <w:rPr/>
        <w:t>Thamrin H, Gonzales NA, Toomey RB,</w:t>
      </w:r>
      <w:r>
        <w:rPr>
          <w:spacing w:val="-7"/>
        </w:rPr>
        <w:t> </w:t>
      </w:r>
      <w:r>
        <w:rPr/>
        <w:t>Anderson SF,</w:t>
      </w:r>
      <w:r>
        <w:rPr>
          <w:spacing w:val="-7"/>
        </w:rPr>
        <w:t> </w:t>
      </w:r>
      <w:r>
        <w:rPr/>
        <w:t>Anhalt K. Discrimination</w:t>
      </w:r>
      <w:r>
        <w:rPr>
          <w:spacing w:val="-5"/>
        </w:rPr>
        <w:t> </w:t>
      </w:r>
      <w:r>
        <w:rPr/>
        <w:t>and</w:t>
      </w:r>
      <w:r>
        <w:rPr>
          <w:spacing w:val="-5"/>
        </w:rPr>
        <w:t> </w:t>
      </w:r>
      <w:r>
        <w:rPr/>
        <w:t>depressive</w:t>
      </w:r>
      <w:r>
        <w:rPr>
          <w:spacing w:val="-6"/>
        </w:rPr>
        <w:t> </w:t>
      </w:r>
      <w:r>
        <w:rPr/>
        <w:t>symptoms</w:t>
      </w:r>
      <w:r>
        <w:rPr>
          <w:spacing w:val="-5"/>
        </w:rPr>
        <w:t> </w:t>
      </w:r>
      <w:r>
        <w:rPr/>
        <w:t>in</w:t>
      </w:r>
      <w:r>
        <w:rPr>
          <w:spacing w:val="-5"/>
        </w:rPr>
        <w:t> </w:t>
      </w:r>
      <w:r>
        <w:rPr/>
        <w:t>sexual</w:t>
      </w:r>
      <w:r>
        <w:rPr>
          <w:spacing w:val="-5"/>
        </w:rPr>
        <w:t> </w:t>
      </w:r>
      <w:r>
        <w:rPr/>
        <w:t>minority</w:t>
      </w:r>
      <w:r>
        <w:rPr>
          <w:spacing w:val="-5"/>
        </w:rPr>
        <w:t> </w:t>
      </w:r>
      <w:r>
        <w:rPr/>
        <w:t>Latinx</w:t>
      </w:r>
      <w:r>
        <w:rPr>
          <w:spacing w:val="-5"/>
        </w:rPr>
        <w:t> </w:t>
      </w:r>
      <w:r>
        <w:rPr/>
        <w:t>youth: Moderation by religious importance and attendance. </w:t>
      </w:r>
      <w:r>
        <w:rPr>
          <w:i/>
        </w:rPr>
        <w:t>J Fam Psychol</w:t>
      </w:r>
      <w:r>
        <w:rPr/>
        <w:t>.</w:t>
      </w:r>
    </w:p>
    <w:p>
      <w:pPr>
        <w:pStyle w:val="BodyText"/>
        <w:spacing w:line="316" w:lineRule="exact"/>
        <w:ind w:left="640"/>
      </w:pPr>
      <w:r>
        <w:rPr/>
        <w:t>2021;10.1037/fam0000936.</w:t>
      </w:r>
      <w:r>
        <w:rPr>
          <w:spacing w:val="-1"/>
        </w:rPr>
        <w:t> </w:t>
      </w:r>
      <w:r>
        <w:rPr>
          <w:spacing w:val="-2"/>
        </w:rPr>
        <w:t>https://doi.org/10.1037/fam0000936</w:t>
      </w:r>
    </w:p>
    <w:p>
      <w:pPr>
        <w:pStyle w:val="BodyText"/>
        <w:spacing w:before="1"/>
        <w:rPr>
          <w:sz w:val="26"/>
        </w:rPr>
      </w:pPr>
    </w:p>
    <w:p>
      <w:pPr>
        <w:pStyle w:val="BodyText"/>
        <w:spacing w:before="1"/>
        <w:ind w:left="640" w:right="502" w:hanging="360"/>
      </w:pPr>
      <w:r>
        <w:rPr/>
        <w:t>Follins</w:t>
      </w:r>
      <w:r>
        <w:rPr>
          <w:spacing w:val="-7"/>
        </w:rPr>
        <w:t> </w:t>
      </w:r>
      <w:r>
        <w:rPr/>
        <w:t>LD,</w:t>
      </w:r>
      <w:r>
        <w:rPr>
          <w:spacing w:val="-13"/>
        </w:rPr>
        <w:t> </w:t>
      </w:r>
      <w:r>
        <w:rPr/>
        <w:t>Walker</w:t>
      </w:r>
      <w:r>
        <w:rPr>
          <w:spacing w:val="-7"/>
        </w:rPr>
        <w:t> </w:t>
      </w:r>
      <w:r>
        <w:rPr/>
        <w:t>JJ,</w:t>
      </w:r>
      <w:r>
        <w:rPr>
          <w:spacing w:val="-7"/>
        </w:rPr>
        <w:t> </w:t>
      </w:r>
      <w:r>
        <w:rPr/>
        <w:t>Lewis</w:t>
      </w:r>
      <w:r>
        <w:rPr>
          <w:spacing w:val="-8"/>
        </w:rPr>
        <w:t> </w:t>
      </w:r>
      <w:r>
        <w:rPr/>
        <w:t>MK.</w:t>
      </w:r>
      <w:r>
        <w:rPr>
          <w:spacing w:val="-7"/>
        </w:rPr>
        <w:t> </w:t>
      </w:r>
      <w:r>
        <w:rPr/>
        <w:t>Resilience</w:t>
      </w:r>
      <w:r>
        <w:rPr>
          <w:spacing w:val="-8"/>
        </w:rPr>
        <w:t> </w:t>
      </w:r>
      <w:r>
        <w:rPr/>
        <w:t>in</w:t>
      </w:r>
      <w:r>
        <w:rPr>
          <w:spacing w:val="-7"/>
        </w:rPr>
        <w:t> </w:t>
      </w:r>
      <w:r>
        <w:rPr/>
        <w:t>Black</w:t>
      </w:r>
      <w:r>
        <w:rPr>
          <w:spacing w:val="-7"/>
        </w:rPr>
        <w:t> </w:t>
      </w:r>
      <w:r>
        <w:rPr/>
        <w:t>lesbian,</w:t>
      </w:r>
      <w:r>
        <w:rPr>
          <w:spacing w:val="-8"/>
        </w:rPr>
        <w:t> </w:t>
      </w:r>
      <w:r>
        <w:rPr/>
        <w:t>gay,</w:t>
      </w:r>
      <w:r>
        <w:rPr>
          <w:spacing w:val="-7"/>
        </w:rPr>
        <w:t> </w:t>
      </w:r>
      <w:r>
        <w:rPr/>
        <w:t>bisexual, and transgender individuals:</w:t>
      </w:r>
      <w:r>
        <w:rPr>
          <w:spacing w:val="-5"/>
        </w:rPr>
        <w:t> </w:t>
      </w:r>
      <w:r>
        <w:rPr/>
        <w:t>A</w:t>
      </w:r>
      <w:r>
        <w:rPr>
          <w:spacing w:val="-5"/>
        </w:rPr>
        <w:t> </w:t>
      </w:r>
      <w:r>
        <w:rPr/>
        <w:t>critical review of the literature. </w:t>
      </w:r>
      <w:r>
        <w:rPr>
          <w:i/>
        </w:rPr>
        <w:t>J Gay</w:t>
      </w:r>
      <w:r>
        <w:rPr>
          <w:i/>
        </w:rPr>
        <w:t> Lesbian Mental Health</w:t>
      </w:r>
      <w:r>
        <w:rPr/>
        <w:t>. 2014;18(2):190-212. https://doi.org/ </w:t>
      </w:r>
      <w:r>
        <w:rPr>
          <w:spacing w:val="-2"/>
        </w:rPr>
        <w:t>10.1080/19359705.2013.82834</w:t>
      </w:r>
    </w:p>
    <w:p>
      <w:pPr>
        <w:spacing w:after="0"/>
        <w:sectPr>
          <w:pgSz w:w="12240" w:h="15840"/>
          <w:pgMar w:header="0" w:footer="783" w:top="1260" w:bottom="980" w:left="1400" w:right="1180"/>
        </w:sectPr>
      </w:pPr>
    </w:p>
    <w:p>
      <w:pPr>
        <w:spacing w:before="66"/>
        <w:ind w:left="640" w:right="502" w:hanging="360"/>
        <w:jc w:val="left"/>
        <w:rPr>
          <w:sz w:val="28"/>
        </w:rPr>
      </w:pPr>
      <w:r>
        <w:rPr>
          <w:sz w:val="28"/>
        </w:rPr>
        <w:t>Glassgold JM, Ryan C.</w:t>
      </w:r>
      <w:r>
        <w:rPr>
          <w:spacing w:val="-5"/>
          <w:sz w:val="28"/>
        </w:rPr>
        <w:t> </w:t>
      </w:r>
      <w:r>
        <w:rPr>
          <w:sz w:val="28"/>
        </w:rPr>
        <w:t>The role of families in efforts to change, support, and affirm sexual orientation, gender identity, and expression in children and youth. In: Haldeman DC, ed. </w:t>
      </w:r>
      <w:r>
        <w:rPr>
          <w:i/>
          <w:sz w:val="28"/>
        </w:rPr>
        <w:t>Change efforts in sexual orientation and</w:t>
      </w:r>
      <w:r>
        <w:rPr>
          <w:i/>
          <w:sz w:val="28"/>
        </w:rPr>
        <w:t> gender</w:t>
      </w:r>
      <w:r>
        <w:rPr>
          <w:i/>
          <w:spacing w:val="-6"/>
          <w:sz w:val="28"/>
        </w:rPr>
        <w:t> </w:t>
      </w:r>
      <w:r>
        <w:rPr>
          <w:i/>
          <w:sz w:val="28"/>
        </w:rPr>
        <w:t>identity:</w:t>
      </w:r>
      <w:r>
        <w:rPr>
          <w:i/>
          <w:spacing w:val="-6"/>
          <w:sz w:val="28"/>
        </w:rPr>
        <w:t> </w:t>
      </w:r>
      <w:r>
        <w:rPr>
          <w:i/>
          <w:sz w:val="28"/>
        </w:rPr>
        <w:t>From</w:t>
      </w:r>
      <w:r>
        <w:rPr>
          <w:i/>
          <w:spacing w:val="-6"/>
          <w:sz w:val="28"/>
        </w:rPr>
        <w:t> </w:t>
      </w:r>
      <w:r>
        <w:rPr>
          <w:i/>
          <w:sz w:val="28"/>
        </w:rPr>
        <w:t>clinical</w:t>
      </w:r>
      <w:r>
        <w:rPr>
          <w:i/>
          <w:spacing w:val="-6"/>
          <w:sz w:val="28"/>
        </w:rPr>
        <w:t> </w:t>
      </w:r>
      <w:r>
        <w:rPr>
          <w:i/>
          <w:sz w:val="28"/>
        </w:rPr>
        <w:t>implications</w:t>
      </w:r>
      <w:r>
        <w:rPr>
          <w:i/>
          <w:spacing w:val="-6"/>
          <w:sz w:val="28"/>
        </w:rPr>
        <w:t> </w:t>
      </w:r>
      <w:r>
        <w:rPr>
          <w:i/>
          <w:sz w:val="28"/>
        </w:rPr>
        <w:t>to</w:t>
      </w:r>
      <w:r>
        <w:rPr>
          <w:i/>
          <w:spacing w:val="-6"/>
          <w:sz w:val="28"/>
        </w:rPr>
        <w:t> </w:t>
      </w:r>
      <w:r>
        <w:rPr>
          <w:i/>
          <w:sz w:val="28"/>
        </w:rPr>
        <w:t>contemporary</w:t>
      </w:r>
      <w:r>
        <w:rPr>
          <w:i/>
          <w:spacing w:val="-7"/>
          <w:sz w:val="28"/>
        </w:rPr>
        <w:t> </w:t>
      </w:r>
      <w:r>
        <w:rPr>
          <w:i/>
          <w:sz w:val="28"/>
        </w:rPr>
        <w:t>public</w:t>
      </w:r>
      <w:r>
        <w:rPr>
          <w:i/>
          <w:spacing w:val="-7"/>
          <w:sz w:val="28"/>
        </w:rPr>
        <w:t> </w:t>
      </w:r>
      <w:r>
        <w:rPr>
          <w:i/>
          <w:sz w:val="28"/>
        </w:rPr>
        <w:t>policy</w:t>
      </w:r>
      <w:r>
        <w:rPr>
          <w:sz w:val="28"/>
        </w:rPr>
        <w:t>. APA Books; 2022. https://doi.org/10.1037/0000266-005</w:t>
      </w:r>
    </w:p>
    <w:p>
      <w:pPr>
        <w:pStyle w:val="BodyText"/>
        <w:spacing w:before="5"/>
        <w:rPr>
          <w:sz w:val="25"/>
        </w:rPr>
      </w:pPr>
    </w:p>
    <w:p>
      <w:pPr>
        <w:pStyle w:val="BodyText"/>
        <w:ind w:left="640" w:right="502" w:hanging="360"/>
      </w:pPr>
      <w:r>
        <w:rPr/>
        <w:t>Maslowe</w:t>
      </w:r>
      <w:r>
        <w:rPr>
          <w:spacing w:val="-8"/>
        </w:rPr>
        <w:t> </w:t>
      </w:r>
      <w:r>
        <w:rPr/>
        <w:t>KE,</w:t>
      </w:r>
      <w:r>
        <w:rPr>
          <w:spacing w:val="-17"/>
        </w:rPr>
        <w:t> </w:t>
      </w:r>
      <w:r>
        <w:rPr/>
        <w:t>Yarhouse</w:t>
      </w:r>
      <w:r>
        <w:rPr>
          <w:spacing w:val="-8"/>
        </w:rPr>
        <w:t> </w:t>
      </w:r>
      <w:r>
        <w:rPr/>
        <w:t>MA.</w:t>
      </w:r>
      <w:r>
        <w:rPr>
          <w:spacing w:val="-7"/>
        </w:rPr>
        <w:t> </w:t>
      </w:r>
      <w:r>
        <w:rPr/>
        <w:t>Christian</w:t>
      </w:r>
      <w:r>
        <w:rPr>
          <w:spacing w:val="-7"/>
        </w:rPr>
        <w:t> </w:t>
      </w:r>
      <w:r>
        <w:rPr/>
        <w:t>parental</w:t>
      </w:r>
      <w:r>
        <w:rPr>
          <w:spacing w:val="-7"/>
        </w:rPr>
        <w:t> </w:t>
      </w:r>
      <w:r>
        <w:rPr/>
        <w:t>reactions</w:t>
      </w:r>
      <w:r>
        <w:rPr>
          <w:spacing w:val="-7"/>
        </w:rPr>
        <w:t> </w:t>
      </w:r>
      <w:r>
        <w:rPr/>
        <w:t>when</w:t>
      </w:r>
      <w:r>
        <w:rPr>
          <w:spacing w:val="-7"/>
        </w:rPr>
        <w:t> </w:t>
      </w:r>
      <w:r>
        <w:rPr/>
        <w:t>a</w:t>
      </w:r>
      <w:r>
        <w:rPr>
          <w:spacing w:val="-8"/>
        </w:rPr>
        <w:t> </w:t>
      </w:r>
      <w:r>
        <w:rPr/>
        <w:t>LGB</w:t>
      </w:r>
      <w:r>
        <w:rPr>
          <w:spacing w:val="-7"/>
        </w:rPr>
        <w:t> </w:t>
      </w:r>
      <w:r>
        <w:rPr/>
        <w:t>child comes out. </w:t>
      </w:r>
      <w:r>
        <w:rPr>
          <w:i/>
        </w:rPr>
        <w:t>Am J Fam Ther</w:t>
      </w:r>
      <w:r>
        <w:rPr/>
        <w:t>. 2015;43:1-12. https://doi.org/ 10.1080/01926187.2015.1051 901</w:t>
      </w:r>
    </w:p>
    <w:p>
      <w:pPr>
        <w:pStyle w:val="BodyText"/>
        <w:spacing w:before="10"/>
        <w:rPr>
          <w:sz w:val="25"/>
        </w:rPr>
      </w:pPr>
    </w:p>
    <w:p>
      <w:pPr>
        <w:pStyle w:val="BodyText"/>
        <w:ind w:left="640" w:right="657" w:hanging="360"/>
        <w:jc w:val="both"/>
      </w:pPr>
      <w:r>
        <w:rPr/>
        <w:t>Gordon</w:t>
      </w:r>
      <w:r>
        <w:rPr>
          <w:spacing w:val="-18"/>
        </w:rPr>
        <w:t> </w:t>
      </w:r>
      <w:r>
        <w:rPr/>
        <w:t>AR,</w:t>
      </w:r>
      <w:r>
        <w:rPr>
          <w:spacing w:val="-8"/>
        </w:rPr>
        <w:t> </w:t>
      </w:r>
      <w:r>
        <w:rPr/>
        <w:t>Conron</w:t>
      </w:r>
      <w:r>
        <w:rPr>
          <w:spacing w:val="-5"/>
        </w:rPr>
        <w:t> </w:t>
      </w:r>
      <w:r>
        <w:rPr/>
        <w:t>KJ,</w:t>
      </w:r>
      <w:r>
        <w:rPr>
          <w:spacing w:val="-5"/>
        </w:rPr>
        <w:t> </w:t>
      </w:r>
      <w:r>
        <w:rPr/>
        <w:t>Calzo</w:t>
      </w:r>
      <w:r>
        <w:rPr>
          <w:spacing w:val="-5"/>
        </w:rPr>
        <w:t> </w:t>
      </w:r>
      <w:r>
        <w:rPr/>
        <w:t>JP,</w:t>
      </w:r>
      <w:r>
        <w:rPr>
          <w:spacing w:val="-11"/>
        </w:rPr>
        <w:t> </w:t>
      </w:r>
      <w:r>
        <w:rPr/>
        <w:t>White</w:t>
      </w:r>
      <w:r>
        <w:rPr>
          <w:spacing w:val="-6"/>
        </w:rPr>
        <w:t> </w:t>
      </w:r>
      <w:r>
        <w:rPr/>
        <w:t>MT,</w:t>
      </w:r>
      <w:r>
        <w:rPr>
          <w:spacing w:val="-5"/>
        </w:rPr>
        <w:t> </w:t>
      </w:r>
      <w:r>
        <w:rPr/>
        <w:t>Reisner</w:t>
      </w:r>
      <w:r>
        <w:rPr>
          <w:spacing w:val="-5"/>
        </w:rPr>
        <w:t> </w:t>
      </w:r>
      <w:r>
        <w:rPr/>
        <w:t>SL,</w:t>
      </w:r>
      <w:r>
        <w:rPr>
          <w:spacing w:val="-18"/>
        </w:rPr>
        <w:t> </w:t>
      </w:r>
      <w:r>
        <w:rPr/>
        <w:t>Austin</w:t>
      </w:r>
      <w:r>
        <w:rPr>
          <w:spacing w:val="-4"/>
        </w:rPr>
        <w:t> </w:t>
      </w:r>
      <w:r>
        <w:rPr/>
        <w:t>SB.</w:t>
      </w:r>
      <w:r>
        <w:rPr>
          <w:spacing w:val="-5"/>
        </w:rPr>
        <w:t> </w:t>
      </w:r>
      <w:r>
        <w:rPr/>
        <w:t>Gender expression,</w:t>
      </w:r>
      <w:r>
        <w:rPr>
          <w:spacing w:val="-6"/>
        </w:rPr>
        <w:t> </w:t>
      </w:r>
      <w:r>
        <w:rPr/>
        <w:t>violence,</w:t>
      </w:r>
      <w:r>
        <w:rPr>
          <w:spacing w:val="-6"/>
        </w:rPr>
        <w:t> </w:t>
      </w:r>
      <w:r>
        <w:rPr/>
        <w:t>and</w:t>
      </w:r>
      <w:r>
        <w:rPr>
          <w:spacing w:val="-6"/>
        </w:rPr>
        <w:t> </w:t>
      </w:r>
      <w:r>
        <w:rPr/>
        <w:t>bullying</w:t>
      </w:r>
      <w:r>
        <w:rPr>
          <w:spacing w:val="-6"/>
        </w:rPr>
        <w:t> </w:t>
      </w:r>
      <w:r>
        <w:rPr/>
        <w:t>victimization:</w:t>
      </w:r>
      <w:r>
        <w:rPr>
          <w:spacing w:val="-6"/>
        </w:rPr>
        <w:t> </w:t>
      </w:r>
      <w:r>
        <w:rPr/>
        <w:t>findings</w:t>
      </w:r>
      <w:r>
        <w:rPr>
          <w:spacing w:val="-6"/>
        </w:rPr>
        <w:t> </w:t>
      </w:r>
      <w:r>
        <w:rPr/>
        <w:t>from</w:t>
      </w:r>
      <w:r>
        <w:rPr>
          <w:spacing w:val="-6"/>
        </w:rPr>
        <w:t> </w:t>
      </w:r>
      <w:r>
        <w:rPr/>
        <w:t>probability samples of high school students in 4 US school districts. </w:t>
      </w:r>
      <w:r>
        <w:rPr>
          <w:i/>
        </w:rPr>
        <w:t>J Sch Health</w:t>
      </w:r>
      <w:r>
        <w:rPr/>
        <w:t>.</w:t>
      </w:r>
    </w:p>
    <w:p>
      <w:pPr>
        <w:pStyle w:val="BodyText"/>
        <w:spacing w:line="316" w:lineRule="exact"/>
        <w:ind w:left="640"/>
        <w:jc w:val="both"/>
      </w:pPr>
      <w:r>
        <w:rPr/>
        <w:t>2018;88(4):306-314.</w:t>
      </w:r>
      <w:r>
        <w:rPr>
          <w:spacing w:val="-2"/>
        </w:rPr>
        <w:t> https://doi.org/10.1111/josh.12606</w:t>
      </w:r>
    </w:p>
    <w:p>
      <w:pPr>
        <w:pStyle w:val="BodyText"/>
        <w:spacing w:before="2"/>
        <w:rPr>
          <w:sz w:val="26"/>
        </w:rPr>
      </w:pPr>
    </w:p>
    <w:p>
      <w:pPr>
        <w:pStyle w:val="BodyText"/>
        <w:ind w:left="640" w:hanging="360"/>
      </w:pPr>
      <w:r>
        <w:rPr/>
        <w:t>Durwood</w:t>
      </w:r>
      <w:r>
        <w:rPr>
          <w:spacing w:val="-4"/>
        </w:rPr>
        <w:t> </w:t>
      </w:r>
      <w:r>
        <w:rPr/>
        <w:t>L,</w:t>
      </w:r>
      <w:r>
        <w:rPr>
          <w:spacing w:val="-4"/>
        </w:rPr>
        <w:t> </w:t>
      </w:r>
      <w:r>
        <w:rPr/>
        <w:t>Eisner</w:t>
      </w:r>
      <w:r>
        <w:rPr>
          <w:spacing w:val="-4"/>
        </w:rPr>
        <w:t> </w:t>
      </w:r>
      <w:r>
        <w:rPr/>
        <w:t>L,</w:t>
      </w:r>
      <w:r>
        <w:rPr>
          <w:spacing w:val="-4"/>
        </w:rPr>
        <w:t> </w:t>
      </w:r>
      <w:r>
        <w:rPr/>
        <w:t>Fladeboe</w:t>
      </w:r>
      <w:r>
        <w:rPr>
          <w:spacing w:val="-5"/>
        </w:rPr>
        <w:t> </w:t>
      </w:r>
      <w:r>
        <w:rPr/>
        <w:t>K,</w:t>
      </w:r>
      <w:r>
        <w:rPr>
          <w:spacing w:val="-4"/>
        </w:rPr>
        <w:t> </w:t>
      </w:r>
      <w:r>
        <w:rPr/>
        <w:t>et</w:t>
      </w:r>
      <w:r>
        <w:rPr>
          <w:spacing w:val="-4"/>
        </w:rPr>
        <w:t> </w:t>
      </w:r>
      <w:r>
        <w:rPr/>
        <w:t>al.</w:t>
      </w:r>
      <w:r>
        <w:rPr>
          <w:spacing w:val="-4"/>
        </w:rPr>
        <w:t> </w:t>
      </w:r>
      <w:r>
        <w:rPr/>
        <w:t>Social</w:t>
      </w:r>
      <w:r>
        <w:rPr>
          <w:spacing w:val="-4"/>
        </w:rPr>
        <w:t> </w:t>
      </w:r>
      <w:r>
        <w:rPr/>
        <w:t>support</w:t>
      </w:r>
      <w:r>
        <w:rPr>
          <w:spacing w:val="-4"/>
        </w:rPr>
        <w:t> </w:t>
      </w:r>
      <w:r>
        <w:rPr/>
        <w:t>and</w:t>
      </w:r>
      <w:r>
        <w:rPr>
          <w:spacing w:val="-4"/>
        </w:rPr>
        <w:t> </w:t>
      </w:r>
      <w:r>
        <w:rPr/>
        <w:t>internalizing psychopathology in transgender youth. </w:t>
      </w:r>
      <w:r>
        <w:rPr>
          <w:i/>
        </w:rPr>
        <w:t>J Youth Adolesc</w:t>
      </w:r>
      <w:r>
        <w:rPr/>
        <w:t>.</w:t>
      </w:r>
    </w:p>
    <w:p>
      <w:pPr>
        <w:pStyle w:val="BodyText"/>
        <w:spacing w:line="318" w:lineRule="exact"/>
        <w:ind w:left="640"/>
        <w:jc w:val="both"/>
      </w:pPr>
      <w:r>
        <w:rPr/>
        <w:t>2021;50(5):841-854.</w:t>
      </w:r>
      <w:r>
        <w:rPr>
          <w:spacing w:val="-7"/>
        </w:rPr>
        <w:t> </w:t>
      </w:r>
      <w:r>
        <w:rPr/>
        <w:t>https://doi.org/10.1007/s10964-020-01391-</w:t>
      </w:r>
      <w:r>
        <w:rPr>
          <w:spacing w:val="-10"/>
        </w:rPr>
        <w:t>y</w:t>
      </w:r>
    </w:p>
    <w:p>
      <w:pPr>
        <w:pStyle w:val="BodyText"/>
        <w:spacing w:before="2"/>
        <w:rPr>
          <w:sz w:val="26"/>
        </w:rPr>
      </w:pPr>
    </w:p>
    <w:p>
      <w:pPr>
        <w:pStyle w:val="BodyText"/>
        <w:ind w:left="640" w:right="544" w:hanging="360"/>
      </w:pPr>
      <w:r>
        <w:rPr/>
        <w:t>Price-Feeney M, Green</w:t>
      </w:r>
      <w:r>
        <w:rPr>
          <w:spacing w:val="-4"/>
        </w:rPr>
        <w:t> </w:t>
      </w:r>
      <w:r>
        <w:rPr/>
        <w:t>AE, Dorison SH. Impact of bathroom discrimination on mental health among transgender and nonbinary youth. </w:t>
      </w:r>
      <w:r>
        <w:rPr>
          <w:i/>
        </w:rPr>
        <w:t>J Adolesc</w:t>
      </w:r>
      <w:r>
        <w:rPr>
          <w:i/>
        </w:rPr>
        <w:t> </w:t>
      </w:r>
      <w:r>
        <w:rPr>
          <w:i/>
          <w:spacing w:val="-2"/>
        </w:rPr>
        <w:t>Health</w:t>
      </w:r>
      <w:r>
        <w:rPr>
          <w:spacing w:val="-2"/>
        </w:rPr>
        <w:t>. 2021;68(6):11421147. https://doi.org/10.1016/j.jadohealth.2020.11.</w:t>
      </w:r>
    </w:p>
    <w:p>
      <w:pPr>
        <w:pStyle w:val="BodyText"/>
        <w:spacing w:line="316" w:lineRule="exact"/>
        <w:ind w:left="640"/>
      </w:pPr>
      <w:r>
        <w:rPr>
          <w:spacing w:val="-5"/>
        </w:rPr>
        <w:t>001</w:t>
      </w:r>
    </w:p>
    <w:p>
      <w:pPr>
        <w:pStyle w:val="BodyText"/>
        <w:spacing w:before="2"/>
        <w:rPr>
          <w:sz w:val="26"/>
        </w:rPr>
      </w:pPr>
    </w:p>
    <w:p>
      <w:pPr>
        <w:pStyle w:val="BodyText"/>
        <w:ind w:left="640" w:right="643" w:hanging="360"/>
        <w:jc w:val="both"/>
        <w:rPr>
          <w:i/>
        </w:rPr>
      </w:pPr>
      <w:r>
        <w:rPr/>
        <w:t>Wernick</w:t>
      </w:r>
      <w:r>
        <w:rPr>
          <w:spacing w:val="-9"/>
        </w:rPr>
        <w:t> </w:t>
      </w:r>
      <w:r>
        <w:rPr/>
        <w:t>LJ,</w:t>
      </w:r>
      <w:r>
        <w:rPr>
          <w:spacing w:val="-6"/>
        </w:rPr>
        <w:t> </w:t>
      </w:r>
      <w:r>
        <w:rPr/>
        <w:t>Kulick</w:t>
      </w:r>
      <w:r>
        <w:rPr>
          <w:spacing w:val="-18"/>
        </w:rPr>
        <w:t> </w:t>
      </w:r>
      <w:r>
        <w:rPr/>
        <w:t>A,</w:t>
      </w:r>
      <w:r>
        <w:rPr>
          <w:spacing w:val="-5"/>
        </w:rPr>
        <w:t> </w:t>
      </w:r>
      <w:r>
        <w:rPr/>
        <w:t>Chin</w:t>
      </w:r>
      <w:r>
        <w:rPr>
          <w:spacing w:val="-6"/>
        </w:rPr>
        <w:t> </w:t>
      </w:r>
      <w:r>
        <w:rPr/>
        <w:t>M.</w:t>
      </w:r>
      <w:r>
        <w:rPr>
          <w:spacing w:val="-6"/>
        </w:rPr>
        <w:t> </w:t>
      </w:r>
      <w:r>
        <w:rPr/>
        <w:t>Gender</w:t>
      </w:r>
      <w:r>
        <w:rPr>
          <w:spacing w:val="-6"/>
        </w:rPr>
        <w:t> </w:t>
      </w:r>
      <w:r>
        <w:rPr/>
        <w:t>identity</w:t>
      </w:r>
      <w:r>
        <w:rPr>
          <w:spacing w:val="-6"/>
        </w:rPr>
        <w:t> </w:t>
      </w:r>
      <w:r>
        <w:rPr/>
        <w:t>disparities</w:t>
      </w:r>
      <w:r>
        <w:rPr>
          <w:spacing w:val="-6"/>
        </w:rPr>
        <w:t> </w:t>
      </w:r>
      <w:r>
        <w:rPr/>
        <w:t>in</w:t>
      </w:r>
      <w:r>
        <w:rPr>
          <w:spacing w:val="-6"/>
        </w:rPr>
        <w:t> </w:t>
      </w:r>
      <w:r>
        <w:rPr/>
        <w:t>bathroom</w:t>
      </w:r>
      <w:r>
        <w:rPr>
          <w:spacing w:val="-6"/>
        </w:rPr>
        <w:t> </w:t>
      </w:r>
      <w:r>
        <w:rPr/>
        <w:t>safety and well-being among high school students. </w:t>
      </w:r>
      <w:r>
        <w:rPr>
          <w:i/>
        </w:rPr>
        <w:t>J Youth Adolesc.</w:t>
      </w:r>
    </w:p>
    <w:p>
      <w:pPr>
        <w:pStyle w:val="BodyText"/>
        <w:spacing w:line="318" w:lineRule="exact"/>
        <w:ind w:left="640"/>
      </w:pPr>
      <w:r>
        <w:rPr/>
        <w:t>2017;46(5):917-930.</w:t>
      </w:r>
      <w:r>
        <w:rPr>
          <w:spacing w:val="-7"/>
        </w:rPr>
        <w:t> </w:t>
      </w:r>
      <w:r>
        <w:rPr/>
        <w:t>https://doi.org/10.1007/s10964-017-0652-</w:t>
      </w:r>
      <w:r>
        <w:rPr>
          <w:spacing w:val="-10"/>
        </w:rPr>
        <w:t>1</w:t>
      </w:r>
    </w:p>
    <w:p>
      <w:pPr>
        <w:pStyle w:val="BodyText"/>
        <w:spacing w:before="2"/>
        <w:rPr>
          <w:sz w:val="26"/>
        </w:rPr>
      </w:pPr>
    </w:p>
    <w:p>
      <w:pPr>
        <w:pStyle w:val="BodyText"/>
        <w:ind w:left="640" w:hanging="360"/>
      </w:pPr>
      <w:r>
        <w:rPr/>
        <w:t>Weinhardt</w:t>
      </w:r>
      <w:r>
        <w:rPr>
          <w:spacing w:val="-10"/>
        </w:rPr>
        <w:t> </w:t>
      </w:r>
      <w:r>
        <w:rPr/>
        <w:t>LS,</w:t>
      </w:r>
      <w:r>
        <w:rPr>
          <w:spacing w:val="-10"/>
        </w:rPr>
        <w:t> </w:t>
      </w:r>
      <w:r>
        <w:rPr/>
        <w:t>Stevens</w:t>
      </w:r>
      <w:r>
        <w:rPr>
          <w:spacing w:val="-10"/>
        </w:rPr>
        <w:t> </w:t>
      </w:r>
      <w:r>
        <w:rPr/>
        <w:t>P,</w:t>
      </w:r>
      <w:r>
        <w:rPr>
          <w:spacing w:val="-10"/>
        </w:rPr>
        <w:t> </w:t>
      </w:r>
      <w:r>
        <w:rPr/>
        <w:t>Xie</w:t>
      </w:r>
      <w:r>
        <w:rPr>
          <w:spacing w:val="-10"/>
        </w:rPr>
        <w:t> </w:t>
      </w:r>
      <w:r>
        <w:rPr/>
        <w:t>H,</w:t>
      </w:r>
      <w:r>
        <w:rPr>
          <w:spacing w:val="-10"/>
        </w:rPr>
        <w:t> </w:t>
      </w:r>
      <w:r>
        <w:rPr/>
        <w:t>et</w:t>
      </w:r>
      <w:r>
        <w:rPr>
          <w:spacing w:val="-10"/>
        </w:rPr>
        <w:t> </w:t>
      </w:r>
      <w:r>
        <w:rPr/>
        <w:t>al.</w:t>
      </w:r>
      <w:r>
        <w:rPr>
          <w:spacing w:val="-15"/>
        </w:rPr>
        <w:t> </w:t>
      </w:r>
      <w:r>
        <w:rPr/>
        <w:t>Transgender</w:t>
      </w:r>
      <w:r>
        <w:rPr>
          <w:spacing w:val="-10"/>
        </w:rPr>
        <w:t> </w:t>
      </w:r>
      <w:r>
        <w:rPr/>
        <w:t>and</w:t>
      </w:r>
      <w:r>
        <w:rPr>
          <w:spacing w:val="-10"/>
        </w:rPr>
        <w:t> </w:t>
      </w:r>
      <w:r>
        <w:rPr/>
        <w:t>gender</w:t>
      </w:r>
      <w:r>
        <w:rPr>
          <w:spacing w:val="-10"/>
        </w:rPr>
        <w:t> </w:t>
      </w:r>
      <w:r>
        <w:rPr/>
        <w:t>nonconforming youths'</w:t>
      </w:r>
      <w:r>
        <w:rPr>
          <w:spacing w:val="-2"/>
        </w:rPr>
        <w:t> </w:t>
      </w:r>
      <w:r>
        <w:rPr/>
        <w:t>public</w:t>
      </w:r>
      <w:r>
        <w:rPr>
          <w:spacing w:val="-3"/>
        </w:rPr>
        <w:t> </w:t>
      </w:r>
      <w:r>
        <w:rPr/>
        <w:t>facilities</w:t>
      </w:r>
      <w:r>
        <w:rPr>
          <w:spacing w:val="-2"/>
        </w:rPr>
        <w:t> </w:t>
      </w:r>
      <w:r>
        <w:rPr/>
        <w:t>use</w:t>
      </w:r>
      <w:r>
        <w:rPr>
          <w:spacing w:val="-3"/>
        </w:rPr>
        <w:t> </w:t>
      </w:r>
      <w:r>
        <w:rPr/>
        <w:t>and</w:t>
      </w:r>
      <w:r>
        <w:rPr>
          <w:spacing w:val="-2"/>
        </w:rPr>
        <w:t> </w:t>
      </w:r>
      <w:r>
        <w:rPr/>
        <w:t>psychological</w:t>
      </w:r>
      <w:r>
        <w:rPr>
          <w:spacing w:val="-2"/>
        </w:rPr>
        <w:t> </w:t>
      </w:r>
      <w:r>
        <w:rPr/>
        <w:t>well-being:</w:t>
      </w:r>
      <w:r>
        <w:rPr>
          <w:spacing w:val="-17"/>
        </w:rPr>
        <w:t> </w:t>
      </w:r>
      <w:r>
        <w:rPr/>
        <w:t>A</w:t>
      </w:r>
      <w:r>
        <w:rPr>
          <w:spacing w:val="-17"/>
        </w:rPr>
        <w:t> </w:t>
      </w:r>
      <w:r>
        <w:rPr/>
        <w:t>mixed-method study. </w:t>
      </w:r>
      <w:r>
        <w:rPr>
          <w:i/>
        </w:rPr>
        <w:t>Transgend Health. </w:t>
      </w:r>
      <w:r>
        <w:rPr/>
        <w:t>2017;2(1):140-150. https://doi.org/10.1089/ </w:t>
      </w:r>
      <w:r>
        <w:rPr>
          <w:spacing w:val="-2"/>
        </w:rPr>
        <w:t>trgh.2017.0020</w:t>
      </w:r>
    </w:p>
    <w:p>
      <w:pPr>
        <w:pStyle w:val="BodyText"/>
        <w:spacing w:before="8"/>
        <w:rPr>
          <w:sz w:val="25"/>
        </w:rPr>
      </w:pPr>
    </w:p>
    <w:p>
      <w:pPr>
        <w:pStyle w:val="BodyText"/>
        <w:ind w:left="640" w:hanging="360"/>
      </w:pPr>
      <w:r>
        <w:rPr/>
        <w:t>Wilson BDM, Jordan SP, Meyer IH, Flores</w:t>
      </w:r>
      <w:r>
        <w:rPr>
          <w:spacing w:val="-9"/>
        </w:rPr>
        <w:t> </w:t>
      </w:r>
      <w:r>
        <w:rPr/>
        <w:t>AR, Stemple L, Herman JL. Disproportionality</w:t>
      </w:r>
      <w:r>
        <w:rPr>
          <w:spacing w:val="-7"/>
        </w:rPr>
        <w:t> </w:t>
      </w:r>
      <w:r>
        <w:rPr/>
        <w:t>and</w:t>
      </w:r>
      <w:r>
        <w:rPr>
          <w:spacing w:val="-7"/>
        </w:rPr>
        <w:t> </w:t>
      </w:r>
      <w:r>
        <w:rPr/>
        <w:t>disparities</w:t>
      </w:r>
      <w:r>
        <w:rPr>
          <w:spacing w:val="-7"/>
        </w:rPr>
        <w:t> </w:t>
      </w:r>
      <w:r>
        <w:rPr/>
        <w:t>among</w:t>
      </w:r>
      <w:r>
        <w:rPr>
          <w:spacing w:val="-7"/>
        </w:rPr>
        <w:t> </w:t>
      </w:r>
      <w:r>
        <w:rPr/>
        <w:t>sexual</w:t>
      </w:r>
      <w:r>
        <w:rPr>
          <w:spacing w:val="-7"/>
        </w:rPr>
        <w:t> </w:t>
      </w:r>
      <w:r>
        <w:rPr/>
        <w:t>minority</w:t>
      </w:r>
      <w:r>
        <w:rPr>
          <w:spacing w:val="-7"/>
        </w:rPr>
        <w:t> </w:t>
      </w:r>
      <w:r>
        <w:rPr/>
        <w:t>youth</w:t>
      </w:r>
      <w:r>
        <w:rPr>
          <w:spacing w:val="-7"/>
        </w:rPr>
        <w:t> </w:t>
      </w:r>
      <w:r>
        <w:rPr/>
        <w:t>in</w:t>
      </w:r>
      <w:r>
        <w:rPr>
          <w:spacing w:val="-7"/>
        </w:rPr>
        <w:t> </w:t>
      </w:r>
      <w:r>
        <w:rPr/>
        <w:t>custody.</w:t>
      </w:r>
    </w:p>
    <w:p>
      <w:pPr>
        <w:pStyle w:val="BodyText"/>
        <w:spacing w:line="237" w:lineRule="auto"/>
        <w:ind w:left="640" w:right="1788"/>
      </w:pPr>
      <w:r>
        <w:rPr>
          <w:i/>
        </w:rPr>
        <w:t>J</w:t>
      </w:r>
      <w:r>
        <w:rPr>
          <w:i/>
          <w:spacing w:val="-18"/>
        </w:rPr>
        <w:t> </w:t>
      </w:r>
      <w:r>
        <w:rPr>
          <w:i/>
        </w:rPr>
        <w:t>Youth</w:t>
      </w:r>
      <w:r>
        <w:rPr>
          <w:i/>
          <w:spacing w:val="-17"/>
        </w:rPr>
        <w:t> </w:t>
      </w:r>
      <w:r>
        <w:rPr>
          <w:i/>
        </w:rPr>
        <w:t>Adolesc</w:t>
      </w:r>
      <w:r>
        <w:rPr/>
        <w:t>.</w:t>
      </w:r>
      <w:r>
        <w:rPr>
          <w:spacing w:val="-18"/>
        </w:rPr>
        <w:t> </w:t>
      </w:r>
      <w:r>
        <w:rPr/>
        <w:t>2017;46(7):1547-1561.</w:t>
      </w:r>
      <w:r>
        <w:rPr>
          <w:spacing w:val="-17"/>
        </w:rPr>
        <w:t> </w:t>
      </w:r>
      <w:r>
        <w:rPr/>
        <w:t>https://doi.org/10.1007/ </w:t>
      </w:r>
      <w:r>
        <w:rPr>
          <w:spacing w:val="-2"/>
        </w:rPr>
        <w:t>s10964-017-0632-5</w:t>
      </w:r>
    </w:p>
    <w:p>
      <w:pPr>
        <w:pStyle w:val="BodyText"/>
        <w:spacing w:before="8"/>
        <w:rPr>
          <w:sz w:val="27"/>
        </w:rPr>
      </w:pPr>
    </w:p>
    <w:p>
      <w:pPr>
        <w:pStyle w:val="BodyText"/>
        <w:ind w:left="640" w:right="502" w:hanging="360"/>
      </w:pPr>
      <w:r>
        <w:rPr/>
        <w:t>Poteat VP, Scheer JR, Chong ESK. Sexual orientation-based disparities in school and juvenile justice discipline:</w:t>
      </w:r>
      <w:r>
        <w:rPr>
          <w:spacing w:val="-3"/>
        </w:rPr>
        <w:t> </w:t>
      </w:r>
      <w:r>
        <w:rPr/>
        <w:t>A</w:t>
      </w:r>
      <w:r>
        <w:rPr>
          <w:spacing w:val="-3"/>
        </w:rPr>
        <w:t> </w:t>
      </w:r>
      <w:r>
        <w:rPr/>
        <w:t>multiple group comparison of contributing</w:t>
      </w:r>
      <w:r>
        <w:rPr>
          <w:spacing w:val="-7"/>
        </w:rPr>
        <w:t> </w:t>
      </w:r>
      <w:r>
        <w:rPr/>
        <w:t>factors.</w:t>
      </w:r>
      <w:r>
        <w:rPr>
          <w:spacing w:val="-8"/>
        </w:rPr>
        <w:t> </w:t>
      </w:r>
      <w:r>
        <w:rPr>
          <w:i/>
        </w:rPr>
        <w:t>J</w:t>
      </w:r>
      <w:r>
        <w:rPr>
          <w:i/>
          <w:spacing w:val="-8"/>
        </w:rPr>
        <w:t> </w:t>
      </w:r>
      <w:r>
        <w:rPr>
          <w:i/>
        </w:rPr>
        <w:t>Educ</w:t>
      </w:r>
      <w:r>
        <w:rPr>
          <w:i/>
          <w:spacing w:val="-8"/>
        </w:rPr>
        <w:t> </w:t>
      </w:r>
      <w:r>
        <w:rPr>
          <w:i/>
        </w:rPr>
        <w:t>Psychol.</w:t>
      </w:r>
      <w:r>
        <w:rPr>
          <w:i/>
          <w:spacing w:val="-8"/>
        </w:rPr>
        <w:t> </w:t>
      </w:r>
      <w:r>
        <w:rPr/>
        <w:t>2016;108(2):229-241.</w:t>
      </w:r>
      <w:r>
        <w:rPr>
          <w:spacing w:val="-7"/>
        </w:rPr>
        <w:t> </w:t>
      </w:r>
      <w:r>
        <w:rPr/>
        <w:t>https://doi.org/ </w:t>
      </w:r>
      <w:r>
        <w:rPr>
          <w:spacing w:val="-2"/>
        </w:rPr>
        <w:t>10.1037/edu0000058</w:t>
      </w:r>
    </w:p>
    <w:p>
      <w:pPr>
        <w:spacing w:after="0"/>
        <w:sectPr>
          <w:pgSz w:w="12240" w:h="15840"/>
          <w:pgMar w:header="0" w:footer="783" w:top="1260" w:bottom="980" w:left="1400" w:right="1180"/>
        </w:sectPr>
      </w:pPr>
    </w:p>
    <w:p>
      <w:pPr>
        <w:pStyle w:val="BodyText"/>
        <w:spacing w:before="66"/>
        <w:ind w:left="640" w:right="502" w:hanging="360"/>
      </w:pPr>
      <w:r>
        <w:rPr/>
        <w:t>Doty</w:t>
      </w:r>
      <w:r>
        <w:rPr>
          <w:spacing w:val="-5"/>
        </w:rPr>
        <w:t> </w:t>
      </w:r>
      <w:r>
        <w:rPr/>
        <w:t>ND,</w:t>
      </w:r>
      <w:r>
        <w:rPr>
          <w:spacing w:val="-11"/>
        </w:rPr>
        <w:t> </w:t>
      </w:r>
      <w:r>
        <w:rPr/>
        <w:t>Willoughby</w:t>
      </w:r>
      <w:r>
        <w:rPr>
          <w:spacing w:val="-5"/>
        </w:rPr>
        <w:t> </w:t>
      </w:r>
      <w:r>
        <w:rPr/>
        <w:t>BL,</w:t>
      </w:r>
      <w:r>
        <w:rPr>
          <w:spacing w:val="-5"/>
        </w:rPr>
        <w:t> </w:t>
      </w:r>
      <w:r>
        <w:rPr/>
        <w:t>Lindahl</w:t>
      </w:r>
      <w:r>
        <w:rPr>
          <w:spacing w:val="-5"/>
        </w:rPr>
        <w:t> </w:t>
      </w:r>
      <w:r>
        <w:rPr/>
        <w:t>KM,</w:t>
      </w:r>
      <w:r>
        <w:rPr>
          <w:spacing w:val="-5"/>
        </w:rPr>
        <w:t> </w:t>
      </w:r>
      <w:r>
        <w:rPr/>
        <w:t>Malik</w:t>
      </w:r>
      <w:r>
        <w:rPr>
          <w:spacing w:val="-5"/>
        </w:rPr>
        <w:t> </w:t>
      </w:r>
      <w:r>
        <w:rPr/>
        <w:t>NM.</w:t>
      </w:r>
      <w:r>
        <w:rPr>
          <w:spacing w:val="-5"/>
        </w:rPr>
        <w:t> </w:t>
      </w:r>
      <w:r>
        <w:rPr/>
        <w:t>Sexuality</w:t>
      </w:r>
      <w:r>
        <w:rPr>
          <w:spacing w:val="-5"/>
        </w:rPr>
        <w:t> </w:t>
      </w:r>
      <w:r>
        <w:rPr/>
        <w:t>related</w:t>
      </w:r>
      <w:r>
        <w:rPr>
          <w:spacing w:val="-5"/>
        </w:rPr>
        <w:t> </w:t>
      </w:r>
      <w:r>
        <w:rPr/>
        <w:t>social support among lesbian, gay, and bisexual youth. </w:t>
      </w:r>
      <w:r>
        <w:rPr>
          <w:i/>
        </w:rPr>
        <w:t>J Youth Adolesc</w:t>
      </w:r>
      <w:r>
        <w:rPr/>
        <w:t>.</w:t>
      </w:r>
    </w:p>
    <w:p>
      <w:pPr>
        <w:pStyle w:val="BodyText"/>
        <w:spacing w:line="318" w:lineRule="exact"/>
        <w:ind w:left="640"/>
      </w:pPr>
      <w:r>
        <w:rPr>
          <w:spacing w:val="-2"/>
        </w:rPr>
        <w:t>2010;39(10):1134-1147.</w:t>
      </w:r>
      <w:r>
        <w:rPr>
          <w:spacing w:val="58"/>
          <w:w w:val="150"/>
        </w:rPr>
        <w:t> </w:t>
      </w:r>
      <w:r>
        <w:rPr>
          <w:spacing w:val="-2"/>
        </w:rPr>
        <w:t>https://doi.org/10.1007/s10964-010-9566-</w:t>
      </w:r>
      <w:r>
        <w:rPr>
          <w:spacing w:val="-10"/>
        </w:rPr>
        <w:t>x</w:t>
      </w:r>
    </w:p>
    <w:p>
      <w:pPr>
        <w:pStyle w:val="BodyText"/>
        <w:spacing w:before="2"/>
        <w:rPr>
          <w:sz w:val="26"/>
        </w:rPr>
      </w:pPr>
    </w:p>
    <w:p>
      <w:pPr>
        <w:pStyle w:val="BodyText"/>
        <w:ind w:left="640" w:right="502" w:hanging="360"/>
      </w:pPr>
      <w:r>
        <w:rPr/>
        <w:t>Snapp</w:t>
      </w:r>
      <w:r>
        <w:rPr>
          <w:spacing w:val="-8"/>
        </w:rPr>
        <w:t> </w:t>
      </w:r>
      <w:r>
        <w:rPr/>
        <w:t>SD,</w:t>
      </w:r>
      <w:r>
        <w:rPr>
          <w:spacing w:val="-13"/>
        </w:rPr>
        <w:t> </w:t>
      </w:r>
      <w:r>
        <w:rPr/>
        <w:t>Watson</w:t>
      </w:r>
      <w:r>
        <w:rPr>
          <w:spacing w:val="-8"/>
        </w:rPr>
        <w:t> </w:t>
      </w:r>
      <w:r>
        <w:rPr/>
        <w:t>RJ,</w:t>
      </w:r>
      <w:r>
        <w:rPr>
          <w:spacing w:val="-8"/>
        </w:rPr>
        <w:t> </w:t>
      </w:r>
      <w:r>
        <w:rPr/>
        <w:t>Russell</w:t>
      </w:r>
      <w:r>
        <w:rPr>
          <w:spacing w:val="-8"/>
        </w:rPr>
        <w:t> </w:t>
      </w:r>
      <w:r>
        <w:rPr/>
        <w:t>ST,</w:t>
      </w:r>
      <w:r>
        <w:rPr>
          <w:spacing w:val="-8"/>
        </w:rPr>
        <w:t> </w:t>
      </w:r>
      <w:r>
        <w:rPr/>
        <w:t>Diaz</w:t>
      </w:r>
      <w:r>
        <w:rPr>
          <w:spacing w:val="-9"/>
        </w:rPr>
        <w:t> </w:t>
      </w:r>
      <w:r>
        <w:rPr/>
        <w:t>RM,</w:t>
      </w:r>
      <w:r>
        <w:rPr>
          <w:spacing w:val="-8"/>
        </w:rPr>
        <w:t> </w:t>
      </w:r>
      <w:r>
        <w:rPr/>
        <w:t>Ryan</w:t>
      </w:r>
      <w:r>
        <w:rPr>
          <w:spacing w:val="-8"/>
        </w:rPr>
        <w:t> </w:t>
      </w:r>
      <w:r>
        <w:rPr/>
        <w:t>C.</w:t>
      </w:r>
      <w:r>
        <w:rPr>
          <w:spacing w:val="-8"/>
        </w:rPr>
        <w:t> </w:t>
      </w:r>
      <w:r>
        <w:rPr/>
        <w:t>Social</w:t>
      </w:r>
      <w:r>
        <w:rPr>
          <w:spacing w:val="-8"/>
        </w:rPr>
        <w:t> </w:t>
      </w:r>
      <w:r>
        <w:rPr/>
        <w:t>support</w:t>
      </w:r>
      <w:r>
        <w:rPr>
          <w:spacing w:val="-8"/>
        </w:rPr>
        <w:t> </w:t>
      </w:r>
      <w:r>
        <w:rPr/>
        <w:t>networks for LGBT young adults: Low cost strategies for positive adjustment. </w:t>
      </w:r>
      <w:r>
        <w:rPr>
          <w:i/>
        </w:rPr>
        <w:t>Fam</w:t>
      </w:r>
      <w:r>
        <w:rPr>
          <w:i/>
        </w:rPr>
        <w:t> Relat</w:t>
      </w:r>
      <w:r>
        <w:rPr/>
        <w:t>. 2015;64(3):420-430. https://doi.org/10.1111/fare.12124</w:t>
      </w:r>
    </w:p>
    <w:p>
      <w:pPr>
        <w:pStyle w:val="BodyText"/>
        <w:spacing w:before="9"/>
        <w:rPr>
          <w:sz w:val="25"/>
        </w:rPr>
      </w:pPr>
    </w:p>
    <w:p>
      <w:pPr>
        <w:pStyle w:val="BodyText"/>
        <w:ind w:left="640" w:right="502" w:hanging="360"/>
      </w:pPr>
      <w:r>
        <w:rPr/>
        <w:t>Austin</w:t>
      </w:r>
      <w:r>
        <w:rPr>
          <w:spacing w:val="-8"/>
        </w:rPr>
        <w:t> </w:t>
      </w:r>
      <w:r>
        <w:rPr/>
        <w:t>A, Craig SL, Navega N, McInroy LB. It's my safe space: The life- saving</w:t>
      </w:r>
      <w:r>
        <w:rPr>
          <w:spacing w:val="-3"/>
        </w:rPr>
        <w:t> </w:t>
      </w:r>
      <w:r>
        <w:rPr/>
        <w:t>role</w:t>
      </w:r>
      <w:r>
        <w:rPr>
          <w:spacing w:val="-4"/>
        </w:rPr>
        <w:t> </w:t>
      </w:r>
      <w:r>
        <w:rPr/>
        <w:t>of</w:t>
      </w:r>
      <w:r>
        <w:rPr>
          <w:spacing w:val="-3"/>
        </w:rPr>
        <w:t> </w:t>
      </w:r>
      <w:r>
        <w:rPr/>
        <w:t>the</w:t>
      </w:r>
      <w:r>
        <w:rPr>
          <w:spacing w:val="-4"/>
        </w:rPr>
        <w:t> </w:t>
      </w:r>
      <w:r>
        <w:rPr/>
        <w:t>internet</w:t>
      </w:r>
      <w:r>
        <w:rPr>
          <w:spacing w:val="-3"/>
        </w:rPr>
        <w:t> </w:t>
      </w:r>
      <w:r>
        <w:rPr/>
        <w:t>in</w:t>
      </w:r>
      <w:r>
        <w:rPr>
          <w:spacing w:val="-3"/>
        </w:rPr>
        <w:t> </w:t>
      </w:r>
      <w:r>
        <w:rPr/>
        <w:t>the</w:t>
      </w:r>
      <w:r>
        <w:rPr>
          <w:spacing w:val="-4"/>
        </w:rPr>
        <w:t> </w:t>
      </w:r>
      <w:r>
        <w:rPr/>
        <w:t>lives</w:t>
      </w:r>
      <w:r>
        <w:rPr>
          <w:spacing w:val="-3"/>
        </w:rPr>
        <w:t> </w:t>
      </w:r>
      <w:r>
        <w:rPr/>
        <w:t>of</w:t>
      </w:r>
      <w:r>
        <w:rPr>
          <w:spacing w:val="-3"/>
        </w:rPr>
        <w:t> </w:t>
      </w:r>
      <w:r>
        <w:rPr/>
        <w:t>transgender</w:t>
      </w:r>
      <w:r>
        <w:rPr>
          <w:spacing w:val="-3"/>
        </w:rPr>
        <w:t> </w:t>
      </w:r>
      <w:r>
        <w:rPr/>
        <w:t>and</w:t>
      </w:r>
      <w:r>
        <w:rPr>
          <w:spacing w:val="-3"/>
        </w:rPr>
        <w:t> </w:t>
      </w:r>
      <w:r>
        <w:rPr/>
        <w:t>gender</w:t>
      </w:r>
      <w:r>
        <w:rPr>
          <w:spacing w:val="-3"/>
        </w:rPr>
        <w:t> </w:t>
      </w:r>
      <w:r>
        <w:rPr/>
        <w:t>diverse youth. </w:t>
      </w:r>
      <w:r>
        <w:rPr>
          <w:i/>
        </w:rPr>
        <w:t>Int J Transgend Health</w:t>
      </w:r>
      <w:r>
        <w:rPr/>
        <w:t>. 2020;21(1):33-44. https://doi.org/ 10.1080/15532739.2019.1700 202</w:t>
      </w:r>
    </w:p>
    <w:p>
      <w:pPr>
        <w:pStyle w:val="BodyText"/>
        <w:spacing w:before="8"/>
        <w:rPr>
          <w:sz w:val="25"/>
        </w:rPr>
      </w:pPr>
    </w:p>
    <w:p>
      <w:pPr>
        <w:pStyle w:val="BodyText"/>
        <w:ind w:left="640" w:right="499" w:hanging="360"/>
      </w:pPr>
      <w:r>
        <w:rPr/>
        <w:t>McInroy</w:t>
      </w:r>
      <w:r>
        <w:rPr>
          <w:spacing w:val="-5"/>
        </w:rPr>
        <w:t> </w:t>
      </w:r>
      <w:r>
        <w:rPr/>
        <w:t>LB,</w:t>
      </w:r>
      <w:r>
        <w:rPr>
          <w:spacing w:val="-5"/>
        </w:rPr>
        <w:t> </w:t>
      </w:r>
      <w:r>
        <w:rPr/>
        <w:t>Craig</w:t>
      </w:r>
      <w:r>
        <w:rPr>
          <w:spacing w:val="-5"/>
        </w:rPr>
        <w:t> </w:t>
      </w:r>
      <w:r>
        <w:rPr/>
        <w:t>SL.</w:t>
      </w:r>
      <w:r>
        <w:rPr>
          <w:spacing w:val="-5"/>
        </w:rPr>
        <w:t> </w:t>
      </w:r>
      <w:r>
        <w:rPr/>
        <w:t>“It’s</w:t>
      </w:r>
      <w:r>
        <w:rPr>
          <w:spacing w:val="-5"/>
        </w:rPr>
        <w:t> </w:t>
      </w:r>
      <w:r>
        <w:rPr/>
        <w:t>like</w:t>
      </w:r>
      <w:r>
        <w:rPr>
          <w:spacing w:val="-6"/>
        </w:rPr>
        <w:t> </w:t>
      </w:r>
      <w:r>
        <w:rPr/>
        <w:t>a</w:t>
      </w:r>
      <w:r>
        <w:rPr>
          <w:spacing w:val="-6"/>
        </w:rPr>
        <w:t> </w:t>
      </w:r>
      <w:r>
        <w:rPr/>
        <w:t>safe</w:t>
      </w:r>
      <w:r>
        <w:rPr>
          <w:spacing w:val="-6"/>
        </w:rPr>
        <w:t> </w:t>
      </w:r>
      <w:r>
        <w:rPr/>
        <w:t>haven</w:t>
      </w:r>
      <w:r>
        <w:rPr>
          <w:spacing w:val="-5"/>
        </w:rPr>
        <w:t> </w:t>
      </w:r>
      <w:r>
        <w:rPr/>
        <w:t>fantasy</w:t>
      </w:r>
      <w:r>
        <w:rPr>
          <w:spacing w:val="-5"/>
        </w:rPr>
        <w:t> </w:t>
      </w:r>
      <w:r>
        <w:rPr/>
        <w:t>world”:</w:t>
      </w:r>
      <w:r>
        <w:rPr>
          <w:spacing w:val="-5"/>
        </w:rPr>
        <w:t> </w:t>
      </w:r>
      <w:r>
        <w:rPr/>
        <w:t>Online</w:t>
      </w:r>
      <w:r>
        <w:rPr>
          <w:spacing w:val="-6"/>
        </w:rPr>
        <w:t> </w:t>
      </w:r>
      <w:r>
        <w:rPr/>
        <w:t>fandom communities and the identity development activities of sexual and gender minority youth. </w:t>
      </w:r>
      <w:r>
        <w:rPr>
          <w:i/>
        </w:rPr>
        <w:t>Psychol Pop Media Cult</w:t>
      </w:r>
      <w:r>
        <w:rPr/>
        <w:t>. 2020;9(2):236-246. https:// </w:t>
      </w:r>
      <w:r>
        <w:rPr>
          <w:spacing w:val="-2"/>
        </w:rPr>
        <w:t>doi.org/10.1037/ppm0000234</w:t>
      </w:r>
    </w:p>
    <w:p>
      <w:pPr>
        <w:pStyle w:val="BodyText"/>
        <w:spacing w:before="8"/>
        <w:rPr>
          <w:sz w:val="25"/>
        </w:rPr>
      </w:pPr>
    </w:p>
    <w:p>
      <w:pPr>
        <w:pStyle w:val="BodyText"/>
        <w:ind w:left="640" w:right="1128" w:hanging="360"/>
      </w:pPr>
      <w:r>
        <w:rPr/>
        <w:t>Fish JN, McInroy LB, Paceley MS, et al. “I'm kinda stuck at home with unsupportive parents right now”: LGBTQ youths' experiences with COVID-19 and the importance of online support. </w:t>
      </w:r>
      <w:r>
        <w:rPr>
          <w:i/>
        </w:rPr>
        <w:t>J Adolesc Health.</w:t>
      </w:r>
      <w:r>
        <w:rPr>
          <w:i/>
        </w:rPr>
        <w:t> </w:t>
      </w:r>
      <w:r>
        <w:rPr/>
        <w:t>2020;67(3):450-452.</w:t>
      </w:r>
      <w:r>
        <w:rPr>
          <w:spacing w:val="-18"/>
        </w:rPr>
        <w:t> </w:t>
      </w:r>
      <w:r>
        <w:rPr/>
        <w:t>https://doi.org/10.1016/j.jadohealth.2020.06.</w:t>
      </w:r>
      <w:r>
        <w:rPr>
          <w:spacing w:val="-17"/>
        </w:rPr>
        <w:t> </w:t>
      </w:r>
      <w:r>
        <w:rPr/>
        <w:t>002</w:t>
      </w:r>
    </w:p>
    <w:p>
      <w:pPr>
        <w:pStyle w:val="BodyText"/>
        <w:spacing w:before="7"/>
        <w:rPr>
          <w:sz w:val="25"/>
        </w:rPr>
      </w:pPr>
    </w:p>
    <w:p>
      <w:pPr>
        <w:pStyle w:val="BodyText"/>
        <w:ind w:left="640" w:right="653" w:hanging="360"/>
      </w:pPr>
      <w:r>
        <w:rPr/>
        <w:t>Kaczkowski</w:t>
      </w:r>
      <w:r>
        <w:rPr>
          <w:spacing w:val="-13"/>
        </w:rPr>
        <w:t> </w:t>
      </w:r>
      <w:r>
        <w:rPr/>
        <w:t>W,</w:t>
      </w:r>
      <w:r>
        <w:rPr>
          <w:spacing w:val="-6"/>
        </w:rPr>
        <w:t> </w:t>
      </w:r>
      <w:r>
        <w:rPr/>
        <w:t>Li</w:t>
      </w:r>
      <w:r>
        <w:rPr>
          <w:spacing w:val="-6"/>
        </w:rPr>
        <w:t> </w:t>
      </w:r>
      <w:r>
        <w:rPr/>
        <w:t>J,</w:t>
      </w:r>
      <w:r>
        <w:rPr>
          <w:spacing w:val="-6"/>
        </w:rPr>
        <w:t> </w:t>
      </w:r>
      <w:r>
        <w:rPr/>
        <w:t>Cooper</w:t>
      </w:r>
      <w:r>
        <w:rPr>
          <w:spacing w:val="-18"/>
        </w:rPr>
        <w:t> </w:t>
      </w:r>
      <w:r>
        <w:rPr/>
        <w:t>A,</w:t>
      </w:r>
      <w:r>
        <w:rPr>
          <w:spacing w:val="-5"/>
        </w:rPr>
        <w:t> </w:t>
      </w:r>
      <w:r>
        <w:rPr/>
        <w:t>Robin</w:t>
      </w:r>
      <w:r>
        <w:rPr>
          <w:spacing w:val="-6"/>
        </w:rPr>
        <w:t> </w:t>
      </w:r>
      <w:r>
        <w:rPr/>
        <w:t>L.</w:t>
      </w:r>
      <w:r>
        <w:rPr>
          <w:spacing w:val="-6"/>
        </w:rPr>
        <w:t> </w:t>
      </w:r>
      <w:r>
        <w:rPr/>
        <w:t>Examining</w:t>
      </w:r>
      <w:r>
        <w:rPr>
          <w:spacing w:val="-6"/>
        </w:rPr>
        <w:t> </w:t>
      </w:r>
      <w:r>
        <w:rPr/>
        <w:t>the</w:t>
      </w:r>
      <w:r>
        <w:rPr>
          <w:spacing w:val="-6"/>
        </w:rPr>
        <w:t> </w:t>
      </w:r>
      <w:r>
        <w:rPr/>
        <w:t>relationship</w:t>
      </w:r>
      <w:r>
        <w:rPr>
          <w:spacing w:val="-6"/>
        </w:rPr>
        <w:t> </w:t>
      </w:r>
      <w:r>
        <w:rPr/>
        <w:t>between LGBTQ-supportive school health policies and practices and psychosocial health</w:t>
      </w:r>
      <w:r>
        <w:rPr>
          <w:spacing w:val="-7"/>
        </w:rPr>
        <w:t> </w:t>
      </w:r>
      <w:r>
        <w:rPr/>
        <w:t>outcomes</w:t>
      </w:r>
      <w:r>
        <w:rPr>
          <w:spacing w:val="-7"/>
        </w:rPr>
        <w:t> </w:t>
      </w:r>
      <w:r>
        <w:rPr/>
        <w:t>of</w:t>
      </w:r>
      <w:r>
        <w:rPr>
          <w:spacing w:val="-7"/>
        </w:rPr>
        <w:t> </w:t>
      </w:r>
      <w:r>
        <w:rPr/>
        <w:t>lesbian,</w:t>
      </w:r>
      <w:r>
        <w:rPr>
          <w:spacing w:val="-7"/>
        </w:rPr>
        <w:t> </w:t>
      </w:r>
      <w:r>
        <w:rPr/>
        <w:t>gay,</w:t>
      </w:r>
      <w:r>
        <w:rPr>
          <w:spacing w:val="-7"/>
        </w:rPr>
        <w:t> </w:t>
      </w:r>
      <w:r>
        <w:rPr/>
        <w:t>bisexual</w:t>
      </w:r>
      <w:r>
        <w:rPr>
          <w:spacing w:val="-7"/>
        </w:rPr>
        <w:t> </w:t>
      </w:r>
      <w:r>
        <w:rPr/>
        <w:t>and</w:t>
      </w:r>
      <w:r>
        <w:rPr>
          <w:spacing w:val="-7"/>
        </w:rPr>
        <w:t> </w:t>
      </w:r>
      <w:r>
        <w:rPr/>
        <w:t>heterosexual</w:t>
      </w:r>
      <w:r>
        <w:rPr>
          <w:spacing w:val="-7"/>
        </w:rPr>
        <w:t> </w:t>
      </w:r>
      <w:r>
        <w:rPr/>
        <w:t>students.</w:t>
      </w:r>
      <w:r>
        <w:rPr>
          <w:spacing w:val="-8"/>
        </w:rPr>
        <w:t> </w:t>
      </w:r>
      <w:r>
        <w:rPr>
          <w:i/>
        </w:rPr>
        <w:t>LGBT</w:t>
      </w:r>
      <w:r>
        <w:rPr>
          <w:i/>
        </w:rPr>
        <w:t> Health</w:t>
      </w:r>
      <w:r>
        <w:rPr/>
        <w:t>. 2022; 9(1):43-53. https://doi.org/10.1089/lgbt.2021.0133</w:t>
      </w:r>
    </w:p>
    <w:p>
      <w:pPr>
        <w:pStyle w:val="BodyText"/>
        <w:spacing w:before="8"/>
        <w:rPr>
          <w:sz w:val="25"/>
        </w:rPr>
      </w:pPr>
    </w:p>
    <w:p>
      <w:pPr>
        <w:pStyle w:val="BodyText"/>
        <w:ind w:left="640" w:right="621" w:hanging="360"/>
      </w:pPr>
      <w:r>
        <w:rPr/>
        <w:t>Abreu</w:t>
      </w:r>
      <w:r>
        <w:rPr>
          <w:spacing w:val="-10"/>
        </w:rPr>
        <w:t> </w:t>
      </w:r>
      <w:r>
        <w:rPr/>
        <w:t>RL,</w:t>
      </w:r>
      <w:r>
        <w:rPr>
          <w:spacing w:val="-18"/>
        </w:rPr>
        <w:t> </w:t>
      </w:r>
      <w:r>
        <w:rPr/>
        <w:t>Audette</w:t>
      </w:r>
      <w:r>
        <w:rPr>
          <w:spacing w:val="-7"/>
        </w:rPr>
        <w:t> </w:t>
      </w:r>
      <w:r>
        <w:rPr/>
        <w:t>l,</w:t>
      </w:r>
      <w:r>
        <w:rPr>
          <w:spacing w:val="-7"/>
        </w:rPr>
        <w:t> </w:t>
      </w:r>
      <w:r>
        <w:rPr/>
        <w:t>Mitchell</w:t>
      </w:r>
      <w:r>
        <w:rPr>
          <w:spacing w:val="-17"/>
        </w:rPr>
        <w:t> </w:t>
      </w:r>
      <w:r>
        <w:rPr/>
        <w:t>Y,</w:t>
      </w:r>
      <w:r>
        <w:rPr>
          <w:spacing w:val="-7"/>
        </w:rPr>
        <w:t> </w:t>
      </w:r>
      <w:r>
        <w:rPr/>
        <w:t>et</w:t>
      </w:r>
      <w:r>
        <w:rPr>
          <w:spacing w:val="-7"/>
        </w:rPr>
        <w:t> </w:t>
      </w:r>
      <w:r>
        <w:rPr/>
        <w:t>al.</w:t>
      </w:r>
      <w:r>
        <w:rPr>
          <w:spacing w:val="-7"/>
        </w:rPr>
        <w:t> </w:t>
      </w:r>
      <w:r>
        <w:rPr/>
        <w:t>LGBTQ</w:t>
      </w:r>
      <w:r>
        <w:rPr>
          <w:spacing w:val="-7"/>
        </w:rPr>
        <w:t> </w:t>
      </w:r>
      <w:r>
        <w:rPr/>
        <w:t>student</w:t>
      </w:r>
      <w:r>
        <w:rPr>
          <w:spacing w:val="-7"/>
        </w:rPr>
        <w:t> </w:t>
      </w:r>
      <w:r>
        <w:rPr/>
        <w:t>experiences</w:t>
      </w:r>
      <w:r>
        <w:rPr>
          <w:spacing w:val="-7"/>
        </w:rPr>
        <w:t> </w:t>
      </w:r>
      <w:r>
        <w:rPr/>
        <w:t>in</w:t>
      </w:r>
      <w:r>
        <w:rPr>
          <w:spacing w:val="-7"/>
        </w:rPr>
        <w:t> </w:t>
      </w:r>
      <w:r>
        <w:rPr/>
        <w:t>schools from 2009– 2019:</w:t>
      </w:r>
      <w:r>
        <w:rPr>
          <w:spacing w:val="-3"/>
        </w:rPr>
        <w:t> </w:t>
      </w:r>
      <w:r>
        <w:rPr/>
        <w:t>A</w:t>
      </w:r>
      <w:r>
        <w:rPr>
          <w:spacing w:val="-3"/>
        </w:rPr>
        <w:t> </w:t>
      </w:r>
      <w:r>
        <w:rPr/>
        <w:t>systematic review of study characteristics and recommendations for prevention and intervention in school psychology journals. </w:t>
      </w:r>
      <w:r>
        <w:rPr>
          <w:i/>
        </w:rPr>
        <w:t>Psychol Schools</w:t>
      </w:r>
      <w:r>
        <w:rPr/>
        <w:t>. 2022;59(1):115-151. https://doi.org/10.1007/ </w:t>
      </w:r>
      <w:r>
        <w:rPr>
          <w:spacing w:val="-2"/>
        </w:rPr>
        <w:t>s40653-017-0175-7</w:t>
      </w:r>
    </w:p>
    <w:p>
      <w:pPr>
        <w:pStyle w:val="BodyText"/>
        <w:spacing w:before="5"/>
        <w:rPr>
          <w:sz w:val="25"/>
        </w:rPr>
      </w:pPr>
    </w:p>
    <w:p>
      <w:pPr>
        <w:pStyle w:val="BodyText"/>
        <w:spacing w:before="1"/>
        <w:ind w:left="640" w:right="502" w:hanging="360"/>
      </w:pPr>
      <w:r>
        <w:rPr/>
        <w:t>Lessard</w:t>
      </w:r>
      <w:r>
        <w:rPr>
          <w:spacing w:val="-6"/>
        </w:rPr>
        <w:t> </w:t>
      </w:r>
      <w:r>
        <w:rPr/>
        <w:t>LM,</w:t>
      </w:r>
      <w:r>
        <w:rPr>
          <w:spacing w:val="-12"/>
        </w:rPr>
        <w:t> </w:t>
      </w:r>
      <w:r>
        <w:rPr/>
        <w:t>Watson</w:t>
      </w:r>
      <w:r>
        <w:rPr>
          <w:spacing w:val="-6"/>
        </w:rPr>
        <w:t> </w:t>
      </w:r>
      <w:r>
        <w:rPr/>
        <w:t>RJ,</w:t>
      </w:r>
      <w:r>
        <w:rPr>
          <w:spacing w:val="-6"/>
        </w:rPr>
        <w:t> </w:t>
      </w:r>
      <w:r>
        <w:rPr/>
        <w:t>Puhl</w:t>
      </w:r>
      <w:r>
        <w:rPr>
          <w:spacing w:val="-6"/>
        </w:rPr>
        <w:t> </w:t>
      </w:r>
      <w:r>
        <w:rPr/>
        <w:t>RM.</w:t>
      </w:r>
      <w:r>
        <w:rPr>
          <w:spacing w:val="-6"/>
        </w:rPr>
        <w:t> </w:t>
      </w:r>
      <w:r>
        <w:rPr/>
        <w:t>Bias-based</w:t>
      </w:r>
      <w:r>
        <w:rPr>
          <w:spacing w:val="-6"/>
        </w:rPr>
        <w:t> </w:t>
      </w:r>
      <w:r>
        <w:rPr/>
        <w:t>bullying</w:t>
      </w:r>
      <w:r>
        <w:rPr>
          <w:spacing w:val="-6"/>
        </w:rPr>
        <w:t> </w:t>
      </w:r>
      <w:r>
        <w:rPr/>
        <w:t>and</w:t>
      </w:r>
      <w:r>
        <w:rPr>
          <w:spacing w:val="-6"/>
        </w:rPr>
        <w:t> </w:t>
      </w:r>
      <w:r>
        <w:rPr/>
        <w:t>school</w:t>
      </w:r>
      <w:r>
        <w:rPr>
          <w:spacing w:val="-6"/>
        </w:rPr>
        <w:t> </w:t>
      </w:r>
      <w:r>
        <w:rPr/>
        <w:t>adjustment among sexual and gender minority adolescents: The role of gay-straight alliances</w:t>
      </w:r>
      <w:r>
        <w:rPr>
          <w:spacing w:val="-7"/>
        </w:rPr>
        <w:t> </w:t>
      </w:r>
      <w:r>
        <w:rPr/>
        <w:t>[published</w:t>
      </w:r>
      <w:r>
        <w:rPr>
          <w:spacing w:val="-5"/>
        </w:rPr>
        <w:t> </w:t>
      </w:r>
      <w:r>
        <w:rPr/>
        <w:t>correction</w:t>
      </w:r>
      <w:r>
        <w:rPr>
          <w:spacing w:val="-5"/>
        </w:rPr>
        <w:t> </w:t>
      </w:r>
      <w:r>
        <w:rPr/>
        <w:t>appears</w:t>
      </w:r>
      <w:r>
        <w:rPr>
          <w:spacing w:val="-5"/>
        </w:rPr>
        <w:t> </w:t>
      </w:r>
      <w:r>
        <w:rPr/>
        <w:t>in</w:t>
      </w:r>
      <w:r>
        <w:rPr>
          <w:spacing w:val="-6"/>
        </w:rPr>
        <w:t> </w:t>
      </w:r>
      <w:r>
        <w:rPr>
          <w:i/>
        </w:rPr>
        <w:t>J</w:t>
      </w:r>
      <w:r>
        <w:rPr>
          <w:i/>
          <w:spacing w:val="-6"/>
        </w:rPr>
        <w:t> </w:t>
      </w:r>
      <w:r>
        <w:rPr>
          <w:i/>
        </w:rPr>
        <w:t>Youth</w:t>
      </w:r>
      <w:r>
        <w:rPr>
          <w:i/>
          <w:spacing w:val="-10"/>
        </w:rPr>
        <w:t> </w:t>
      </w:r>
      <w:r>
        <w:rPr>
          <w:i/>
        </w:rPr>
        <w:t>Adolesc</w:t>
      </w:r>
      <w:r>
        <w:rPr/>
        <w:t>.</w:t>
      </w:r>
      <w:r>
        <w:rPr>
          <w:spacing w:val="-18"/>
        </w:rPr>
        <w:t> </w:t>
      </w:r>
      <w:r>
        <w:rPr/>
        <w:t>April</w:t>
      </w:r>
      <w:r>
        <w:rPr>
          <w:spacing w:val="-4"/>
        </w:rPr>
        <w:t> </w:t>
      </w:r>
      <w:r>
        <w:rPr/>
        <w:t>20,</w:t>
      </w:r>
      <w:r>
        <w:rPr>
          <w:spacing w:val="-5"/>
        </w:rPr>
        <w:t> </w:t>
      </w:r>
      <w:r>
        <w:rPr/>
        <w:t>2020].</w:t>
      </w:r>
    </w:p>
    <w:p>
      <w:pPr>
        <w:pStyle w:val="BodyText"/>
        <w:spacing w:line="237" w:lineRule="auto"/>
        <w:ind w:left="640" w:right="1892"/>
      </w:pPr>
      <w:r>
        <w:rPr>
          <w:i/>
        </w:rPr>
        <w:t>J</w:t>
      </w:r>
      <w:r>
        <w:rPr>
          <w:i/>
          <w:spacing w:val="-18"/>
        </w:rPr>
        <w:t> </w:t>
      </w:r>
      <w:r>
        <w:rPr>
          <w:i/>
        </w:rPr>
        <w:t>Youth</w:t>
      </w:r>
      <w:r>
        <w:rPr>
          <w:i/>
          <w:spacing w:val="-17"/>
        </w:rPr>
        <w:t> </w:t>
      </w:r>
      <w:r>
        <w:rPr>
          <w:i/>
        </w:rPr>
        <w:t>Adolesc</w:t>
      </w:r>
      <w:r>
        <w:rPr/>
        <w:t>.</w:t>
      </w:r>
      <w:r>
        <w:rPr>
          <w:spacing w:val="-18"/>
        </w:rPr>
        <w:t> </w:t>
      </w:r>
      <w:r>
        <w:rPr/>
        <w:t>2020;49(5):10941109.</w:t>
      </w:r>
      <w:r>
        <w:rPr>
          <w:spacing w:val="-17"/>
        </w:rPr>
        <w:t> </w:t>
      </w:r>
      <w:r>
        <w:rPr/>
        <w:t>https://doi.org/10.1007/ </w:t>
      </w:r>
      <w:r>
        <w:rPr>
          <w:spacing w:val="-2"/>
        </w:rPr>
        <w:t>s10964-02001205-1</w:t>
      </w:r>
    </w:p>
    <w:p>
      <w:pPr>
        <w:pStyle w:val="BodyText"/>
        <w:rPr>
          <w:sz w:val="26"/>
        </w:rPr>
      </w:pPr>
    </w:p>
    <w:p>
      <w:pPr>
        <w:pStyle w:val="BodyText"/>
        <w:ind w:left="640" w:right="502" w:hanging="360"/>
      </w:pPr>
      <w:r>
        <w:rPr/>
        <w:t>Paceley</w:t>
      </w:r>
      <w:r>
        <w:rPr>
          <w:spacing w:val="-4"/>
        </w:rPr>
        <w:t> </w:t>
      </w:r>
      <w:r>
        <w:rPr/>
        <w:t>MS,</w:t>
      </w:r>
      <w:r>
        <w:rPr>
          <w:spacing w:val="-4"/>
        </w:rPr>
        <w:t> </w:t>
      </w:r>
      <w:r>
        <w:rPr/>
        <w:t>Fish</w:t>
      </w:r>
      <w:r>
        <w:rPr>
          <w:spacing w:val="-4"/>
        </w:rPr>
        <w:t> </w:t>
      </w:r>
      <w:r>
        <w:rPr/>
        <w:t>JN,</w:t>
      </w:r>
      <w:r>
        <w:rPr>
          <w:spacing w:val="-10"/>
        </w:rPr>
        <w:t> </w:t>
      </w:r>
      <w:r>
        <w:rPr/>
        <w:t>Thomas</w:t>
      </w:r>
      <w:r>
        <w:rPr>
          <w:spacing w:val="-4"/>
        </w:rPr>
        <w:t> </w:t>
      </w:r>
      <w:r>
        <w:rPr/>
        <w:t>MMC,</w:t>
      </w:r>
      <w:r>
        <w:rPr>
          <w:spacing w:val="-4"/>
        </w:rPr>
        <w:t> </w:t>
      </w:r>
      <w:r>
        <w:rPr/>
        <w:t>Goffnett</w:t>
      </w:r>
      <w:r>
        <w:rPr>
          <w:spacing w:val="-4"/>
        </w:rPr>
        <w:t> </w:t>
      </w:r>
      <w:r>
        <w:rPr/>
        <w:t>J.</w:t>
      </w:r>
      <w:r>
        <w:rPr>
          <w:spacing w:val="-10"/>
        </w:rPr>
        <w:t> </w:t>
      </w:r>
      <w:r>
        <w:rPr/>
        <w:t>The</w:t>
      </w:r>
      <w:r>
        <w:rPr>
          <w:spacing w:val="-5"/>
        </w:rPr>
        <w:t> </w:t>
      </w:r>
      <w:r>
        <w:rPr/>
        <w:t>impact</w:t>
      </w:r>
      <w:r>
        <w:rPr>
          <w:spacing w:val="-4"/>
        </w:rPr>
        <w:t> </w:t>
      </w:r>
      <w:r>
        <w:rPr/>
        <w:t>of</w:t>
      </w:r>
      <w:r>
        <w:rPr>
          <w:spacing w:val="-4"/>
        </w:rPr>
        <w:t> </w:t>
      </w:r>
      <w:r>
        <w:rPr/>
        <w:t>community size, community climate, and victimization on the physical and mental</w:t>
      </w:r>
    </w:p>
    <w:p>
      <w:pPr>
        <w:spacing w:after="0"/>
        <w:sectPr>
          <w:pgSz w:w="12240" w:h="15840"/>
          <w:pgMar w:header="0" w:footer="783" w:top="1260" w:bottom="980" w:left="1400" w:right="1180"/>
        </w:sectPr>
      </w:pPr>
    </w:p>
    <w:p>
      <w:pPr>
        <w:pStyle w:val="BodyText"/>
        <w:spacing w:before="66"/>
        <w:ind w:left="640"/>
      </w:pPr>
      <w:r>
        <w:rPr/>
        <w:t>health</w:t>
      </w:r>
      <w:r>
        <w:rPr>
          <w:spacing w:val="-10"/>
        </w:rPr>
        <w:t> </w:t>
      </w:r>
      <w:r>
        <w:rPr/>
        <w:t>of</w:t>
      </w:r>
      <w:r>
        <w:rPr>
          <w:spacing w:val="-10"/>
        </w:rPr>
        <w:t> </w:t>
      </w:r>
      <w:r>
        <w:rPr/>
        <w:t>SGM</w:t>
      </w:r>
      <w:r>
        <w:rPr>
          <w:spacing w:val="-10"/>
        </w:rPr>
        <w:t> </w:t>
      </w:r>
      <w:r>
        <w:rPr/>
        <w:t>youth.</w:t>
      </w:r>
      <w:r>
        <w:rPr>
          <w:spacing w:val="-11"/>
        </w:rPr>
        <w:t> </w:t>
      </w:r>
      <w:r>
        <w:rPr>
          <w:i/>
        </w:rPr>
        <w:t>Youth</w:t>
      </w:r>
      <w:r>
        <w:rPr>
          <w:i/>
          <w:spacing w:val="-10"/>
        </w:rPr>
        <w:t> </w:t>
      </w:r>
      <w:r>
        <w:rPr>
          <w:i/>
        </w:rPr>
        <w:t>Stud.</w:t>
      </w:r>
      <w:r>
        <w:rPr>
          <w:i/>
          <w:spacing w:val="-11"/>
        </w:rPr>
        <w:t> </w:t>
      </w:r>
      <w:r>
        <w:rPr/>
        <w:t>2020;52(3):427-448.</w:t>
      </w:r>
      <w:r>
        <w:rPr>
          <w:spacing w:val="-10"/>
        </w:rPr>
        <w:t> </w:t>
      </w:r>
      <w:r>
        <w:rPr/>
        <w:t>https://doi.org/ </w:t>
      </w:r>
      <w:r>
        <w:rPr>
          <w:spacing w:val="-2"/>
        </w:rPr>
        <w:t>10.1177/0044118X19856141</w:t>
      </w:r>
    </w:p>
    <w:p>
      <w:pPr>
        <w:pStyle w:val="BodyText"/>
        <w:rPr>
          <w:sz w:val="26"/>
        </w:rPr>
      </w:pPr>
    </w:p>
    <w:p>
      <w:pPr>
        <w:pStyle w:val="BodyText"/>
        <w:ind w:left="640" w:right="746" w:hanging="360"/>
      </w:pPr>
      <w:r>
        <w:rPr/>
        <w:t>Watson</w:t>
      </w:r>
      <w:r>
        <w:rPr>
          <w:spacing w:val="-18"/>
        </w:rPr>
        <w:t> </w:t>
      </w:r>
      <w:r>
        <w:rPr/>
        <w:t>RJ,</w:t>
      </w:r>
      <w:r>
        <w:rPr>
          <w:spacing w:val="-9"/>
        </w:rPr>
        <w:t> </w:t>
      </w:r>
      <w:r>
        <w:rPr/>
        <w:t>Park</w:t>
      </w:r>
      <w:r>
        <w:rPr>
          <w:spacing w:val="-9"/>
        </w:rPr>
        <w:t> </w:t>
      </w:r>
      <w:r>
        <w:rPr/>
        <w:t>M,</w:t>
      </w:r>
      <w:r>
        <w:rPr>
          <w:spacing w:val="-14"/>
        </w:rPr>
        <w:t> </w:t>
      </w:r>
      <w:r>
        <w:rPr/>
        <w:t>Taylor</w:t>
      </w:r>
      <w:r>
        <w:rPr>
          <w:spacing w:val="-18"/>
        </w:rPr>
        <w:t> </w:t>
      </w:r>
      <w:r>
        <w:rPr/>
        <w:t>AB,</w:t>
      </w:r>
      <w:r>
        <w:rPr>
          <w:spacing w:val="-8"/>
        </w:rPr>
        <w:t> </w:t>
      </w:r>
      <w:r>
        <w:rPr/>
        <w:t>et</w:t>
      </w:r>
      <w:r>
        <w:rPr>
          <w:spacing w:val="-9"/>
        </w:rPr>
        <w:t> </w:t>
      </w:r>
      <w:r>
        <w:rPr/>
        <w:t>al.</w:t>
      </w:r>
      <w:r>
        <w:rPr>
          <w:spacing w:val="-18"/>
        </w:rPr>
        <w:t> </w:t>
      </w:r>
      <w:r>
        <w:rPr/>
        <w:t>Associations</w:t>
      </w:r>
      <w:r>
        <w:rPr>
          <w:spacing w:val="-8"/>
        </w:rPr>
        <w:t> </w:t>
      </w:r>
      <w:r>
        <w:rPr/>
        <w:t>between</w:t>
      </w:r>
      <w:r>
        <w:rPr>
          <w:spacing w:val="-9"/>
        </w:rPr>
        <w:t> </w:t>
      </w:r>
      <w:r>
        <w:rPr/>
        <w:t>community-level LGBTQ-supportive factors and substance use among sexual minority adolescents. </w:t>
      </w:r>
      <w:r>
        <w:rPr>
          <w:i/>
        </w:rPr>
        <w:t>LGBT Health</w:t>
      </w:r>
      <w:r>
        <w:rPr/>
        <w:t>. 2020;7(2):82-89. https://doi.org/10.1089/ </w:t>
      </w:r>
      <w:r>
        <w:rPr>
          <w:spacing w:val="-2"/>
        </w:rPr>
        <w:t>lgbt.2019.0205</w:t>
      </w:r>
    </w:p>
    <w:p>
      <w:pPr>
        <w:pStyle w:val="BodyText"/>
        <w:spacing w:before="7"/>
        <w:rPr>
          <w:sz w:val="25"/>
        </w:rPr>
      </w:pPr>
    </w:p>
    <w:p>
      <w:pPr>
        <w:pStyle w:val="BodyText"/>
        <w:spacing w:before="1"/>
        <w:ind w:left="640" w:right="620" w:hanging="360"/>
        <w:jc w:val="both"/>
      </w:pPr>
      <w:r>
        <w:rPr/>
        <w:t>Du</w:t>
      </w:r>
      <w:r>
        <w:rPr>
          <w:spacing w:val="-8"/>
        </w:rPr>
        <w:t> </w:t>
      </w:r>
      <w:r>
        <w:rPr/>
        <w:t>Bois</w:t>
      </w:r>
      <w:r>
        <w:rPr>
          <w:spacing w:val="-6"/>
        </w:rPr>
        <w:t> </w:t>
      </w:r>
      <w:r>
        <w:rPr/>
        <w:t>SN,</w:t>
      </w:r>
      <w:r>
        <w:rPr>
          <w:spacing w:val="-16"/>
        </w:rPr>
        <w:t> </w:t>
      </w:r>
      <w:r>
        <w:rPr/>
        <w:t>Yoder</w:t>
      </w:r>
      <w:r>
        <w:rPr>
          <w:spacing w:val="-11"/>
        </w:rPr>
        <w:t> </w:t>
      </w:r>
      <w:r>
        <w:rPr/>
        <w:t>W,</w:t>
      </w:r>
      <w:r>
        <w:rPr>
          <w:spacing w:val="-6"/>
        </w:rPr>
        <w:t> </w:t>
      </w:r>
      <w:r>
        <w:rPr/>
        <w:t>Guy</w:t>
      </w:r>
      <w:r>
        <w:rPr>
          <w:spacing w:val="-18"/>
        </w:rPr>
        <w:t> </w:t>
      </w:r>
      <w:r>
        <w:rPr/>
        <w:t>AA,</w:t>
      </w:r>
      <w:r>
        <w:rPr>
          <w:spacing w:val="-5"/>
        </w:rPr>
        <w:t> </w:t>
      </w:r>
      <w:r>
        <w:rPr/>
        <w:t>Manser</w:t>
      </w:r>
      <w:r>
        <w:rPr>
          <w:spacing w:val="-6"/>
        </w:rPr>
        <w:t> </w:t>
      </w:r>
      <w:r>
        <w:rPr/>
        <w:t>K,</w:t>
      </w:r>
      <w:r>
        <w:rPr>
          <w:spacing w:val="-6"/>
        </w:rPr>
        <w:t> </w:t>
      </w:r>
      <w:r>
        <w:rPr/>
        <w:t>Ramos</w:t>
      </w:r>
      <w:r>
        <w:rPr>
          <w:spacing w:val="-6"/>
        </w:rPr>
        <w:t> </w:t>
      </w:r>
      <w:r>
        <w:rPr/>
        <w:t>S.</w:t>
      </w:r>
      <w:r>
        <w:rPr>
          <w:spacing w:val="-6"/>
        </w:rPr>
        <w:t> </w:t>
      </w:r>
      <w:r>
        <w:rPr/>
        <w:t>Examining</w:t>
      </w:r>
      <w:r>
        <w:rPr>
          <w:spacing w:val="-6"/>
        </w:rPr>
        <w:t> </w:t>
      </w:r>
      <w:r>
        <w:rPr/>
        <w:t>associations between</w:t>
      </w:r>
      <w:r>
        <w:rPr>
          <w:spacing w:val="-8"/>
        </w:rPr>
        <w:t> </w:t>
      </w:r>
      <w:r>
        <w:rPr/>
        <w:t>state-level</w:t>
      </w:r>
      <w:r>
        <w:rPr>
          <w:spacing w:val="-8"/>
        </w:rPr>
        <w:t> </w:t>
      </w:r>
      <w:r>
        <w:rPr/>
        <w:t>transgender</w:t>
      </w:r>
      <w:r>
        <w:rPr>
          <w:spacing w:val="-8"/>
        </w:rPr>
        <w:t> </w:t>
      </w:r>
      <w:r>
        <w:rPr/>
        <w:t>policies</w:t>
      </w:r>
      <w:r>
        <w:rPr>
          <w:spacing w:val="-8"/>
        </w:rPr>
        <w:t> </w:t>
      </w:r>
      <w:r>
        <w:rPr/>
        <w:t>and</w:t>
      </w:r>
      <w:r>
        <w:rPr>
          <w:spacing w:val="-8"/>
        </w:rPr>
        <w:t> </w:t>
      </w:r>
      <w:r>
        <w:rPr/>
        <w:t>transgender</w:t>
      </w:r>
      <w:r>
        <w:rPr>
          <w:spacing w:val="-8"/>
        </w:rPr>
        <w:t> </w:t>
      </w:r>
      <w:r>
        <w:rPr/>
        <w:t>health.</w:t>
      </w:r>
      <w:r>
        <w:rPr>
          <w:spacing w:val="-9"/>
        </w:rPr>
        <w:t> </w:t>
      </w:r>
      <w:r>
        <w:rPr>
          <w:i/>
        </w:rPr>
        <w:t>Transgend</w:t>
      </w:r>
      <w:r>
        <w:rPr>
          <w:i/>
        </w:rPr>
        <w:t> Health. </w:t>
      </w:r>
      <w:r>
        <w:rPr/>
        <w:t>2018;3(1):220-224. https://doi.org/10.1089/trgh.2018.0031</w:t>
      </w:r>
    </w:p>
    <w:p>
      <w:pPr>
        <w:pStyle w:val="BodyText"/>
        <w:spacing w:before="9"/>
        <w:rPr>
          <w:sz w:val="25"/>
        </w:rPr>
      </w:pPr>
    </w:p>
    <w:p>
      <w:pPr>
        <w:pStyle w:val="BodyText"/>
        <w:ind w:left="640" w:right="782" w:hanging="360"/>
      </w:pPr>
      <w:r>
        <w:rPr/>
        <w:t>Goldenberg</w:t>
      </w:r>
      <w:r>
        <w:rPr>
          <w:spacing w:val="-11"/>
        </w:rPr>
        <w:t> </w:t>
      </w:r>
      <w:r>
        <w:rPr/>
        <w:t>T,</w:t>
      </w:r>
      <w:r>
        <w:rPr>
          <w:spacing w:val="-5"/>
        </w:rPr>
        <w:t> </w:t>
      </w:r>
      <w:r>
        <w:rPr/>
        <w:t>L</w:t>
      </w:r>
      <w:r>
        <w:rPr>
          <w:spacing w:val="-15"/>
        </w:rPr>
        <w:t> </w:t>
      </w:r>
      <w:r>
        <w:rPr/>
        <w:t>Reisner</w:t>
      </w:r>
      <w:r>
        <w:rPr>
          <w:spacing w:val="-5"/>
        </w:rPr>
        <w:t> </w:t>
      </w:r>
      <w:r>
        <w:rPr/>
        <w:t>S,</w:t>
      </w:r>
      <w:r>
        <w:rPr>
          <w:spacing w:val="-11"/>
        </w:rPr>
        <w:t> </w:t>
      </w:r>
      <w:r>
        <w:rPr/>
        <w:t>W</w:t>
      </w:r>
      <w:r>
        <w:rPr>
          <w:spacing w:val="-11"/>
        </w:rPr>
        <w:t> </w:t>
      </w:r>
      <w:r>
        <w:rPr/>
        <w:t>Harper</w:t>
      </w:r>
      <w:r>
        <w:rPr>
          <w:spacing w:val="-5"/>
        </w:rPr>
        <w:t> </w:t>
      </w:r>
      <w:r>
        <w:rPr/>
        <w:t>G,</w:t>
      </w:r>
      <w:r>
        <w:rPr>
          <w:spacing w:val="-5"/>
        </w:rPr>
        <w:t> </w:t>
      </w:r>
      <w:r>
        <w:rPr/>
        <w:t>E</w:t>
      </w:r>
      <w:r>
        <w:rPr>
          <w:spacing w:val="-6"/>
        </w:rPr>
        <w:t> </w:t>
      </w:r>
      <w:r>
        <w:rPr/>
        <w:t>Gamarel</w:t>
      </w:r>
      <w:r>
        <w:rPr>
          <w:spacing w:val="-5"/>
        </w:rPr>
        <w:t> </w:t>
      </w:r>
      <w:r>
        <w:rPr/>
        <w:t>K,</w:t>
      </w:r>
      <w:r>
        <w:rPr>
          <w:spacing w:val="-5"/>
        </w:rPr>
        <w:t> </w:t>
      </w:r>
      <w:r>
        <w:rPr/>
        <w:t>Stephenson</w:t>
      </w:r>
      <w:r>
        <w:rPr>
          <w:spacing w:val="-5"/>
        </w:rPr>
        <w:t> </w:t>
      </w:r>
      <w:r>
        <w:rPr/>
        <w:t>R.</w:t>
      </w:r>
      <w:r>
        <w:rPr>
          <w:spacing w:val="-5"/>
        </w:rPr>
        <w:t> </w:t>
      </w:r>
      <w:r>
        <w:rPr/>
        <w:t>State- level transgender-specific policies, race/ethnicity, and use of medical gender affirmation services among transgender and other gender-diverse people in the United States. </w:t>
      </w:r>
      <w:r>
        <w:rPr>
          <w:i/>
        </w:rPr>
        <w:t>Milbank Q. </w:t>
      </w:r>
      <w:r>
        <w:rPr/>
        <w:t>2020;98(3):802-846. https:// </w:t>
      </w:r>
      <w:r>
        <w:rPr>
          <w:spacing w:val="-2"/>
        </w:rPr>
        <w:t>doi.org/10.1111/1468-0009.12467</w:t>
      </w:r>
    </w:p>
    <w:p>
      <w:pPr>
        <w:pStyle w:val="BodyText"/>
        <w:rPr>
          <w:sz w:val="27"/>
        </w:rPr>
      </w:pPr>
    </w:p>
    <w:p>
      <w:pPr>
        <w:pStyle w:val="BodyText"/>
        <w:ind w:left="640" w:right="502" w:hanging="360"/>
      </w:pPr>
      <w:r>
        <w:rPr/>
        <w:t>McDowell</w:t>
      </w:r>
      <w:r>
        <w:rPr>
          <w:spacing w:val="-3"/>
        </w:rPr>
        <w:t> </w:t>
      </w:r>
      <w:r>
        <w:rPr/>
        <w:t>A, Raifman J, Progovac</w:t>
      </w:r>
      <w:r>
        <w:rPr>
          <w:spacing w:val="-3"/>
        </w:rPr>
        <w:t> </w:t>
      </w:r>
      <w:r>
        <w:rPr/>
        <w:t>AM, Rose S.</w:t>
      </w:r>
      <w:r>
        <w:rPr>
          <w:spacing w:val="-3"/>
        </w:rPr>
        <w:t> </w:t>
      </w:r>
      <w:r>
        <w:rPr/>
        <w:t>Association of nondiscrimination policies with mental health among gender minority individuals.</w:t>
      </w:r>
      <w:r>
        <w:rPr>
          <w:spacing w:val="-17"/>
        </w:rPr>
        <w:t> </w:t>
      </w:r>
      <w:r>
        <w:rPr>
          <w:i/>
        </w:rPr>
        <w:t>JAMA</w:t>
      </w:r>
      <w:r>
        <w:rPr>
          <w:i/>
          <w:spacing w:val="-18"/>
        </w:rPr>
        <w:t> </w:t>
      </w:r>
      <w:r>
        <w:rPr>
          <w:i/>
        </w:rPr>
        <w:t>Psychiatry.</w:t>
      </w:r>
      <w:r>
        <w:rPr>
          <w:i/>
          <w:spacing w:val="-15"/>
        </w:rPr>
        <w:t> </w:t>
      </w:r>
      <w:r>
        <w:rPr/>
        <w:t>2020;77(9):952-958.</w:t>
      </w:r>
      <w:r>
        <w:rPr>
          <w:spacing w:val="-15"/>
        </w:rPr>
        <w:t> </w:t>
      </w:r>
      <w:r>
        <w:rPr/>
        <w:t>https://doi.org/10.1001/ jamapsychiatry.2020. 0770</w:t>
      </w:r>
    </w:p>
    <w:p>
      <w:pPr>
        <w:pStyle w:val="BodyText"/>
        <w:spacing w:before="7"/>
        <w:rPr>
          <w:sz w:val="25"/>
        </w:rPr>
      </w:pPr>
    </w:p>
    <w:p>
      <w:pPr>
        <w:pStyle w:val="BodyText"/>
        <w:ind w:left="640" w:right="502" w:hanging="360"/>
      </w:pPr>
      <w:r>
        <w:rPr/>
        <w:t>Raifman J, Moscoe E,</w:t>
      </w:r>
      <w:r>
        <w:rPr>
          <w:spacing w:val="-3"/>
        </w:rPr>
        <w:t> </w:t>
      </w:r>
      <w:r>
        <w:rPr/>
        <w:t>Austin SB, McConnell M. Difference-in-differences analysis of the association between state same-sex marriage policies and adolescent</w:t>
      </w:r>
      <w:r>
        <w:rPr>
          <w:spacing w:val="-6"/>
        </w:rPr>
        <w:t> </w:t>
      </w:r>
      <w:r>
        <w:rPr/>
        <w:t>suicide</w:t>
      </w:r>
      <w:r>
        <w:rPr>
          <w:spacing w:val="-7"/>
        </w:rPr>
        <w:t> </w:t>
      </w:r>
      <w:r>
        <w:rPr/>
        <w:t>attempts.</w:t>
      </w:r>
      <w:r>
        <w:rPr>
          <w:spacing w:val="-7"/>
        </w:rPr>
        <w:t> </w:t>
      </w:r>
      <w:r>
        <w:rPr>
          <w:i/>
        </w:rPr>
        <w:t>JAMA</w:t>
      </w:r>
      <w:r>
        <w:rPr>
          <w:i/>
          <w:spacing w:val="-12"/>
        </w:rPr>
        <w:t> </w:t>
      </w:r>
      <w:r>
        <w:rPr>
          <w:i/>
        </w:rPr>
        <w:t>Pediatr</w:t>
      </w:r>
      <w:r>
        <w:rPr/>
        <w:t>.</w:t>
      </w:r>
      <w:r>
        <w:rPr>
          <w:spacing w:val="-6"/>
        </w:rPr>
        <w:t> </w:t>
      </w:r>
      <w:r>
        <w:rPr/>
        <w:t>2017;171(4):350-356.</w:t>
      </w:r>
      <w:r>
        <w:rPr>
          <w:spacing w:val="-6"/>
        </w:rPr>
        <w:t> </w:t>
      </w:r>
      <w:r>
        <w:rPr/>
        <w:t>https:// doi.org/10.1001/jamapediatrics.2016.4 529</w:t>
      </w:r>
    </w:p>
    <w:p>
      <w:pPr>
        <w:pStyle w:val="BodyText"/>
        <w:spacing w:before="8"/>
        <w:rPr>
          <w:sz w:val="25"/>
        </w:rPr>
      </w:pPr>
    </w:p>
    <w:p>
      <w:pPr>
        <w:pStyle w:val="BodyText"/>
        <w:ind w:left="640" w:right="677" w:hanging="360"/>
      </w:pPr>
      <w:r>
        <w:rPr/>
        <w:t>Aivadyan</w:t>
      </w:r>
      <w:r>
        <w:rPr>
          <w:spacing w:val="-4"/>
        </w:rPr>
        <w:t> </w:t>
      </w:r>
      <w:r>
        <w:rPr/>
        <w:t>C,</w:t>
      </w:r>
      <w:r>
        <w:rPr>
          <w:spacing w:val="-4"/>
        </w:rPr>
        <w:t> </w:t>
      </w:r>
      <w:r>
        <w:rPr/>
        <w:t>Slavin</w:t>
      </w:r>
      <w:r>
        <w:rPr>
          <w:spacing w:val="-4"/>
        </w:rPr>
        <w:t> </w:t>
      </w:r>
      <w:r>
        <w:rPr/>
        <w:t>MN,</w:t>
      </w:r>
      <w:r>
        <w:rPr>
          <w:spacing w:val="-10"/>
        </w:rPr>
        <w:t> </w:t>
      </w:r>
      <w:r>
        <w:rPr/>
        <w:t>Wu</w:t>
      </w:r>
      <w:r>
        <w:rPr>
          <w:spacing w:val="-4"/>
        </w:rPr>
        <w:t> </w:t>
      </w:r>
      <w:r>
        <w:rPr/>
        <w:t>E.</w:t>
      </w:r>
      <w:r>
        <w:rPr>
          <w:spacing w:val="-4"/>
        </w:rPr>
        <w:t> </w:t>
      </w:r>
      <w:r>
        <w:rPr/>
        <w:t>Inclusive</w:t>
      </w:r>
      <w:r>
        <w:rPr>
          <w:spacing w:val="-5"/>
        </w:rPr>
        <w:t> </w:t>
      </w:r>
      <w:r>
        <w:rPr/>
        <w:t>state</w:t>
      </w:r>
      <w:r>
        <w:rPr>
          <w:spacing w:val="-5"/>
        </w:rPr>
        <w:t> </w:t>
      </w:r>
      <w:r>
        <w:rPr/>
        <w:t>legislation</w:t>
      </w:r>
      <w:r>
        <w:rPr>
          <w:spacing w:val="-4"/>
        </w:rPr>
        <w:t> </w:t>
      </w:r>
      <w:r>
        <w:rPr/>
        <w:t>and</w:t>
      </w:r>
      <w:r>
        <w:rPr>
          <w:spacing w:val="-4"/>
        </w:rPr>
        <w:t> </w:t>
      </w:r>
      <w:r>
        <w:rPr/>
        <w:t>reduced</w:t>
      </w:r>
      <w:r>
        <w:rPr>
          <w:spacing w:val="-4"/>
        </w:rPr>
        <w:t> </w:t>
      </w:r>
      <w:r>
        <w:rPr/>
        <w:t>risk</w:t>
      </w:r>
      <w:r>
        <w:rPr>
          <w:spacing w:val="-4"/>
        </w:rPr>
        <w:t> </w:t>
      </w:r>
      <w:r>
        <w:rPr/>
        <w:t>of past-year suicide attempts among lesbian, gay, bisexual, and questioning adolescents in the United States. </w:t>
      </w:r>
      <w:r>
        <w:rPr>
          <w:i/>
        </w:rPr>
        <w:t>Arch Suicide Res. </w:t>
      </w:r>
      <w:r>
        <w:rPr/>
        <w:t>2021;1-17. https:// doi.org/10.1080/13811118.2021.1967 237</w:t>
      </w:r>
    </w:p>
    <w:p>
      <w:pPr>
        <w:pStyle w:val="BodyText"/>
        <w:spacing w:before="8"/>
        <w:rPr>
          <w:sz w:val="25"/>
        </w:rPr>
      </w:pPr>
    </w:p>
    <w:p>
      <w:pPr>
        <w:pStyle w:val="BodyText"/>
        <w:ind w:left="640" w:right="744" w:hanging="360"/>
      </w:pPr>
      <w:r>
        <w:rPr/>
        <w:t>de Vries</w:t>
      </w:r>
      <w:r>
        <w:rPr>
          <w:spacing w:val="-9"/>
        </w:rPr>
        <w:t> </w:t>
      </w:r>
      <w:r>
        <w:rPr/>
        <w:t>AL, Doreleijers TA, Steensma TD, Cohen-Kettenis PT. Psychiatric comorbidity</w:t>
      </w:r>
      <w:r>
        <w:rPr>
          <w:spacing w:val="-5"/>
        </w:rPr>
        <w:t> </w:t>
      </w:r>
      <w:r>
        <w:rPr/>
        <w:t>in</w:t>
      </w:r>
      <w:r>
        <w:rPr>
          <w:spacing w:val="-5"/>
        </w:rPr>
        <w:t> </w:t>
      </w:r>
      <w:r>
        <w:rPr/>
        <w:t>gender</w:t>
      </w:r>
      <w:r>
        <w:rPr>
          <w:spacing w:val="-5"/>
        </w:rPr>
        <w:t> </w:t>
      </w:r>
      <w:r>
        <w:rPr/>
        <w:t>dysphoric</w:t>
      </w:r>
      <w:r>
        <w:rPr>
          <w:spacing w:val="-6"/>
        </w:rPr>
        <w:t> </w:t>
      </w:r>
      <w:r>
        <w:rPr/>
        <w:t>adolescents.</w:t>
      </w:r>
      <w:r>
        <w:rPr>
          <w:spacing w:val="-6"/>
        </w:rPr>
        <w:t> </w:t>
      </w:r>
      <w:r>
        <w:rPr>
          <w:i/>
        </w:rPr>
        <w:t>J</w:t>
      </w:r>
      <w:r>
        <w:rPr>
          <w:i/>
          <w:spacing w:val="-6"/>
        </w:rPr>
        <w:t> </w:t>
      </w:r>
      <w:r>
        <w:rPr>
          <w:i/>
        </w:rPr>
        <w:t>Child</w:t>
      </w:r>
      <w:r>
        <w:rPr>
          <w:i/>
          <w:spacing w:val="-5"/>
        </w:rPr>
        <w:t> </w:t>
      </w:r>
      <w:r>
        <w:rPr>
          <w:i/>
        </w:rPr>
        <w:t>Psychol</w:t>
      </w:r>
      <w:r>
        <w:rPr>
          <w:i/>
          <w:spacing w:val="-5"/>
        </w:rPr>
        <w:t> </w:t>
      </w:r>
      <w:r>
        <w:rPr>
          <w:i/>
        </w:rPr>
        <w:t>Psychiatry</w:t>
      </w:r>
      <w:r>
        <w:rPr/>
        <w:t>. </w:t>
      </w:r>
      <w:r>
        <w:rPr>
          <w:spacing w:val="-2"/>
        </w:rPr>
        <w:t>2011;52(11):1195-1202.</w:t>
      </w:r>
      <w:r>
        <w:rPr>
          <w:spacing w:val="9"/>
        </w:rPr>
        <w:t> </w:t>
      </w:r>
      <w:r>
        <w:rPr>
          <w:spacing w:val="-2"/>
        </w:rPr>
        <w:t>https://doi.org/10.1111/j.14697610.2011.02426.x</w:t>
      </w:r>
    </w:p>
    <w:p>
      <w:pPr>
        <w:pStyle w:val="BodyText"/>
        <w:spacing w:before="9"/>
        <w:rPr>
          <w:sz w:val="25"/>
        </w:rPr>
      </w:pPr>
    </w:p>
    <w:p>
      <w:pPr>
        <w:pStyle w:val="BodyText"/>
        <w:ind w:left="640" w:right="991" w:hanging="360"/>
      </w:pPr>
      <w:r>
        <w:rPr/>
        <w:t>de Vries</w:t>
      </w:r>
      <w:r>
        <w:rPr>
          <w:spacing w:val="-10"/>
        </w:rPr>
        <w:t> </w:t>
      </w:r>
      <w:r>
        <w:rPr/>
        <w:t>AL, McGuire JK, Steensma TD, Wagenaar EC, Doreleijers TA, Cohen-Kettenis PT. Young adult psychological outcome after puberty suppression</w:t>
      </w:r>
      <w:r>
        <w:rPr>
          <w:spacing w:val="-8"/>
        </w:rPr>
        <w:t> </w:t>
      </w:r>
      <w:r>
        <w:rPr/>
        <w:t>and</w:t>
      </w:r>
      <w:r>
        <w:rPr>
          <w:spacing w:val="-8"/>
        </w:rPr>
        <w:t> </w:t>
      </w:r>
      <w:r>
        <w:rPr/>
        <w:t>gender</w:t>
      </w:r>
      <w:r>
        <w:rPr>
          <w:spacing w:val="-8"/>
        </w:rPr>
        <w:t> </w:t>
      </w:r>
      <w:r>
        <w:rPr/>
        <w:t>reassignment.</w:t>
      </w:r>
      <w:r>
        <w:rPr>
          <w:spacing w:val="-8"/>
        </w:rPr>
        <w:t> </w:t>
      </w:r>
      <w:r>
        <w:rPr/>
        <w:t>Pediatrics.</w:t>
      </w:r>
      <w:r>
        <w:rPr>
          <w:spacing w:val="-8"/>
        </w:rPr>
        <w:t> </w:t>
      </w:r>
      <w:r>
        <w:rPr/>
        <w:t>2014;134(4):696-704. </w:t>
      </w:r>
      <w:r>
        <w:rPr>
          <w:spacing w:val="-2"/>
        </w:rPr>
        <w:t>https://doi.org/10.1542/peds.2013-2958</w:t>
      </w:r>
    </w:p>
    <w:p>
      <w:pPr>
        <w:spacing w:after="0"/>
        <w:sectPr>
          <w:pgSz w:w="12240" w:h="15840"/>
          <w:pgMar w:header="0" w:footer="783" w:top="1260" w:bottom="980" w:left="1400" w:right="1180"/>
        </w:sectPr>
      </w:pPr>
    </w:p>
    <w:p>
      <w:pPr>
        <w:pStyle w:val="BodyText"/>
        <w:spacing w:before="66"/>
        <w:ind w:left="640" w:right="535" w:hanging="360"/>
      </w:pPr>
      <w:r>
        <w:rPr/>
        <w:t>Achille</w:t>
      </w:r>
      <w:r>
        <w:rPr>
          <w:spacing w:val="-9"/>
        </w:rPr>
        <w:t> </w:t>
      </w:r>
      <w:r>
        <w:rPr/>
        <w:t>C,</w:t>
      </w:r>
      <w:r>
        <w:rPr>
          <w:spacing w:val="-14"/>
        </w:rPr>
        <w:t> </w:t>
      </w:r>
      <w:r>
        <w:rPr/>
        <w:t>Taggart</w:t>
      </w:r>
      <w:r>
        <w:rPr>
          <w:spacing w:val="-14"/>
        </w:rPr>
        <w:t> </w:t>
      </w:r>
      <w:r>
        <w:rPr/>
        <w:t>T,</w:t>
      </w:r>
      <w:r>
        <w:rPr>
          <w:spacing w:val="-8"/>
        </w:rPr>
        <w:t> </w:t>
      </w:r>
      <w:r>
        <w:rPr/>
        <w:t>Eaton</w:t>
      </w:r>
      <w:r>
        <w:rPr>
          <w:spacing w:val="-8"/>
        </w:rPr>
        <w:t> </w:t>
      </w:r>
      <w:r>
        <w:rPr/>
        <w:t>NR,</w:t>
      </w:r>
      <w:r>
        <w:rPr>
          <w:spacing w:val="-8"/>
        </w:rPr>
        <w:t> </w:t>
      </w:r>
      <w:r>
        <w:rPr/>
        <w:t>et</w:t>
      </w:r>
      <w:r>
        <w:rPr>
          <w:spacing w:val="-8"/>
        </w:rPr>
        <w:t> </w:t>
      </w:r>
      <w:r>
        <w:rPr/>
        <w:t>al.</w:t>
      </w:r>
      <w:r>
        <w:rPr>
          <w:spacing w:val="-8"/>
        </w:rPr>
        <w:t> </w:t>
      </w:r>
      <w:r>
        <w:rPr/>
        <w:t>Longitudinal</w:t>
      </w:r>
      <w:r>
        <w:rPr>
          <w:spacing w:val="-8"/>
        </w:rPr>
        <w:t> </w:t>
      </w:r>
      <w:r>
        <w:rPr/>
        <w:t>impact</w:t>
      </w:r>
      <w:r>
        <w:rPr>
          <w:spacing w:val="-8"/>
        </w:rPr>
        <w:t> </w:t>
      </w:r>
      <w:r>
        <w:rPr/>
        <w:t>of</w:t>
      </w:r>
      <w:r>
        <w:rPr>
          <w:spacing w:val="-8"/>
        </w:rPr>
        <w:t> </w:t>
      </w:r>
      <w:r>
        <w:rPr/>
        <w:t>gender-affirming endocrine intervention on the mental health and well-being of transgender youths: Preliminary results. </w:t>
      </w:r>
      <w:r>
        <w:rPr>
          <w:i/>
        </w:rPr>
        <w:t>Int J Pediatr Endocrinol. </w:t>
      </w:r>
      <w:r>
        <w:rPr/>
        <w:t>2020;2020:8. https:// </w:t>
      </w:r>
      <w:r>
        <w:rPr>
          <w:spacing w:val="-2"/>
        </w:rPr>
        <w:t>doi.org/10.1186/s13633020-00078-2</w:t>
      </w:r>
    </w:p>
    <w:p>
      <w:pPr>
        <w:pStyle w:val="BodyText"/>
        <w:spacing w:before="7"/>
        <w:rPr>
          <w:sz w:val="25"/>
        </w:rPr>
      </w:pPr>
    </w:p>
    <w:p>
      <w:pPr>
        <w:pStyle w:val="BodyText"/>
        <w:ind w:left="640" w:right="616" w:hanging="360"/>
      </w:pPr>
      <w:r>
        <w:rPr/>
        <w:t>van der Miesen</w:t>
      </w:r>
      <w:r>
        <w:rPr>
          <w:spacing w:val="-7"/>
        </w:rPr>
        <w:t> </w:t>
      </w:r>
      <w:r>
        <w:rPr/>
        <w:t>AIR, Steensma TD, de Vries</w:t>
      </w:r>
      <w:r>
        <w:rPr>
          <w:spacing w:val="-7"/>
        </w:rPr>
        <w:t> </w:t>
      </w:r>
      <w:r>
        <w:rPr/>
        <w:t>ALC, Bos H, Popma</w:t>
      </w:r>
      <w:r>
        <w:rPr>
          <w:spacing w:val="-7"/>
        </w:rPr>
        <w:t> </w:t>
      </w:r>
      <w:r>
        <w:rPr/>
        <w:t>A. Psychological functioning in transgender adolescents before and after gender-affirmative</w:t>
      </w:r>
      <w:r>
        <w:rPr>
          <w:spacing w:val="-8"/>
        </w:rPr>
        <w:t> </w:t>
      </w:r>
      <w:r>
        <w:rPr/>
        <w:t>care</w:t>
      </w:r>
      <w:r>
        <w:rPr>
          <w:spacing w:val="-8"/>
        </w:rPr>
        <w:t> </w:t>
      </w:r>
      <w:r>
        <w:rPr/>
        <w:t>compared</w:t>
      </w:r>
      <w:r>
        <w:rPr>
          <w:spacing w:val="-7"/>
        </w:rPr>
        <w:t> </w:t>
      </w:r>
      <w:r>
        <w:rPr/>
        <w:t>with</w:t>
      </w:r>
      <w:r>
        <w:rPr>
          <w:spacing w:val="-7"/>
        </w:rPr>
        <w:t> </w:t>
      </w:r>
      <w:r>
        <w:rPr/>
        <w:t>cisgender</w:t>
      </w:r>
      <w:r>
        <w:rPr>
          <w:spacing w:val="-7"/>
        </w:rPr>
        <w:t> </w:t>
      </w:r>
      <w:r>
        <w:rPr/>
        <w:t>general</w:t>
      </w:r>
      <w:r>
        <w:rPr>
          <w:spacing w:val="-7"/>
        </w:rPr>
        <w:t> </w:t>
      </w:r>
      <w:r>
        <w:rPr/>
        <w:t>population</w:t>
      </w:r>
      <w:r>
        <w:rPr>
          <w:spacing w:val="-7"/>
        </w:rPr>
        <w:t> </w:t>
      </w:r>
      <w:r>
        <w:rPr/>
        <w:t>peers. </w:t>
      </w:r>
      <w:r>
        <w:rPr>
          <w:i/>
        </w:rPr>
        <w:t>J Adolesc Health. </w:t>
      </w:r>
      <w:r>
        <w:rPr/>
        <w:t>2020;66(6):699-704. https://doi.org/10.1016/ j.jadohealth.2019.12. 018</w:t>
      </w:r>
    </w:p>
    <w:p>
      <w:pPr>
        <w:pStyle w:val="BodyText"/>
        <w:spacing w:before="6"/>
        <w:rPr>
          <w:sz w:val="25"/>
        </w:rPr>
      </w:pPr>
    </w:p>
    <w:p>
      <w:pPr>
        <w:pStyle w:val="BodyText"/>
        <w:ind w:left="640" w:right="499" w:hanging="360"/>
      </w:pPr>
      <w:r>
        <w:rPr/>
        <w:t>Chen</w:t>
      </w:r>
      <w:r>
        <w:rPr>
          <w:spacing w:val="-5"/>
        </w:rPr>
        <w:t> </w:t>
      </w:r>
      <w:r>
        <w:rPr/>
        <w:t>D,</w:t>
      </w:r>
      <w:r>
        <w:rPr>
          <w:spacing w:val="-18"/>
        </w:rPr>
        <w:t> </w:t>
      </w:r>
      <w:r>
        <w:rPr/>
        <w:t>Abrams</w:t>
      </w:r>
      <w:r>
        <w:rPr>
          <w:spacing w:val="-3"/>
        </w:rPr>
        <w:t> </w:t>
      </w:r>
      <w:r>
        <w:rPr/>
        <w:t>M,</w:t>
      </w:r>
      <w:r>
        <w:rPr>
          <w:spacing w:val="-4"/>
        </w:rPr>
        <w:t> </w:t>
      </w:r>
      <w:r>
        <w:rPr/>
        <w:t>Clark</w:t>
      </w:r>
      <w:r>
        <w:rPr>
          <w:spacing w:val="-4"/>
        </w:rPr>
        <w:t> </w:t>
      </w:r>
      <w:r>
        <w:rPr/>
        <w:t>L,</w:t>
      </w:r>
      <w:r>
        <w:rPr>
          <w:spacing w:val="-4"/>
        </w:rPr>
        <w:t> </w:t>
      </w:r>
      <w:r>
        <w:rPr/>
        <w:t>et</w:t>
      </w:r>
      <w:r>
        <w:rPr>
          <w:spacing w:val="-4"/>
        </w:rPr>
        <w:t> </w:t>
      </w:r>
      <w:r>
        <w:rPr/>
        <w:t>al.</w:t>
      </w:r>
      <w:r>
        <w:rPr>
          <w:spacing w:val="-4"/>
        </w:rPr>
        <w:t> </w:t>
      </w:r>
      <w:r>
        <w:rPr/>
        <w:t>Psychosocial</w:t>
      </w:r>
      <w:r>
        <w:rPr>
          <w:spacing w:val="-4"/>
        </w:rPr>
        <w:t> </w:t>
      </w:r>
      <w:r>
        <w:rPr/>
        <w:t>characteristics</w:t>
      </w:r>
      <w:r>
        <w:rPr>
          <w:spacing w:val="-4"/>
        </w:rPr>
        <w:t> </w:t>
      </w:r>
      <w:r>
        <w:rPr/>
        <w:t>of</w:t>
      </w:r>
      <w:r>
        <w:rPr>
          <w:spacing w:val="-4"/>
        </w:rPr>
        <w:t> </w:t>
      </w:r>
      <w:r>
        <w:rPr/>
        <w:t>transgender youth seeking gender-affirming medical treatment: Baseline findings from the Trans</w:t>
      </w:r>
      <w:r>
        <w:rPr>
          <w:spacing w:val="-6"/>
        </w:rPr>
        <w:t> </w:t>
      </w:r>
      <w:r>
        <w:rPr/>
        <w:t>Youth Care Study. </w:t>
      </w:r>
      <w:r>
        <w:rPr>
          <w:i/>
        </w:rPr>
        <w:t>J Adolesc Health</w:t>
      </w:r>
      <w:r>
        <w:rPr/>
        <w:t>. 2021;68(6):1104-1111. </w:t>
      </w:r>
      <w:r>
        <w:rPr>
          <w:spacing w:val="-2"/>
        </w:rPr>
        <w:t>https://doi.org/10.1016/j</w:t>
      </w:r>
    </w:p>
    <w:p>
      <w:pPr>
        <w:pStyle w:val="BodyText"/>
        <w:spacing w:before="8"/>
        <w:rPr>
          <w:sz w:val="25"/>
        </w:rPr>
      </w:pPr>
    </w:p>
    <w:p>
      <w:pPr>
        <w:pStyle w:val="BodyText"/>
        <w:ind w:left="640" w:right="502" w:hanging="360"/>
      </w:pPr>
      <w:r>
        <w:rPr/>
        <w:t>Costa R, Dunsford M, Skagerberg E, et al. Psychological support, puberty suppression, and psychosocial functioning in adolescents with gender dysphoria.</w:t>
      </w:r>
      <w:r>
        <w:rPr>
          <w:spacing w:val="-15"/>
        </w:rPr>
        <w:t> </w:t>
      </w:r>
      <w:r>
        <w:rPr>
          <w:i/>
        </w:rPr>
        <w:t>J</w:t>
      </w:r>
      <w:r>
        <w:rPr>
          <w:i/>
          <w:spacing w:val="-15"/>
        </w:rPr>
        <w:t> </w:t>
      </w:r>
      <w:r>
        <w:rPr>
          <w:i/>
        </w:rPr>
        <w:t>Sex</w:t>
      </w:r>
      <w:r>
        <w:rPr>
          <w:i/>
          <w:spacing w:val="-15"/>
        </w:rPr>
        <w:t> </w:t>
      </w:r>
      <w:r>
        <w:rPr>
          <w:i/>
        </w:rPr>
        <w:t>Med</w:t>
      </w:r>
      <w:r>
        <w:rPr/>
        <w:t>.</w:t>
      </w:r>
      <w:r>
        <w:rPr>
          <w:spacing w:val="-14"/>
        </w:rPr>
        <w:t> </w:t>
      </w:r>
      <w:r>
        <w:rPr/>
        <w:t>2015;12(11):</w:t>
      </w:r>
      <w:r>
        <w:rPr>
          <w:spacing w:val="-14"/>
        </w:rPr>
        <w:t> </w:t>
      </w:r>
      <w:r>
        <w:rPr/>
        <w:t>2206-2214.</w:t>
      </w:r>
      <w:r>
        <w:rPr>
          <w:spacing w:val="-14"/>
        </w:rPr>
        <w:t> </w:t>
      </w:r>
      <w:r>
        <w:rPr/>
        <w:t>https://doi.org/10.1111/ </w:t>
      </w:r>
      <w:r>
        <w:rPr>
          <w:spacing w:val="-2"/>
        </w:rPr>
        <w:t>jsm.13034</w:t>
      </w:r>
    </w:p>
    <w:p>
      <w:pPr>
        <w:pStyle w:val="BodyText"/>
        <w:spacing w:before="7"/>
        <w:rPr>
          <w:sz w:val="25"/>
        </w:rPr>
      </w:pPr>
    </w:p>
    <w:p>
      <w:pPr>
        <w:pStyle w:val="BodyText"/>
        <w:ind w:left="640" w:right="1306" w:hanging="360"/>
        <w:jc w:val="both"/>
      </w:pPr>
      <w:r>
        <w:rPr/>
        <w:t>Becker-Hebly</w:t>
      </w:r>
      <w:r>
        <w:rPr>
          <w:spacing w:val="-1"/>
        </w:rPr>
        <w:t> </w:t>
      </w:r>
      <w:r>
        <w:rPr/>
        <w:t>I,</w:t>
      </w:r>
      <w:r>
        <w:rPr>
          <w:spacing w:val="-1"/>
        </w:rPr>
        <w:t> </w:t>
      </w:r>
      <w:r>
        <w:rPr/>
        <w:t>Fahrenkrug</w:t>
      </w:r>
      <w:r>
        <w:rPr>
          <w:spacing w:val="-1"/>
        </w:rPr>
        <w:t> </w:t>
      </w:r>
      <w:r>
        <w:rPr/>
        <w:t>S,</w:t>
      </w:r>
      <w:r>
        <w:rPr>
          <w:spacing w:val="-1"/>
        </w:rPr>
        <w:t> </w:t>
      </w:r>
      <w:r>
        <w:rPr/>
        <w:t>Campion</w:t>
      </w:r>
      <w:r>
        <w:rPr>
          <w:spacing w:val="-1"/>
        </w:rPr>
        <w:t> </w:t>
      </w:r>
      <w:r>
        <w:rPr/>
        <w:t>F,</w:t>
      </w:r>
      <w:r>
        <w:rPr>
          <w:spacing w:val="-1"/>
        </w:rPr>
        <w:t> </w:t>
      </w:r>
      <w:r>
        <w:rPr/>
        <w:t>et</w:t>
      </w:r>
      <w:r>
        <w:rPr>
          <w:spacing w:val="-1"/>
        </w:rPr>
        <w:t> </w:t>
      </w:r>
      <w:r>
        <w:rPr/>
        <w:t>al.</w:t>
      </w:r>
      <w:r>
        <w:rPr>
          <w:spacing w:val="-1"/>
        </w:rPr>
        <w:t> </w:t>
      </w:r>
      <w:r>
        <w:rPr/>
        <w:t>Psychosocial</w:t>
      </w:r>
      <w:r>
        <w:rPr>
          <w:spacing w:val="-1"/>
        </w:rPr>
        <w:t> </w:t>
      </w:r>
      <w:r>
        <w:rPr/>
        <w:t>health</w:t>
      </w:r>
      <w:r>
        <w:rPr>
          <w:spacing w:val="-1"/>
        </w:rPr>
        <w:t> </w:t>
      </w:r>
      <w:r>
        <w:rPr/>
        <w:t>in adolescents</w:t>
      </w:r>
      <w:r>
        <w:rPr>
          <w:spacing w:val="-2"/>
        </w:rPr>
        <w:t> </w:t>
      </w:r>
      <w:r>
        <w:rPr/>
        <w:t>and</w:t>
      </w:r>
      <w:r>
        <w:rPr>
          <w:spacing w:val="-2"/>
        </w:rPr>
        <w:t> </w:t>
      </w:r>
      <w:r>
        <w:rPr/>
        <w:t>young</w:t>
      </w:r>
      <w:r>
        <w:rPr>
          <w:spacing w:val="-2"/>
        </w:rPr>
        <w:t> </w:t>
      </w:r>
      <w:r>
        <w:rPr/>
        <w:t>adults</w:t>
      </w:r>
      <w:r>
        <w:rPr>
          <w:spacing w:val="-2"/>
        </w:rPr>
        <w:t> </w:t>
      </w:r>
      <w:r>
        <w:rPr/>
        <w:t>with</w:t>
      </w:r>
      <w:r>
        <w:rPr>
          <w:spacing w:val="-2"/>
        </w:rPr>
        <w:t> </w:t>
      </w:r>
      <w:r>
        <w:rPr/>
        <w:t>gender</w:t>
      </w:r>
      <w:r>
        <w:rPr>
          <w:spacing w:val="-2"/>
        </w:rPr>
        <w:t> </w:t>
      </w:r>
      <w:r>
        <w:rPr/>
        <w:t>dysphoria</w:t>
      </w:r>
      <w:r>
        <w:rPr>
          <w:spacing w:val="-3"/>
        </w:rPr>
        <w:t> </w:t>
      </w:r>
      <w:r>
        <w:rPr/>
        <w:t>before</w:t>
      </w:r>
      <w:r>
        <w:rPr>
          <w:spacing w:val="-3"/>
        </w:rPr>
        <w:t> </w:t>
      </w:r>
      <w:r>
        <w:rPr/>
        <w:t>and</w:t>
      </w:r>
      <w:r>
        <w:rPr>
          <w:spacing w:val="-2"/>
        </w:rPr>
        <w:t> </w:t>
      </w:r>
      <w:r>
        <w:rPr/>
        <w:t>after gender-affirming</w:t>
      </w:r>
      <w:r>
        <w:rPr>
          <w:spacing w:val="-15"/>
        </w:rPr>
        <w:t> </w:t>
      </w:r>
      <w:r>
        <w:rPr/>
        <w:t>medical</w:t>
      </w:r>
      <w:r>
        <w:rPr>
          <w:spacing w:val="-7"/>
        </w:rPr>
        <w:t> </w:t>
      </w:r>
      <w:r>
        <w:rPr/>
        <w:t>interventions:</w:t>
      </w:r>
      <w:r>
        <w:rPr>
          <w:spacing w:val="-18"/>
        </w:rPr>
        <w:t> </w:t>
      </w:r>
      <w:r>
        <w:rPr/>
        <w:t>A</w:t>
      </w:r>
      <w:r>
        <w:rPr>
          <w:spacing w:val="-17"/>
        </w:rPr>
        <w:t> </w:t>
      </w:r>
      <w:r>
        <w:rPr/>
        <w:t>descriptive</w:t>
      </w:r>
      <w:r>
        <w:rPr>
          <w:spacing w:val="-8"/>
        </w:rPr>
        <w:t> </w:t>
      </w:r>
      <w:r>
        <w:rPr/>
        <w:t>study</w:t>
      </w:r>
      <w:r>
        <w:rPr>
          <w:spacing w:val="-7"/>
        </w:rPr>
        <w:t> </w:t>
      </w:r>
      <w:r>
        <w:rPr/>
        <w:t>from</w:t>
      </w:r>
      <w:r>
        <w:rPr>
          <w:spacing w:val="-7"/>
        </w:rPr>
        <w:t> </w:t>
      </w:r>
      <w:r>
        <w:rPr/>
        <w:t>the Hamburg Gender Identity Service. </w:t>
      </w:r>
      <w:r>
        <w:rPr>
          <w:i/>
        </w:rPr>
        <w:t>Eur Child Adolesc Psychiatry</w:t>
      </w:r>
      <w:r>
        <w:rPr/>
        <w:t>.</w:t>
      </w:r>
    </w:p>
    <w:p>
      <w:pPr>
        <w:pStyle w:val="BodyText"/>
        <w:spacing w:line="314" w:lineRule="exact"/>
        <w:ind w:left="640"/>
        <w:jc w:val="both"/>
      </w:pPr>
      <w:r>
        <w:rPr/>
        <w:t>2021:30:1755-1767.</w:t>
      </w:r>
      <w:r>
        <w:rPr>
          <w:spacing w:val="-7"/>
        </w:rPr>
        <w:t> </w:t>
      </w:r>
      <w:r>
        <w:rPr/>
        <w:t>https://doi.org/10.1007/s00787-020-01640-</w:t>
      </w:r>
      <w:r>
        <w:rPr>
          <w:spacing w:val="-10"/>
        </w:rPr>
        <w:t>2</w:t>
      </w:r>
    </w:p>
    <w:p>
      <w:pPr>
        <w:pStyle w:val="BodyText"/>
        <w:spacing w:before="2"/>
        <w:rPr>
          <w:sz w:val="26"/>
        </w:rPr>
      </w:pPr>
    </w:p>
    <w:p>
      <w:pPr>
        <w:spacing w:before="0"/>
        <w:ind w:left="640" w:right="502" w:hanging="360"/>
        <w:jc w:val="left"/>
        <w:rPr>
          <w:sz w:val="28"/>
        </w:rPr>
      </w:pPr>
      <w:r>
        <w:rPr>
          <w:sz w:val="28"/>
        </w:rPr>
        <w:t>American Psychological</w:t>
      </w:r>
      <w:r>
        <w:rPr>
          <w:spacing w:val="-2"/>
          <w:sz w:val="28"/>
        </w:rPr>
        <w:t> </w:t>
      </w:r>
      <w:r>
        <w:rPr>
          <w:sz w:val="28"/>
        </w:rPr>
        <w:t>Association Task Force on Psychological Practice with Sexual Minority Persons. </w:t>
      </w:r>
      <w:r>
        <w:rPr>
          <w:i/>
          <w:sz w:val="28"/>
        </w:rPr>
        <w:t>APA</w:t>
      </w:r>
      <w:r>
        <w:rPr>
          <w:i/>
          <w:spacing w:val="-5"/>
          <w:sz w:val="28"/>
        </w:rPr>
        <w:t> </w:t>
      </w:r>
      <w:r>
        <w:rPr>
          <w:i/>
          <w:sz w:val="28"/>
        </w:rPr>
        <w:t>guidelines for psychological practice</w:t>
      </w:r>
      <w:r>
        <w:rPr>
          <w:i/>
          <w:sz w:val="28"/>
        </w:rPr>
        <w:t> with sexual minority persons. </w:t>
      </w:r>
      <w:r>
        <w:rPr>
          <w:sz w:val="28"/>
        </w:rPr>
        <w:t>2021. https://</w:t>
      </w:r>
      <w:hyperlink r:id="rId98">
        <w:r>
          <w:rPr>
            <w:sz w:val="28"/>
          </w:rPr>
          <w:t>www.apa.org/about/policy/</w:t>
        </w:r>
      </w:hyperlink>
      <w:r>
        <w:rPr>
          <w:sz w:val="28"/>
        </w:rPr>
        <w:t> psychologic</w:t>
      </w:r>
      <w:r>
        <w:rPr>
          <w:spacing w:val="-13"/>
          <w:sz w:val="28"/>
        </w:rPr>
        <w:t> </w:t>
      </w:r>
      <w:r>
        <w:rPr>
          <w:sz w:val="28"/>
        </w:rPr>
        <w:t>al-sexual-minority-persons.pdf.</w:t>
      </w:r>
      <w:r>
        <w:rPr>
          <w:spacing w:val="-18"/>
          <w:sz w:val="28"/>
        </w:rPr>
        <w:t> </w:t>
      </w:r>
      <w:r>
        <w:rPr>
          <w:sz w:val="28"/>
        </w:rPr>
        <w:t>Accessed</w:t>
      </w:r>
      <w:r>
        <w:rPr>
          <w:spacing w:val="-7"/>
          <w:sz w:val="28"/>
        </w:rPr>
        <w:t> </w:t>
      </w:r>
      <w:r>
        <w:rPr>
          <w:sz w:val="28"/>
        </w:rPr>
        <w:t>February</w:t>
      </w:r>
      <w:r>
        <w:rPr>
          <w:spacing w:val="-8"/>
          <w:sz w:val="28"/>
        </w:rPr>
        <w:t> </w:t>
      </w:r>
      <w:r>
        <w:rPr>
          <w:sz w:val="28"/>
        </w:rPr>
        <w:t>14,</w:t>
      </w:r>
      <w:r>
        <w:rPr>
          <w:spacing w:val="-8"/>
          <w:sz w:val="28"/>
        </w:rPr>
        <w:t> </w:t>
      </w:r>
      <w:r>
        <w:rPr>
          <w:sz w:val="28"/>
        </w:rPr>
        <w:t>2022.</w:t>
      </w:r>
    </w:p>
    <w:p>
      <w:pPr>
        <w:pStyle w:val="BodyText"/>
        <w:spacing w:before="8"/>
        <w:rPr>
          <w:sz w:val="25"/>
        </w:rPr>
      </w:pPr>
    </w:p>
    <w:p>
      <w:pPr>
        <w:pStyle w:val="BodyText"/>
        <w:ind w:left="640" w:right="502" w:hanging="360"/>
      </w:pPr>
      <w:r>
        <w:rPr/>
        <w:t>Johnson B, Leibowitz S, Chavez</w:t>
      </w:r>
      <w:r>
        <w:rPr>
          <w:spacing w:val="-5"/>
        </w:rPr>
        <w:t> </w:t>
      </w:r>
      <w:r>
        <w:rPr/>
        <w:t>A, Herbert SE. Risk versus resiliency: addressing depression in lesbian, gay, bisexual, and transgender youth. </w:t>
      </w:r>
      <w:r>
        <w:rPr>
          <w:i/>
        </w:rPr>
        <w:t>Child</w:t>
      </w:r>
      <w:r>
        <w:rPr>
          <w:i/>
          <w:spacing w:val="-12"/>
        </w:rPr>
        <w:t> </w:t>
      </w:r>
      <w:r>
        <w:rPr>
          <w:i/>
        </w:rPr>
        <w:t>Adolesc</w:t>
      </w:r>
      <w:r>
        <w:rPr>
          <w:i/>
          <w:spacing w:val="-7"/>
        </w:rPr>
        <w:t> </w:t>
      </w:r>
      <w:r>
        <w:rPr>
          <w:i/>
        </w:rPr>
        <w:t>Psychiatr</w:t>
      </w:r>
      <w:r>
        <w:rPr>
          <w:i/>
          <w:spacing w:val="-6"/>
        </w:rPr>
        <w:t> </w:t>
      </w:r>
      <w:r>
        <w:rPr>
          <w:i/>
        </w:rPr>
        <w:t>Clin</w:t>
      </w:r>
      <w:r>
        <w:rPr>
          <w:i/>
          <w:spacing w:val="-6"/>
        </w:rPr>
        <w:t> </w:t>
      </w:r>
      <w:r>
        <w:rPr>
          <w:i/>
        </w:rPr>
        <w:t>N</w:t>
      </w:r>
      <w:r>
        <w:rPr>
          <w:i/>
          <w:spacing w:val="-12"/>
        </w:rPr>
        <w:t> </w:t>
      </w:r>
      <w:r>
        <w:rPr>
          <w:i/>
        </w:rPr>
        <w:t>Am</w:t>
      </w:r>
      <w:r>
        <w:rPr/>
        <w:t>.</w:t>
      </w:r>
      <w:r>
        <w:rPr>
          <w:spacing w:val="-6"/>
        </w:rPr>
        <w:t> </w:t>
      </w:r>
      <w:r>
        <w:rPr/>
        <w:t>2019;28(3):509-521.</w:t>
      </w:r>
      <w:r>
        <w:rPr>
          <w:spacing w:val="-6"/>
        </w:rPr>
        <w:t> </w:t>
      </w:r>
      <w:r>
        <w:rPr/>
        <w:t>https://doi.org/ </w:t>
      </w:r>
      <w:r>
        <w:rPr>
          <w:spacing w:val="-2"/>
        </w:rPr>
        <w:t>10.1016/j.chc.2019.02.016</w:t>
      </w:r>
    </w:p>
    <w:p>
      <w:pPr>
        <w:pStyle w:val="BodyText"/>
        <w:spacing w:before="8"/>
        <w:rPr>
          <w:sz w:val="25"/>
        </w:rPr>
      </w:pPr>
    </w:p>
    <w:p>
      <w:pPr>
        <w:pStyle w:val="BodyText"/>
        <w:ind w:left="640" w:hanging="360"/>
        <w:rPr>
          <w:i/>
        </w:rPr>
      </w:pPr>
      <w:r>
        <w:rPr/>
        <w:t>Chen</w:t>
      </w:r>
      <w:r>
        <w:rPr>
          <w:spacing w:val="-13"/>
        </w:rPr>
        <w:t> </w:t>
      </w:r>
      <w:r>
        <w:rPr/>
        <w:t>D,</w:t>
      </w:r>
      <w:r>
        <w:rPr>
          <w:spacing w:val="-7"/>
        </w:rPr>
        <w:t> </w:t>
      </w:r>
      <w:r>
        <w:rPr/>
        <w:t>Edwards-Leeper</w:t>
      </w:r>
      <w:r>
        <w:rPr>
          <w:spacing w:val="-7"/>
        </w:rPr>
        <w:t> </w:t>
      </w:r>
      <w:r>
        <w:rPr/>
        <w:t>L,</w:t>
      </w:r>
      <w:r>
        <w:rPr>
          <w:spacing w:val="-7"/>
        </w:rPr>
        <w:t> </w:t>
      </w:r>
      <w:r>
        <w:rPr/>
        <w:t>Stancin</w:t>
      </w:r>
      <w:r>
        <w:rPr>
          <w:spacing w:val="-12"/>
        </w:rPr>
        <w:t> </w:t>
      </w:r>
      <w:r>
        <w:rPr/>
        <w:t>T,</w:t>
      </w:r>
      <w:r>
        <w:rPr>
          <w:spacing w:val="-12"/>
        </w:rPr>
        <w:t> </w:t>
      </w:r>
      <w:r>
        <w:rPr/>
        <w:t>Tishelman</w:t>
      </w:r>
      <w:r>
        <w:rPr>
          <w:spacing w:val="-18"/>
        </w:rPr>
        <w:t> </w:t>
      </w:r>
      <w:r>
        <w:rPr/>
        <w:t>A.</w:t>
      </w:r>
      <w:r>
        <w:rPr>
          <w:spacing w:val="-17"/>
        </w:rPr>
        <w:t> </w:t>
      </w:r>
      <w:r>
        <w:rPr/>
        <w:t>Advancing</w:t>
      </w:r>
      <w:r>
        <w:rPr>
          <w:spacing w:val="-7"/>
        </w:rPr>
        <w:t> </w:t>
      </w:r>
      <w:r>
        <w:rPr/>
        <w:t>the</w:t>
      </w:r>
      <w:r>
        <w:rPr>
          <w:spacing w:val="-8"/>
        </w:rPr>
        <w:t> </w:t>
      </w:r>
      <w:r>
        <w:rPr/>
        <w:t>practice</w:t>
      </w:r>
      <w:r>
        <w:rPr>
          <w:spacing w:val="-8"/>
        </w:rPr>
        <w:t> </w:t>
      </w:r>
      <w:r>
        <w:rPr/>
        <w:t>of pediatric psychology with transgender youth: State of the science, ongoing controversies, and future directions. </w:t>
      </w:r>
      <w:r>
        <w:rPr>
          <w:i/>
        </w:rPr>
        <w:t>Clin Pract Pediatr Psychol.</w:t>
      </w:r>
    </w:p>
    <w:p>
      <w:pPr>
        <w:pStyle w:val="BodyText"/>
        <w:spacing w:line="316" w:lineRule="exact"/>
        <w:ind w:left="640"/>
      </w:pPr>
      <w:r>
        <w:rPr/>
        <w:t>2018;6(1):73-83. </w:t>
      </w:r>
      <w:r>
        <w:rPr>
          <w:spacing w:val="-2"/>
        </w:rPr>
        <w:t>https://doi.org/10.1037/cpp0000229</w:t>
      </w:r>
    </w:p>
    <w:p>
      <w:pPr>
        <w:spacing w:after="0" w:line="316" w:lineRule="exact"/>
        <w:sectPr>
          <w:pgSz w:w="12240" w:h="15840"/>
          <w:pgMar w:header="0" w:footer="783" w:top="1260" w:bottom="980" w:left="1400" w:right="1180"/>
        </w:sectPr>
      </w:pPr>
    </w:p>
    <w:p>
      <w:pPr>
        <w:pStyle w:val="BodyText"/>
        <w:spacing w:before="66"/>
        <w:ind w:left="640" w:right="524" w:hanging="360"/>
      </w:pPr>
      <w:r>
        <w:rPr/>
        <w:t>Spencer KG, Berg DR, Bradford NJ, Vencill JA, Tellawi G, Rider GN. The gender-affirmative life span approach:</w:t>
      </w:r>
      <w:r>
        <w:rPr>
          <w:spacing w:val="-3"/>
        </w:rPr>
        <w:t> </w:t>
      </w:r>
      <w:r>
        <w:rPr/>
        <w:t>A</w:t>
      </w:r>
      <w:r>
        <w:rPr>
          <w:spacing w:val="-3"/>
        </w:rPr>
        <w:t> </w:t>
      </w:r>
      <w:r>
        <w:rPr/>
        <w:t>developmental model for clinical work</w:t>
      </w:r>
      <w:r>
        <w:rPr>
          <w:spacing w:val="-6"/>
        </w:rPr>
        <w:t> </w:t>
      </w:r>
      <w:r>
        <w:rPr/>
        <w:t>with</w:t>
      </w:r>
      <w:r>
        <w:rPr>
          <w:spacing w:val="-6"/>
        </w:rPr>
        <w:t> </w:t>
      </w:r>
      <w:r>
        <w:rPr/>
        <w:t>transgender</w:t>
      </w:r>
      <w:r>
        <w:rPr>
          <w:spacing w:val="-6"/>
        </w:rPr>
        <w:t> </w:t>
      </w:r>
      <w:r>
        <w:rPr/>
        <w:t>and</w:t>
      </w:r>
      <w:r>
        <w:rPr>
          <w:spacing w:val="-6"/>
        </w:rPr>
        <w:t> </w:t>
      </w:r>
      <w:r>
        <w:rPr/>
        <w:t>gender-diverse</w:t>
      </w:r>
      <w:r>
        <w:rPr>
          <w:spacing w:val="-7"/>
        </w:rPr>
        <w:t> </w:t>
      </w:r>
      <w:r>
        <w:rPr/>
        <w:t>children,</w:t>
      </w:r>
      <w:r>
        <w:rPr>
          <w:spacing w:val="-6"/>
        </w:rPr>
        <w:t> </w:t>
      </w:r>
      <w:r>
        <w:rPr/>
        <w:t>adolescents,</w:t>
      </w:r>
      <w:r>
        <w:rPr>
          <w:spacing w:val="-6"/>
        </w:rPr>
        <w:t> </w:t>
      </w:r>
      <w:r>
        <w:rPr/>
        <w:t>and</w:t>
      </w:r>
      <w:r>
        <w:rPr>
          <w:spacing w:val="-6"/>
        </w:rPr>
        <w:t> </w:t>
      </w:r>
      <w:r>
        <w:rPr/>
        <w:t>adults. </w:t>
      </w:r>
      <w:r>
        <w:rPr>
          <w:i/>
        </w:rPr>
        <w:t>Psychotherapy (Chic). </w:t>
      </w:r>
      <w:r>
        <w:rPr/>
        <w:t>2021;58(1):37-49. https://doi.org/10.1037/ </w:t>
      </w:r>
      <w:r>
        <w:rPr>
          <w:spacing w:val="-2"/>
        </w:rPr>
        <w:t>pst0000363</w:t>
      </w:r>
    </w:p>
    <w:p>
      <w:pPr>
        <w:pStyle w:val="BodyText"/>
        <w:spacing w:before="5"/>
        <w:rPr>
          <w:sz w:val="25"/>
        </w:rPr>
      </w:pPr>
    </w:p>
    <w:p>
      <w:pPr>
        <w:pStyle w:val="BodyText"/>
        <w:ind w:left="640" w:right="776" w:hanging="360"/>
        <w:jc w:val="both"/>
        <w:rPr>
          <w:i/>
        </w:rPr>
      </w:pPr>
      <w:r>
        <w:rPr/>
        <w:t>Clark</w:t>
      </w:r>
      <w:r>
        <w:rPr>
          <w:spacing w:val="-5"/>
        </w:rPr>
        <w:t> </w:t>
      </w:r>
      <w:r>
        <w:rPr/>
        <w:t>KA,</w:t>
      </w:r>
      <w:r>
        <w:rPr>
          <w:spacing w:val="-4"/>
        </w:rPr>
        <w:t> </w:t>
      </w:r>
      <w:r>
        <w:rPr/>
        <w:t>Cochran</w:t>
      </w:r>
      <w:r>
        <w:rPr>
          <w:spacing w:val="-4"/>
        </w:rPr>
        <w:t> </w:t>
      </w:r>
      <w:r>
        <w:rPr/>
        <w:t>SD,</w:t>
      </w:r>
      <w:r>
        <w:rPr>
          <w:spacing w:val="-4"/>
        </w:rPr>
        <w:t> </w:t>
      </w:r>
      <w:r>
        <w:rPr/>
        <w:t>Maiolatesi</w:t>
      </w:r>
      <w:r>
        <w:rPr>
          <w:spacing w:val="-18"/>
        </w:rPr>
        <w:t> </w:t>
      </w:r>
      <w:r>
        <w:rPr/>
        <w:t>AJ,</w:t>
      </w:r>
      <w:r>
        <w:rPr>
          <w:spacing w:val="-4"/>
        </w:rPr>
        <w:t> </w:t>
      </w:r>
      <w:r>
        <w:rPr/>
        <w:t>Pachankis</w:t>
      </w:r>
      <w:r>
        <w:rPr>
          <w:spacing w:val="-4"/>
        </w:rPr>
        <w:t> </w:t>
      </w:r>
      <w:r>
        <w:rPr/>
        <w:t>JE.</w:t>
      </w:r>
      <w:r>
        <w:rPr>
          <w:spacing w:val="-4"/>
        </w:rPr>
        <w:t> </w:t>
      </w:r>
      <w:r>
        <w:rPr/>
        <w:t>Prevalence</w:t>
      </w:r>
      <w:r>
        <w:rPr>
          <w:spacing w:val="-5"/>
        </w:rPr>
        <w:t> </w:t>
      </w:r>
      <w:r>
        <w:rPr/>
        <w:t>of</w:t>
      </w:r>
      <w:r>
        <w:rPr>
          <w:spacing w:val="-4"/>
        </w:rPr>
        <w:t> </w:t>
      </w:r>
      <w:r>
        <w:rPr/>
        <w:t>bullying among</w:t>
      </w:r>
      <w:r>
        <w:rPr>
          <w:spacing w:val="-2"/>
        </w:rPr>
        <w:t> </w:t>
      </w:r>
      <w:r>
        <w:rPr/>
        <w:t>youth</w:t>
      </w:r>
      <w:r>
        <w:rPr>
          <w:spacing w:val="-2"/>
        </w:rPr>
        <w:t> </w:t>
      </w:r>
      <w:r>
        <w:rPr/>
        <w:t>classified</w:t>
      </w:r>
      <w:r>
        <w:rPr>
          <w:spacing w:val="-2"/>
        </w:rPr>
        <w:t> </w:t>
      </w:r>
      <w:r>
        <w:rPr/>
        <w:t>as</w:t>
      </w:r>
      <w:r>
        <w:rPr>
          <w:spacing w:val="-2"/>
        </w:rPr>
        <w:t> </w:t>
      </w:r>
      <w:r>
        <w:rPr/>
        <w:t>LGBTQ</w:t>
      </w:r>
      <w:r>
        <w:rPr>
          <w:spacing w:val="-2"/>
        </w:rPr>
        <w:t> </w:t>
      </w:r>
      <w:r>
        <w:rPr/>
        <w:t>who</w:t>
      </w:r>
      <w:r>
        <w:rPr>
          <w:spacing w:val="-2"/>
        </w:rPr>
        <w:t> </w:t>
      </w:r>
      <w:r>
        <w:rPr/>
        <w:t>died</w:t>
      </w:r>
      <w:r>
        <w:rPr>
          <w:spacing w:val="-2"/>
        </w:rPr>
        <w:t> </w:t>
      </w:r>
      <w:r>
        <w:rPr/>
        <w:t>by</w:t>
      </w:r>
      <w:r>
        <w:rPr>
          <w:spacing w:val="-2"/>
        </w:rPr>
        <w:t> </w:t>
      </w:r>
      <w:r>
        <w:rPr/>
        <w:t>suicide</w:t>
      </w:r>
      <w:r>
        <w:rPr>
          <w:spacing w:val="-3"/>
        </w:rPr>
        <w:t> </w:t>
      </w:r>
      <w:r>
        <w:rPr/>
        <w:t>as</w:t>
      </w:r>
      <w:r>
        <w:rPr>
          <w:spacing w:val="-2"/>
        </w:rPr>
        <w:t> </w:t>
      </w:r>
      <w:r>
        <w:rPr/>
        <w:t>reported</w:t>
      </w:r>
      <w:r>
        <w:rPr>
          <w:spacing w:val="-2"/>
        </w:rPr>
        <w:t> </w:t>
      </w:r>
      <w:r>
        <w:rPr/>
        <w:t>in</w:t>
      </w:r>
      <w:r>
        <w:rPr>
          <w:spacing w:val="-2"/>
        </w:rPr>
        <w:t> </w:t>
      </w:r>
      <w:r>
        <w:rPr/>
        <w:t>the National Violent Death Reporting System, 2003-2017. </w:t>
      </w:r>
      <w:r>
        <w:rPr>
          <w:i/>
        </w:rPr>
        <w:t>JAMA Pediatr.</w:t>
      </w:r>
    </w:p>
    <w:p>
      <w:pPr>
        <w:pStyle w:val="BodyText"/>
        <w:spacing w:line="315" w:lineRule="exact"/>
        <w:ind w:left="640"/>
      </w:pPr>
      <w:r>
        <w:rPr/>
        <w:t>2020;174(12):1211-1213.</w:t>
      </w:r>
      <w:r>
        <w:rPr>
          <w:spacing w:val="-13"/>
        </w:rPr>
        <w:t> </w:t>
      </w:r>
      <w:r>
        <w:rPr>
          <w:spacing w:val="-2"/>
        </w:rPr>
        <w:t>https://doi.org/10.1001/jamapediatrics.2020.0</w:t>
      </w:r>
    </w:p>
    <w:p>
      <w:pPr>
        <w:pStyle w:val="BodyText"/>
        <w:spacing w:line="321" w:lineRule="exact"/>
        <w:ind w:left="640"/>
      </w:pPr>
      <w:r>
        <w:rPr>
          <w:spacing w:val="-5"/>
        </w:rPr>
        <w:t>940</w:t>
      </w:r>
    </w:p>
    <w:p>
      <w:pPr>
        <w:pStyle w:val="BodyText"/>
        <w:spacing w:before="2"/>
        <w:rPr>
          <w:sz w:val="26"/>
        </w:rPr>
      </w:pPr>
    </w:p>
    <w:p>
      <w:pPr>
        <w:pStyle w:val="BodyText"/>
        <w:spacing w:before="1"/>
        <w:ind w:left="640" w:right="502" w:hanging="360"/>
      </w:pPr>
      <w:r>
        <w:rPr/>
        <w:t>Hatzenbuehler ML, Schwab-Reese L, Ranapurwala SI, Hertz MF, Ramirez MR.</w:t>
      </w:r>
      <w:r>
        <w:rPr>
          <w:spacing w:val="-18"/>
        </w:rPr>
        <w:t> </w:t>
      </w:r>
      <w:r>
        <w:rPr/>
        <w:t>Associations</w:t>
      </w:r>
      <w:r>
        <w:rPr>
          <w:spacing w:val="-6"/>
        </w:rPr>
        <w:t> </w:t>
      </w:r>
      <w:r>
        <w:rPr/>
        <w:t>between</w:t>
      </w:r>
      <w:r>
        <w:rPr>
          <w:spacing w:val="-5"/>
        </w:rPr>
        <w:t> </w:t>
      </w:r>
      <w:r>
        <w:rPr/>
        <w:t>antibullying</w:t>
      </w:r>
      <w:r>
        <w:rPr>
          <w:spacing w:val="-5"/>
        </w:rPr>
        <w:t> </w:t>
      </w:r>
      <w:r>
        <w:rPr/>
        <w:t>policies</w:t>
      </w:r>
      <w:r>
        <w:rPr>
          <w:spacing w:val="-5"/>
        </w:rPr>
        <w:t> </w:t>
      </w:r>
      <w:r>
        <w:rPr/>
        <w:t>and</w:t>
      </w:r>
      <w:r>
        <w:rPr>
          <w:spacing w:val="-5"/>
        </w:rPr>
        <w:t> </w:t>
      </w:r>
      <w:r>
        <w:rPr/>
        <w:t>bullying</w:t>
      </w:r>
      <w:r>
        <w:rPr>
          <w:spacing w:val="-5"/>
        </w:rPr>
        <w:t> </w:t>
      </w:r>
      <w:r>
        <w:rPr/>
        <w:t>in</w:t>
      </w:r>
      <w:r>
        <w:rPr>
          <w:spacing w:val="-5"/>
        </w:rPr>
        <w:t> </w:t>
      </w:r>
      <w:r>
        <w:rPr/>
        <w:t>25</w:t>
      </w:r>
      <w:r>
        <w:rPr>
          <w:spacing w:val="-5"/>
        </w:rPr>
        <w:t> </w:t>
      </w:r>
      <w:r>
        <w:rPr/>
        <w:t>states. </w:t>
      </w:r>
      <w:r>
        <w:rPr>
          <w:i/>
        </w:rPr>
        <w:t>JAMA Pediatr. </w:t>
      </w:r>
      <w:r>
        <w:rPr/>
        <w:t>2015;169(10):e152411. https://doi.org/10.1001/ jamapediatrics.2015.2 411</w:t>
      </w:r>
    </w:p>
    <w:p>
      <w:pPr>
        <w:pStyle w:val="BodyText"/>
        <w:spacing w:before="7"/>
        <w:rPr>
          <w:sz w:val="25"/>
        </w:rPr>
      </w:pPr>
    </w:p>
    <w:p>
      <w:pPr>
        <w:pStyle w:val="BodyText"/>
        <w:ind w:left="640" w:right="502" w:hanging="360"/>
      </w:pPr>
      <w:r>
        <w:rPr/>
        <w:t>Pachankis JE, McConocha EM, Clark KA, et al.</w:t>
      </w:r>
      <w:r>
        <w:rPr>
          <w:spacing w:val="-5"/>
        </w:rPr>
        <w:t> </w:t>
      </w:r>
      <w:r>
        <w:rPr/>
        <w:t>A</w:t>
      </w:r>
      <w:r>
        <w:rPr>
          <w:spacing w:val="-5"/>
        </w:rPr>
        <w:t> </w:t>
      </w:r>
      <w:r>
        <w:rPr/>
        <w:t>transdiagnostic minority stress intervention for gender diverse sexual minority women's depression, anxiety,</w:t>
      </w:r>
      <w:r>
        <w:rPr>
          <w:spacing w:val="-12"/>
        </w:rPr>
        <w:t> </w:t>
      </w:r>
      <w:r>
        <w:rPr/>
        <w:t>and</w:t>
      </w:r>
      <w:r>
        <w:rPr>
          <w:spacing w:val="-6"/>
        </w:rPr>
        <w:t> </w:t>
      </w:r>
      <w:r>
        <w:rPr/>
        <w:t>unhealthy</w:t>
      </w:r>
      <w:r>
        <w:rPr>
          <w:spacing w:val="-6"/>
        </w:rPr>
        <w:t> </w:t>
      </w:r>
      <w:r>
        <w:rPr/>
        <w:t>alcohol</w:t>
      </w:r>
      <w:r>
        <w:rPr>
          <w:spacing w:val="-6"/>
        </w:rPr>
        <w:t> </w:t>
      </w:r>
      <w:r>
        <w:rPr/>
        <w:t>use:</w:t>
      </w:r>
      <w:r>
        <w:rPr>
          <w:spacing w:val="-18"/>
        </w:rPr>
        <w:t> </w:t>
      </w:r>
      <w:r>
        <w:rPr/>
        <w:t>A</w:t>
      </w:r>
      <w:r>
        <w:rPr>
          <w:spacing w:val="-17"/>
        </w:rPr>
        <w:t> </w:t>
      </w:r>
      <w:r>
        <w:rPr/>
        <w:t>randomized</w:t>
      </w:r>
      <w:r>
        <w:rPr>
          <w:spacing w:val="-6"/>
        </w:rPr>
        <w:t> </w:t>
      </w:r>
      <w:r>
        <w:rPr/>
        <w:t>controlled</w:t>
      </w:r>
      <w:r>
        <w:rPr>
          <w:spacing w:val="-6"/>
        </w:rPr>
        <w:t> </w:t>
      </w:r>
      <w:r>
        <w:rPr/>
        <w:t>trial.</w:t>
      </w:r>
      <w:r>
        <w:rPr>
          <w:spacing w:val="-7"/>
        </w:rPr>
        <w:t> </w:t>
      </w:r>
      <w:r>
        <w:rPr>
          <w:i/>
        </w:rPr>
        <w:t>J</w:t>
      </w:r>
      <w:r>
        <w:rPr>
          <w:i/>
          <w:spacing w:val="-7"/>
        </w:rPr>
        <w:t> </w:t>
      </w:r>
      <w:r>
        <w:rPr>
          <w:i/>
        </w:rPr>
        <w:t>Consult</w:t>
      </w:r>
      <w:r>
        <w:rPr>
          <w:i/>
        </w:rPr>
        <w:t> Clin Psychol</w:t>
      </w:r>
      <w:r>
        <w:rPr/>
        <w:t>. 2020;88(7):613-630. https://doi.org/10.1037/ccp0000508</w:t>
      </w:r>
    </w:p>
    <w:p>
      <w:pPr>
        <w:pStyle w:val="BodyText"/>
        <w:spacing w:before="8"/>
        <w:rPr>
          <w:sz w:val="25"/>
        </w:rPr>
      </w:pPr>
    </w:p>
    <w:p>
      <w:pPr>
        <w:pStyle w:val="BodyText"/>
        <w:ind w:left="640" w:right="502" w:hanging="360"/>
      </w:pPr>
      <w:r>
        <w:rPr/>
        <w:t>Craig SL, Leung VWY, Pascie R, et al.</w:t>
      </w:r>
      <w:r>
        <w:rPr>
          <w:spacing w:val="-9"/>
        </w:rPr>
        <w:t> </w:t>
      </w:r>
      <w:r>
        <w:rPr/>
        <w:t>AFFIRM online: Utilising an affirmative cognitive–behavioural digital intervention to improve mental health,</w:t>
      </w:r>
      <w:r>
        <w:rPr>
          <w:spacing w:val="-5"/>
        </w:rPr>
        <w:t> </w:t>
      </w:r>
      <w:r>
        <w:rPr/>
        <w:t>access,</w:t>
      </w:r>
      <w:r>
        <w:rPr>
          <w:spacing w:val="-5"/>
        </w:rPr>
        <w:t> </w:t>
      </w:r>
      <w:r>
        <w:rPr/>
        <w:t>and</w:t>
      </w:r>
      <w:r>
        <w:rPr>
          <w:spacing w:val="-5"/>
        </w:rPr>
        <w:t> </w:t>
      </w:r>
      <w:r>
        <w:rPr/>
        <w:t>engagement</w:t>
      </w:r>
      <w:r>
        <w:rPr>
          <w:spacing w:val="-5"/>
        </w:rPr>
        <w:t> </w:t>
      </w:r>
      <w:r>
        <w:rPr/>
        <w:t>among</w:t>
      </w:r>
      <w:r>
        <w:rPr>
          <w:spacing w:val="-5"/>
        </w:rPr>
        <w:t> </w:t>
      </w:r>
      <w:r>
        <w:rPr/>
        <w:t>LGBTQA+</w:t>
      </w:r>
      <w:r>
        <w:rPr>
          <w:spacing w:val="-5"/>
        </w:rPr>
        <w:t> </w:t>
      </w:r>
      <w:r>
        <w:rPr/>
        <w:t>youth</w:t>
      </w:r>
      <w:r>
        <w:rPr>
          <w:spacing w:val="-5"/>
        </w:rPr>
        <w:t> </w:t>
      </w:r>
      <w:r>
        <w:rPr/>
        <w:t>and</w:t>
      </w:r>
      <w:r>
        <w:rPr>
          <w:spacing w:val="-5"/>
        </w:rPr>
        <w:t> </w:t>
      </w:r>
      <w:r>
        <w:rPr/>
        <w:t>young</w:t>
      </w:r>
      <w:r>
        <w:rPr>
          <w:spacing w:val="-5"/>
        </w:rPr>
        <w:t> </w:t>
      </w:r>
      <w:r>
        <w:rPr/>
        <w:t>adults. </w:t>
      </w:r>
      <w:r>
        <w:rPr>
          <w:i/>
        </w:rPr>
        <w:t>Int Journal Environ Res Pub Health</w:t>
      </w:r>
      <w:r>
        <w:rPr/>
        <w:t>. 2021;18(4):1541. https://doi.org/ </w:t>
      </w:r>
      <w:r>
        <w:rPr>
          <w:spacing w:val="-2"/>
        </w:rPr>
        <w:t>10.3390/ijerph18041541</w:t>
      </w:r>
    </w:p>
    <w:p>
      <w:pPr>
        <w:pStyle w:val="BodyText"/>
        <w:spacing w:before="5"/>
        <w:rPr>
          <w:sz w:val="25"/>
        </w:rPr>
      </w:pPr>
    </w:p>
    <w:p>
      <w:pPr>
        <w:pStyle w:val="BodyText"/>
        <w:ind w:left="640" w:right="502" w:hanging="360"/>
      </w:pPr>
      <w:r>
        <w:rPr/>
        <w:t>Lucassen</w:t>
      </w:r>
      <w:r>
        <w:rPr>
          <w:spacing w:val="-10"/>
        </w:rPr>
        <w:t> </w:t>
      </w:r>
      <w:r>
        <w:rPr/>
        <w:t>MFG,</w:t>
      </w:r>
      <w:r>
        <w:rPr>
          <w:spacing w:val="-7"/>
        </w:rPr>
        <w:t> </w:t>
      </w:r>
      <w:r>
        <w:rPr/>
        <w:t>Merry</w:t>
      </w:r>
      <w:r>
        <w:rPr>
          <w:spacing w:val="-7"/>
        </w:rPr>
        <w:t> </w:t>
      </w:r>
      <w:r>
        <w:rPr/>
        <w:t>SN,</w:t>
      </w:r>
      <w:r>
        <w:rPr>
          <w:spacing w:val="-7"/>
        </w:rPr>
        <w:t> </w:t>
      </w:r>
      <w:r>
        <w:rPr/>
        <w:t>Hatcher</w:t>
      </w:r>
      <w:r>
        <w:rPr>
          <w:spacing w:val="-7"/>
        </w:rPr>
        <w:t> </w:t>
      </w:r>
      <w:r>
        <w:rPr/>
        <w:t>S,</w:t>
      </w:r>
      <w:r>
        <w:rPr>
          <w:spacing w:val="-7"/>
        </w:rPr>
        <w:t> </w:t>
      </w:r>
      <w:r>
        <w:rPr/>
        <w:t>Frampton</w:t>
      </w:r>
      <w:r>
        <w:rPr>
          <w:spacing w:val="-7"/>
        </w:rPr>
        <w:t> </w:t>
      </w:r>
      <w:r>
        <w:rPr/>
        <w:t>CMA.</w:t>
      </w:r>
      <w:r>
        <w:rPr>
          <w:spacing w:val="-7"/>
        </w:rPr>
        <w:t> </w:t>
      </w:r>
      <w:r>
        <w:rPr/>
        <w:t>Rainbow</w:t>
      </w:r>
      <w:r>
        <w:rPr>
          <w:spacing w:val="-7"/>
        </w:rPr>
        <w:t> </w:t>
      </w:r>
      <w:r>
        <w:rPr/>
        <w:t>SPARX:</w:t>
      </w:r>
      <w:r>
        <w:rPr>
          <w:spacing w:val="-18"/>
        </w:rPr>
        <w:t> </w:t>
      </w:r>
      <w:r>
        <w:rPr/>
        <w:t>A novel approach to addressing depression in sexual minority youth. </w:t>
      </w:r>
      <w:r>
        <w:rPr>
          <w:i/>
        </w:rPr>
        <w:t>Cogn</w:t>
      </w:r>
      <w:r>
        <w:rPr>
          <w:i/>
        </w:rPr>
        <w:t> Behav Prac</w:t>
      </w:r>
      <w:r>
        <w:rPr/>
        <w:t>t. 2015;22(2):203-216. https://doi.org/10.1016/ </w:t>
      </w:r>
      <w:r>
        <w:rPr>
          <w:spacing w:val="-2"/>
        </w:rPr>
        <w:t>j.cbpra.2013.12.008</w:t>
      </w:r>
    </w:p>
    <w:p>
      <w:pPr>
        <w:pStyle w:val="BodyText"/>
        <w:spacing w:before="8"/>
        <w:rPr>
          <w:sz w:val="25"/>
        </w:rPr>
      </w:pPr>
    </w:p>
    <w:p>
      <w:pPr>
        <w:pStyle w:val="BodyText"/>
        <w:spacing w:line="321" w:lineRule="exact"/>
        <w:ind w:left="280"/>
      </w:pPr>
      <w:r>
        <w:rPr/>
        <w:t>Keefe</w:t>
      </w:r>
      <w:r>
        <w:rPr>
          <w:spacing w:val="-3"/>
        </w:rPr>
        <w:t> </w:t>
      </w:r>
      <w:r>
        <w:rPr/>
        <w:t>JR,</w:t>
      </w:r>
      <w:r>
        <w:rPr>
          <w:spacing w:val="-2"/>
        </w:rPr>
        <w:t> </w:t>
      </w:r>
      <w:r>
        <w:rPr/>
        <w:t>Rodrigues-Seijas</w:t>
      </w:r>
      <w:r>
        <w:rPr>
          <w:spacing w:val="-2"/>
        </w:rPr>
        <w:t> </w:t>
      </w:r>
      <w:r>
        <w:rPr/>
        <w:t>C,</w:t>
      </w:r>
      <w:r>
        <w:rPr>
          <w:spacing w:val="-2"/>
        </w:rPr>
        <w:t> </w:t>
      </w:r>
      <w:r>
        <w:rPr/>
        <w:t>Hatzenbuehler</w:t>
      </w:r>
      <w:r>
        <w:rPr>
          <w:spacing w:val="-2"/>
        </w:rPr>
        <w:t> </w:t>
      </w:r>
      <w:r>
        <w:rPr/>
        <w:t>ML,</w:t>
      </w:r>
      <w:r>
        <w:rPr>
          <w:spacing w:val="-2"/>
        </w:rPr>
        <w:t> </w:t>
      </w:r>
      <w:r>
        <w:rPr/>
        <w:t>Pachankis</w:t>
      </w:r>
      <w:r>
        <w:rPr>
          <w:spacing w:val="-2"/>
        </w:rPr>
        <w:t> </w:t>
      </w:r>
      <w:r>
        <w:rPr/>
        <w:t>JE.</w:t>
      </w:r>
      <w:r>
        <w:rPr>
          <w:spacing w:val="-2"/>
        </w:rPr>
        <w:t> 2021.</w:t>
      </w:r>
    </w:p>
    <w:p>
      <w:pPr>
        <w:pStyle w:val="BodyText"/>
        <w:ind w:left="640" w:right="502"/>
      </w:pPr>
      <w:r>
        <w:rPr/>
        <w:t>LGBTQ</w:t>
      </w:r>
      <w:r>
        <w:rPr>
          <w:spacing w:val="-8"/>
        </w:rPr>
        <w:t> </w:t>
      </w:r>
      <w:r>
        <w:rPr/>
        <w:t>affirmative</w:t>
      </w:r>
      <w:r>
        <w:rPr>
          <w:spacing w:val="-9"/>
        </w:rPr>
        <w:t> </w:t>
      </w:r>
      <w:r>
        <w:rPr/>
        <w:t>cognitive-behavioral</w:t>
      </w:r>
      <w:r>
        <w:rPr>
          <w:spacing w:val="-8"/>
        </w:rPr>
        <w:t> </w:t>
      </w:r>
      <w:r>
        <w:rPr/>
        <w:t>therapy</w:t>
      </w:r>
      <w:r>
        <w:rPr>
          <w:spacing w:val="-8"/>
        </w:rPr>
        <w:t> </w:t>
      </w:r>
      <w:r>
        <w:rPr/>
        <w:t>is</w:t>
      </w:r>
      <w:r>
        <w:rPr>
          <w:spacing w:val="-8"/>
        </w:rPr>
        <w:t> </w:t>
      </w:r>
      <w:r>
        <w:rPr/>
        <w:t>especially</w:t>
      </w:r>
      <w:r>
        <w:rPr>
          <w:spacing w:val="-8"/>
        </w:rPr>
        <w:t> </w:t>
      </w:r>
      <w:r>
        <w:rPr/>
        <w:t>effective among racial/ethnic minority gay and bisexual men. [Unpublished manuscript]. Yale University School of Public Health, 2021.</w:t>
      </w:r>
    </w:p>
    <w:p>
      <w:pPr>
        <w:pStyle w:val="BodyText"/>
        <w:spacing w:before="9"/>
        <w:rPr>
          <w:sz w:val="25"/>
        </w:rPr>
      </w:pPr>
    </w:p>
    <w:p>
      <w:pPr>
        <w:pStyle w:val="BodyText"/>
        <w:ind w:left="640" w:right="502" w:hanging="360"/>
      </w:pPr>
      <w:r>
        <w:rPr/>
        <w:t>Toomey</w:t>
      </w:r>
      <w:r>
        <w:rPr>
          <w:spacing w:val="-8"/>
        </w:rPr>
        <w:t> </w:t>
      </w:r>
      <w:r>
        <w:rPr/>
        <w:t>RB,</w:t>
      </w:r>
      <w:r>
        <w:rPr>
          <w:spacing w:val="-18"/>
        </w:rPr>
        <w:t> </w:t>
      </w:r>
      <w:r>
        <w:rPr/>
        <w:t>Anhalt</w:t>
      </w:r>
      <w:r>
        <w:rPr>
          <w:spacing w:val="-5"/>
        </w:rPr>
        <w:t> </w:t>
      </w:r>
      <w:r>
        <w:rPr/>
        <w:t>K.</w:t>
      </w:r>
      <w:r>
        <w:rPr>
          <w:spacing w:val="-6"/>
        </w:rPr>
        <w:t> </w:t>
      </w:r>
      <w:r>
        <w:rPr/>
        <w:t>Mindfulness</w:t>
      </w:r>
      <w:r>
        <w:rPr>
          <w:spacing w:val="-6"/>
        </w:rPr>
        <w:t> </w:t>
      </w:r>
      <w:r>
        <w:rPr/>
        <w:t>as</w:t>
      </w:r>
      <w:r>
        <w:rPr>
          <w:spacing w:val="-6"/>
        </w:rPr>
        <w:t> </w:t>
      </w:r>
      <w:r>
        <w:rPr/>
        <w:t>a</w:t>
      </w:r>
      <w:r>
        <w:rPr>
          <w:spacing w:val="-7"/>
        </w:rPr>
        <w:t> </w:t>
      </w:r>
      <w:r>
        <w:rPr/>
        <w:t>coping</w:t>
      </w:r>
      <w:r>
        <w:rPr>
          <w:spacing w:val="-6"/>
        </w:rPr>
        <w:t> </w:t>
      </w:r>
      <w:r>
        <w:rPr/>
        <w:t>strategy</w:t>
      </w:r>
      <w:r>
        <w:rPr>
          <w:spacing w:val="-6"/>
        </w:rPr>
        <w:t> </w:t>
      </w:r>
      <w:r>
        <w:rPr/>
        <w:t>for</w:t>
      </w:r>
      <w:r>
        <w:rPr>
          <w:spacing w:val="-6"/>
        </w:rPr>
        <w:t> </w:t>
      </w:r>
      <w:r>
        <w:rPr/>
        <w:t>bias-based</w:t>
      </w:r>
      <w:r>
        <w:rPr>
          <w:spacing w:val="-6"/>
        </w:rPr>
        <w:t> </w:t>
      </w:r>
      <w:r>
        <w:rPr/>
        <w:t>school victimization among Latina/o sexual minority youth. </w:t>
      </w:r>
      <w:r>
        <w:rPr>
          <w:i/>
        </w:rPr>
        <w:t>Psychol Sex Orientat</w:t>
      </w:r>
      <w:r>
        <w:rPr>
          <w:i/>
        </w:rPr>
        <w:t> Gend Divers. </w:t>
      </w:r>
      <w:r>
        <w:rPr/>
        <w:t>2016;3(4):432-441. https://doi.org/10.1037/sgd0000192</w:t>
      </w:r>
    </w:p>
    <w:p>
      <w:pPr>
        <w:spacing w:after="0"/>
        <w:sectPr>
          <w:pgSz w:w="12240" w:h="15840"/>
          <w:pgMar w:header="0" w:footer="783" w:top="1260" w:bottom="980" w:left="1400" w:right="1180"/>
        </w:sectPr>
      </w:pPr>
    </w:p>
    <w:p>
      <w:pPr>
        <w:pStyle w:val="BodyText"/>
        <w:spacing w:before="66"/>
        <w:ind w:left="640" w:right="604" w:hanging="360"/>
        <w:rPr>
          <w:i/>
        </w:rPr>
      </w:pPr>
      <w:r>
        <w:rPr/>
        <w:t>Cohen</w:t>
      </w:r>
      <w:r>
        <w:rPr>
          <w:spacing w:val="-5"/>
        </w:rPr>
        <w:t> </w:t>
      </w:r>
      <w:r>
        <w:rPr/>
        <w:t>JA,</w:t>
      </w:r>
      <w:r>
        <w:rPr>
          <w:spacing w:val="-5"/>
        </w:rPr>
        <w:t> </w:t>
      </w:r>
      <w:r>
        <w:rPr/>
        <w:t>Ryan</w:t>
      </w:r>
      <w:r>
        <w:rPr>
          <w:spacing w:val="-5"/>
        </w:rPr>
        <w:t> </w:t>
      </w:r>
      <w:r>
        <w:rPr/>
        <w:t>C.</w:t>
      </w:r>
      <w:r>
        <w:rPr>
          <w:spacing w:val="-11"/>
        </w:rPr>
        <w:t> </w:t>
      </w:r>
      <w:r>
        <w:rPr/>
        <w:t>The</w:t>
      </w:r>
      <w:r>
        <w:rPr>
          <w:spacing w:val="-6"/>
        </w:rPr>
        <w:t> </w:t>
      </w:r>
      <w:r>
        <w:rPr/>
        <w:t>trauma-focused</w:t>
      </w:r>
      <w:r>
        <w:rPr>
          <w:spacing w:val="-5"/>
        </w:rPr>
        <w:t> </w:t>
      </w:r>
      <w:r>
        <w:rPr/>
        <w:t>CBT</w:t>
      </w:r>
      <w:r>
        <w:rPr>
          <w:spacing w:val="-11"/>
        </w:rPr>
        <w:t> </w:t>
      </w:r>
      <w:r>
        <w:rPr/>
        <w:t>and</w:t>
      </w:r>
      <w:r>
        <w:rPr>
          <w:spacing w:val="-5"/>
        </w:rPr>
        <w:t> </w:t>
      </w:r>
      <w:r>
        <w:rPr/>
        <w:t>family</w:t>
      </w:r>
      <w:r>
        <w:rPr>
          <w:spacing w:val="-5"/>
        </w:rPr>
        <w:t> </w:t>
      </w:r>
      <w:r>
        <w:rPr/>
        <w:t>acceptance</w:t>
      </w:r>
      <w:r>
        <w:rPr>
          <w:spacing w:val="-6"/>
        </w:rPr>
        <w:t> </w:t>
      </w:r>
      <w:r>
        <w:rPr/>
        <w:t>project: An integrated framework for children and youth. </w:t>
      </w:r>
      <w:r>
        <w:rPr>
          <w:i/>
        </w:rPr>
        <w:t>Psychiatr Times.</w:t>
      </w:r>
    </w:p>
    <w:p>
      <w:pPr>
        <w:pStyle w:val="BodyText"/>
        <w:spacing w:line="317" w:lineRule="exact"/>
        <w:ind w:left="640"/>
      </w:pPr>
      <w:r>
        <w:rPr/>
        <w:t>2021;32(6):15-17. </w:t>
      </w:r>
      <w:r>
        <w:rPr>
          <w:spacing w:val="-2"/>
        </w:rPr>
        <w:t>https://</w:t>
      </w:r>
      <w:hyperlink r:id="rId99">
        <w:r>
          <w:rPr>
            <w:spacing w:val="-2"/>
          </w:rPr>
          <w:t>www.psychiatrictimes.com/view/thetrauma-</w:t>
        </w:r>
      </w:hyperlink>
    </w:p>
    <w:p>
      <w:pPr>
        <w:pStyle w:val="BodyText"/>
        <w:spacing w:line="321" w:lineRule="exact"/>
        <w:ind w:left="640"/>
      </w:pPr>
      <w:r>
        <w:rPr/>
        <w:t>focused-cbt-and-family-acceptanceproject.</w:t>
      </w:r>
      <w:r>
        <w:rPr>
          <w:spacing w:val="-20"/>
        </w:rPr>
        <w:t> </w:t>
      </w:r>
      <w:r>
        <w:rPr/>
        <w:t>Accessed</w:t>
      </w:r>
      <w:r>
        <w:rPr>
          <w:spacing w:val="-8"/>
        </w:rPr>
        <w:t> </w:t>
      </w:r>
      <w:r>
        <w:rPr/>
        <w:t>February</w:t>
      </w:r>
      <w:r>
        <w:rPr>
          <w:spacing w:val="-6"/>
        </w:rPr>
        <w:t> </w:t>
      </w:r>
      <w:r>
        <w:rPr/>
        <w:t>14,</w:t>
      </w:r>
      <w:r>
        <w:rPr>
          <w:spacing w:val="-5"/>
        </w:rPr>
        <w:t> </w:t>
      </w:r>
      <w:r>
        <w:rPr>
          <w:spacing w:val="-2"/>
        </w:rPr>
        <w:t>2022.</w:t>
      </w:r>
    </w:p>
    <w:p>
      <w:pPr>
        <w:pStyle w:val="BodyText"/>
        <w:spacing w:before="2"/>
        <w:rPr>
          <w:sz w:val="26"/>
        </w:rPr>
      </w:pPr>
    </w:p>
    <w:p>
      <w:pPr>
        <w:pStyle w:val="BodyText"/>
        <w:ind w:left="640" w:right="502" w:hanging="360"/>
      </w:pPr>
      <w:r>
        <w:rPr/>
        <w:t>The</w:t>
      </w:r>
      <w:r>
        <w:rPr>
          <w:spacing w:val="-18"/>
        </w:rPr>
        <w:t> </w:t>
      </w:r>
      <w:r>
        <w:rPr/>
        <w:t>Trevor</w:t>
      </w:r>
      <w:r>
        <w:rPr>
          <w:spacing w:val="-17"/>
        </w:rPr>
        <w:t> </w:t>
      </w:r>
      <w:r>
        <w:rPr/>
        <w:t>Project.</w:t>
      </w:r>
      <w:r>
        <w:rPr>
          <w:spacing w:val="-15"/>
        </w:rPr>
        <w:t> </w:t>
      </w:r>
      <w:r>
        <w:rPr/>
        <w:t>https://</w:t>
      </w:r>
      <w:hyperlink r:id="rId21">
        <w:r>
          <w:rPr/>
          <w:t>www.thetrevorproject.org.</w:t>
        </w:r>
      </w:hyperlink>
      <w:r>
        <w:rPr>
          <w:spacing w:val="-18"/>
        </w:rPr>
        <w:t> </w:t>
      </w:r>
      <w:r>
        <w:rPr/>
        <w:t>Accessed</w:t>
      </w:r>
      <w:r>
        <w:rPr>
          <w:spacing w:val="-12"/>
        </w:rPr>
        <w:t> </w:t>
      </w:r>
      <w:r>
        <w:rPr/>
        <w:t>February</w:t>
      </w:r>
      <w:r>
        <w:rPr>
          <w:spacing w:val="-13"/>
        </w:rPr>
        <w:t> </w:t>
      </w:r>
      <w:r>
        <w:rPr/>
        <w:t>14, </w:t>
      </w:r>
      <w:r>
        <w:rPr>
          <w:spacing w:val="-2"/>
        </w:rPr>
        <w:t>2022.</w:t>
      </w:r>
    </w:p>
    <w:p>
      <w:pPr>
        <w:pStyle w:val="BodyText"/>
        <w:spacing w:line="624" w:lineRule="exact" w:before="61"/>
        <w:ind w:left="280" w:right="1697"/>
      </w:pPr>
      <w:r>
        <w:rPr/>
        <w:t>PFLAG. N.d. https://pflag.org/ and https://pflag.org/findachapter/ Lang</w:t>
      </w:r>
      <w:r>
        <w:rPr>
          <w:spacing w:val="-18"/>
        </w:rPr>
        <w:t> </w:t>
      </w:r>
      <w:r>
        <w:rPr/>
        <w:t>A,</w:t>
      </w:r>
      <w:r>
        <w:rPr>
          <w:spacing w:val="-10"/>
        </w:rPr>
        <w:t> </w:t>
      </w:r>
      <w:r>
        <w:rPr/>
        <w:t>Paquette</w:t>
      </w:r>
      <w:r>
        <w:rPr>
          <w:spacing w:val="-8"/>
        </w:rPr>
        <w:t> </w:t>
      </w:r>
      <w:r>
        <w:rPr/>
        <w:t>ET.</w:t>
      </w:r>
      <w:r>
        <w:rPr>
          <w:spacing w:val="-7"/>
        </w:rPr>
        <w:t> </w:t>
      </w:r>
      <w:r>
        <w:rPr/>
        <w:t>Involving</w:t>
      </w:r>
      <w:r>
        <w:rPr>
          <w:spacing w:val="-7"/>
        </w:rPr>
        <w:t> </w:t>
      </w:r>
      <w:r>
        <w:rPr/>
        <w:t>minors</w:t>
      </w:r>
      <w:r>
        <w:rPr>
          <w:spacing w:val="-7"/>
        </w:rPr>
        <w:t> </w:t>
      </w:r>
      <w:r>
        <w:rPr/>
        <w:t>in</w:t>
      </w:r>
      <w:r>
        <w:rPr>
          <w:spacing w:val="-7"/>
        </w:rPr>
        <w:t> </w:t>
      </w:r>
      <w:r>
        <w:rPr/>
        <w:t>medical</w:t>
      </w:r>
      <w:r>
        <w:rPr>
          <w:spacing w:val="-7"/>
        </w:rPr>
        <w:t> </w:t>
      </w:r>
      <w:r>
        <w:rPr/>
        <w:t>decision</w:t>
      </w:r>
      <w:r>
        <w:rPr>
          <w:spacing w:val="-7"/>
        </w:rPr>
        <w:t> </w:t>
      </w:r>
      <w:r>
        <w:rPr/>
        <w:t>making:</w:t>
      </w:r>
    </w:p>
    <w:p>
      <w:pPr>
        <w:pStyle w:val="BodyText"/>
        <w:spacing w:line="254" w:lineRule="exact"/>
        <w:ind w:left="640"/>
        <w:rPr>
          <w:i/>
        </w:rPr>
      </w:pPr>
      <w:r>
        <w:rPr/>
        <w:t>understanding</w:t>
      </w:r>
      <w:r>
        <w:rPr>
          <w:spacing w:val="-4"/>
        </w:rPr>
        <w:t> </w:t>
      </w:r>
      <w:r>
        <w:rPr/>
        <w:t>ethical</w:t>
      </w:r>
      <w:r>
        <w:rPr>
          <w:spacing w:val="-2"/>
        </w:rPr>
        <w:t> </w:t>
      </w:r>
      <w:r>
        <w:rPr/>
        <w:t>issues</w:t>
      </w:r>
      <w:r>
        <w:rPr>
          <w:spacing w:val="-2"/>
        </w:rPr>
        <w:t> </w:t>
      </w:r>
      <w:r>
        <w:rPr/>
        <w:t>in</w:t>
      </w:r>
      <w:r>
        <w:rPr>
          <w:spacing w:val="-1"/>
        </w:rPr>
        <w:t> </w:t>
      </w:r>
      <w:r>
        <w:rPr/>
        <w:t>assent</w:t>
      </w:r>
      <w:r>
        <w:rPr>
          <w:spacing w:val="-2"/>
        </w:rPr>
        <w:t> </w:t>
      </w:r>
      <w:r>
        <w:rPr/>
        <w:t>and</w:t>
      </w:r>
      <w:r>
        <w:rPr>
          <w:spacing w:val="-2"/>
        </w:rPr>
        <w:t> </w:t>
      </w:r>
      <w:r>
        <w:rPr/>
        <w:t>refusal</w:t>
      </w:r>
      <w:r>
        <w:rPr>
          <w:spacing w:val="-2"/>
        </w:rPr>
        <w:t> </w:t>
      </w:r>
      <w:r>
        <w:rPr/>
        <w:t>of</w:t>
      </w:r>
      <w:r>
        <w:rPr>
          <w:spacing w:val="-1"/>
        </w:rPr>
        <w:t> </w:t>
      </w:r>
      <w:r>
        <w:rPr/>
        <w:t>care</w:t>
      </w:r>
      <w:r>
        <w:rPr>
          <w:spacing w:val="-3"/>
        </w:rPr>
        <w:t> </w:t>
      </w:r>
      <w:r>
        <w:rPr/>
        <w:t>by</w:t>
      </w:r>
      <w:r>
        <w:rPr>
          <w:spacing w:val="-2"/>
        </w:rPr>
        <w:t> </w:t>
      </w:r>
      <w:r>
        <w:rPr/>
        <w:t>minors.</w:t>
      </w:r>
      <w:r>
        <w:rPr>
          <w:spacing w:val="-1"/>
        </w:rPr>
        <w:t> </w:t>
      </w:r>
      <w:r>
        <w:rPr>
          <w:i/>
          <w:spacing w:val="-2"/>
        </w:rPr>
        <w:t>Semin</w:t>
      </w:r>
    </w:p>
    <w:p>
      <w:pPr>
        <w:pStyle w:val="BodyText"/>
        <w:spacing w:line="321" w:lineRule="exact"/>
        <w:ind w:left="640"/>
      </w:pPr>
      <w:r>
        <w:rPr>
          <w:i/>
        </w:rPr>
        <w:t>Neurol</w:t>
      </w:r>
      <w:r>
        <w:rPr/>
        <w:t>.</w:t>
      </w:r>
      <w:r>
        <w:rPr>
          <w:spacing w:val="-11"/>
        </w:rPr>
        <w:t> </w:t>
      </w:r>
      <w:r>
        <w:rPr/>
        <w:t>2018;38(5):533-538.</w:t>
      </w:r>
      <w:r>
        <w:rPr>
          <w:spacing w:val="-10"/>
        </w:rPr>
        <w:t> </w:t>
      </w:r>
      <w:r>
        <w:rPr/>
        <w:t>https://doi.org/10.1055/s-0038-</w:t>
      </w:r>
      <w:r>
        <w:rPr>
          <w:spacing w:val="-2"/>
        </w:rPr>
        <w:t>1668078</w:t>
      </w:r>
    </w:p>
    <w:p>
      <w:pPr>
        <w:pStyle w:val="BodyText"/>
        <w:spacing w:before="2"/>
        <w:rPr>
          <w:sz w:val="26"/>
        </w:rPr>
      </w:pPr>
    </w:p>
    <w:p>
      <w:pPr>
        <w:pStyle w:val="BodyText"/>
        <w:ind w:left="640" w:right="502" w:hanging="360"/>
      </w:pPr>
      <w:r>
        <w:rPr/>
        <w:t>Berg</w:t>
      </w:r>
      <w:r>
        <w:rPr>
          <w:spacing w:val="-16"/>
        </w:rPr>
        <w:t> </w:t>
      </w:r>
      <w:r>
        <w:rPr/>
        <w:t>JW,</w:t>
      </w:r>
      <w:r>
        <w:rPr>
          <w:spacing w:val="-18"/>
        </w:rPr>
        <w:t> </w:t>
      </w:r>
      <w:r>
        <w:rPr/>
        <w:t>Appelbaum</w:t>
      </w:r>
      <w:r>
        <w:rPr>
          <w:spacing w:val="-9"/>
        </w:rPr>
        <w:t> </w:t>
      </w:r>
      <w:r>
        <w:rPr/>
        <w:t>PS,</w:t>
      </w:r>
      <w:r>
        <w:rPr>
          <w:spacing w:val="-10"/>
        </w:rPr>
        <w:t> </w:t>
      </w:r>
      <w:r>
        <w:rPr/>
        <w:t>Lidz</w:t>
      </w:r>
      <w:r>
        <w:rPr>
          <w:spacing w:val="-11"/>
        </w:rPr>
        <w:t> </w:t>
      </w:r>
      <w:r>
        <w:rPr/>
        <w:t>CW,</w:t>
      </w:r>
      <w:r>
        <w:rPr>
          <w:spacing w:val="-10"/>
        </w:rPr>
        <w:t> </w:t>
      </w:r>
      <w:r>
        <w:rPr/>
        <w:t>Parker</w:t>
      </w:r>
      <w:r>
        <w:rPr>
          <w:spacing w:val="-10"/>
        </w:rPr>
        <w:t> </w:t>
      </w:r>
      <w:r>
        <w:rPr/>
        <w:t>LS.</w:t>
      </w:r>
      <w:r>
        <w:rPr>
          <w:spacing w:val="-10"/>
        </w:rPr>
        <w:t> </w:t>
      </w:r>
      <w:r>
        <w:rPr/>
        <w:t>Informed</w:t>
      </w:r>
      <w:r>
        <w:rPr>
          <w:spacing w:val="-10"/>
        </w:rPr>
        <w:t> </w:t>
      </w:r>
      <w:r>
        <w:rPr/>
        <w:t>Consent:</w:t>
      </w:r>
      <w:r>
        <w:rPr>
          <w:spacing w:val="-10"/>
        </w:rPr>
        <w:t> </w:t>
      </w:r>
      <w:r>
        <w:rPr/>
        <w:t>Legal Theory and Clinical Practice. 2nd Edition. Fair Lawn, NJ: Oxford University Press, 2001.</w:t>
      </w:r>
    </w:p>
    <w:p>
      <w:pPr>
        <w:pStyle w:val="BodyText"/>
        <w:spacing w:before="10"/>
        <w:rPr>
          <w:sz w:val="25"/>
        </w:rPr>
      </w:pPr>
    </w:p>
    <w:p>
      <w:pPr>
        <w:pStyle w:val="BodyText"/>
        <w:ind w:left="640" w:right="581" w:hanging="360"/>
      </w:pPr>
      <w:r>
        <w:rPr/>
        <w:t>Burton</w:t>
      </w:r>
      <w:r>
        <w:rPr>
          <w:spacing w:val="-5"/>
        </w:rPr>
        <w:t> </w:t>
      </w:r>
      <w:r>
        <w:rPr/>
        <w:t>CL,</w:t>
      </w:r>
      <w:r>
        <w:rPr>
          <w:spacing w:val="-5"/>
        </w:rPr>
        <w:t> </w:t>
      </w:r>
      <w:r>
        <w:rPr/>
        <w:t>Bonanno</w:t>
      </w:r>
      <w:r>
        <w:rPr>
          <w:spacing w:val="-5"/>
        </w:rPr>
        <w:t> </w:t>
      </w:r>
      <w:r>
        <w:rPr/>
        <w:t>GA,</w:t>
      </w:r>
      <w:r>
        <w:rPr>
          <w:spacing w:val="-5"/>
        </w:rPr>
        <w:t> </w:t>
      </w:r>
      <w:r>
        <w:rPr/>
        <w:t>Hatzenbuehler</w:t>
      </w:r>
      <w:r>
        <w:rPr>
          <w:spacing w:val="-5"/>
        </w:rPr>
        <w:t> </w:t>
      </w:r>
      <w:r>
        <w:rPr/>
        <w:t>ML.</w:t>
      </w:r>
      <w:r>
        <w:rPr>
          <w:spacing w:val="-5"/>
        </w:rPr>
        <w:t> </w:t>
      </w:r>
      <w:r>
        <w:rPr/>
        <w:t>Familial</w:t>
      </w:r>
      <w:r>
        <w:rPr>
          <w:spacing w:val="-5"/>
        </w:rPr>
        <w:t> </w:t>
      </w:r>
      <w:r>
        <w:rPr/>
        <w:t>social</w:t>
      </w:r>
      <w:r>
        <w:rPr>
          <w:spacing w:val="-5"/>
        </w:rPr>
        <w:t> </w:t>
      </w:r>
      <w:r>
        <w:rPr/>
        <w:t>support</w:t>
      </w:r>
      <w:r>
        <w:rPr>
          <w:spacing w:val="-5"/>
        </w:rPr>
        <w:t> </w:t>
      </w:r>
      <w:r>
        <w:rPr/>
        <w:t>predicts a reduced cortisol response to stress in sexual minority young adults.</w:t>
      </w:r>
    </w:p>
    <w:p>
      <w:pPr>
        <w:spacing w:line="317" w:lineRule="exact" w:before="0"/>
        <w:ind w:left="640" w:right="0" w:firstLine="0"/>
        <w:jc w:val="left"/>
        <w:rPr>
          <w:sz w:val="28"/>
        </w:rPr>
      </w:pPr>
      <w:r>
        <w:rPr>
          <w:i/>
          <w:sz w:val="28"/>
        </w:rPr>
        <w:t>Psychoneuroendocrinology</w:t>
      </w:r>
      <w:r>
        <w:rPr>
          <w:sz w:val="28"/>
        </w:rPr>
        <w:t>.</w:t>
      </w:r>
      <w:r>
        <w:rPr>
          <w:spacing w:val="-12"/>
          <w:sz w:val="28"/>
        </w:rPr>
        <w:t> </w:t>
      </w:r>
      <w:r>
        <w:rPr>
          <w:sz w:val="28"/>
        </w:rPr>
        <w:t>2014;47:241-245.</w:t>
      </w:r>
      <w:r>
        <w:rPr>
          <w:spacing w:val="-9"/>
          <w:sz w:val="28"/>
        </w:rPr>
        <w:t> </w:t>
      </w:r>
      <w:r>
        <w:rPr>
          <w:spacing w:val="-2"/>
          <w:sz w:val="28"/>
        </w:rPr>
        <w:t>https://doi.org/10.1016/</w:t>
      </w:r>
    </w:p>
    <w:p>
      <w:pPr>
        <w:pStyle w:val="BodyText"/>
        <w:spacing w:line="321" w:lineRule="exact"/>
        <w:ind w:left="640"/>
      </w:pPr>
      <w:r>
        <w:rPr/>
        <w:t>j.psyneuen.2014.05.0</w:t>
      </w:r>
      <w:r>
        <w:rPr>
          <w:spacing w:val="-4"/>
        </w:rPr>
        <w:t> </w:t>
      </w:r>
      <w:r>
        <w:rPr>
          <w:spacing w:val="-5"/>
        </w:rPr>
        <w:t>13</w:t>
      </w:r>
    </w:p>
    <w:p>
      <w:pPr>
        <w:pStyle w:val="BodyText"/>
        <w:spacing w:before="2"/>
        <w:rPr>
          <w:sz w:val="26"/>
        </w:rPr>
      </w:pPr>
    </w:p>
    <w:p>
      <w:pPr>
        <w:pStyle w:val="BodyText"/>
        <w:ind w:left="640" w:right="668" w:hanging="360"/>
        <w:rPr>
          <w:i/>
        </w:rPr>
      </w:pPr>
      <w:r>
        <w:rPr/>
        <w:t>Golden</w:t>
      </w:r>
      <w:r>
        <w:rPr>
          <w:spacing w:val="-6"/>
        </w:rPr>
        <w:t> </w:t>
      </w:r>
      <w:r>
        <w:rPr/>
        <w:t>RL,</w:t>
      </w:r>
      <w:r>
        <w:rPr>
          <w:spacing w:val="-5"/>
        </w:rPr>
        <w:t> </w:t>
      </w:r>
      <w:r>
        <w:rPr/>
        <w:t>Oransky</w:t>
      </w:r>
      <w:r>
        <w:rPr>
          <w:spacing w:val="-5"/>
        </w:rPr>
        <w:t> </w:t>
      </w:r>
      <w:r>
        <w:rPr/>
        <w:t>M.</w:t>
      </w:r>
      <w:r>
        <w:rPr>
          <w:spacing w:val="-18"/>
        </w:rPr>
        <w:t> </w:t>
      </w:r>
      <w:r>
        <w:rPr/>
        <w:t>An</w:t>
      </w:r>
      <w:r>
        <w:rPr>
          <w:spacing w:val="-4"/>
        </w:rPr>
        <w:t> </w:t>
      </w:r>
      <w:r>
        <w:rPr/>
        <w:t>intersectional</w:t>
      </w:r>
      <w:r>
        <w:rPr>
          <w:spacing w:val="-5"/>
        </w:rPr>
        <w:t> </w:t>
      </w:r>
      <w:r>
        <w:rPr/>
        <w:t>approach</w:t>
      </w:r>
      <w:r>
        <w:rPr>
          <w:spacing w:val="-5"/>
        </w:rPr>
        <w:t> </w:t>
      </w:r>
      <w:r>
        <w:rPr/>
        <w:t>to</w:t>
      </w:r>
      <w:r>
        <w:rPr>
          <w:spacing w:val="-5"/>
        </w:rPr>
        <w:t> </w:t>
      </w:r>
      <w:r>
        <w:rPr/>
        <w:t>therapy</w:t>
      </w:r>
      <w:r>
        <w:rPr>
          <w:spacing w:val="-5"/>
        </w:rPr>
        <w:t> </w:t>
      </w:r>
      <w:r>
        <w:rPr/>
        <w:t>with transgender adolescents and their families. </w:t>
      </w:r>
      <w:r>
        <w:rPr>
          <w:i/>
        </w:rPr>
        <w:t>Arch Sex Behav.</w:t>
      </w:r>
    </w:p>
    <w:p>
      <w:pPr>
        <w:pStyle w:val="BodyText"/>
        <w:spacing w:line="318" w:lineRule="exact"/>
        <w:ind w:left="640"/>
      </w:pPr>
      <w:r>
        <w:rPr>
          <w:spacing w:val="-2"/>
        </w:rPr>
        <w:t>2019;48(7):2011-2025.</w:t>
      </w:r>
      <w:r>
        <w:rPr>
          <w:spacing w:val="67"/>
          <w:w w:val="150"/>
        </w:rPr>
        <w:t> </w:t>
      </w:r>
      <w:r>
        <w:rPr>
          <w:spacing w:val="-2"/>
        </w:rPr>
        <w:t>https://doi.org/10.1007/s10508-018-1354-</w:t>
      </w:r>
      <w:r>
        <w:rPr>
          <w:spacing w:val="-10"/>
        </w:rPr>
        <w:t>9</w:t>
      </w:r>
    </w:p>
    <w:p>
      <w:pPr>
        <w:pStyle w:val="BodyText"/>
        <w:spacing w:before="7"/>
        <w:rPr>
          <w:sz w:val="27"/>
        </w:rPr>
      </w:pPr>
    </w:p>
    <w:p>
      <w:pPr>
        <w:pStyle w:val="BodyText"/>
        <w:spacing w:line="321" w:lineRule="exact"/>
        <w:ind w:left="280"/>
        <w:rPr>
          <w:i/>
        </w:rPr>
      </w:pPr>
      <w:r>
        <w:rPr/>
        <w:t>Harvey</w:t>
      </w:r>
      <w:r>
        <w:rPr>
          <w:spacing w:val="-5"/>
        </w:rPr>
        <w:t> </w:t>
      </w:r>
      <w:r>
        <w:rPr/>
        <w:t>RG,</w:t>
      </w:r>
      <w:r>
        <w:rPr>
          <w:spacing w:val="-3"/>
        </w:rPr>
        <w:t> </w:t>
      </w:r>
      <w:r>
        <w:rPr/>
        <w:t>Stone</w:t>
      </w:r>
      <w:r>
        <w:rPr>
          <w:spacing w:val="-4"/>
        </w:rPr>
        <w:t> </w:t>
      </w:r>
      <w:r>
        <w:rPr/>
        <w:t>Fish</w:t>
      </w:r>
      <w:r>
        <w:rPr>
          <w:spacing w:val="-2"/>
        </w:rPr>
        <w:t> </w:t>
      </w:r>
      <w:r>
        <w:rPr/>
        <w:t>L.</w:t>
      </w:r>
      <w:r>
        <w:rPr>
          <w:spacing w:val="-3"/>
        </w:rPr>
        <w:t> </w:t>
      </w:r>
      <w:r>
        <w:rPr/>
        <w:t>Queer</w:t>
      </w:r>
      <w:r>
        <w:rPr>
          <w:spacing w:val="-3"/>
        </w:rPr>
        <w:t> </w:t>
      </w:r>
      <w:r>
        <w:rPr/>
        <w:t>youth</w:t>
      </w:r>
      <w:r>
        <w:rPr>
          <w:spacing w:val="-3"/>
        </w:rPr>
        <w:t> </w:t>
      </w:r>
      <w:r>
        <w:rPr/>
        <w:t>in</w:t>
      </w:r>
      <w:r>
        <w:rPr>
          <w:spacing w:val="-2"/>
        </w:rPr>
        <w:t> </w:t>
      </w:r>
      <w:r>
        <w:rPr/>
        <w:t>family</w:t>
      </w:r>
      <w:r>
        <w:rPr>
          <w:spacing w:val="-3"/>
        </w:rPr>
        <w:t> </w:t>
      </w:r>
      <w:r>
        <w:rPr/>
        <w:t>therapy.</w:t>
      </w:r>
      <w:r>
        <w:rPr>
          <w:spacing w:val="-4"/>
        </w:rPr>
        <w:t> </w:t>
      </w:r>
      <w:r>
        <w:rPr>
          <w:i/>
        </w:rPr>
        <w:t>Fam</w:t>
      </w:r>
      <w:r>
        <w:rPr>
          <w:i/>
          <w:spacing w:val="-2"/>
        </w:rPr>
        <w:t> Process.</w:t>
      </w:r>
    </w:p>
    <w:p>
      <w:pPr>
        <w:pStyle w:val="BodyText"/>
        <w:spacing w:line="321" w:lineRule="exact"/>
        <w:ind w:left="640"/>
      </w:pPr>
      <w:r>
        <w:rPr/>
        <w:t>2015;54(3):396417. </w:t>
      </w:r>
      <w:r>
        <w:rPr>
          <w:spacing w:val="-2"/>
        </w:rPr>
        <w:t>https://doi.org/10.1111/famp.12170</w:t>
      </w:r>
    </w:p>
    <w:p>
      <w:pPr>
        <w:pStyle w:val="BodyText"/>
        <w:spacing w:before="9"/>
        <w:rPr>
          <w:sz w:val="25"/>
        </w:rPr>
      </w:pPr>
    </w:p>
    <w:p>
      <w:pPr>
        <w:pStyle w:val="BodyText"/>
        <w:ind w:left="640" w:right="502" w:hanging="360"/>
      </w:pPr>
      <w:r>
        <w:rPr/>
        <w:t>Diamond</w:t>
      </w:r>
      <w:r>
        <w:rPr>
          <w:spacing w:val="-9"/>
        </w:rPr>
        <w:t> </w:t>
      </w:r>
      <w:r>
        <w:rPr/>
        <w:t>GM,</w:t>
      </w:r>
      <w:r>
        <w:rPr>
          <w:spacing w:val="-6"/>
        </w:rPr>
        <w:t> </w:t>
      </w:r>
      <w:r>
        <w:rPr/>
        <w:t>Lexy</w:t>
      </w:r>
      <w:r>
        <w:rPr>
          <w:spacing w:val="-6"/>
        </w:rPr>
        <w:t> </w:t>
      </w:r>
      <w:r>
        <w:rPr/>
        <w:t>S,</w:t>
      </w:r>
      <w:r>
        <w:rPr>
          <w:spacing w:val="-6"/>
        </w:rPr>
        <w:t> </w:t>
      </w:r>
      <w:r>
        <w:rPr/>
        <w:t>Closs</w:t>
      </w:r>
      <w:r>
        <w:rPr>
          <w:spacing w:val="-6"/>
        </w:rPr>
        <w:t> </w:t>
      </w:r>
      <w:r>
        <w:rPr/>
        <w:t>C,</w:t>
      </w:r>
      <w:r>
        <w:rPr>
          <w:spacing w:val="-6"/>
        </w:rPr>
        <w:t> </w:t>
      </w:r>
      <w:r>
        <w:rPr/>
        <w:t>Lapido</w:t>
      </w:r>
      <w:r>
        <w:rPr>
          <w:spacing w:val="-12"/>
        </w:rPr>
        <w:t> </w:t>
      </w:r>
      <w:r>
        <w:rPr/>
        <w:t>T,</w:t>
      </w:r>
      <w:r>
        <w:rPr>
          <w:spacing w:val="-6"/>
        </w:rPr>
        <w:t> </w:t>
      </w:r>
      <w:r>
        <w:rPr/>
        <w:t>Siqueland</w:t>
      </w:r>
      <w:r>
        <w:rPr>
          <w:spacing w:val="-6"/>
        </w:rPr>
        <w:t> </w:t>
      </w:r>
      <w:r>
        <w:rPr/>
        <w:t>L.</w:t>
      </w:r>
      <w:r>
        <w:rPr>
          <w:spacing w:val="-18"/>
        </w:rPr>
        <w:t> </w:t>
      </w:r>
      <w:r>
        <w:rPr/>
        <w:t>Attachment-based family therapy for suicidal lesbian, gay, and bisexual adolescents: a treatment development study and open trial with preliminary findings. </w:t>
      </w:r>
      <w:r>
        <w:rPr>
          <w:i/>
        </w:rPr>
        <w:t>Psychotherapy</w:t>
      </w:r>
      <w:r>
        <w:rPr/>
        <w:t>. 2012;49(1):62. https://doi.org/10.1037/a0026247</w:t>
      </w:r>
    </w:p>
    <w:p>
      <w:pPr>
        <w:pStyle w:val="BodyText"/>
        <w:spacing w:before="2"/>
        <w:rPr>
          <w:sz w:val="25"/>
        </w:rPr>
      </w:pPr>
    </w:p>
    <w:p>
      <w:pPr>
        <w:pStyle w:val="BodyText"/>
        <w:spacing w:before="1"/>
        <w:ind w:left="640" w:hanging="360"/>
      </w:pPr>
      <w:r>
        <w:rPr/>
        <w:t>Yarhouse</w:t>
      </w:r>
      <w:r>
        <w:rPr>
          <w:spacing w:val="-8"/>
        </w:rPr>
        <w:t> </w:t>
      </w:r>
      <w:r>
        <w:rPr/>
        <w:t>MA.</w:t>
      </w:r>
      <w:r>
        <w:rPr>
          <w:spacing w:val="-8"/>
        </w:rPr>
        <w:t> </w:t>
      </w:r>
      <w:r>
        <w:rPr/>
        <w:t>Family</w:t>
      </w:r>
      <w:r>
        <w:rPr>
          <w:spacing w:val="-8"/>
        </w:rPr>
        <w:t> </w:t>
      </w:r>
      <w:r>
        <w:rPr/>
        <w:t>and</w:t>
      </w:r>
      <w:r>
        <w:rPr>
          <w:spacing w:val="-8"/>
        </w:rPr>
        <w:t> </w:t>
      </w:r>
      <w:r>
        <w:rPr/>
        <w:t>community</w:t>
      </w:r>
      <w:r>
        <w:rPr>
          <w:spacing w:val="-8"/>
        </w:rPr>
        <w:t> </w:t>
      </w:r>
      <w:r>
        <w:rPr/>
        <w:t>acceptance</w:t>
      </w:r>
      <w:r>
        <w:rPr>
          <w:spacing w:val="-8"/>
        </w:rPr>
        <w:t> </w:t>
      </w:r>
      <w:r>
        <w:rPr/>
        <w:t>–</w:t>
      </w:r>
      <w:r>
        <w:rPr>
          <w:spacing w:val="-8"/>
        </w:rPr>
        <w:t> </w:t>
      </w:r>
      <w:r>
        <w:rPr/>
        <w:t>focus</w:t>
      </w:r>
      <w:r>
        <w:rPr>
          <w:spacing w:val="-8"/>
        </w:rPr>
        <w:t> </w:t>
      </w:r>
      <w:r>
        <w:rPr/>
        <w:t>on</w:t>
      </w:r>
      <w:r>
        <w:rPr>
          <w:spacing w:val="-8"/>
        </w:rPr>
        <w:t> </w:t>
      </w:r>
      <w:r>
        <w:rPr/>
        <w:t>conventionally religious communities. Unpublished paper; 2015.</w:t>
      </w:r>
    </w:p>
    <w:p>
      <w:pPr>
        <w:pStyle w:val="BodyText"/>
        <w:spacing w:before="6"/>
        <w:rPr>
          <w:sz w:val="25"/>
        </w:rPr>
      </w:pPr>
    </w:p>
    <w:p>
      <w:pPr>
        <w:pStyle w:val="BodyText"/>
        <w:ind w:left="640" w:right="616" w:hanging="360"/>
        <w:jc w:val="both"/>
      </w:pPr>
      <w:r>
        <w:rPr/>
        <w:t>Davis</w:t>
      </w:r>
      <w:r>
        <w:rPr>
          <w:spacing w:val="-3"/>
        </w:rPr>
        <w:t> </w:t>
      </w:r>
      <w:r>
        <w:rPr/>
        <w:t>EB,</w:t>
      </w:r>
      <w:r>
        <w:rPr>
          <w:spacing w:val="-3"/>
        </w:rPr>
        <w:t> </w:t>
      </w:r>
      <w:r>
        <w:rPr/>
        <w:t>Plante</w:t>
      </w:r>
      <w:r>
        <w:rPr>
          <w:spacing w:val="-9"/>
        </w:rPr>
        <w:t> </w:t>
      </w:r>
      <w:r>
        <w:rPr/>
        <w:t>TG,</w:t>
      </w:r>
      <w:r>
        <w:rPr>
          <w:spacing w:val="-3"/>
        </w:rPr>
        <w:t> </w:t>
      </w:r>
      <w:r>
        <w:rPr/>
        <w:t>Grey</w:t>
      </w:r>
      <w:r>
        <w:rPr>
          <w:spacing w:val="-3"/>
        </w:rPr>
        <w:t> </w:t>
      </w:r>
      <w:r>
        <w:rPr/>
        <w:t>MJ,</w:t>
      </w:r>
      <w:r>
        <w:rPr>
          <w:spacing w:val="-3"/>
        </w:rPr>
        <w:t> </w:t>
      </w:r>
      <w:r>
        <w:rPr/>
        <w:t>et</w:t>
      </w:r>
      <w:r>
        <w:rPr>
          <w:spacing w:val="-3"/>
        </w:rPr>
        <w:t> </w:t>
      </w:r>
      <w:r>
        <w:rPr/>
        <w:t>al.</w:t>
      </w:r>
      <w:r>
        <w:rPr>
          <w:spacing w:val="-9"/>
        </w:rPr>
        <w:t> </w:t>
      </w:r>
      <w:r>
        <w:rPr/>
        <w:t>The</w:t>
      </w:r>
      <w:r>
        <w:rPr>
          <w:spacing w:val="-4"/>
        </w:rPr>
        <w:t> </w:t>
      </w:r>
      <w:r>
        <w:rPr/>
        <w:t>role</w:t>
      </w:r>
      <w:r>
        <w:rPr>
          <w:spacing w:val="-4"/>
        </w:rPr>
        <w:t> </w:t>
      </w:r>
      <w:r>
        <w:rPr/>
        <w:t>of</w:t>
      </w:r>
      <w:r>
        <w:rPr>
          <w:spacing w:val="-3"/>
        </w:rPr>
        <w:t> </w:t>
      </w:r>
      <w:r>
        <w:rPr/>
        <w:t>civility</w:t>
      </w:r>
      <w:r>
        <w:rPr>
          <w:spacing w:val="-3"/>
        </w:rPr>
        <w:t> </w:t>
      </w:r>
      <w:r>
        <w:rPr/>
        <w:t>and</w:t>
      </w:r>
      <w:r>
        <w:rPr>
          <w:spacing w:val="-3"/>
        </w:rPr>
        <w:t> </w:t>
      </w:r>
      <w:r>
        <w:rPr/>
        <w:t>cultural</w:t>
      </w:r>
      <w:r>
        <w:rPr>
          <w:spacing w:val="-3"/>
        </w:rPr>
        <w:t> </w:t>
      </w:r>
      <w:r>
        <w:rPr/>
        <w:t>humility in</w:t>
      </w:r>
      <w:r>
        <w:rPr>
          <w:spacing w:val="-9"/>
        </w:rPr>
        <w:t> </w:t>
      </w:r>
      <w:r>
        <w:rPr/>
        <w:t>navigating</w:t>
      </w:r>
      <w:r>
        <w:rPr>
          <w:spacing w:val="-9"/>
        </w:rPr>
        <w:t> </w:t>
      </w:r>
      <w:r>
        <w:rPr/>
        <w:t>controversial</w:t>
      </w:r>
      <w:r>
        <w:rPr>
          <w:spacing w:val="-9"/>
        </w:rPr>
        <w:t> </w:t>
      </w:r>
      <w:r>
        <w:rPr/>
        <w:t>areas</w:t>
      </w:r>
      <w:r>
        <w:rPr>
          <w:spacing w:val="-9"/>
        </w:rPr>
        <w:t> </w:t>
      </w:r>
      <w:r>
        <w:rPr/>
        <w:t>in</w:t>
      </w:r>
      <w:r>
        <w:rPr>
          <w:spacing w:val="-9"/>
        </w:rPr>
        <w:t> </w:t>
      </w:r>
      <w:r>
        <w:rPr/>
        <w:t>psychology.</w:t>
      </w:r>
      <w:r>
        <w:rPr>
          <w:spacing w:val="-10"/>
        </w:rPr>
        <w:t> </w:t>
      </w:r>
      <w:r>
        <w:rPr>
          <w:i/>
        </w:rPr>
        <w:t>Spiritual</w:t>
      </w:r>
      <w:r>
        <w:rPr>
          <w:i/>
          <w:spacing w:val="-9"/>
        </w:rPr>
        <w:t> </w:t>
      </w:r>
      <w:r>
        <w:rPr>
          <w:i/>
        </w:rPr>
        <w:t>Clin</w:t>
      </w:r>
      <w:r>
        <w:rPr>
          <w:i/>
          <w:spacing w:val="-9"/>
        </w:rPr>
        <w:t> </w:t>
      </w:r>
      <w:r>
        <w:rPr>
          <w:i/>
        </w:rPr>
        <w:t>Pract</w:t>
      </w:r>
      <w:r>
        <w:rPr>
          <w:i/>
          <w:spacing w:val="-9"/>
        </w:rPr>
        <w:t> </w:t>
      </w:r>
      <w:r>
        <w:rPr>
          <w:i/>
        </w:rPr>
        <w:t>(Wash</w:t>
      </w:r>
      <w:r>
        <w:rPr>
          <w:i/>
        </w:rPr>
        <w:t> DC)</w:t>
      </w:r>
      <w:r>
        <w:rPr/>
        <w:t>. 2021;8(2):79-97. https://doi.org/10.1037/scp0000236</w:t>
      </w:r>
    </w:p>
    <w:p>
      <w:pPr>
        <w:spacing w:after="0"/>
        <w:jc w:val="both"/>
        <w:sectPr>
          <w:pgSz w:w="12240" w:h="15840"/>
          <w:pgMar w:header="0" w:footer="783" w:top="1260" w:bottom="980" w:left="1400" w:right="1180"/>
        </w:sectPr>
      </w:pPr>
    </w:p>
    <w:p>
      <w:pPr>
        <w:pStyle w:val="BodyText"/>
        <w:spacing w:before="66"/>
        <w:ind w:left="640" w:right="499" w:hanging="360"/>
      </w:pPr>
      <w:r>
        <w:rPr/>
        <w:t>Hidalgo MA, Chen D. Experiences of gender minority stress in cisgender parents</w:t>
      </w:r>
      <w:r>
        <w:rPr>
          <w:spacing w:val="-16"/>
        </w:rPr>
        <w:t> </w:t>
      </w:r>
      <w:r>
        <w:rPr/>
        <w:t>of</w:t>
      </w:r>
      <w:r>
        <w:rPr>
          <w:spacing w:val="-7"/>
        </w:rPr>
        <w:t> </w:t>
      </w:r>
      <w:r>
        <w:rPr/>
        <w:t>transgender/gender-expansive</w:t>
      </w:r>
      <w:r>
        <w:rPr>
          <w:spacing w:val="-9"/>
        </w:rPr>
        <w:t> </w:t>
      </w:r>
      <w:r>
        <w:rPr/>
        <w:t>prepubertal</w:t>
      </w:r>
      <w:r>
        <w:rPr>
          <w:spacing w:val="-8"/>
        </w:rPr>
        <w:t> </w:t>
      </w:r>
      <w:r>
        <w:rPr/>
        <w:t>children:</w:t>
      </w:r>
      <w:r>
        <w:rPr>
          <w:spacing w:val="-18"/>
        </w:rPr>
        <w:t> </w:t>
      </w:r>
      <w:r>
        <w:rPr/>
        <w:t>A</w:t>
      </w:r>
      <w:r>
        <w:rPr>
          <w:spacing w:val="-17"/>
        </w:rPr>
        <w:t> </w:t>
      </w:r>
      <w:r>
        <w:rPr/>
        <w:t>qualitative study. </w:t>
      </w:r>
      <w:r>
        <w:rPr>
          <w:i/>
        </w:rPr>
        <w:t>J Fam Issues. </w:t>
      </w:r>
      <w:r>
        <w:rPr/>
        <w:t>2019;40(7):865-886. https://doi.org/ </w:t>
      </w:r>
      <w:r>
        <w:rPr>
          <w:spacing w:val="-2"/>
        </w:rPr>
        <w:t>10.1177/0192513x19829502</w:t>
      </w:r>
    </w:p>
    <w:p>
      <w:pPr>
        <w:pStyle w:val="BodyText"/>
        <w:spacing w:before="2"/>
        <w:rPr>
          <w:sz w:val="25"/>
        </w:rPr>
      </w:pPr>
    </w:p>
    <w:p>
      <w:pPr>
        <w:pStyle w:val="BodyText"/>
        <w:ind w:left="640" w:right="502" w:hanging="360"/>
      </w:pPr>
      <w:r>
        <w:rPr/>
        <w:t>Kolbuck VD, Chen D, Hidalgo MA, Chodzen G, Garofalo R. Parental responses</w:t>
      </w:r>
      <w:r>
        <w:rPr>
          <w:spacing w:val="-18"/>
        </w:rPr>
        <w:t> </w:t>
      </w:r>
      <w:r>
        <w:rPr/>
        <w:t>to</w:t>
      </w:r>
      <w:r>
        <w:rPr>
          <w:spacing w:val="-16"/>
        </w:rPr>
        <w:t> </w:t>
      </w:r>
      <w:r>
        <w:rPr/>
        <w:t>children’s</w:t>
      </w:r>
      <w:r>
        <w:rPr>
          <w:spacing w:val="-10"/>
        </w:rPr>
        <w:t> </w:t>
      </w:r>
      <w:r>
        <w:rPr/>
        <w:t>gender-nonconforming</w:t>
      </w:r>
      <w:r>
        <w:rPr>
          <w:spacing w:val="-11"/>
        </w:rPr>
        <w:t> </w:t>
      </w:r>
      <w:r>
        <w:rPr/>
        <w:t>behavior:</w:t>
      </w:r>
      <w:r>
        <w:rPr>
          <w:spacing w:val="-18"/>
        </w:rPr>
        <w:t> </w:t>
      </w:r>
      <w:r>
        <w:rPr/>
        <w:t>A</w:t>
      </w:r>
      <w:r>
        <w:rPr>
          <w:spacing w:val="-17"/>
        </w:rPr>
        <w:t> </w:t>
      </w:r>
      <w:r>
        <w:rPr/>
        <w:t>qualitative analysis. </w:t>
      </w:r>
      <w:r>
        <w:rPr>
          <w:i/>
        </w:rPr>
        <w:t>Perspectives</w:t>
      </w:r>
      <w:r>
        <w:rPr/>
        <w:t>. 2017;2(2):3-29.</w:t>
      </w:r>
    </w:p>
    <w:p>
      <w:pPr>
        <w:pStyle w:val="BodyText"/>
        <w:spacing w:before="5"/>
        <w:rPr>
          <w:sz w:val="25"/>
        </w:rPr>
      </w:pPr>
    </w:p>
    <w:p>
      <w:pPr>
        <w:pStyle w:val="BodyText"/>
        <w:ind w:left="640" w:right="502" w:hanging="360"/>
      </w:pPr>
      <w:r>
        <w:rPr/>
        <w:t>Hillier</w:t>
      </w:r>
      <w:r>
        <w:rPr>
          <w:spacing w:val="-8"/>
        </w:rPr>
        <w:t> </w:t>
      </w:r>
      <w:r>
        <w:rPr/>
        <w:t>A, Torg E. Parent participation in a support group for families with transgender</w:t>
      </w:r>
      <w:r>
        <w:rPr>
          <w:spacing w:val="-6"/>
        </w:rPr>
        <w:t> </w:t>
      </w:r>
      <w:r>
        <w:rPr/>
        <w:t>and</w:t>
      </w:r>
      <w:r>
        <w:rPr>
          <w:spacing w:val="-6"/>
        </w:rPr>
        <w:t> </w:t>
      </w:r>
      <w:r>
        <w:rPr/>
        <w:t>gender-nonconforming</w:t>
      </w:r>
      <w:r>
        <w:rPr>
          <w:spacing w:val="-6"/>
        </w:rPr>
        <w:t> </w:t>
      </w:r>
      <w:r>
        <w:rPr/>
        <w:t>children:</w:t>
      </w:r>
      <w:r>
        <w:rPr>
          <w:spacing w:val="-6"/>
        </w:rPr>
        <w:t> </w:t>
      </w:r>
      <w:r>
        <w:rPr/>
        <w:t>"Being</w:t>
      </w:r>
      <w:r>
        <w:rPr>
          <w:spacing w:val="-6"/>
        </w:rPr>
        <w:t> </w:t>
      </w:r>
      <w:r>
        <w:rPr/>
        <w:t>in</w:t>
      </w:r>
      <w:r>
        <w:rPr>
          <w:spacing w:val="-6"/>
        </w:rPr>
        <w:t> </w:t>
      </w:r>
      <w:r>
        <w:rPr/>
        <w:t>the</w:t>
      </w:r>
      <w:r>
        <w:rPr>
          <w:spacing w:val="-7"/>
        </w:rPr>
        <w:t> </w:t>
      </w:r>
      <w:r>
        <w:rPr/>
        <w:t>company</w:t>
      </w:r>
      <w:r>
        <w:rPr>
          <w:spacing w:val="-6"/>
        </w:rPr>
        <w:t> </w:t>
      </w:r>
      <w:r>
        <w:rPr/>
        <w:t>of others who do not question the reality of our experience". </w:t>
      </w:r>
      <w:r>
        <w:rPr>
          <w:i/>
        </w:rPr>
        <w:t>Transgend</w:t>
      </w:r>
      <w:r>
        <w:rPr>
          <w:i/>
        </w:rPr>
        <w:t> Health. </w:t>
      </w:r>
      <w:r>
        <w:rPr/>
        <w:t>2019;4(1):168-175. https://doi.org/10.1089/trgh.2018.0018</w:t>
      </w:r>
    </w:p>
    <w:p>
      <w:pPr>
        <w:pStyle w:val="BodyText"/>
        <w:spacing w:before="3"/>
        <w:rPr>
          <w:sz w:val="25"/>
        </w:rPr>
      </w:pPr>
    </w:p>
    <w:p>
      <w:pPr>
        <w:pStyle w:val="BodyText"/>
        <w:ind w:left="640" w:right="502" w:hanging="360"/>
      </w:pPr>
      <w:r>
        <w:rPr/>
        <w:t>Ehrensaft D, Giammattei SV, Storck K, et al. Prepubertal social gender transitions:</w:t>
      </w:r>
      <w:r>
        <w:rPr>
          <w:spacing w:val="-10"/>
        </w:rPr>
        <w:t> </w:t>
      </w:r>
      <w:r>
        <w:rPr/>
        <w:t>What</w:t>
      </w:r>
      <w:r>
        <w:rPr>
          <w:spacing w:val="-4"/>
        </w:rPr>
        <w:t> </w:t>
      </w:r>
      <w:r>
        <w:rPr/>
        <w:t>we</w:t>
      </w:r>
      <w:r>
        <w:rPr>
          <w:spacing w:val="-5"/>
        </w:rPr>
        <w:t> </w:t>
      </w:r>
      <w:r>
        <w:rPr/>
        <w:t>know;</w:t>
      </w:r>
      <w:r>
        <w:rPr>
          <w:spacing w:val="-4"/>
        </w:rPr>
        <w:t> </w:t>
      </w:r>
      <w:r>
        <w:rPr/>
        <w:t>what</w:t>
      </w:r>
      <w:r>
        <w:rPr>
          <w:spacing w:val="-4"/>
        </w:rPr>
        <w:t> </w:t>
      </w:r>
      <w:r>
        <w:rPr/>
        <w:t>we</w:t>
      </w:r>
      <w:r>
        <w:rPr>
          <w:spacing w:val="-5"/>
        </w:rPr>
        <w:t> </w:t>
      </w:r>
      <w:r>
        <w:rPr/>
        <w:t>can</w:t>
      </w:r>
      <w:r>
        <w:rPr>
          <w:spacing w:val="-4"/>
        </w:rPr>
        <w:t> </w:t>
      </w:r>
      <w:r>
        <w:rPr/>
        <w:t>learn—A</w:t>
      </w:r>
      <w:r>
        <w:rPr>
          <w:spacing w:val="-18"/>
        </w:rPr>
        <w:t> </w:t>
      </w:r>
      <w:r>
        <w:rPr/>
        <w:t>view</w:t>
      </w:r>
      <w:r>
        <w:rPr>
          <w:spacing w:val="-3"/>
        </w:rPr>
        <w:t> </w:t>
      </w:r>
      <w:r>
        <w:rPr/>
        <w:t>from</w:t>
      </w:r>
      <w:r>
        <w:rPr>
          <w:spacing w:val="-4"/>
        </w:rPr>
        <w:t> </w:t>
      </w:r>
      <w:r>
        <w:rPr/>
        <w:t>a</w:t>
      </w:r>
      <w:r>
        <w:rPr>
          <w:spacing w:val="-5"/>
        </w:rPr>
        <w:t> </w:t>
      </w:r>
      <w:r>
        <w:rPr/>
        <w:t>gender affirmative</w:t>
      </w:r>
      <w:r>
        <w:rPr>
          <w:spacing w:val="-2"/>
        </w:rPr>
        <w:t> </w:t>
      </w:r>
      <w:r>
        <w:rPr/>
        <w:t>lens.</w:t>
      </w:r>
      <w:r>
        <w:rPr>
          <w:spacing w:val="-1"/>
        </w:rPr>
        <w:t> </w:t>
      </w:r>
      <w:r>
        <w:rPr>
          <w:i/>
        </w:rPr>
        <w:t>Int</w:t>
      </w:r>
      <w:r>
        <w:rPr>
          <w:i/>
          <w:spacing w:val="-1"/>
        </w:rPr>
        <w:t> </w:t>
      </w:r>
      <w:r>
        <w:rPr>
          <w:i/>
        </w:rPr>
        <w:t>J</w:t>
      </w:r>
      <w:r>
        <w:rPr>
          <w:i/>
          <w:spacing w:val="-2"/>
        </w:rPr>
        <w:t> </w:t>
      </w:r>
      <w:r>
        <w:rPr>
          <w:i/>
        </w:rPr>
        <w:t>Transgend</w:t>
      </w:r>
      <w:r>
        <w:rPr/>
        <w:t>.</w:t>
      </w:r>
      <w:r>
        <w:rPr>
          <w:spacing w:val="-1"/>
        </w:rPr>
        <w:t> </w:t>
      </w:r>
      <w:r>
        <w:rPr/>
        <w:t>2018;19(2):251-268.</w:t>
      </w:r>
      <w:r>
        <w:rPr>
          <w:spacing w:val="-1"/>
        </w:rPr>
        <w:t> </w:t>
      </w:r>
      <w:r>
        <w:rPr/>
        <w:t>https://doi.org/ </w:t>
      </w:r>
      <w:r>
        <w:rPr>
          <w:spacing w:val="-2"/>
        </w:rPr>
        <w:t>10.1080/15532739.2017.141464</w:t>
      </w:r>
    </w:p>
    <w:p>
      <w:pPr>
        <w:pStyle w:val="BodyText"/>
        <w:spacing w:before="2"/>
        <w:rPr>
          <w:sz w:val="25"/>
        </w:rPr>
      </w:pPr>
    </w:p>
    <w:p>
      <w:pPr>
        <w:pStyle w:val="BodyText"/>
        <w:ind w:left="640" w:right="588" w:hanging="360"/>
      </w:pPr>
      <w:r>
        <w:rPr/>
        <w:t>Columbia</w:t>
      </w:r>
      <w:r>
        <w:rPr>
          <w:spacing w:val="-11"/>
        </w:rPr>
        <w:t> </w:t>
      </w:r>
      <w:r>
        <w:rPr/>
        <w:t>University</w:t>
      </w:r>
      <w:r>
        <w:rPr>
          <w:spacing w:val="-10"/>
        </w:rPr>
        <w:t> </w:t>
      </w:r>
      <w:r>
        <w:rPr/>
        <w:t>Department</w:t>
      </w:r>
      <w:r>
        <w:rPr>
          <w:spacing w:val="-10"/>
        </w:rPr>
        <w:t> </w:t>
      </w:r>
      <w:r>
        <w:rPr/>
        <w:t>of</w:t>
      </w:r>
      <w:r>
        <w:rPr>
          <w:spacing w:val="-10"/>
        </w:rPr>
        <w:t> </w:t>
      </w:r>
      <w:r>
        <w:rPr/>
        <w:t>Psychiatry.</w:t>
      </w:r>
      <w:r>
        <w:rPr>
          <w:spacing w:val="-10"/>
        </w:rPr>
        <w:t> </w:t>
      </w:r>
      <w:r>
        <w:rPr/>
        <w:t>Gender-Affirming</w:t>
      </w:r>
      <w:r>
        <w:rPr>
          <w:spacing w:val="-10"/>
        </w:rPr>
        <w:t> </w:t>
      </w:r>
      <w:r>
        <w:rPr/>
        <w:t>Care</w:t>
      </w:r>
      <w:r>
        <w:rPr>
          <w:spacing w:val="-11"/>
        </w:rPr>
        <w:t> </w:t>
      </w:r>
      <w:r>
        <w:rPr/>
        <w:t>Saves Lives. June 23, 2021. https://</w:t>
      </w:r>
      <w:hyperlink r:id="rId100">
        <w:r>
          <w:rPr/>
          <w:t>www.columbiapsychiatry.org/news/ge</w:t>
        </w:r>
      </w:hyperlink>
      <w:r>
        <w:rPr/>
        <w:t> nder- </w:t>
      </w:r>
      <w:r>
        <w:rPr>
          <w:spacing w:val="-2"/>
        </w:rPr>
        <w:t>affirming-care-saveslives#:~:text=The%20gender%2Daffirming% 20model%20of,exploration%20without%20ju dgments%20or%20assumptions</w:t>
      </w:r>
    </w:p>
    <w:p>
      <w:pPr>
        <w:pStyle w:val="BodyText"/>
        <w:spacing w:before="1"/>
        <w:rPr>
          <w:sz w:val="25"/>
        </w:rPr>
      </w:pPr>
    </w:p>
    <w:p>
      <w:pPr>
        <w:pStyle w:val="BodyText"/>
        <w:ind w:left="640" w:right="575" w:hanging="360"/>
      </w:pPr>
      <w:r>
        <w:rPr/>
        <w:t>Boyle</w:t>
      </w:r>
      <w:r>
        <w:rPr>
          <w:spacing w:val="-18"/>
        </w:rPr>
        <w:t> </w:t>
      </w:r>
      <w:r>
        <w:rPr/>
        <w:t>P.</w:t>
      </w:r>
      <w:r>
        <w:rPr>
          <w:spacing w:val="-17"/>
        </w:rPr>
        <w:t> </w:t>
      </w:r>
      <w:r>
        <w:rPr/>
        <w:t>What</w:t>
      </w:r>
      <w:r>
        <w:rPr>
          <w:spacing w:val="-18"/>
        </w:rPr>
        <w:t> </w:t>
      </w:r>
      <w:r>
        <w:rPr/>
        <w:t>is</w:t>
      </w:r>
      <w:r>
        <w:rPr>
          <w:spacing w:val="-14"/>
        </w:rPr>
        <w:t> </w:t>
      </w:r>
      <w:r>
        <w:rPr/>
        <w:t>gender-affirming</w:t>
      </w:r>
      <w:r>
        <w:rPr>
          <w:spacing w:val="-13"/>
        </w:rPr>
        <w:t> </w:t>
      </w:r>
      <w:r>
        <w:rPr/>
        <w:t>care?</w:t>
      </w:r>
      <w:r>
        <w:rPr>
          <w:spacing w:val="-18"/>
        </w:rPr>
        <w:t> </w:t>
      </w:r>
      <w:r>
        <w:rPr/>
        <w:t>Your</w:t>
      </w:r>
      <w:r>
        <w:rPr>
          <w:spacing w:val="-12"/>
        </w:rPr>
        <w:t> </w:t>
      </w:r>
      <w:r>
        <w:rPr/>
        <w:t>questions</w:t>
      </w:r>
      <w:r>
        <w:rPr>
          <w:spacing w:val="-13"/>
        </w:rPr>
        <w:t> </w:t>
      </w:r>
      <w:r>
        <w:rPr/>
        <w:t>answered.</w:t>
      </w:r>
      <w:r>
        <w:rPr>
          <w:spacing w:val="-18"/>
        </w:rPr>
        <w:t> </w:t>
      </w:r>
      <w:r>
        <w:rPr/>
        <w:t>Association of</w:t>
      </w:r>
      <w:r>
        <w:rPr>
          <w:spacing w:val="-2"/>
        </w:rPr>
        <w:t> </w:t>
      </w:r>
      <w:r>
        <w:rPr/>
        <w:t>American Medical Colleges.</w:t>
      </w:r>
      <w:r>
        <w:rPr>
          <w:spacing w:val="-2"/>
        </w:rPr>
        <w:t> </w:t>
      </w:r>
      <w:r>
        <w:rPr/>
        <w:t>April 12, 2022. https://</w:t>
      </w:r>
      <w:hyperlink r:id="rId101">
        <w:r>
          <w:rPr/>
          <w:t>www.aamc.org/</w:t>
        </w:r>
      </w:hyperlink>
      <w:r>
        <w:rPr/>
        <w:t> </w:t>
      </w:r>
      <w:r>
        <w:rPr>
          <w:spacing w:val="-2"/>
        </w:rPr>
        <w:t>news-insights/whatgender-affirming-care-your-questionsanswered.</w:t>
      </w:r>
    </w:p>
    <w:p>
      <w:pPr>
        <w:pStyle w:val="BodyText"/>
        <w:spacing w:line="316" w:lineRule="exact"/>
        <w:ind w:left="640"/>
      </w:pPr>
      <w:r>
        <w:rPr/>
        <w:t>Accessed</w:t>
      </w:r>
      <w:r>
        <w:rPr>
          <w:spacing w:val="-2"/>
        </w:rPr>
        <w:t> </w:t>
      </w:r>
      <w:r>
        <w:rPr/>
        <w:t>March</w:t>
      </w:r>
      <w:r>
        <w:rPr>
          <w:spacing w:val="-2"/>
        </w:rPr>
        <w:t> </w:t>
      </w:r>
      <w:r>
        <w:rPr/>
        <w:t>12,</w:t>
      </w:r>
      <w:r>
        <w:rPr>
          <w:spacing w:val="-2"/>
        </w:rPr>
        <w:t> 2023.</w:t>
      </w:r>
    </w:p>
    <w:p>
      <w:pPr>
        <w:pStyle w:val="BodyText"/>
        <w:spacing w:before="8"/>
        <w:rPr>
          <w:sz w:val="25"/>
        </w:rPr>
      </w:pPr>
    </w:p>
    <w:p>
      <w:pPr>
        <w:pStyle w:val="BodyText"/>
        <w:spacing w:before="1"/>
        <w:ind w:left="640" w:right="502" w:hanging="360"/>
      </w:pPr>
      <w:r>
        <w:rPr/>
        <w:t>Chen</w:t>
      </w:r>
      <w:r>
        <w:rPr>
          <w:spacing w:val="-4"/>
        </w:rPr>
        <w:t> </w:t>
      </w:r>
      <w:r>
        <w:rPr/>
        <w:t>D,</w:t>
      </w:r>
      <w:r>
        <w:rPr>
          <w:spacing w:val="-4"/>
        </w:rPr>
        <w:t> </w:t>
      </w:r>
      <w:r>
        <w:rPr/>
        <w:t>Berona</w:t>
      </w:r>
      <w:r>
        <w:rPr>
          <w:spacing w:val="-5"/>
        </w:rPr>
        <w:t> </w:t>
      </w:r>
      <w:r>
        <w:rPr/>
        <w:t>J,</w:t>
      </w:r>
      <w:r>
        <w:rPr>
          <w:spacing w:val="-4"/>
        </w:rPr>
        <w:t> </w:t>
      </w:r>
      <w:r>
        <w:rPr/>
        <w:t>Chan</w:t>
      </w:r>
      <w:r>
        <w:rPr>
          <w:spacing w:val="-14"/>
        </w:rPr>
        <w:t> </w:t>
      </w:r>
      <w:r>
        <w:rPr/>
        <w:t>YM,</w:t>
      </w:r>
      <w:r>
        <w:rPr>
          <w:spacing w:val="-4"/>
        </w:rPr>
        <w:t> </w:t>
      </w:r>
      <w:r>
        <w:rPr/>
        <w:t>et</w:t>
      </w:r>
      <w:r>
        <w:rPr>
          <w:spacing w:val="-4"/>
        </w:rPr>
        <w:t> </w:t>
      </w:r>
      <w:r>
        <w:rPr/>
        <w:t>al.</w:t>
      </w:r>
      <w:r>
        <w:rPr>
          <w:spacing w:val="-4"/>
        </w:rPr>
        <w:t> </w:t>
      </w:r>
      <w:r>
        <w:rPr/>
        <w:t>Psychosocial</w:t>
      </w:r>
      <w:r>
        <w:rPr>
          <w:spacing w:val="-4"/>
        </w:rPr>
        <w:t> </w:t>
      </w:r>
      <w:r>
        <w:rPr/>
        <w:t>functioning</w:t>
      </w:r>
      <w:r>
        <w:rPr>
          <w:spacing w:val="-4"/>
        </w:rPr>
        <w:t> </w:t>
      </w:r>
      <w:r>
        <w:rPr/>
        <w:t>in</w:t>
      </w:r>
      <w:r>
        <w:rPr>
          <w:spacing w:val="-4"/>
        </w:rPr>
        <w:t> </w:t>
      </w:r>
      <w:r>
        <w:rPr/>
        <w:t>transgender youth after 2 years of hormones. N Engl J Med. 2023 Jan</w:t>
      </w:r>
    </w:p>
    <w:p>
      <w:pPr>
        <w:pStyle w:val="BodyText"/>
        <w:spacing w:line="317" w:lineRule="exact"/>
        <w:ind w:left="640"/>
      </w:pPr>
      <w:r>
        <w:rPr/>
        <w:t>19;388(3):240-250.</w:t>
      </w:r>
      <w:r>
        <w:rPr>
          <w:spacing w:val="-7"/>
        </w:rPr>
        <w:t> </w:t>
      </w:r>
      <w:r>
        <w:rPr/>
        <w:t>https://doi.org/10.1056/NEJMoa2206297.</w:t>
      </w:r>
      <w:r>
        <w:rPr>
          <w:spacing w:val="-4"/>
        </w:rPr>
        <w:t> </w:t>
      </w:r>
      <w:r>
        <w:rPr>
          <w:spacing w:val="-2"/>
        </w:rPr>
        <w:t>PMID:</w:t>
      </w:r>
    </w:p>
    <w:p>
      <w:pPr>
        <w:pStyle w:val="BodyText"/>
        <w:spacing w:line="321" w:lineRule="exact"/>
        <w:ind w:left="640"/>
      </w:pPr>
      <w:r>
        <w:rPr>
          <w:spacing w:val="-2"/>
        </w:rPr>
        <w:t>36652355</w:t>
      </w:r>
    </w:p>
    <w:p>
      <w:pPr>
        <w:pStyle w:val="BodyText"/>
        <w:spacing w:before="8"/>
        <w:rPr>
          <w:sz w:val="25"/>
        </w:rPr>
      </w:pPr>
    </w:p>
    <w:p>
      <w:pPr>
        <w:pStyle w:val="BodyText"/>
        <w:ind w:left="640" w:right="860" w:hanging="360"/>
        <w:jc w:val="both"/>
      </w:pPr>
      <w:r>
        <w:rPr/>
        <w:t>Call</w:t>
      </w:r>
      <w:r>
        <w:rPr>
          <w:spacing w:val="-6"/>
        </w:rPr>
        <w:t> </w:t>
      </w:r>
      <w:r>
        <w:rPr/>
        <w:t>DC,</w:t>
      </w:r>
      <w:r>
        <w:rPr>
          <w:spacing w:val="-6"/>
        </w:rPr>
        <w:t> </w:t>
      </w:r>
      <w:r>
        <w:rPr/>
        <w:t>Challa</w:t>
      </w:r>
      <w:r>
        <w:rPr>
          <w:spacing w:val="-7"/>
        </w:rPr>
        <w:t> </w:t>
      </w:r>
      <w:r>
        <w:rPr/>
        <w:t>M,</w:t>
      </w:r>
      <w:r>
        <w:rPr>
          <w:spacing w:val="-12"/>
        </w:rPr>
        <w:t> </w:t>
      </w:r>
      <w:r>
        <w:rPr/>
        <w:t>Telingator</w:t>
      </w:r>
      <w:r>
        <w:rPr>
          <w:spacing w:val="-6"/>
        </w:rPr>
        <w:t> </w:t>
      </w:r>
      <w:r>
        <w:rPr/>
        <w:t>CJ.</w:t>
      </w:r>
      <w:r>
        <w:rPr>
          <w:spacing w:val="-6"/>
        </w:rPr>
        <w:t> </w:t>
      </w:r>
      <w:r>
        <w:rPr/>
        <w:t>Providing</w:t>
      </w:r>
      <w:r>
        <w:rPr>
          <w:spacing w:val="-6"/>
        </w:rPr>
        <w:t> </w:t>
      </w:r>
      <w:r>
        <w:rPr/>
        <w:t>affirmative</w:t>
      </w:r>
      <w:r>
        <w:rPr>
          <w:spacing w:val="-7"/>
        </w:rPr>
        <w:t> </w:t>
      </w:r>
      <w:r>
        <w:rPr/>
        <w:t>care</w:t>
      </w:r>
      <w:r>
        <w:rPr>
          <w:spacing w:val="-7"/>
        </w:rPr>
        <w:t> </w:t>
      </w:r>
      <w:r>
        <w:rPr/>
        <w:t>to</w:t>
      </w:r>
      <w:r>
        <w:rPr>
          <w:spacing w:val="-6"/>
        </w:rPr>
        <w:t> </w:t>
      </w:r>
      <w:r>
        <w:rPr/>
        <w:t>transgender and</w:t>
      </w:r>
      <w:r>
        <w:rPr>
          <w:spacing w:val="-5"/>
        </w:rPr>
        <w:t> </w:t>
      </w:r>
      <w:r>
        <w:rPr/>
        <w:t>gender</w:t>
      </w:r>
      <w:r>
        <w:rPr>
          <w:spacing w:val="-5"/>
        </w:rPr>
        <w:t> </w:t>
      </w:r>
      <w:r>
        <w:rPr/>
        <w:t>diverse</w:t>
      </w:r>
      <w:r>
        <w:rPr>
          <w:spacing w:val="-6"/>
        </w:rPr>
        <w:t> </w:t>
      </w:r>
      <w:r>
        <w:rPr/>
        <w:t>youth:</w:t>
      </w:r>
      <w:r>
        <w:rPr>
          <w:spacing w:val="-5"/>
        </w:rPr>
        <w:t> </w:t>
      </w:r>
      <w:r>
        <w:rPr/>
        <w:t>Disparities,</w:t>
      </w:r>
      <w:r>
        <w:rPr>
          <w:spacing w:val="-5"/>
        </w:rPr>
        <w:t> </w:t>
      </w:r>
      <w:r>
        <w:rPr/>
        <w:t>interventions,</w:t>
      </w:r>
      <w:r>
        <w:rPr>
          <w:spacing w:val="-5"/>
        </w:rPr>
        <w:t> </w:t>
      </w:r>
      <w:r>
        <w:rPr/>
        <w:t>and</w:t>
      </w:r>
      <w:r>
        <w:rPr>
          <w:spacing w:val="-5"/>
        </w:rPr>
        <w:t> </w:t>
      </w:r>
      <w:r>
        <w:rPr/>
        <w:t>outcomes.</w:t>
      </w:r>
      <w:r>
        <w:rPr>
          <w:spacing w:val="-6"/>
        </w:rPr>
        <w:t> </w:t>
      </w:r>
      <w:r>
        <w:rPr>
          <w:i/>
        </w:rPr>
        <w:t>Curr</w:t>
      </w:r>
      <w:r>
        <w:rPr>
          <w:i/>
        </w:rPr>
        <w:t> Psychiatry Rep. </w:t>
      </w:r>
      <w:r>
        <w:rPr/>
        <w:t>2021;23(6):33. https://doi.org/10.1007/</w:t>
      </w:r>
    </w:p>
    <w:p>
      <w:pPr>
        <w:pStyle w:val="BodyText"/>
        <w:spacing w:line="316" w:lineRule="exact"/>
        <w:ind w:left="640"/>
      </w:pPr>
      <w:r>
        <w:rPr>
          <w:spacing w:val="-2"/>
        </w:rPr>
        <w:t>s11920-021-01245-</w:t>
      </w:r>
      <w:r>
        <w:rPr>
          <w:spacing w:val="-10"/>
        </w:rPr>
        <w:t>9</w:t>
      </w:r>
    </w:p>
    <w:p>
      <w:pPr>
        <w:pStyle w:val="BodyText"/>
        <w:spacing w:before="8"/>
        <w:rPr>
          <w:sz w:val="25"/>
        </w:rPr>
      </w:pPr>
    </w:p>
    <w:p>
      <w:pPr>
        <w:pStyle w:val="BodyText"/>
        <w:spacing w:before="1"/>
        <w:ind w:left="640" w:right="668" w:hanging="360"/>
      </w:pPr>
      <w:r>
        <w:rPr/>
        <w:t>Clark</w:t>
      </w:r>
      <w:r>
        <w:rPr>
          <w:spacing w:val="-1"/>
        </w:rPr>
        <w:t> </w:t>
      </w:r>
      <w:r>
        <w:rPr/>
        <w:t>BA,</w:t>
      </w:r>
      <w:r>
        <w:rPr>
          <w:spacing w:val="-7"/>
        </w:rPr>
        <w:t> </w:t>
      </w:r>
      <w:r>
        <w:rPr/>
        <w:t>Virani</w:t>
      </w:r>
      <w:r>
        <w:rPr>
          <w:spacing w:val="-17"/>
        </w:rPr>
        <w:t> </w:t>
      </w:r>
      <w:r>
        <w:rPr/>
        <w:t>A.</w:t>
      </w:r>
      <w:r>
        <w:rPr>
          <w:spacing w:val="-1"/>
        </w:rPr>
        <w:t> </w:t>
      </w:r>
      <w:r>
        <w:rPr/>
        <w:t>“This</w:t>
      </w:r>
      <w:r>
        <w:rPr>
          <w:spacing w:val="-1"/>
        </w:rPr>
        <w:t> </w:t>
      </w:r>
      <w:r>
        <w:rPr/>
        <w:t>wasn’t</w:t>
      </w:r>
      <w:r>
        <w:rPr>
          <w:spacing w:val="-1"/>
        </w:rPr>
        <w:t> </w:t>
      </w:r>
      <w:r>
        <w:rPr/>
        <w:t>a</w:t>
      </w:r>
      <w:r>
        <w:rPr>
          <w:spacing w:val="-2"/>
        </w:rPr>
        <w:t> </w:t>
      </w:r>
      <w:r>
        <w:rPr/>
        <w:t>split-second</w:t>
      </w:r>
      <w:r>
        <w:rPr>
          <w:spacing w:val="-1"/>
        </w:rPr>
        <w:t> </w:t>
      </w:r>
      <w:r>
        <w:rPr/>
        <w:t>decision”:</w:t>
      </w:r>
      <w:r>
        <w:rPr>
          <w:spacing w:val="-17"/>
        </w:rPr>
        <w:t> </w:t>
      </w:r>
      <w:r>
        <w:rPr/>
        <w:t>An</w:t>
      </w:r>
      <w:r>
        <w:rPr>
          <w:spacing w:val="-1"/>
        </w:rPr>
        <w:t> </w:t>
      </w:r>
      <w:r>
        <w:rPr/>
        <w:t>empirical ethical</w:t>
      </w:r>
      <w:r>
        <w:rPr>
          <w:spacing w:val="-7"/>
        </w:rPr>
        <w:t> </w:t>
      </w:r>
      <w:r>
        <w:rPr/>
        <w:t>analysis</w:t>
      </w:r>
      <w:r>
        <w:rPr>
          <w:spacing w:val="-7"/>
        </w:rPr>
        <w:t> </w:t>
      </w:r>
      <w:r>
        <w:rPr/>
        <w:t>of</w:t>
      </w:r>
      <w:r>
        <w:rPr>
          <w:spacing w:val="-7"/>
        </w:rPr>
        <w:t> </w:t>
      </w:r>
      <w:r>
        <w:rPr/>
        <w:t>transgender</w:t>
      </w:r>
      <w:r>
        <w:rPr>
          <w:spacing w:val="-7"/>
        </w:rPr>
        <w:t> </w:t>
      </w:r>
      <w:r>
        <w:rPr/>
        <w:t>youth</w:t>
      </w:r>
      <w:r>
        <w:rPr>
          <w:spacing w:val="-7"/>
        </w:rPr>
        <w:t> </w:t>
      </w:r>
      <w:r>
        <w:rPr/>
        <w:t>capacity,</w:t>
      </w:r>
      <w:r>
        <w:rPr>
          <w:spacing w:val="-7"/>
        </w:rPr>
        <w:t> </w:t>
      </w:r>
      <w:r>
        <w:rPr/>
        <w:t>rights,</w:t>
      </w:r>
      <w:r>
        <w:rPr>
          <w:spacing w:val="-7"/>
        </w:rPr>
        <w:t> </w:t>
      </w:r>
      <w:r>
        <w:rPr/>
        <w:t>and</w:t>
      </w:r>
      <w:r>
        <w:rPr>
          <w:spacing w:val="-7"/>
        </w:rPr>
        <w:t> </w:t>
      </w:r>
      <w:r>
        <w:rPr/>
        <w:t>authority</w:t>
      </w:r>
      <w:r>
        <w:rPr>
          <w:spacing w:val="-7"/>
        </w:rPr>
        <w:t> </w:t>
      </w:r>
      <w:r>
        <w:rPr/>
        <w:t>to</w:t>
      </w:r>
    </w:p>
    <w:p>
      <w:pPr>
        <w:spacing w:after="0"/>
        <w:sectPr>
          <w:pgSz w:w="12240" w:h="15840"/>
          <w:pgMar w:header="0" w:footer="783" w:top="1260" w:bottom="980" w:left="1400" w:right="1180"/>
        </w:sectPr>
      </w:pPr>
    </w:p>
    <w:p>
      <w:pPr>
        <w:pStyle w:val="BodyText"/>
        <w:spacing w:before="66"/>
        <w:ind w:left="640" w:right="1096"/>
      </w:pPr>
      <w:r>
        <w:rPr/>
        <w:t>consent</w:t>
      </w:r>
      <w:r>
        <w:rPr>
          <w:spacing w:val="-7"/>
        </w:rPr>
        <w:t> </w:t>
      </w:r>
      <w:r>
        <w:rPr/>
        <w:t>to</w:t>
      </w:r>
      <w:r>
        <w:rPr>
          <w:spacing w:val="-7"/>
        </w:rPr>
        <w:t> </w:t>
      </w:r>
      <w:r>
        <w:rPr/>
        <w:t>hormone</w:t>
      </w:r>
      <w:r>
        <w:rPr>
          <w:spacing w:val="-8"/>
        </w:rPr>
        <w:t> </w:t>
      </w:r>
      <w:r>
        <w:rPr/>
        <w:t>therapy.</w:t>
      </w:r>
      <w:r>
        <w:rPr>
          <w:spacing w:val="-8"/>
        </w:rPr>
        <w:t> </w:t>
      </w:r>
      <w:r>
        <w:rPr>
          <w:i/>
        </w:rPr>
        <w:t>J</w:t>
      </w:r>
      <w:r>
        <w:rPr>
          <w:i/>
          <w:spacing w:val="-8"/>
        </w:rPr>
        <w:t> </w:t>
      </w:r>
      <w:r>
        <w:rPr>
          <w:i/>
        </w:rPr>
        <w:t>Bioeth</w:t>
      </w:r>
      <w:r>
        <w:rPr>
          <w:i/>
          <w:spacing w:val="-7"/>
        </w:rPr>
        <w:t> </w:t>
      </w:r>
      <w:r>
        <w:rPr>
          <w:i/>
        </w:rPr>
        <w:t>Inq</w:t>
      </w:r>
      <w:r>
        <w:rPr/>
        <w:t>.</w:t>
      </w:r>
      <w:r>
        <w:rPr>
          <w:spacing w:val="-7"/>
        </w:rPr>
        <w:t> </w:t>
      </w:r>
      <w:r>
        <w:rPr/>
        <w:t>2021;18(1):151-164.</w:t>
      </w:r>
      <w:r>
        <w:rPr>
          <w:spacing w:val="-7"/>
        </w:rPr>
        <w:t> </w:t>
      </w:r>
      <w:r>
        <w:rPr/>
        <w:t>https:// </w:t>
      </w:r>
      <w:r>
        <w:rPr>
          <w:spacing w:val="-2"/>
        </w:rPr>
        <w:t>doi.org/10.1007/s11673-020-10086-9</w:t>
      </w:r>
    </w:p>
    <w:p>
      <w:pPr>
        <w:pStyle w:val="BodyText"/>
        <w:spacing w:before="6"/>
        <w:rPr>
          <w:sz w:val="25"/>
        </w:rPr>
      </w:pPr>
    </w:p>
    <w:p>
      <w:pPr>
        <w:spacing w:before="0"/>
        <w:ind w:left="640" w:right="770" w:hanging="360"/>
        <w:jc w:val="both"/>
        <w:rPr>
          <w:sz w:val="28"/>
        </w:rPr>
      </w:pPr>
      <w:r>
        <w:rPr>
          <w:sz w:val="28"/>
        </w:rPr>
        <w:t>Cohen-Kettenis</w:t>
      </w:r>
      <w:r>
        <w:rPr>
          <w:spacing w:val="-2"/>
          <w:sz w:val="28"/>
        </w:rPr>
        <w:t> </w:t>
      </w:r>
      <w:r>
        <w:rPr>
          <w:sz w:val="28"/>
        </w:rPr>
        <w:t>PT,</w:t>
      </w:r>
      <w:r>
        <w:rPr>
          <w:spacing w:val="-2"/>
          <w:sz w:val="28"/>
        </w:rPr>
        <w:t> </w:t>
      </w:r>
      <w:r>
        <w:rPr>
          <w:sz w:val="28"/>
        </w:rPr>
        <w:t>Klink</w:t>
      </w:r>
      <w:r>
        <w:rPr>
          <w:spacing w:val="-2"/>
          <w:sz w:val="28"/>
        </w:rPr>
        <w:t> </w:t>
      </w:r>
      <w:r>
        <w:rPr>
          <w:sz w:val="28"/>
        </w:rPr>
        <w:t>D.</w:t>
      </w:r>
      <w:r>
        <w:rPr>
          <w:spacing w:val="-18"/>
          <w:sz w:val="28"/>
        </w:rPr>
        <w:t> </w:t>
      </w:r>
      <w:r>
        <w:rPr>
          <w:sz w:val="28"/>
        </w:rPr>
        <w:t>Adolescents</w:t>
      </w:r>
      <w:r>
        <w:rPr>
          <w:spacing w:val="-2"/>
          <w:sz w:val="28"/>
        </w:rPr>
        <w:t> </w:t>
      </w:r>
      <w:r>
        <w:rPr>
          <w:sz w:val="28"/>
        </w:rPr>
        <w:t>with</w:t>
      </w:r>
      <w:r>
        <w:rPr>
          <w:spacing w:val="-2"/>
          <w:sz w:val="28"/>
        </w:rPr>
        <w:t> </w:t>
      </w:r>
      <w:r>
        <w:rPr>
          <w:sz w:val="28"/>
        </w:rPr>
        <w:t>gender</w:t>
      </w:r>
      <w:r>
        <w:rPr>
          <w:spacing w:val="-2"/>
          <w:sz w:val="28"/>
        </w:rPr>
        <w:t> </w:t>
      </w:r>
      <w:r>
        <w:rPr>
          <w:sz w:val="28"/>
        </w:rPr>
        <w:t>dysphoria.</w:t>
      </w:r>
      <w:r>
        <w:rPr>
          <w:spacing w:val="-3"/>
          <w:sz w:val="28"/>
        </w:rPr>
        <w:t> </w:t>
      </w:r>
      <w:r>
        <w:rPr>
          <w:i/>
          <w:sz w:val="28"/>
        </w:rPr>
        <w:t>Best</w:t>
      </w:r>
      <w:r>
        <w:rPr>
          <w:i/>
          <w:spacing w:val="-2"/>
          <w:sz w:val="28"/>
        </w:rPr>
        <w:t> </w:t>
      </w:r>
      <w:r>
        <w:rPr>
          <w:i/>
          <w:sz w:val="28"/>
        </w:rPr>
        <w:t>Pract</w:t>
      </w:r>
      <w:r>
        <w:rPr>
          <w:i/>
          <w:sz w:val="28"/>
        </w:rPr>
        <w:t> Res</w:t>
      </w:r>
      <w:r>
        <w:rPr>
          <w:i/>
          <w:spacing w:val="-9"/>
          <w:sz w:val="28"/>
        </w:rPr>
        <w:t> </w:t>
      </w:r>
      <w:r>
        <w:rPr>
          <w:i/>
          <w:sz w:val="28"/>
        </w:rPr>
        <w:t>Clin</w:t>
      </w:r>
      <w:r>
        <w:rPr>
          <w:i/>
          <w:spacing w:val="-9"/>
          <w:sz w:val="28"/>
        </w:rPr>
        <w:t> </w:t>
      </w:r>
      <w:r>
        <w:rPr>
          <w:i/>
          <w:sz w:val="28"/>
        </w:rPr>
        <w:t>Endocrinol</w:t>
      </w:r>
      <w:r>
        <w:rPr>
          <w:i/>
          <w:spacing w:val="-9"/>
          <w:sz w:val="28"/>
        </w:rPr>
        <w:t> </w:t>
      </w:r>
      <w:r>
        <w:rPr>
          <w:i/>
          <w:sz w:val="28"/>
        </w:rPr>
        <w:t>Metab</w:t>
      </w:r>
      <w:r>
        <w:rPr>
          <w:sz w:val="28"/>
        </w:rPr>
        <w:t>.</w:t>
      </w:r>
      <w:r>
        <w:rPr>
          <w:spacing w:val="-9"/>
          <w:sz w:val="28"/>
        </w:rPr>
        <w:t> </w:t>
      </w:r>
      <w:r>
        <w:rPr>
          <w:sz w:val="28"/>
        </w:rPr>
        <w:t>2015;29(3):485-495.</w:t>
      </w:r>
      <w:r>
        <w:rPr>
          <w:spacing w:val="-9"/>
          <w:sz w:val="28"/>
        </w:rPr>
        <w:t> </w:t>
      </w:r>
      <w:r>
        <w:rPr>
          <w:sz w:val="28"/>
        </w:rPr>
        <w:t>https://doi.org/10.1016/ </w:t>
      </w:r>
      <w:r>
        <w:rPr>
          <w:spacing w:val="-2"/>
          <w:sz w:val="28"/>
        </w:rPr>
        <w:t>j.beem.2015.01.004</w:t>
      </w:r>
    </w:p>
    <w:p>
      <w:pPr>
        <w:pStyle w:val="BodyText"/>
        <w:spacing w:before="5"/>
        <w:rPr>
          <w:sz w:val="25"/>
        </w:rPr>
      </w:pPr>
    </w:p>
    <w:p>
      <w:pPr>
        <w:spacing w:before="0"/>
        <w:ind w:left="640" w:right="502" w:hanging="360"/>
        <w:jc w:val="left"/>
        <w:rPr>
          <w:sz w:val="28"/>
        </w:rPr>
      </w:pPr>
      <w:r>
        <w:rPr>
          <w:sz w:val="28"/>
        </w:rPr>
        <w:t>U.S.</w:t>
      </w:r>
      <w:r>
        <w:rPr>
          <w:spacing w:val="-9"/>
          <w:sz w:val="28"/>
        </w:rPr>
        <w:t> </w:t>
      </w:r>
      <w:r>
        <w:rPr>
          <w:sz w:val="28"/>
        </w:rPr>
        <w:t>Surgeon</w:t>
      </w:r>
      <w:r>
        <w:rPr>
          <w:spacing w:val="-9"/>
          <w:sz w:val="28"/>
        </w:rPr>
        <w:t> </w:t>
      </w:r>
      <w:r>
        <w:rPr>
          <w:sz w:val="28"/>
        </w:rPr>
        <w:t>General.</w:t>
      </w:r>
      <w:r>
        <w:rPr>
          <w:spacing w:val="-10"/>
          <w:sz w:val="28"/>
        </w:rPr>
        <w:t> </w:t>
      </w:r>
      <w:r>
        <w:rPr>
          <w:i/>
          <w:sz w:val="28"/>
        </w:rPr>
        <w:t>Protecting</w:t>
      </w:r>
      <w:r>
        <w:rPr>
          <w:i/>
          <w:spacing w:val="-9"/>
          <w:sz w:val="28"/>
        </w:rPr>
        <w:t> </w:t>
      </w:r>
      <w:r>
        <w:rPr>
          <w:i/>
          <w:sz w:val="28"/>
        </w:rPr>
        <w:t>Youth</w:t>
      </w:r>
      <w:r>
        <w:rPr>
          <w:i/>
          <w:spacing w:val="-9"/>
          <w:sz w:val="28"/>
        </w:rPr>
        <w:t> </w:t>
      </w:r>
      <w:r>
        <w:rPr>
          <w:i/>
          <w:sz w:val="28"/>
        </w:rPr>
        <w:t>Mental</w:t>
      </w:r>
      <w:r>
        <w:rPr>
          <w:i/>
          <w:spacing w:val="-9"/>
          <w:sz w:val="28"/>
        </w:rPr>
        <w:t> </w:t>
      </w:r>
      <w:r>
        <w:rPr>
          <w:i/>
          <w:sz w:val="28"/>
        </w:rPr>
        <w:t>Health:</w:t>
      </w:r>
      <w:r>
        <w:rPr>
          <w:i/>
          <w:spacing w:val="-9"/>
          <w:sz w:val="28"/>
        </w:rPr>
        <w:t> </w:t>
      </w:r>
      <w:r>
        <w:rPr>
          <w:i/>
          <w:sz w:val="28"/>
        </w:rPr>
        <w:t>The</w:t>
      </w:r>
      <w:r>
        <w:rPr>
          <w:i/>
          <w:spacing w:val="-10"/>
          <w:sz w:val="28"/>
        </w:rPr>
        <w:t> </w:t>
      </w:r>
      <w:r>
        <w:rPr>
          <w:i/>
          <w:sz w:val="28"/>
        </w:rPr>
        <w:t>U.S.</w:t>
      </w:r>
      <w:r>
        <w:rPr>
          <w:i/>
          <w:spacing w:val="-9"/>
          <w:sz w:val="28"/>
        </w:rPr>
        <w:t> </w:t>
      </w:r>
      <w:r>
        <w:rPr>
          <w:i/>
          <w:sz w:val="28"/>
        </w:rPr>
        <w:t>Surgeon</w:t>
      </w:r>
      <w:r>
        <w:rPr>
          <w:i/>
          <w:sz w:val="28"/>
        </w:rPr>
        <w:t> General’s Advisory</w:t>
      </w:r>
      <w:r>
        <w:rPr>
          <w:sz w:val="28"/>
        </w:rPr>
        <w:t>. 2021.</w:t>
      </w:r>
      <w:r>
        <w:rPr>
          <w:spacing w:val="-4"/>
          <w:sz w:val="28"/>
        </w:rPr>
        <w:t> </w:t>
      </w:r>
      <w:r>
        <w:rPr>
          <w:sz w:val="28"/>
        </w:rPr>
        <w:t>Accessed February 14, 2022. https:// </w:t>
      </w:r>
      <w:hyperlink r:id="rId102">
        <w:r>
          <w:rPr>
            <w:spacing w:val="-2"/>
            <w:sz w:val="28"/>
          </w:rPr>
          <w:t>www.hhs.gov/sites/default/files/surgeo</w:t>
        </w:r>
      </w:hyperlink>
      <w:r>
        <w:rPr>
          <w:spacing w:val="-2"/>
          <w:sz w:val="28"/>
        </w:rPr>
        <w:t> n-general-youth-mental-health- advisory.pdf</w:t>
      </w:r>
    </w:p>
    <w:p>
      <w:pPr>
        <w:pStyle w:val="BodyText"/>
        <w:spacing w:before="1"/>
        <w:rPr>
          <w:sz w:val="27"/>
        </w:rPr>
      </w:pPr>
    </w:p>
    <w:p>
      <w:pPr>
        <w:pStyle w:val="BodyText"/>
        <w:spacing w:before="1"/>
        <w:ind w:left="640" w:right="697" w:hanging="360"/>
      </w:pPr>
      <w:r>
        <w:rPr/>
        <w:t>The</w:t>
      </w:r>
      <w:r>
        <w:rPr>
          <w:spacing w:val="-11"/>
        </w:rPr>
        <w:t> </w:t>
      </w:r>
      <w:r>
        <w:rPr/>
        <w:t>White</w:t>
      </w:r>
      <w:r>
        <w:rPr>
          <w:spacing w:val="-5"/>
        </w:rPr>
        <w:t> </w:t>
      </w:r>
      <w:r>
        <w:rPr/>
        <w:t>House.</w:t>
      </w:r>
      <w:r>
        <w:rPr>
          <w:spacing w:val="-4"/>
        </w:rPr>
        <w:t> </w:t>
      </w:r>
      <w:r>
        <w:rPr/>
        <w:t>Executive</w:t>
      </w:r>
      <w:r>
        <w:rPr>
          <w:spacing w:val="-5"/>
        </w:rPr>
        <w:t> </w:t>
      </w:r>
      <w:r>
        <w:rPr/>
        <w:t>Order</w:t>
      </w:r>
      <w:r>
        <w:rPr>
          <w:spacing w:val="-4"/>
        </w:rPr>
        <w:t> </w:t>
      </w:r>
      <w:r>
        <w:rPr/>
        <w:t>On</w:t>
      </w:r>
      <w:r>
        <w:rPr>
          <w:spacing w:val="-18"/>
        </w:rPr>
        <w:t> </w:t>
      </w:r>
      <w:r>
        <w:rPr/>
        <w:t>Advancing</w:t>
      </w:r>
      <w:r>
        <w:rPr>
          <w:spacing w:val="-4"/>
        </w:rPr>
        <w:t> </w:t>
      </w:r>
      <w:r>
        <w:rPr/>
        <w:t>Racial</w:t>
      </w:r>
      <w:r>
        <w:rPr>
          <w:spacing w:val="-4"/>
        </w:rPr>
        <w:t> </w:t>
      </w:r>
      <w:r>
        <w:rPr/>
        <w:t>Equity</w:t>
      </w:r>
      <w:r>
        <w:rPr>
          <w:spacing w:val="-4"/>
        </w:rPr>
        <w:t> </w:t>
      </w:r>
      <w:r>
        <w:rPr/>
        <w:t>and</w:t>
      </w:r>
      <w:r>
        <w:rPr>
          <w:spacing w:val="-4"/>
        </w:rPr>
        <w:t> </w:t>
      </w:r>
      <w:r>
        <w:rPr/>
        <w:t>Support for Underserved Communities Through the Federal Government. https:// </w:t>
      </w:r>
      <w:hyperlink r:id="rId80">
        <w:r>
          <w:rPr>
            <w:spacing w:val="-2"/>
          </w:rPr>
          <w:t>www.whitehouse.gov/briefingroom/presidentialactions/2021/01/20/</w:t>
        </w:r>
      </w:hyperlink>
      <w:r>
        <w:rPr>
          <w:spacing w:val="-2"/>
        </w:rPr>
        <w:t> executive-orderadvancing-racial-equity-and-support-forunderserved- communities-through-thefederal-government/</w:t>
      </w:r>
    </w:p>
    <w:p>
      <w:pPr>
        <w:pStyle w:val="BodyText"/>
        <w:spacing w:before="5"/>
        <w:rPr>
          <w:sz w:val="25"/>
        </w:rPr>
      </w:pPr>
    </w:p>
    <w:p>
      <w:pPr>
        <w:pStyle w:val="BodyText"/>
        <w:ind w:left="640" w:right="502" w:hanging="360"/>
      </w:pPr>
      <w:r>
        <w:rPr/>
        <w:t>U.S. Department of Health and Human Service. Nondiscrimination in Health and Health Education Programs or</w:t>
      </w:r>
      <w:r>
        <w:rPr>
          <w:spacing w:val="-5"/>
        </w:rPr>
        <w:t> </w:t>
      </w:r>
      <w:r>
        <w:rPr/>
        <w:t>Activities, Delegation of</w:t>
      </w:r>
      <w:r>
        <w:rPr>
          <w:spacing w:val="-5"/>
        </w:rPr>
        <w:t> </w:t>
      </w:r>
      <w:r>
        <w:rPr/>
        <w:t>Authority.</w:t>
      </w:r>
      <w:r>
        <w:rPr>
          <w:spacing w:val="-5"/>
        </w:rPr>
        <w:t> </w:t>
      </w:r>
      <w:r>
        <w:rPr/>
        <w:t>A Rule by the Health and Human Services Department, the Centers for Medicare</w:t>
      </w:r>
      <w:r>
        <w:rPr>
          <w:spacing w:val="-5"/>
        </w:rPr>
        <w:t> </w:t>
      </w:r>
      <w:r>
        <w:rPr/>
        <w:t>&amp;</w:t>
      </w:r>
      <w:r>
        <w:rPr>
          <w:spacing w:val="-4"/>
        </w:rPr>
        <w:t> </w:t>
      </w:r>
      <w:r>
        <w:rPr/>
        <w:t>Medicaid</w:t>
      </w:r>
      <w:r>
        <w:rPr>
          <w:spacing w:val="-4"/>
        </w:rPr>
        <w:t> </w:t>
      </w:r>
      <w:r>
        <w:rPr/>
        <w:t>Services,</w:t>
      </w:r>
      <w:r>
        <w:rPr>
          <w:spacing w:val="-4"/>
        </w:rPr>
        <w:t> </w:t>
      </w:r>
      <w:r>
        <w:rPr/>
        <w:t>and</w:t>
      </w:r>
      <w:r>
        <w:rPr>
          <w:spacing w:val="-4"/>
        </w:rPr>
        <w:t> </w:t>
      </w:r>
      <w:r>
        <w:rPr/>
        <w:t>the</w:t>
      </w:r>
      <w:r>
        <w:rPr>
          <w:spacing w:val="-5"/>
        </w:rPr>
        <w:t> </w:t>
      </w:r>
      <w:r>
        <w:rPr/>
        <w:t>Office</w:t>
      </w:r>
      <w:r>
        <w:rPr>
          <w:spacing w:val="-5"/>
        </w:rPr>
        <w:t> </w:t>
      </w:r>
      <w:r>
        <w:rPr/>
        <w:t>for</w:t>
      </w:r>
      <w:r>
        <w:rPr>
          <w:spacing w:val="-4"/>
        </w:rPr>
        <w:t> </w:t>
      </w:r>
      <w:r>
        <w:rPr/>
        <w:t>Civil</w:t>
      </w:r>
      <w:r>
        <w:rPr>
          <w:spacing w:val="-4"/>
        </w:rPr>
        <w:t> </w:t>
      </w:r>
      <w:r>
        <w:rPr/>
        <w:t>Rights.</w:t>
      </w:r>
      <w:r>
        <w:rPr>
          <w:spacing w:val="-4"/>
        </w:rPr>
        <w:t> </w:t>
      </w:r>
      <w:r>
        <w:rPr/>
        <w:t>Publication date: June 19, 2020. Effective date:</w:t>
      </w:r>
      <w:r>
        <w:rPr>
          <w:spacing w:val="-8"/>
        </w:rPr>
        <w:t> </w:t>
      </w:r>
      <w:r>
        <w:rPr/>
        <w:t>August 18, 2020. 42 USC 18116; 45 CFR Part 92. https://</w:t>
      </w:r>
      <w:hyperlink r:id="rId103">
        <w:r>
          <w:rPr/>
          <w:t>www.federalregister.gov/documents/2</w:t>
        </w:r>
      </w:hyperlink>
    </w:p>
    <w:p>
      <w:pPr>
        <w:pStyle w:val="BodyText"/>
        <w:spacing w:line="237" w:lineRule="auto"/>
        <w:ind w:left="640" w:right="800"/>
      </w:pPr>
      <w:r>
        <w:rPr>
          <w:spacing w:val="-2"/>
        </w:rPr>
        <w:t>020/06/19/2020-11758/nondiscrimination-inhealth-and-health-education- programs-oractivities-delegation-of-authority</w:t>
      </w:r>
    </w:p>
    <w:p>
      <w:pPr>
        <w:pStyle w:val="BodyText"/>
        <w:spacing w:before="6"/>
        <w:rPr>
          <w:sz w:val="25"/>
        </w:rPr>
      </w:pPr>
    </w:p>
    <w:p>
      <w:pPr>
        <w:pStyle w:val="BodyText"/>
        <w:ind w:left="640" w:right="751" w:hanging="360"/>
      </w:pPr>
      <w:r>
        <w:rPr>
          <w:color w:val="2C2C2C"/>
        </w:rPr>
        <w:t>U.S. Department of Health and Human Services</w:t>
      </w:r>
      <w:r>
        <w:rPr>
          <w:i/>
          <w:color w:val="2C2C2C"/>
        </w:rPr>
        <w:t>. </w:t>
      </w:r>
      <w:r>
        <w:rPr/>
        <w:t>LGBT Health and Well- being: U.S. Department of Health and Human Services Recommended Actions</w:t>
      </w:r>
      <w:r>
        <w:rPr>
          <w:spacing w:val="-8"/>
        </w:rPr>
        <w:t> </w:t>
      </w:r>
      <w:r>
        <w:rPr/>
        <w:t>to</w:t>
      </w:r>
      <w:r>
        <w:rPr>
          <w:spacing w:val="-8"/>
        </w:rPr>
        <w:t> </w:t>
      </w:r>
      <w:r>
        <w:rPr/>
        <w:t>Improve</w:t>
      </w:r>
      <w:r>
        <w:rPr>
          <w:spacing w:val="-9"/>
        </w:rPr>
        <w:t> </w:t>
      </w:r>
      <w:r>
        <w:rPr/>
        <w:t>the</w:t>
      </w:r>
      <w:r>
        <w:rPr>
          <w:spacing w:val="-9"/>
        </w:rPr>
        <w:t> </w:t>
      </w:r>
      <w:r>
        <w:rPr/>
        <w:t>Health</w:t>
      </w:r>
      <w:r>
        <w:rPr>
          <w:spacing w:val="-8"/>
        </w:rPr>
        <w:t> </w:t>
      </w:r>
      <w:r>
        <w:rPr/>
        <w:t>and</w:t>
      </w:r>
      <w:r>
        <w:rPr>
          <w:spacing w:val="-13"/>
        </w:rPr>
        <w:t> </w:t>
      </w:r>
      <w:r>
        <w:rPr/>
        <w:t>Well-Being</w:t>
      </w:r>
      <w:r>
        <w:rPr>
          <w:spacing w:val="-8"/>
        </w:rPr>
        <w:t> </w:t>
      </w:r>
      <w:r>
        <w:rPr/>
        <w:t>of</w:t>
      </w:r>
      <w:r>
        <w:rPr>
          <w:spacing w:val="-8"/>
        </w:rPr>
        <w:t> </w:t>
      </w:r>
      <w:r>
        <w:rPr/>
        <w:t>Lesbian,</w:t>
      </w:r>
      <w:r>
        <w:rPr>
          <w:spacing w:val="-8"/>
        </w:rPr>
        <w:t> </w:t>
      </w:r>
      <w:r>
        <w:rPr/>
        <w:t>Gay,</w:t>
      </w:r>
      <w:r>
        <w:rPr>
          <w:spacing w:val="-8"/>
        </w:rPr>
        <w:t> </w:t>
      </w:r>
      <w:r>
        <w:rPr/>
        <w:t>Bisexual, and</w:t>
      </w:r>
      <w:r>
        <w:rPr>
          <w:spacing w:val="-18"/>
        </w:rPr>
        <w:t> </w:t>
      </w:r>
      <w:r>
        <w:rPr/>
        <w:t>Transgender</w:t>
      </w:r>
      <w:r>
        <w:rPr>
          <w:spacing w:val="-14"/>
        </w:rPr>
        <w:t> </w:t>
      </w:r>
      <w:r>
        <w:rPr/>
        <w:t>Communities.</w:t>
      </w:r>
      <w:r>
        <w:rPr>
          <w:spacing w:val="-15"/>
        </w:rPr>
        <w:t> </w:t>
      </w:r>
      <w:r>
        <w:rPr>
          <w:color w:val="0F0F0F"/>
        </w:rPr>
        <w:t>https://</w:t>
      </w:r>
      <w:hyperlink r:id="rId104">
        <w:r>
          <w:rPr>
            <w:color w:val="0F0F0F"/>
          </w:rPr>
          <w:t>www.hhs.gov/programs/topicsites/</w:t>
        </w:r>
      </w:hyperlink>
      <w:r>
        <w:rPr>
          <w:color w:val="0F0F0F"/>
        </w:rPr>
        <w:t> lgbtqi/enhancedresources/reports/health-objectives2011/index.html</w:t>
      </w:r>
      <w:r>
        <w:rPr>
          <w:color w:val="2C2C2C"/>
        </w:rPr>
        <w:t>. </w:t>
      </w:r>
      <w:r>
        <w:rPr/>
        <w:t>Last updated January 2012.</w:t>
      </w:r>
    </w:p>
    <w:p>
      <w:pPr>
        <w:pStyle w:val="BodyText"/>
        <w:spacing w:before="4"/>
        <w:rPr>
          <w:sz w:val="25"/>
        </w:rPr>
      </w:pPr>
    </w:p>
    <w:p>
      <w:pPr>
        <w:pStyle w:val="BodyText"/>
        <w:ind w:left="640" w:right="527" w:hanging="360"/>
      </w:pPr>
      <w:r>
        <w:rPr/>
        <w:t>U.S. Department of Health and Human Services. Nondiscrimination in health and health education programs or activities, delegation of authority: Final rule.</w:t>
      </w:r>
      <w:r>
        <w:rPr>
          <w:spacing w:val="-14"/>
        </w:rPr>
        <w:t> </w:t>
      </w:r>
      <w:r>
        <w:rPr/>
        <w:t>Published</w:t>
      </w:r>
      <w:r>
        <w:rPr>
          <w:spacing w:val="-14"/>
        </w:rPr>
        <w:t> </w:t>
      </w:r>
      <w:r>
        <w:rPr/>
        <w:t>June</w:t>
      </w:r>
      <w:r>
        <w:rPr>
          <w:spacing w:val="-15"/>
        </w:rPr>
        <w:t> </w:t>
      </w:r>
      <w:r>
        <w:rPr/>
        <w:t>19,</w:t>
      </w:r>
      <w:r>
        <w:rPr>
          <w:spacing w:val="-14"/>
        </w:rPr>
        <w:t> </w:t>
      </w:r>
      <w:r>
        <w:rPr/>
        <w:t>2020.</w:t>
      </w:r>
      <w:r>
        <w:rPr>
          <w:spacing w:val="-14"/>
        </w:rPr>
        <w:t> </w:t>
      </w:r>
      <w:r>
        <w:rPr/>
        <w:t>https://</w:t>
      </w:r>
      <w:hyperlink r:id="rId103">
        <w:r>
          <w:rPr/>
          <w:t>www.federalregister.gov/documents/2</w:t>
        </w:r>
      </w:hyperlink>
      <w:r>
        <w:rPr/>
        <w:t> </w:t>
      </w:r>
      <w:r>
        <w:rPr>
          <w:spacing w:val="-2"/>
        </w:rPr>
        <w:t>020/06/19/2020-11758/nondiscrimination-inhealth-and-health-education- programs-oractivities-delegation-of-authority</w:t>
      </w:r>
    </w:p>
    <w:p>
      <w:pPr>
        <w:pStyle w:val="BodyText"/>
        <w:spacing w:before="6"/>
        <w:rPr>
          <w:sz w:val="25"/>
        </w:rPr>
      </w:pPr>
    </w:p>
    <w:p>
      <w:pPr>
        <w:pStyle w:val="BodyText"/>
        <w:ind w:left="640" w:right="502" w:hanging="360"/>
      </w:pPr>
      <w:r>
        <w:rPr/>
        <w:t>U.S.</w:t>
      </w:r>
      <w:r>
        <w:rPr>
          <w:spacing w:val="-5"/>
        </w:rPr>
        <w:t> </w:t>
      </w:r>
      <w:r>
        <w:rPr/>
        <w:t>Department</w:t>
      </w:r>
      <w:r>
        <w:rPr>
          <w:spacing w:val="-5"/>
        </w:rPr>
        <w:t> </w:t>
      </w:r>
      <w:r>
        <w:rPr/>
        <w:t>of</w:t>
      </w:r>
      <w:r>
        <w:rPr>
          <w:spacing w:val="-5"/>
        </w:rPr>
        <w:t> </w:t>
      </w:r>
      <w:r>
        <w:rPr/>
        <w:t>Health</w:t>
      </w:r>
      <w:r>
        <w:rPr>
          <w:spacing w:val="-5"/>
        </w:rPr>
        <w:t> </w:t>
      </w:r>
      <w:r>
        <w:rPr/>
        <w:t>and</w:t>
      </w:r>
      <w:r>
        <w:rPr>
          <w:spacing w:val="-5"/>
        </w:rPr>
        <w:t> </w:t>
      </w:r>
      <w:r>
        <w:rPr/>
        <w:t>Human</w:t>
      </w:r>
      <w:r>
        <w:rPr>
          <w:spacing w:val="-5"/>
        </w:rPr>
        <w:t> </w:t>
      </w:r>
      <w:r>
        <w:rPr/>
        <w:t>Services.</w:t>
      </w:r>
      <w:r>
        <w:rPr>
          <w:spacing w:val="-5"/>
        </w:rPr>
        <w:t> </w:t>
      </w:r>
      <w:r>
        <w:rPr/>
        <w:t>Notification</w:t>
      </w:r>
      <w:r>
        <w:rPr>
          <w:spacing w:val="-5"/>
        </w:rPr>
        <w:t> </w:t>
      </w:r>
      <w:r>
        <w:rPr/>
        <w:t>of</w:t>
      </w:r>
      <w:r>
        <w:rPr>
          <w:spacing w:val="-5"/>
        </w:rPr>
        <w:t> </w:t>
      </w:r>
      <w:r>
        <w:rPr/>
        <w:t>Interpretation and Enforcement of Section 1557 of the</w:t>
      </w:r>
      <w:r>
        <w:rPr>
          <w:spacing w:val="-8"/>
        </w:rPr>
        <w:t> </w:t>
      </w:r>
      <w:r>
        <w:rPr/>
        <w:t>Affordable Care</w:t>
      </w:r>
      <w:r>
        <w:rPr>
          <w:spacing w:val="-8"/>
        </w:rPr>
        <w:t> </w:t>
      </w:r>
      <w:r>
        <w:rPr/>
        <w:t>Act and Title IX</w:t>
      </w:r>
    </w:p>
    <w:p>
      <w:pPr>
        <w:spacing w:after="0"/>
        <w:sectPr>
          <w:pgSz w:w="12240" w:h="15840"/>
          <w:pgMar w:header="0" w:footer="783" w:top="1260" w:bottom="980" w:left="1400" w:right="1180"/>
        </w:sectPr>
      </w:pPr>
    </w:p>
    <w:p>
      <w:pPr>
        <w:pStyle w:val="BodyText"/>
        <w:spacing w:before="66"/>
        <w:ind w:left="640" w:right="554"/>
      </w:pPr>
      <w:r>
        <w:rPr/>
        <w:t>of</w:t>
      </w:r>
      <w:r>
        <w:rPr>
          <w:spacing w:val="-5"/>
        </w:rPr>
        <w:t> </w:t>
      </w:r>
      <w:r>
        <w:rPr/>
        <w:t>the</w:t>
      </w:r>
      <w:r>
        <w:rPr>
          <w:spacing w:val="-5"/>
        </w:rPr>
        <w:t> </w:t>
      </w:r>
      <w:r>
        <w:rPr/>
        <w:t>Education</w:t>
      </w:r>
      <w:r>
        <w:rPr>
          <w:spacing w:val="-18"/>
        </w:rPr>
        <w:t> </w:t>
      </w:r>
      <w:r>
        <w:rPr/>
        <w:t>Amendments</w:t>
      </w:r>
      <w:r>
        <w:rPr>
          <w:spacing w:val="-4"/>
        </w:rPr>
        <w:t> </w:t>
      </w:r>
      <w:r>
        <w:rPr/>
        <w:t>of</w:t>
      </w:r>
      <w:r>
        <w:rPr>
          <w:spacing w:val="-4"/>
        </w:rPr>
        <w:t> </w:t>
      </w:r>
      <w:r>
        <w:rPr/>
        <w:t>1972.</w:t>
      </w:r>
      <w:r>
        <w:rPr>
          <w:spacing w:val="-4"/>
        </w:rPr>
        <w:t> </w:t>
      </w:r>
      <w:r>
        <w:rPr/>
        <w:t>Rule.</w:t>
      </w:r>
      <w:r>
        <w:rPr>
          <w:spacing w:val="-4"/>
        </w:rPr>
        <w:t> </w:t>
      </w:r>
      <w:r>
        <w:rPr/>
        <w:t>Effective</w:t>
      </w:r>
      <w:r>
        <w:rPr>
          <w:spacing w:val="-5"/>
        </w:rPr>
        <w:t> </w:t>
      </w:r>
      <w:r>
        <w:rPr/>
        <w:t>Date</w:t>
      </w:r>
      <w:r>
        <w:rPr>
          <w:spacing w:val="-5"/>
        </w:rPr>
        <w:t> </w:t>
      </w:r>
      <w:r>
        <w:rPr/>
        <w:t>May</w:t>
      </w:r>
      <w:r>
        <w:rPr>
          <w:spacing w:val="-4"/>
        </w:rPr>
        <w:t> </w:t>
      </w:r>
      <w:r>
        <w:rPr/>
        <w:t>10,</w:t>
      </w:r>
      <w:r>
        <w:rPr>
          <w:spacing w:val="-4"/>
        </w:rPr>
        <w:t> </w:t>
      </w:r>
      <w:r>
        <w:rPr/>
        <w:t>2021. Issued May 25, 2021. https://</w:t>
      </w:r>
      <w:hyperlink r:id="rId103">
        <w:r>
          <w:rPr/>
          <w:t>www.federalregister.gov/documents/2</w:t>
        </w:r>
      </w:hyperlink>
      <w:r>
        <w:rPr/>
        <w:t> </w:t>
      </w:r>
      <w:r>
        <w:rPr>
          <w:spacing w:val="-2"/>
        </w:rPr>
        <w:t>021/05/25/2021-10477/notification-ofinterpretation-and-enforcement-of- </w:t>
      </w:r>
      <w:r>
        <w:rPr/>
        <w:t>section1557-of-the-affordable-care-act-and-title. Accessed August 14, </w:t>
      </w:r>
      <w:r>
        <w:rPr>
          <w:spacing w:val="-2"/>
        </w:rPr>
        <w:t>2022.</w:t>
      </w:r>
    </w:p>
    <w:p>
      <w:pPr>
        <w:pStyle w:val="BodyText"/>
        <w:spacing w:before="5"/>
        <w:rPr>
          <w:sz w:val="25"/>
        </w:rPr>
      </w:pPr>
    </w:p>
    <w:p>
      <w:pPr>
        <w:pStyle w:val="BodyText"/>
        <w:ind w:left="640" w:right="614" w:hanging="360"/>
      </w:pPr>
      <w:r>
        <w:rPr/>
        <w:t>U.S.</w:t>
      </w:r>
      <w:r>
        <w:rPr>
          <w:spacing w:val="-4"/>
        </w:rPr>
        <w:t> </w:t>
      </w:r>
      <w:r>
        <w:rPr/>
        <w:t>Department</w:t>
      </w:r>
      <w:r>
        <w:rPr>
          <w:spacing w:val="-4"/>
        </w:rPr>
        <w:t> </w:t>
      </w:r>
      <w:r>
        <w:rPr/>
        <w:t>of</w:t>
      </w:r>
      <w:r>
        <w:rPr>
          <w:spacing w:val="-4"/>
        </w:rPr>
        <w:t> </w:t>
      </w:r>
      <w:r>
        <w:rPr/>
        <w:t>Health</w:t>
      </w:r>
      <w:r>
        <w:rPr>
          <w:spacing w:val="-4"/>
        </w:rPr>
        <w:t> </w:t>
      </w:r>
      <w:r>
        <w:rPr/>
        <w:t>and</w:t>
      </w:r>
      <w:r>
        <w:rPr>
          <w:spacing w:val="-4"/>
        </w:rPr>
        <w:t> </w:t>
      </w:r>
      <w:r>
        <w:rPr/>
        <w:t>Human</w:t>
      </w:r>
      <w:r>
        <w:rPr>
          <w:spacing w:val="-4"/>
        </w:rPr>
        <w:t> </w:t>
      </w:r>
      <w:r>
        <w:rPr/>
        <w:t>Services.</w:t>
      </w:r>
      <w:r>
        <w:rPr>
          <w:spacing w:val="-4"/>
        </w:rPr>
        <w:t> </w:t>
      </w:r>
      <w:r>
        <w:rPr/>
        <w:t>Statement</w:t>
      </w:r>
      <w:r>
        <w:rPr>
          <w:spacing w:val="-4"/>
        </w:rPr>
        <w:t> </w:t>
      </w:r>
      <w:r>
        <w:rPr/>
        <w:t>by</w:t>
      </w:r>
      <w:r>
        <w:rPr>
          <w:spacing w:val="-4"/>
        </w:rPr>
        <w:t> </w:t>
      </w:r>
      <w:r>
        <w:rPr/>
        <w:t>HHS</w:t>
      </w:r>
      <w:r>
        <w:rPr>
          <w:spacing w:val="-4"/>
        </w:rPr>
        <w:t> </w:t>
      </w:r>
      <w:r>
        <w:rPr/>
        <w:t>Secretary Xavier Becerra Reaffirming HHS Support and Protection for LGBTQ+ Children and Youth. March 2, 2022. https://</w:t>
      </w:r>
      <w:hyperlink r:id="rId105">
        <w:r>
          <w:rPr/>
          <w:t>www.hhs.gov/about/news/</w:t>
        </w:r>
      </w:hyperlink>
      <w:r>
        <w:rPr/>
        <w:t> 2022/03/02/s tatement-hhs-secretary-xavier-becerrareaffirming-hhs- </w:t>
      </w:r>
      <w:r>
        <w:rPr>
          <w:spacing w:val="-2"/>
        </w:rPr>
        <w:t>support-and-protection-forlgbtqi-children-and-youth.html</w:t>
      </w:r>
    </w:p>
    <w:p>
      <w:pPr>
        <w:pStyle w:val="BodyText"/>
        <w:spacing w:before="6"/>
        <w:rPr>
          <w:sz w:val="25"/>
        </w:rPr>
      </w:pPr>
    </w:p>
    <w:p>
      <w:pPr>
        <w:pStyle w:val="BodyText"/>
        <w:ind w:left="640" w:right="566" w:hanging="360"/>
      </w:pPr>
      <w:r>
        <w:rPr/>
        <w:t>U.S.</w:t>
      </w:r>
      <w:r>
        <w:rPr>
          <w:spacing w:val="-2"/>
        </w:rPr>
        <w:t> </w:t>
      </w:r>
      <w:r>
        <w:rPr/>
        <w:t>Department</w:t>
      </w:r>
      <w:r>
        <w:rPr>
          <w:spacing w:val="-2"/>
        </w:rPr>
        <w:t> </w:t>
      </w:r>
      <w:r>
        <w:rPr/>
        <w:t>of</w:t>
      </w:r>
      <w:r>
        <w:rPr>
          <w:spacing w:val="-2"/>
        </w:rPr>
        <w:t> </w:t>
      </w:r>
      <w:r>
        <w:rPr/>
        <w:t>Health</w:t>
      </w:r>
      <w:r>
        <w:rPr>
          <w:spacing w:val="-2"/>
        </w:rPr>
        <w:t> </w:t>
      </w:r>
      <w:r>
        <w:rPr/>
        <w:t>and</w:t>
      </w:r>
      <w:r>
        <w:rPr>
          <w:spacing w:val="-2"/>
        </w:rPr>
        <w:t> </w:t>
      </w:r>
      <w:r>
        <w:rPr/>
        <w:t>Human</w:t>
      </w:r>
      <w:r>
        <w:rPr>
          <w:spacing w:val="-2"/>
        </w:rPr>
        <w:t> </w:t>
      </w:r>
      <w:r>
        <w:rPr/>
        <w:t>Services.</w:t>
      </w:r>
      <w:r>
        <w:rPr>
          <w:spacing w:val="-2"/>
        </w:rPr>
        <w:t> </w:t>
      </w:r>
      <w:r>
        <w:rPr/>
        <w:t>Children’s</w:t>
      </w:r>
      <w:r>
        <w:rPr>
          <w:spacing w:val="-2"/>
        </w:rPr>
        <w:t> </w:t>
      </w:r>
      <w:r>
        <w:rPr/>
        <w:t>Bureau,</w:t>
      </w:r>
      <w:r>
        <w:rPr>
          <w:spacing w:val="-2"/>
        </w:rPr>
        <w:t> </w:t>
      </w:r>
      <w:r>
        <w:rPr/>
        <w:t>an</w:t>
      </w:r>
      <w:r>
        <w:rPr>
          <w:spacing w:val="-2"/>
        </w:rPr>
        <w:t> </w:t>
      </w:r>
      <w:r>
        <w:rPr/>
        <w:t>Office of</w:t>
      </w:r>
      <w:r>
        <w:rPr>
          <w:spacing w:val="-11"/>
        </w:rPr>
        <w:t> </w:t>
      </w:r>
      <w:r>
        <w:rPr/>
        <w:t>the</w:t>
      </w:r>
      <w:r>
        <w:rPr>
          <w:spacing w:val="-18"/>
        </w:rPr>
        <w:t> </w:t>
      </w:r>
      <w:r>
        <w:rPr/>
        <w:t>Administration</w:t>
      </w:r>
      <w:r>
        <w:rPr>
          <w:spacing w:val="-6"/>
        </w:rPr>
        <w:t> </w:t>
      </w:r>
      <w:r>
        <w:rPr/>
        <w:t>for</w:t>
      </w:r>
      <w:r>
        <w:rPr>
          <w:spacing w:val="-7"/>
        </w:rPr>
        <w:t> </w:t>
      </w:r>
      <w:r>
        <w:rPr/>
        <w:t>Children</w:t>
      </w:r>
      <w:r>
        <w:rPr>
          <w:spacing w:val="-7"/>
        </w:rPr>
        <w:t> </w:t>
      </w:r>
      <w:r>
        <w:rPr/>
        <w:t>&amp;</w:t>
      </w:r>
      <w:r>
        <w:rPr>
          <w:spacing w:val="-7"/>
        </w:rPr>
        <w:t> </w:t>
      </w:r>
      <w:r>
        <w:rPr/>
        <w:t>Families.</w:t>
      </w:r>
      <w:r>
        <w:rPr>
          <w:spacing w:val="-7"/>
        </w:rPr>
        <w:t> </w:t>
      </w:r>
      <w:r>
        <w:rPr/>
        <w:t>Guidance</w:t>
      </w:r>
      <w:r>
        <w:rPr>
          <w:spacing w:val="-8"/>
        </w:rPr>
        <w:t> </w:t>
      </w:r>
      <w:r>
        <w:rPr/>
        <w:t>for</w:t>
      </w:r>
      <w:r>
        <w:rPr>
          <w:spacing w:val="-12"/>
        </w:rPr>
        <w:t> </w:t>
      </w:r>
      <w:r>
        <w:rPr/>
        <w:t>Title</w:t>
      </w:r>
      <w:r>
        <w:rPr>
          <w:spacing w:val="-8"/>
        </w:rPr>
        <w:t> </w:t>
      </w:r>
      <w:r>
        <w:rPr/>
        <w:t>IV-B</w:t>
      </w:r>
      <w:r>
        <w:rPr>
          <w:spacing w:val="-7"/>
        </w:rPr>
        <w:t> </w:t>
      </w:r>
      <w:r>
        <w:rPr/>
        <w:t>and IV-E</w:t>
      </w:r>
      <w:r>
        <w:rPr>
          <w:spacing w:val="-7"/>
        </w:rPr>
        <w:t> </w:t>
      </w:r>
      <w:r>
        <w:rPr/>
        <w:t>Agencies When Serving LGBTQI+ Children and</w:t>
      </w:r>
      <w:r>
        <w:rPr>
          <w:spacing w:val="-1"/>
        </w:rPr>
        <w:t> </w:t>
      </w:r>
      <w:r>
        <w:rPr/>
        <w:t>Youth. IM-22-01. March 2, 2022. https://</w:t>
      </w:r>
      <w:hyperlink r:id="rId106">
        <w:r>
          <w:rPr/>
          <w:t>www.acf.hhs.gov/cb/policyguidance/im-22-01</w:t>
        </w:r>
      </w:hyperlink>
    </w:p>
    <w:p>
      <w:pPr>
        <w:pStyle w:val="BodyText"/>
        <w:spacing w:before="8"/>
        <w:rPr>
          <w:sz w:val="25"/>
        </w:rPr>
      </w:pPr>
    </w:p>
    <w:p>
      <w:pPr>
        <w:pStyle w:val="BodyText"/>
        <w:ind w:left="640" w:right="696" w:hanging="360"/>
      </w:pPr>
      <w:r>
        <w:rPr/>
        <w:t>U.S.</w:t>
      </w:r>
      <w:r>
        <w:rPr>
          <w:spacing w:val="-4"/>
        </w:rPr>
        <w:t> </w:t>
      </w:r>
      <w:r>
        <w:rPr/>
        <w:t>Department</w:t>
      </w:r>
      <w:r>
        <w:rPr>
          <w:spacing w:val="-4"/>
        </w:rPr>
        <w:t> </w:t>
      </w:r>
      <w:r>
        <w:rPr/>
        <w:t>of</w:t>
      </w:r>
      <w:r>
        <w:rPr>
          <w:spacing w:val="-4"/>
        </w:rPr>
        <w:t> </w:t>
      </w:r>
      <w:r>
        <w:rPr/>
        <w:t>Health</w:t>
      </w:r>
      <w:r>
        <w:rPr>
          <w:spacing w:val="-4"/>
        </w:rPr>
        <w:t> </w:t>
      </w:r>
      <w:r>
        <w:rPr/>
        <w:t>and</w:t>
      </w:r>
      <w:r>
        <w:rPr>
          <w:spacing w:val="-4"/>
        </w:rPr>
        <w:t> </w:t>
      </w:r>
      <w:r>
        <w:rPr/>
        <w:t>Human</w:t>
      </w:r>
      <w:r>
        <w:rPr>
          <w:spacing w:val="-4"/>
        </w:rPr>
        <w:t> </w:t>
      </w:r>
      <w:r>
        <w:rPr/>
        <w:t>Services.</w:t>
      </w:r>
      <w:r>
        <w:rPr>
          <w:spacing w:val="-4"/>
        </w:rPr>
        <w:t> </w:t>
      </w:r>
      <w:r>
        <w:rPr/>
        <w:t>Office</w:t>
      </w:r>
      <w:r>
        <w:rPr>
          <w:spacing w:val="-5"/>
        </w:rPr>
        <w:t> </w:t>
      </w:r>
      <w:r>
        <w:rPr/>
        <w:t>of</w:t>
      </w:r>
      <w:r>
        <w:rPr>
          <w:spacing w:val="-4"/>
        </w:rPr>
        <w:t> </w:t>
      </w:r>
      <w:r>
        <w:rPr/>
        <w:t>Civil</w:t>
      </w:r>
      <w:r>
        <w:rPr>
          <w:spacing w:val="-4"/>
        </w:rPr>
        <w:t> </w:t>
      </w:r>
      <w:r>
        <w:rPr/>
        <w:t>Rights.</w:t>
      </w:r>
      <w:r>
        <w:rPr>
          <w:spacing w:val="-4"/>
        </w:rPr>
        <w:t> </w:t>
      </w:r>
      <w:r>
        <w:rPr/>
        <w:t>HHS Notice</w:t>
      </w:r>
      <w:r>
        <w:rPr>
          <w:spacing w:val="-2"/>
        </w:rPr>
        <w:t> </w:t>
      </w:r>
      <w:r>
        <w:rPr/>
        <w:t>and</w:t>
      </w:r>
      <w:r>
        <w:rPr>
          <w:spacing w:val="-1"/>
        </w:rPr>
        <w:t> </w:t>
      </w:r>
      <w:r>
        <w:rPr/>
        <w:t>Guidance</w:t>
      </w:r>
      <w:r>
        <w:rPr>
          <w:spacing w:val="-2"/>
        </w:rPr>
        <w:t> </w:t>
      </w:r>
      <w:r>
        <w:rPr/>
        <w:t>on</w:t>
      </w:r>
      <w:r>
        <w:rPr>
          <w:spacing w:val="-1"/>
        </w:rPr>
        <w:t> </w:t>
      </w:r>
      <w:r>
        <w:rPr/>
        <w:t>Gender</w:t>
      </w:r>
      <w:r>
        <w:rPr>
          <w:spacing w:val="-17"/>
        </w:rPr>
        <w:t> </w:t>
      </w:r>
      <w:r>
        <w:rPr/>
        <w:t>Affirming</w:t>
      </w:r>
      <w:r>
        <w:rPr>
          <w:spacing w:val="-1"/>
        </w:rPr>
        <w:t> </w:t>
      </w:r>
      <w:r>
        <w:rPr/>
        <w:t>Care,</w:t>
      </w:r>
      <w:r>
        <w:rPr>
          <w:spacing w:val="-1"/>
        </w:rPr>
        <w:t> </w:t>
      </w:r>
      <w:r>
        <w:rPr/>
        <w:t>Civil</w:t>
      </w:r>
      <w:r>
        <w:rPr>
          <w:spacing w:val="-1"/>
        </w:rPr>
        <w:t> </w:t>
      </w:r>
      <w:r>
        <w:rPr/>
        <w:t>Rights,</w:t>
      </w:r>
      <w:r>
        <w:rPr>
          <w:spacing w:val="-1"/>
        </w:rPr>
        <w:t> </w:t>
      </w:r>
      <w:r>
        <w:rPr/>
        <w:t>and</w:t>
      </w:r>
      <w:r>
        <w:rPr>
          <w:spacing w:val="-1"/>
        </w:rPr>
        <w:t> </w:t>
      </w:r>
      <w:r>
        <w:rPr/>
        <w:t>Patient Privacy. March 2, 2022. https://</w:t>
      </w:r>
      <w:hyperlink r:id="rId107">
        <w:r>
          <w:rPr/>
          <w:t>www.hhs.gov/sites/default/files/hhsocr-</w:t>
        </w:r>
      </w:hyperlink>
      <w:r>
        <w:rPr/>
        <w:t> </w:t>
      </w:r>
      <w:r>
        <w:rPr>
          <w:spacing w:val="-2"/>
        </w:rPr>
        <w:t>notice-and-guidance-gender-affirmingcare.pdf</w:t>
      </w:r>
    </w:p>
    <w:p>
      <w:pPr>
        <w:pStyle w:val="BodyText"/>
        <w:spacing w:before="7"/>
        <w:rPr>
          <w:sz w:val="25"/>
        </w:rPr>
      </w:pPr>
    </w:p>
    <w:p>
      <w:pPr>
        <w:pStyle w:val="BodyText"/>
        <w:ind w:left="640" w:right="668" w:hanging="360"/>
      </w:pPr>
      <w:r>
        <w:rPr/>
        <w:t>Movement</w:t>
      </w:r>
      <w:r>
        <w:rPr>
          <w:spacing w:val="-18"/>
        </w:rPr>
        <w:t> </w:t>
      </w:r>
      <w:r>
        <w:rPr/>
        <w:t>Advancement</w:t>
      </w:r>
      <w:r>
        <w:rPr>
          <w:spacing w:val="-10"/>
        </w:rPr>
        <w:t> </w:t>
      </w:r>
      <w:r>
        <w:rPr/>
        <w:t>Project.</w:t>
      </w:r>
      <w:r>
        <w:rPr>
          <w:spacing w:val="-7"/>
        </w:rPr>
        <w:t> </w:t>
      </w:r>
      <w:r>
        <w:rPr/>
        <w:t>Equality</w:t>
      </w:r>
      <w:r>
        <w:rPr>
          <w:spacing w:val="-7"/>
        </w:rPr>
        <w:t> </w:t>
      </w:r>
      <w:r>
        <w:rPr/>
        <w:t>Maps:</w:t>
      </w:r>
      <w:r>
        <w:rPr>
          <w:spacing w:val="-7"/>
        </w:rPr>
        <w:t> </w:t>
      </w:r>
      <w:r>
        <w:rPr/>
        <w:t>Conversion</w:t>
      </w:r>
      <w:r>
        <w:rPr>
          <w:spacing w:val="-7"/>
        </w:rPr>
        <w:t> </w:t>
      </w:r>
      <w:r>
        <w:rPr/>
        <w:t>“Therapy” Laws. Statewide Bans. https://</w:t>
      </w:r>
      <w:hyperlink r:id="rId108">
        <w:r>
          <w:rPr/>
          <w:t>www.lgbtmap.org/equalitymaps/</w:t>
        </w:r>
      </w:hyperlink>
      <w:r>
        <w:rPr/>
        <w:t> conversion_therapy. Accessed February 2, 2023.</w:t>
      </w:r>
    </w:p>
    <w:p>
      <w:pPr>
        <w:pStyle w:val="BodyText"/>
        <w:spacing w:before="10"/>
        <w:rPr>
          <w:sz w:val="25"/>
        </w:rPr>
      </w:pPr>
    </w:p>
    <w:p>
      <w:pPr>
        <w:pStyle w:val="BodyText"/>
        <w:ind w:left="640" w:right="668" w:hanging="360"/>
      </w:pPr>
      <w:r>
        <w:rPr/>
        <w:t>Movement</w:t>
      </w:r>
      <w:r>
        <w:rPr>
          <w:spacing w:val="-18"/>
        </w:rPr>
        <w:t> </w:t>
      </w:r>
      <w:r>
        <w:rPr/>
        <w:t>Advancement</w:t>
      </w:r>
      <w:r>
        <w:rPr>
          <w:spacing w:val="-10"/>
        </w:rPr>
        <w:t> </w:t>
      </w:r>
      <w:r>
        <w:rPr/>
        <w:t>Project.</w:t>
      </w:r>
      <w:r>
        <w:rPr>
          <w:spacing w:val="-7"/>
        </w:rPr>
        <w:t> </w:t>
      </w:r>
      <w:r>
        <w:rPr/>
        <w:t>Equality</w:t>
      </w:r>
      <w:r>
        <w:rPr>
          <w:spacing w:val="-7"/>
        </w:rPr>
        <w:t> </w:t>
      </w:r>
      <w:r>
        <w:rPr/>
        <w:t>Maps:</w:t>
      </w:r>
      <w:r>
        <w:rPr>
          <w:spacing w:val="-7"/>
        </w:rPr>
        <w:t> </w:t>
      </w:r>
      <w:r>
        <w:rPr/>
        <w:t>Conversion</w:t>
      </w:r>
      <w:r>
        <w:rPr>
          <w:spacing w:val="-7"/>
        </w:rPr>
        <w:t> </w:t>
      </w:r>
      <w:r>
        <w:rPr/>
        <w:t>“Therapy” Laws. Local Bans. https://</w:t>
      </w:r>
      <w:hyperlink r:id="rId108">
        <w:r>
          <w:rPr/>
          <w:t>www.lgbtmap.org/equalitymaps/</w:t>
        </w:r>
      </w:hyperlink>
      <w:r>
        <w:rPr/>
        <w:t> conversion_therapy. Accessed February 14, 2022.</w:t>
      </w:r>
    </w:p>
    <w:p>
      <w:pPr>
        <w:pStyle w:val="BodyText"/>
        <w:spacing w:before="9"/>
        <w:rPr>
          <w:sz w:val="25"/>
        </w:rPr>
      </w:pPr>
    </w:p>
    <w:p>
      <w:pPr>
        <w:spacing w:line="321" w:lineRule="exact" w:before="1"/>
        <w:ind w:left="273" w:right="520" w:firstLine="0"/>
        <w:jc w:val="center"/>
        <w:rPr>
          <w:i/>
          <w:sz w:val="28"/>
        </w:rPr>
      </w:pPr>
      <w:r>
        <w:rPr>
          <w:i/>
          <w:sz w:val="28"/>
        </w:rPr>
        <w:t>H.R.2328</w:t>
      </w:r>
      <w:r>
        <w:rPr>
          <w:i/>
          <w:spacing w:val="-5"/>
          <w:sz w:val="28"/>
        </w:rPr>
        <w:t> </w:t>
      </w:r>
      <w:r>
        <w:rPr>
          <w:i/>
          <w:sz w:val="28"/>
        </w:rPr>
        <w:t>-Prohibition</w:t>
      </w:r>
      <w:r>
        <w:rPr>
          <w:i/>
          <w:spacing w:val="-2"/>
          <w:sz w:val="28"/>
        </w:rPr>
        <w:t> </w:t>
      </w:r>
      <w:r>
        <w:rPr>
          <w:i/>
          <w:sz w:val="28"/>
        </w:rPr>
        <w:t>of</w:t>
      </w:r>
      <w:r>
        <w:rPr>
          <w:i/>
          <w:spacing w:val="-3"/>
          <w:sz w:val="28"/>
        </w:rPr>
        <w:t> </w:t>
      </w:r>
      <w:r>
        <w:rPr>
          <w:i/>
          <w:sz w:val="28"/>
        </w:rPr>
        <w:t>Medicaid</w:t>
      </w:r>
      <w:r>
        <w:rPr>
          <w:i/>
          <w:spacing w:val="-2"/>
          <w:sz w:val="28"/>
        </w:rPr>
        <w:t> </w:t>
      </w:r>
      <w:r>
        <w:rPr>
          <w:i/>
          <w:sz w:val="28"/>
        </w:rPr>
        <w:t>Funding</w:t>
      </w:r>
      <w:r>
        <w:rPr>
          <w:i/>
          <w:spacing w:val="-3"/>
          <w:sz w:val="28"/>
        </w:rPr>
        <w:t> </w:t>
      </w:r>
      <w:r>
        <w:rPr>
          <w:i/>
          <w:sz w:val="28"/>
        </w:rPr>
        <w:t>for</w:t>
      </w:r>
      <w:r>
        <w:rPr>
          <w:i/>
          <w:spacing w:val="-2"/>
          <w:sz w:val="28"/>
        </w:rPr>
        <w:t> </w:t>
      </w:r>
      <w:r>
        <w:rPr>
          <w:i/>
          <w:sz w:val="28"/>
        </w:rPr>
        <w:t>Conversion</w:t>
      </w:r>
      <w:r>
        <w:rPr>
          <w:i/>
          <w:spacing w:val="-3"/>
          <w:sz w:val="28"/>
        </w:rPr>
        <w:t> </w:t>
      </w:r>
      <w:r>
        <w:rPr>
          <w:i/>
          <w:sz w:val="28"/>
        </w:rPr>
        <w:t>Therapy</w:t>
      </w:r>
      <w:r>
        <w:rPr>
          <w:i/>
          <w:spacing w:val="-8"/>
          <w:sz w:val="28"/>
        </w:rPr>
        <w:t> </w:t>
      </w:r>
      <w:r>
        <w:rPr>
          <w:i/>
          <w:sz w:val="28"/>
        </w:rPr>
        <w:t>Act</w:t>
      </w:r>
      <w:r>
        <w:rPr>
          <w:i/>
          <w:spacing w:val="-2"/>
          <w:sz w:val="28"/>
        </w:rPr>
        <w:t> 2021.</w:t>
      </w:r>
    </w:p>
    <w:p>
      <w:pPr>
        <w:pStyle w:val="BodyText"/>
        <w:spacing w:line="321" w:lineRule="exact"/>
        <w:ind w:left="675" w:right="894"/>
        <w:jc w:val="center"/>
      </w:pPr>
      <w:r>
        <w:rPr>
          <w:spacing w:val="-2"/>
        </w:rPr>
        <w:t>https://</w:t>
      </w:r>
      <w:hyperlink r:id="rId109">
        <w:r>
          <w:rPr>
            <w:spacing w:val="-2"/>
          </w:rPr>
          <w:t>www.congress.gov/bill/117thcongress/house-bill/2328?s=1&amp;r=85</w:t>
        </w:r>
      </w:hyperlink>
    </w:p>
    <w:sectPr>
      <w:pgSz w:w="12240" w:h="15840"/>
      <w:pgMar w:header="0" w:footer="783" w:top="1260" w:bottom="980" w:left="14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Symbol">
    <w:altName w:val="Segoe UI Symbol"/>
    <w:charset w:val="0"/>
    <w:family w:val="swiss"/>
    <w:pitch w:val="variable"/>
  </w:font>
  <w:font w:name="Courier New">
    <w:altName w:val="Courier New"/>
    <w:charset w:val="0"/>
    <w:family w:val="modern"/>
    <w:pitch w:val="fixed"/>
  </w:font>
  <w:font w:name="Book Antiqua">
    <w:altName w:val="Book Antiqua"/>
    <w:charset w:val="0"/>
    <w:family w:val="roman"/>
    <w:pitch w:val="variable"/>
  </w:font>
  <w:font w:name="Microsoft Sans Serif">
    <w:altName w:val="Microsoft Sans Serif"/>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2896">
              <wp:simplePos x="0" y="0"/>
              <wp:positionH relativeFrom="page">
                <wp:posOffset>1104900</wp:posOffset>
              </wp:positionH>
              <wp:positionV relativeFrom="page">
                <wp:posOffset>9412309</wp:posOffset>
              </wp:positionV>
              <wp:extent cx="764540" cy="19621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764540" cy="196215"/>
                      </a:xfrm>
                      <a:prstGeom prst="rect">
                        <a:avLst/>
                      </a:prstGeom>
                    </wps:spPr>
                    <wps:txbx>
                      <w:txbxContent>
                        <w:p>
                          <w:pPr>
                            <w:spacing w:before="12"/>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100</w:t>
                          </w:r>
                          <w:r>
                            <w:rPr>
                              <w:rFonts w:ascii="Arial"/>
                              <w:sz w:val="24"/>
                            </w:rPr>
                            <w:fldChar w:fldCharType="end"/>
                          </w:r>
                          <w:r>
                            <w:rPr>
                              <w:rFonts w:ascii="Arial"/>
                              <w:spacing w:val="-3"/>
                              <w:sz w:val="24"/>
                            </w:rPr>
                            <w:t> </w:t>
                          </w:r>
                          <w:r>
                            <w:rPr>
                              <w:rFonts w:ascii="Arial"/>
                              <w:sz w:val="24"/>
                            </w:rPr>
                            <w:t>of</w:t>
                          </w:r>
                          <w:r>
                            <w:rPr>
                              <w:rFonts w:ascii="Arial"/>
                              <w:spacing w:val="5"/>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215</w:t>
                          </w:r>
                          <w:r>
                            <w:rPr>
                              <w:rFonts w:ascii="Arial"/>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7pt;margin-top:741.126709pt;width:60.2pt;height:15.45pt;mso-position-horizontal-relative:page;mso-position-vertical-relative:page;z-index:-18243584" type="#_x0000_t202" id="docshape1" filled="false" stroked="false">
              <v:textbox inset="0,0,0,0">
                <w:txbxContent>
                  <w:p>
                    <w:pPr>
                      <w:spacing w:before="12"/>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100</w:t>
                    </w:r>
                    <w:r>
                      <w:rPr>
                        <w:rFonts w:ascii="Arial"/>
                        <w:sz w:val="24"/>
                      </w:rPr>
                      <w:fldChar w:fldCharType="end"/>
                    </w:r>
                    <w:r>
                      <w:rPr>
                        <w:rFonts w:ascii="Arial"/>
                        <w:spacing w:val="-3"/>
                        <w:sz w:val="24"/>
                      </w:rPr>
                      <w:t> </w:t>
                    </w:r>
                    <w:r>
                      <w:rPr>
                        <w:rFonts w:ascii="Arial"/>
                        <w:sz w:val="24"/>
                      </w:rPr>
                      <w:t>of</w:t>
                    </w:r>
                    <w:r>
                      <w:rPr>
                        <w:rFonts w:ascii="Arial"/>
                        <w:spacing w:val="5"/>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215</w:t>
                    </w:r>
                    <w:r>
                      <w:rPr>
                        <w:rFonts w:ascii="Arial"/>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3408">
              <wp:simplePos x="0" y="0"/>
              <wp:positionH relativeFrom="page">
                <wp:posOffset>1104900</wp:posOffset>
              </wp:positionH>
              <wp:positionV relativeFrom="page">
                <wp:posOffset>9412309</wp:posOffset>
              </wp:positionV>
              <wp:extent cx="753110" cy="19621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753110" cy="196215"/>
                      </a:xfrm>
                      <a:prstGeom prst="rect">
                        <a:avLst/>
                      </a:prstGeom>
                    </wps:spPr>
                    <wps:txbx>
                      <w:txbxContent>
                        <w:p>
                          <w:pPr>
                            <w:spacing w:before="12"/>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113</w:t>
                          </w:r>
                          <w:r>
                            <w:rPr>
                              <w:rFonts w:ascii="Arial"/>
                              <w:sz w:val="24"/>
                            </w:rPr>
                            <w:fldChar w:fldCharType="end"/>
                          </w:r>
                          <w:r>
                            <w:rPr>
                              <w:rFonts w:ascii="Arial"/>
                              <w:spacing w:val="-2"/>
                              <w:sz w:val="24"/>
                            </w:rPr>
                            <w:t> </w:t>
                          </w:r>
                          <w:r>
                            <w:rPr>
                              <w:rFonts w:ascii="Arial"/>
                              <w:sz w:val="24"/>
                            </w:rPr>
                            <w:t>of</w:t>
                          </w:r>
                          <w:r>
                            <w:rPr>
                              <w:rFonts w:ascii="Arial"/>
                              <w:spacing w:val="5"/>
                              <w:sz w:val="24"/>
                            </w:rPr>
                            <w:t> </w:t>
                          </w:r>
                          <w:r>
                            <w:rPr>
                              <w:rFonts w:ascii="Arial"/>
                              <w:spacing w:val="-9"/>
                              <w:sz w:val="24"/>
                            </w:rPr>
                            <w:fldChar w:fldCharType="begin"/>
                          </w:r>
                          <w:r>
                            <w:rPr>
                              <w:rFonts w:ascii="Arial"/>
                              <w:spacing w:val="-9"/>
                              <w:sz w:val="24"/>
                            </w:rPr>
                            <w:instrText> NUMPAGES </w:instrText>
                          </w:r>
                          <w:r>
                            <w:rPr>
                              <w:rFonts w:ascii="Arial"/>
                              <w:spacing w:val="-9"/>
                              <w:sz w:val="24"/>
                            </w:rPr>
                            <w:fldChar w:fldCharType="separate"/>
                          </w:r>
                          <w:r>
                            <w:rPr>
                              <w:rFonts w:ascii="Arial"/>
                              <w:spacing w:val="-9"/>
                              <w:sz w:val="24"/>
                            </w:rPr>
                            <w:t>215</w:t>
                          </w:r>
                          <w:r>
                            <w:rPr>
                              <w:rFonts w:ascii="Arial"/>
                              <w:spacing w:val="-9"/>
                              <w:sz w:val="24"/>
                            </w:rPr>
                            <w:fldChar w:fldCharType="end"/>
                          </w:r>
                        </w:p>
                      </w:txbxContent>
                    </wps:txbx>
                    <wps:bodyPr wrap="square" lIns="0" tIns="0" rIns="0" bIns="0" rtlCol="0">
                      <a:noAutofit/>
                    </wps:bodyPr>
                  </wps:wsp>
                </a:graphicData>
              </a:graphic>
            </wp:anchor>
          </w:drawing>
        </mc:Choice>
        <mc:Fallback>
          <w:pict>
            <v:shape style="position:absolute;margin-left:87pt;margin-top:741.126709pt;width:59.3pt;height:15.45pt;mso-position-horizontal-relative:page;mso-position-vertical-relative:page;z-index:-18243072" type="#_x0000_t202" id="docshape340" filled="false" stroked="false">
              <v:textbox inset="0,0,0,0">
                <w:txbxContent>
                  <w:p>
                    <w:pPr>
                      <w:spacing w:before="12"/>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113</w:t>
                    </w:r>
                    <w:r>
                      <w:rPr>
                        <w:rFonts w:ascii="Arial"/>
                        <w:sz w:val="24"/>
                      </w:rPr>
                      <w:fldChar w:fldCharType="end"/>
                    </w:r>
                    <w:r>
                      <w:rPr>
                        <w:rFonts w:ascii="Arial"/>
                        <w:spacing w:val="-2"/>
                        <w:sz w:val="24"/>
                      </w:rPr>
                      <w:t> </w:t>
                    </w:r>
                    <w:r>
                      <w:rPr>
                        <w:rFonts w:ascii="Arial"/>
                        <w:sz w:val="24"/>
                      </w:rPr>
                      <w:t>of</w:t>
                    </w:r>
                    <w:r>
                      <w:rPr>
                        <w:rFonts w:ascii="Arial"/>
                        <w:spacing w:val="5"/>
                        <w:sz w:val="24"/>
                      </w:rPr>
                      <w:t> </w:t>
                    </w:r>
                    <w:r>
                      <w:rPr>
                        <w:rFonts w:ascii="Arial"/>
                        <w:spacing w:val="-9"/>
                        <w:sz w:val="24"/>
                      </w:rPr>
                      <w:fldChar w:fldCharType="begin"/>
                    </w:r>
                    <w:r>
                      <w:rPr>
                        <w:rFonts w:ascii="Arial"/>
                        <w:spacing w:val="-9"/>
                        <w:sz w:val="24"/>
                      </w:rPr>
                      <w:instrText> NUMPAGES </w:instrText>
                    </w:r>
                    <w:r>
                      <w:rPr>
                        <w:rFonts w:ascii="Arial"/>
                        <w:spacing w:val="-9"/>
                        <w:sz w:val="24"/>
                      </w:rPr>
                      <w:fldChar w:fldCharType="separate"/>
                    </w:r>
                    <w:r>
                      <w:rPr>
                        <w:rFonts w:ascii="Arial"/>
                        <w:spacing w:val="-9"/>
                        <w:sz w:val="24"/>
                      </w:rPr>
                      <w:t>215</w:t>
                    </w:r>
                    <w:r>
                      <w:rPr>
                        <w:rFonts w:ascii="Arial"/>
                        <w:spacing w:val="-9"/>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3920">
              <wp:simplePos x="0" y="0"/>
              <wp:positionH relativeFrom="page">
                <wp:posOffset>1104900</wp:posOffset>
              </wp:positionH>
              <wp:positionV relativeFrom="page">
                <wp:posOffset>9412309</wp:posOffset>
              </wp:positionV>
              <wp:extent cx="764540" cy="19621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764540" cy="196215"/>
                      </a:xfrm>
                      <a:prstGeom prst="rect">
                        <a:avLst/>
                      </a:prstGeom>
                    </wps:spPr>
                    <wps:txbx>
                      <w:txbxContent>
                        <w:p>
                          <w:pPr>
                            <w:spacing w:before="12"/>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120</w:t>
                          </w:r>
                          <w:r>
                            <w:rPr>
                              <w:rFonts w:ascii="Arial"/>
                              <w:sz w:val="24"/>
                            </w:rPr>
                            <w:fldChar w:fldCharType="end"/>
                          </w:r>
                          <w:r>
                            <w:rPr>
                              <w:rFonts w:ascii="Arial"/>
                              <w:spacing w:val="-3"/>
                              <w:sz w:val="24"/>
                            </w:rPr>
                            <w:t> </w:t>
                          </w:r>
                          <w:r>
                            <w:rPr>
                              <w:rFonts w:ascii="Arial"/>
                              <w:sz w:val="24"/>
                            </w:rPr>
                            <w:t>of</w:t>
                          </w:r>
                          <w:r>
                            <w:rPr>
                              <w:rFonts w:ascii="Arial"/>
                              <w:spacing w:val="5"/>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215</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87pt;margin-top:741.126709pt;width:60.2pt;height:15.45pt;mso-position-horizontal-relative:page;mso-position-vertical-relative:page;z-index:-18242560" type="#_x0000_t202" id="docshape341" filled="false" stroked="false">
              <v:textbox inset="0,0,0,0">
                <w:txbxContent>
                  <w:p>
                    <w:pPr>
                      <w:spacing w:before="12"/>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120</w:t>
                    </w:r>
                    <w:r>
                      <w:rPr>
                        <w:rFonts w:ascii="Arial"/>
                        <w:sz w:val="24"/>
                      </w:rPr>
                      <w:fldChar w:fldCharType="end"/>
                    </w:r>
                    <w:r>
                      <w:rPr>
                        <w:rFonts w:ascii="Arial"/>
                        <w:spacing w:val="-3"/>
                        <w:sz w:val="24"/>
                      </w:rPr>
                      <w:t> </w:t>
                    </w:r>
                    <w:r>
                      <w:rPr>
                        <w:rFonts w:ascii="Arial"/>
                        <w:sz w:val="24"/>
                      </w:rPr>
                      <w:t>of</w:t>
                    </w:r>
                    <w:r>
                      <w:rPr>
                        <w:rFonts w:ascii="Arial"/>
                        <w:spacing w:val="5"/>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215</w:t>
                    </w:r>
                    <w:r>
                      <w:rPr>
                        <w:rFonts w:ascii="Arial"/>
                        <w:spacing w:val="-5"/>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4432">
              <wp:simplePos x="0" y="0"/>
              <wp:positionH relativeFrom="page">
                <wp:posOffset>1104900</wp:posOffset>
              </wp:positionH>
              <wp:positionV relativeFrom="page">
                <wp:posOffset>9412309</wp:posOffset>
              </wp:positionV>
              <wp:extent cx="764540" cy="19621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764540" cy="196215"/>
                      </a:xfrm>
                      <a:prstGeom prst="rect">
                        <a:avLst/>
                      </a:prstGeom>
                    </wps:spPr>
                    <wps:txbx>
                      <w:txbxContent>
                        <w:p>
                          <w:pPr>
                            <w:spacing w:before="12"/>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175</w:t>
                          </w:r>
                          <w:r>
                            <w:rPr>
                              <w:rFonts w:ascii="Arial"/>
                              <w:sz w:val="24"/>
                            </w:rPr>
                            <w:fldChar w:fldCharType="end"/>
                          </w:r>
                          <w:r>
                            <w:rPr>
                              <w:rFonts w:ascii="Arial"/>
                              <w:spacing w:val="-3"/>
                              <w:sz w:val="24"/>
                            </w:rPr>
                            <w:t> </w:t>
                          </w:r>
                          <w:r>
                            <w:rPr>
                              <w:rFonts w:ascii="Arial"/>
                              <w:sz w:val="24"/>
                            </w:rPr>
                            <w:t>of</w:t>
                          </w:r>
                          <w:r>
                            <w:rPr>
                              <w:rFonts w:ascii="Arial"/>
                              <w:spacing w:val="5"/>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215</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87pt;margin-top:741.126709pt;width:60.2pt;height:15.45pt;mso-position-horizontal-relative:page;mso-position-vertical-relative:page;z-index:-18242048" type="#_x0000_t202" id="docshape350" filled="false" stroked="false">
              <v:textbox inset="0,0,0,0">
                <w:txbxContent>
                  <w:p>
                    <w:pPr>
                      <w:spacing w:before="12"/>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175</w:t>
                    </w:r>
                    <w:r>
                      <w:rPr>
                        <w:rFonts w:ascii="Arial"/>
                        <w:sz w:val="24"/>
                      </w:rPr>
                      <w:fldChar w:fldCharType="end"/>
                    </w:r>
                    <w:r>
                      <w:rPr>
                        <w:rFonts w:ascii="Arial"/>
                        <w:spacing w:val="-3"/>
                        <w:sz w:val="24"/>
                      </w:rPr>
                      <w:t> </w:t>
                    </w:r>
                    <w:r>
                      <w:rPr>
                        <w:rFonts w:ascii="Arial"/>
                        <w:sz w:val="24"/>
                      </w:rPr>
                      <w:t>of</w:t>
                    </w:r>
                    <w:r>
                      <w:rPr>
                        <w:rFonts w:ascii="Arial"/>
                        <w:spacing w:val="5"/>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215</w:t>
                    </w:r>
                    <w:r>
                      <w:rPr>
                        <w:rFonts w:ascii="Arial"/>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64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1542" w:hanging="360"/>
      </w:pPr>
      <w:rPr>
        <w:rFonts w:hint="default"/>
        <w:lang w:val="en-US" w:eastAsia="en-US" w:bidi="ar-SA"/>
      </w:rPr>
    </w:lvl>
    <w:lvl w:ilvl="2">
      <w:start w:val="0"/>
      <w:numFmt w:val="bullet"/>
      <w:lvlText w:val="•"/>
      <w:lvlJc w:val="left"/>
      <w:pPr>
        <w:ind w:left="2444" w:hanging="360"/>
      </w:pPr>
      <w:rPr>
        <w:rFonts w:hint="default"/>
        <w:lang w:val="en-US" w:eastAsia="en-US" w:bidi="ar-SA"/>
      </w:rPr>
    </w:lvl>
    <w:lvl w:ilvl="3">
      <w:start w:val="0"/>
      <w:numFmt w:val="bullet"/>
      <w:lvlText w:val="•"/>
      <w:lvlJc w:val="left"/>
      <w:pPr>
        <w:ind w:left="3346" w:hanging="360"/>
      </w:pPr>
      <w:rPr>
        <w:rFonts w:hint="default"/>
        <w:lang w:val="en-US" w:eastAsia="en-US" w:bidi="ar-SA"/>
      </w:rPr>
    </w:lvl>
    <w:lvl w:ilvl="4">
      <w:start w:val="0"/>
      <w:numFmt w:val="bullet"/>
      <w:lvlText w:val="•"/>
      <w:lvlJc w:val="left"/>
      <w:pPr>
        <w:ind w:left="4248" w:hanging="360"/>
      </w:pPr>
      <w:rPr>
        <w:rFonts w:hint="default"/>
        <w:lang w:val="en-US" w:eastAsia="en-US" w:bidi="ar-SA"/>
      </w:rPr>
    </w:lvl>
    <w:lvl w:ilvl="5">
      <w:start w:val="0"/>
      <w:numFmt w:val="bullet"/>
      <w:lvlText w:val="•"/>
      <w:lvlJc w:val="left"/>
      <w:pPr>
        <w:ind w:left="5150" w:hanging="360"/>
      </w:pPr>
      <w:rPr>
        <w:rFonts w:hint="default"/>
        <w:lang w:val="en-US" w:eastAsia="en-US" w:bidi="ar-SA"/>
      </w:rPr>
    </w:lvl>
    <w:lvl w:ilvl="6">
      <w:start w:val="0"/>
      <w:numFmt w:val="bullet"/>
      <w:lvlText w:val="•"/>
      <w:lvlJc w:val="left"/>
      <w:pPr>
        <w:ind w:left="6052" w:hanging="360"/>
      </w:pPr>
      <w:rPr>
        <w:rFonts w:hint="default"/>
        <w:lang w:val="en-US" w:eastAsia="en-US" w:bidi="ar-SA"/>
      </w:rPr>
    </w:lvl>
    <w:lvl w:ilvl="7">
      <w:start w:val="0"/>
      <w:numFmt w:val="bullet"/>
      <w:lvlText w:val="•"/>
      <w:lvlJc w:val="left"/>
      <w:pPr>
        <w:ind w:left="6954" w:hanging="360"/>
      </w:pPr>
      <w:rPr>
        <w:rFonts w:hint="default"/>
        <w:lang w:val="en-US" w:eastAsia="en-US" w:bidi="ar-SA"/>
      </w:rPr>
    </w:lvl>
    <w:lvl w:ilvl="8">
      <w:start w:val="0"/>
      <w:numFmt w:val="bullet"/>
      <w:lvlText w:val="•"/>
      <w:lvlJc w:val="left"/>
      <w:pPr>
        <w:ind w:left="7856" w:hanging="360"/>
      </w:pPr>
      <w:rPr>
        <w:rFonts w:hint="default"/>
        <w:lang w:val="en-US" w:eastAsia="en-US" w:bidi="ar-SA"/>
      </w:rPr>
    </w:lvl>
  </w:abstractNum>
  <w:abstractNum w:abstractNumId="29">
    <w:multiLevelType w:val="hybridMultilevel"/>
    <w:lvl w:ilvl="0">
      <w:start w:val="0"/>
      <w:numFmt w:val="bullet"/>
      <w:lvlText w:val="•"/>
      <w:lvlJc w:val="left"/>
      <w:pPr>
        <w:ind w:left="64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42" w:hanging="360"/>
      </w:pPr>
      <w:rPr>
        <w:rFonts w:hint="default"/>
        <w:lang w:val="en-US" w:eastAsia="en-US" w:bidi="ar-SA"/>
      </w:rPr>
    </w:lvl>
    <w:lvl w:ilvl="2">
      <w:start w:val="0"/>
      <w:numFmt w:val="bullet"/>
      <w:lvlText w:val="•"/>
      <w:lvlJc w:val="left"/>
      <w:pPr>
        <w:ind w:left="2444" w:hanging="360"/>
      </w:pPr>
      <w:rPr>
        <w:rFonts w:hint="default"/>
        <w:lang w:val="en-US" w:eastAsia="en-US" w:bidi="ar-SA"/>
      </w:rPr>
    </w:lvl>
    <w:lvl w:ilvl="3">
      <w:start w:val="0"/>
      <w:numFmt w:val="bullet"/>
      <w:lvlText w:val="•"/>
      <w:lvlJc w:val="left"/>
      <w:pPr>
        <w:ind w:left="3346" w:hanging="360"/>
      </w:pPr>
      <w:rPr>
        <w:rFonts w:hint="default"/>
        <w:lang w:val="en-US" w:eastAsia="en-US" w:bidi="ar-SA"/>
      </w:rPr>
    </w:lvl>
    <w:lvl w:ilvl="4">
      <w:start w:val="0"/>
      <w:numFmt w:val="bullet"/>
      <w:lvlText w:val="•"/>
      <w:lvlJc w:val="left"/>
      <w:pPr>
        <w:ind w:left="4248" w:hanging="360"/>
      </w:pPr>
      <w:rPr>
        <w:rFonts w:hint="default"/>
        <w:lang w:val="en-US" w:eastAsia="en-US" w:bidi="ar-SA"/>
      </w:rPr>
    </w:lvl>
    <w:lvl w:ilvl="5">
      <w:start w:val="0"/>
      <w:numFmt w:val="bullet"/>
      <w:lvlText w:val="•"/>
      <w:lvlJc w:val="left"/>
      <w:pPr>
        <w:ind w:left="5150" w:hanging="360"/>
      </w:pPr>
      <w:rPr>
        <w:rFonts w:hint="default"/>
        <w:lang w:val="en-US" w:eastAsia="en-US" w:bidi="ar-SA"/>
      </w:rPr>
    </w:lvl>
    <w:lvl w:ilvl="6">
      <w:start w:val="0"/>
      <w:numFmt w:val="bullet"/>
      <w:lvlText w:val="•"/>
      <w:lvlJc w:val="left"/>
      <w:pPr>
        <w:ind w:left="6052" w:hanging="360"/>
      </w:pPr>
      <w:rPr>
        <w:rFonts w:hint="default"/>
        <w:lang w:val="en-US" w:eastAsia="en-US" w:bidi="ar-SA"/>
      </w:rPr>
    </w:lvl>
    <w:lvl w:ilvl="7">
      <w:start w:val="0"/>
      <w:numFmt w:val="bullet"/>
      <w:lvlText w:val="•"/>
      <w:lvlJc w:val="left"/>
      <w:pPr>
        <w:ind w:left="6954" w:hanging="360"/>
      </w:pPr>
      <w:rPr>
        <w:rFonts w:hint="default"/>
        <w:lang w:val="en-US" w:eastAsia="en-US" w:bidi="ar-SA"/>
      </w:rPr>
    </w:lvl>
    <w:lvl w:ilvl="8">
      <w:start w:val="0"/>
      <w:numFmt w:val="bullet"/>
      <w:lvlText w:val="•"/>
      <w:lvlJc w:val="left"/>
      <w:pPr>
        <w:ind w:left="7856" w:hanging="360"/>
      </w:pPr>
      <w:rPr>
        <w:rFonts w:hint="default"/>
        <w:lang w:val="en-US" w:eastAsia="en-US" w:bidi="ar-SA"/>
      </w:rPr>
    </w:lvl>
  </w:abstractNum>
  <w:abstractNum w:abstractNumId="28">
    <w:multiLevelType w:val="hybridMultilevel"/>
    <w:lvl w:ilvl="0">
      <w:start w:val="0"/>
      <w:numFmt w:val="bullet"/>
      <w:lvlText w:val="•"/>
      <w:lvlJc w:val="left"/>
      <w:pPr>
        <w:ind w:left="64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42" w:hanging="360"/>
      </w:pPr>
      <w:rPr>
        <w:rFonts w:hint="default"/>
        <w:lang w:val="en-US" w:eastAsia="en-US" w:bidi="ar-SA"/>
      </w:rPr>
    </w:lvl>
    <w:lvl w:ilvl="2">
      <w:start w:val="0"/>
      <w:numFmt w:val="bullet"/>
      <w:lvlText w:val="•"/>
      <w:lvlJc w:val="left"/>
      <w:pPr>
        <w:ind w:left="2444" w:hanging="360"/>
      </w:pPr>
      <w:rPr>
        <w:rFonts w:hint="default"/>
        <w:lang w:val="en-US" w:eastAsia="en-US" w:bidi="ar-SA"/>
      </w:rPr>
    </w:lvl>
    <w:lvl w:ilvl="3">
      <w:start w:val="0"/>
      <w:numFmt w:val="bullet"/>
      <w:lvlText w:val="•"/>
      <w:lvlJc w:val="left"/>
      <w:pPr>
        <w:ind w:left="3346" w:hanging="360"/>
      </w:pPr>
      <w:rPr>
        <w:rFonts w:hint="default"/>
        <w:lang w:val="en-US" w:eastAsia="en-US" w:bidi="ar-SA"/>
      </w:rPr>
    </w:lvl>
    <w:lvl w:ilvl="4">
      <w:start w:val="0"/>
      <w:numFmt w:val="bullet"/>
      <w:lvlText w:val="•"/>
      <w:lvlJc w:val="left"/>
      <w:pPr>
        <w:ind w:left="4248" w:hanging="360"/>
      </w:pPr>
      <w:rPr>
        <w:rFonts w:hint="default"/>
        <w:lang w:val="en-US" w:eastAsia="en-US" w:bidi="ar-SA"/>
      </w:rPr>
    </w:lvl>
    <w:lvl w:ilvl="5">
      <w:start w:val="0"/>
      <w:numFmt w:val="bullet"/>
      <w:lvlText w:val="•"/>
      <w:lvlJc w:val="left"/>
      <w:pPr>
        <w:ind w:left="5150" w:hanging="360"/>
      </w:pPr>
      <w:rPr>
        <w:rFonts w:hint="default"/>
        <w:lang w:val="en-US" w:eastAsia="en-US" w:bidi="ar-SA"/>
      </w:rPr>
    </w:lvl>
    <w:lvl w:ilvl="6">
      <w:start w:val="0"/>
      <w:numFmt w:val="bullet"/>
      <w:lvlText w:val="•"/>
      <w:lvlJc w:val="left"/>
      <w:pPr>
        <w:ind w:left="6052" w:hanging="360"/>
      </w:pPr>
      <w:rPr>
        <w:rFonts w:hint="default"/>
        <w:lang w:val="en-US" w:eastAsia="en-US" w:bidi="ar-SA"/>
      </w:rPr>
    </w:lvl>
    <w:lvl w:ilvl="7">
      <w:start w:val="0"/>
      <w:numFmt w:val="bullet"/>
      <w:lvlText w:val="•"/>
      <w:lvlJc w:val="left"/>
      <w:pPr>
        <w:ind w:left="6954" w:hanging="360"/>
      </w:pPr>
      <w:rPr>
        <w:rFonts w:hint="default"/>
        <w:lang w:val="en-US" w:eastAsia="en-US" w:bidi="ar-SA"/>
      </w:rPr>
    </w:lvl>
    <w:lvl w:ilvl="8">
      <w:start w:val="0"/>
      <w:numFmt w:val="bullet"/>
      <w:lvlText w:val="•"/>
      <w:lvlJc w:val="left"/>
      <w:pPr>
        <w:ind w:left="7856" w:hanging="360"/>
      </w:pPr>
      <w:rPr>
        <w:rFonts w:hint="default"/>
        <w:lang w:val="en-US" w:eastAsia="en-US" w:bidi="ar-SA"/>
      </w:rPr>
    </w:lvl>
  </w:abstractNum>
  <w:abstractNum w:abstractNumId="27">
    <w:multiLevelType w:val="hybridMultilevel"/>
    <w:lvl w:ilvl="0">
      <w:start w:val="0"/>
      <w:numFmt w:val="bullet"/>
      <w:lvlText w:val="•"/>
      <w:lvlJc w:val="left"/>
      <w:pPr>
        <w:ind w:left="501" w:hanging="222"/>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16" w:hanging="222"/>
      </w:pPr>
      <w:rPr>
        <w:rFonts w:hint="default"/>
        <w:lang w:val="en-US" w:eastAsia="en-US" w:bidi="ar-SA"/>
      </w:rPr>
    </w:lvl>
    <w:lvl w:ilvl="2">
      <w:start w:val="0"/>
      <w:numFmt w:val="bullet"/>
      <w:lvlText w:val="•"/>
      <w:lvlJc w:val="left"/>
      <w:pPr>
        <w:ind w:left="2332" w:hanging="222"/>
      </w:pPr>
      <w:rPr>
        <w:rFonts w:hint="default"/>
        <w:lang w:val="en-US" w:eastAsia="en-US" w:bidi="ar-SA"/>
      </w:rPr>
    </w:lvl>
    <w:lvl w:ilvl="3">
      <w:start w:val="0"/>
      <w:numFmt w:val="bullet"/>
      <w:lvlText w:val="•"/>
      <w:lvlJc w:val="left"/>
      <w:pPr>
        <w:ind w:left="3248" w:hanging="222"/>
      </w:pPr>
      <w:rPr>
        <w:rFonts w:hint="default"/>
        <w:lang w:val="en-US" w:eastAsia="en-US" w:bidi="ar-SA"/>
      </w:rPr>
    </w:lvl>
    <w:lvl w:ilvl="4">
      <w:start w:val="0"/>
      <w:numFmt w:val="bullet"/>
      <w:lvlText w:val="•"/>
      <w:lvlJc w:val="left"/>
      <w:pPr>
        <w:ind w:left="4164" w:hanging="222"/>
      </w:pPr>
      <w:rPr>
        <w:rFonts w:hint="default"/>
        <w:lang w:val="en-US" w:eastAsia="en-US" w:bidi="ar-SA"/>
      </w:rPr>
    </w:lvl>
    <w:lvl w:ilvl="5">
      <w:start w:val="0"/>
      <w:numFmt w:val="bullet"/>
      <w:lvlText w:val="•"/>
      <w:lvlJc w:val="left"/>
      <w:pPr>
        <w:ind w:left="5080" w:hanging="222"/>
      </w:pPr>
      <w:rPr>
        <w:rFonts w:hint="default"/>
        <w:lang w:val="en-US" w:eastAsia="en-US" w:bidi="ar-SA"/>
      </w:rPr>
    </w:lvl>
    <w:lvl w:ilvl="6">
      <w:start w:val="0"/>
      <w:numFmt w:val="bullet"/>
      <w:lvlText w:val="•"/>
      <w:lvlJc w:val="left"/>
      <w:pPr>
        <w:ind w:left="5996" w:hanging="222"/>
      </w:pPr>
      <w:rPr>
        <w:rFonts w:hint="default"/>
        <w:lang w:val="en-US" w:eastAsia="en-US" w:bidi="ar-SA"/>
      </w:rPr>
    </w:lvl>
    <w:lvl w:ilvl="7">
      <w:start w:val="0"/>
      <w:numFmt w:val="bullet"/>
      <w:lvlText w:val="•"/>
      <w:lvlJc w:val="left"/>
      <w:pPr>
        <w:ind w:left="6912" w:hanging="222"/>
      </w:pPr>
      <w:rPr>
        <w:rFonts w:hint="default"/>
        <w:lang w:val="en-US" w:eastAsia="en-US" w:bidi="ar-SA"/>
      </w:rPr>
    </w:lvl>
    <w:lvl w:ilvl="8">
      <w:start w:val="0"/>
      <w:numFmt w:val="bullet"/>
      <w:lvlText w:val="•"/>
      <w:lvlJc w:val="left"/>
      <w:pPr>
        <w:ind w:left="7828" w:hanging="222"/>
      </w:pPr>
      <w:rPr>
        <w:rFonts w:hint="default"/>
        <w:lang w:val="en-US" w:eastAsia="en-US" w:bidi="ar-SA"/>
      </w:rPr>
    </w:lvl>
  </w:abstractNum>
  <w:abstractNum w:abstractNumId="26">
    <w:multiLevelType w:val="hybridMultilevel"/>
    <w:lvl w:ilvl="0">
      <w:start w:val="0"/>
      <w:numFmt w:val="bullet"/>
      <w:lvlText w:val="•"/>
      <w:lvlJc w:val="left"/>
      <w:pPr>
        <w:ind w:left="501" w:hanging="222"/>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16" w:hanging="222"/>
      </w:pPr>
      <w:rPr>
        <w:rFonts w:hint="default"/>
        <w:lang w:val="en-US" w:eastAsia="en-US" w:bidi="ar-SA"/>
      </w:rPr>
    </w:lvl>
    <w:lvl w:ilvl="2">
      <w:start w:val="0"/>
      <w:numFmt w:val="bullet"/>
      <w:lvlText w:val="•"/>
      <w:lvlJc w:val="left"/>
      <w:pPr>
        <w:ind w:left="2332" w:hanging="222"/>
      </w:pPr>
      <w:rPr>
        <w:rFonts w:hint="default"/>
        <w:lang w:val="en-US" w:eastAsia="en-US" w:bidi="ar-SA"/>
      </w:rPr>
    </w:lvl>
    <w:lvl w:ilvl="3">
      <w:start w:val="0"/>
      <w:numFmt w:val="bullet"/>
      <w:lvlText w:val="•"/>
      <w:lvlJc w:val="left"/>
      <w:pPr>
        <w:ind w:left="3248" w:hanging="222"/>
      </w:pPr>
      <w:rPr>
        <w:rFonts w:hint="default"/>
        <w:lang w:val="en-US" w:eastAsia="en-US" w:bidi="ar-SA"/>
      </w:rPr>
    </w:lvl>
    <w:lvl w:ilvl="4">
      <w:start w:val="0"/>
      <w:numFmt w:val="bullet"/>
      <w:lvlText w:val="•"/>
      <w:lvlJc w:val="left"/>
      <w:pPr>
        <w:ind w:left="4164" w:hanging="222"/>
      </w:pPr>
      <w:rPr>
        <w:rFonts w:hint="default"/>
        <w:lang w:val="en-US" w:eastAsia="en-US" w:bidi="ar-SA"/>
      </w:rPr>
    </w:lvl>
    <w:lvl w:ilvl="5">
      <w:start w:val="0"/>
      <w:numFmt w:val="bullet"/>
      <w:lvlText w:val="•"/>
      <w:lvlJc w:val="left"/>
      <w:pPr>
        <w:ind w:left="5080" w:hanging="222"/>
      </w:pPr>
      <w:rPr>
        <w:rFonts w:hint="default"/>
        <w:lang w:val="en-US" w:eastAsia="en-US" w:bidi="ar-SA"/>
      </w:rPr>
    </w:lvl>
    <w:lvl w:ilvl="6">
      <w:start w:val="0"/>
      <w:numFmt w:val="bullet"/>
      <w:lvlText w:val="•"/>
      <w:lvlJc w:val="left"/>
      <w:pPr>
        <w:ind w:left="5996" w:hanging="222"/>
      </w:pPr>
      <w:rPr>
        <w:rFonts w:hint="default"/>
        <w:lang w:val="en-US" w:eastAsia="en-US" w:bidi="ar-SA"/>
      </w:rPr>
    </w:lvl>
    <w:lvl w:ilvl="7">
      <w:start w:val="0"/>
      <w:numFmt w:val="bullet"/>
      <w:lvlText w:val="•"/>
      <w:lvlJc w:val="left"/>
      <w:pPr>
        <w:ind w:left="6912" w:hanging="222"/>
      </w:pPr>
      <w:rPr>
        <w:rFonts w:hint="default"/>
        <w:lang w:val="en-US" w:eastAsia="en-US" w:bidi="ar-SA"/>
      </w:rPr>
    </w:lvl>
    <w:lvl w:ilvl="8">
      <w:start w:val="0"/>
      <w:numFmt w:val="bullet"/>
      <w:lvlText w:val="•"/>
      <w:lvlJc w:val="left"/>
      <w:pPr>
        <w:ind w:left="7828" w:hanging="222"/>
      </w:pPr>
      <w:rPr>
        <w:rFonts w:hint="default"/>
        <w:lang w:val="en-US" w:eastAsia="en-US" w:bidi="ar-SA"/>
      </w:rPr>
    </w:lvl>
  </w:abstractNum>
  <w:abstractNum w:abstractNumId="25">
    <w:multiLevelType w:val="hybridMultilevel"/>
    <w:lvl w:ilvl="0">
      <w:start w:val="0"/>
      <w:numFmt w:val="bullet"/>
      <w:lvlText w:val="✓"/>
      <w:lvlJc w:val="left"/>
      <w:pPr>
        <w:ind w:left="64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1542" w:hanging="360"/>
      </w:pPr>
      <w:rPr>
        <w:rFonts w:hint="default"/>
        <w:lang w:val="en-US" w:eastAsia="en-US" w:bidi="ar-SA"/>
      </w:rPr>
    </w:lvl>
    <w:lvl w:ilvl="2">
      <w:start w:val="0"/>
      <w:numFmt w:val="bullet"/>
      <w:lvlText w:val="•"/>
      <w:lvlJc w:val="left"/>
      <w:pPr>
        <w:ind w:left="2444" w:hanging="360"/>
      </w:pPr>
      <w:rPr>
        <w:rFonts w:hint="default"/>
        <w:lang w:val="en-US" w:eastAsia="en-US" w:bidi="ar-SA"/>
      </w:rPr>
    </w:lvl>
    <w:lvl w:ilvl="3">
      <w:start w:val="0"/>
      <w:numFmt w:val="bullet"/>
      <w:lvlText w:val="•"/>
      <w:lvlJc w:val="left"/>
      <w:pPr>
        <w:ind w:left="3346" w:hanging="360"/>
      </w:pPr>
      <w:rPr>
        <w:rFonts w:hint="default"/>
        <w:lang w:val="en-US" w:eastAsia="en-US" w:bidi="ar-SA"/>
      </w:rPr>
    </w:lvl>
    <w:lvl w:ilvl="4">
      <w:start w:val="0"/>
      <w:numFmt w:val="bullet"/>
      <w:lvlText w:val="•"/>
      <w:lvlJc w:val="left"/>
      <w:pPr>
        <w:ind w:left="4248" w:hanging="360"/>
      </w:pPr>
      <w:rPr>
        <w:rFonts w:hint="default"/>
        <w:lang w:val="en-US" w:eastAsia="en-US" w:bidi="ar-SA"/>
      </w:rPr>
    </w:lvl>
    <w:lvl w:ilvl="5">
      <w:start w:val="0"/>
      <w:numFmt w:val="bullet"/>
      <w:lvlText w:val="•"/>
      <w:lvlJc w:val="left"/>
      <w:pPr>
        <w:ind w:left="5150" w:hanging="360"/>
      </w:pPr>
      <w:rPr>
        <w:rFonts w:hint="default"/>
        <w:lang w:val="en-US" w:eastAsia="en-US" w:bidi="ar-SA"/>
      </w:rPr>
    </w:lvl>
    <w:lvl w:ilvl="6">
      <w:start w:val="0"/>
      <w:numFmt w:val="bullet"/>
      <w:lvlText w:val="•"/>
      <w:lvlJc w:val="left"/>
      <w:pPr>
        <w:ind w:left="6052" w:hanging="360"/>
      </w:pPr>
      <w:rPr>
        <w:rFonts w:hint="default"/>
        <w:lang w:val="en-US" w:eastAsia="en-US" w:bidi="ar-SA"/>
      </w:rPr>
    </w:lvl>
    <w:lvl w:ilvl="7">
      <w:start w:val="0"/>
      <w:numFmt w:val="bullet"/>
      <w:lvlText w:val="•"/>
      <w:lvlJc w:val="left"/>
      <w:pPr>
        <w:ind w:left="6954" w:hanging="360"/>
      </w:pPr>
      <w:rPr>
        <w:rFonts w:hint="default"/>
        <w:lang w:val="en-US" w:eastAsia="en-US" w:bidi="ar-SA"/>
      </w:rPr>
    </w:lvl>
    <w:lvl w:ilvl="8">
      <w:start w:val="0"/>
      <w:numFmt w:val="bullet"/>
      <w:lvlText w:val="•"/>
      <w:lvlJc w:val="left"/>
      <w:pPr>
        <w:ind w:left="7856" w:hanging="360"/>
      </w:pPr>
      <w:rPr>
        <w:rFonts w:hint="default"/>
        <w:lang w:val="en-US" w:eastAsia="en-US" w:bidi="ar-SA"/>
      </w:rPr>
    </w:lvl>
  </w:abstractNum>
  <w:abstractNum w:abstractNumId="24">
    <w:multiLevelType w:val="hybridMultilevel"/>
    <w:lvl w:ilvl="0">
      <w:start w:val="0"/>
      <w:numFmt w:val="bullet"/>
      <w:lvlText w:val="•"/>
      <w:lvlJc w:val="left"/>
      <w:pPr>
        <w:ind w:left="501" w:hanging="222"/>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218" w:hanging="459"/>
      </w:pPr>
      <w:rPr>
        <w:rFonts w:hint="default" w:ascii="Segoe UI Symbol" w:hAnsi="Segoe UI Symbol" w:eastAsia="Segoe UI Symbol" w:cs="Segoe UI Symbol"/>
        <w:spacing w:val="0"/>
        <w:w w:val="97"/>
        <w:lang w:val="en-US" w:eastAsia="en-US" w:bidi="ar-SA"/>
      </w:rPr>
    </w:lvl>
    <w:lvl w:ilvl="2">
      <w:start w:val="0"/>
      <w:numFmt w:val="bullet"/>
      <w:lvlText w:val="•"/>
      <w:lvlJc w:val="left"/>
      <w:pPr>
        <w:ind w:left="2157" w:hanging="459"/>
      </w:pPr>
      <w:rPr>
        <w:rFonts w:hint="default"/>
        <w:lang w:val="en-US" w:eastAsia="en-US" w:bidi="ar-SA"/>
      </w:rPr>
    </w:lvl>
    <w:lvl w:ilvl="3">
      <w:start w:val="0"/>
      <w:numFmt w:val="bullet"/>
      <w:lvlText w:val="•"/>
      <w:lvlJc w:val="left"/>
      <w:pPr>
        <w:ind w:left="3095" w:hanging="459"/>
      </w:pPr>
      <w:rPr>
        <w:rFonts w:hint="default"/>
        <w:lang w:val="en-US" w:eastAsia="en-US" w:bidi="ar-SA"/>
      </w:rPr>
    </w:lvl>
    <w:lvl w:ilvl="4">
      <w:start w:val="0"/>
      <w:numFmt w:val="bullet"/>
      <w:lvlText w:val="•"/>
      <w:lvlJc w:val="left"/>
      <w:pPr>
        <w:ind w:left="4033" w:hanging="459"/>
      </w:pPr>
      <w:rPr>
        <w:rFonts w:hint="default"/>
        <w:lang w:val="en-US" w:eastAsia="en-US" w:bidi="ar-SA"/>
      </w:rPr>
    </w:lvl>
    <w:lvl w:ilvl="5">
      <w:start w:val="0"/>
      <w:numFmt w:val="bullet"/>
      <w:lvlText w:val="•"/>
      <w:lvlJc w:val="left"/>
      <w:pPr>
        <w:ind w:left="4971" w:hanging="459"/>
      </w:pPr>
      <w:rPr>
        <w:rFonts w:hint="default"/>
        <w:lang w:val="en-US" w:eastAsia="en-US" w:bidi="ar-SA"/>
      </w:rPr>
    </w:lvl>
    <w:lvl w:ilvl="6">
      <w:start w:val="0"/>
      <w:numFmt w:val="bullet"/>
      <w:lvlText w:val="•"/>
      <w:lvlJc w:val="left"/>
      <w:pPr>
        <w:ind w:left="5908" w:hanging="459"/>
      </w:pPr>
      <w:rPr>
        <w:rFonts w:hint="default"/>
        <w:lang w:val="en-US" w:eastAsia="en-US" w:bidi="ar-SA"/>
      </w:rPr>
    </w:lvl>
    <w:lvl w:ilvl="7">
      <w:start w:val="0"/>
      <w:numFmt w:val="bullet"/>
      <w:lvlText w:val="•"/>
      <w:lvlJc w:val="left"/>
      <w:pPr>
        <w:ind w:left="6846" w:hanging="459"/>
      </w:pPr>
      <w:rPr>
        <w:rFonts w:hint="default"/>
        <w:lang w:val="en-US" w:eastAsia="en-US" w:bidi="ar-SA"/>
      </w:rPr>
    </w:lvl>
    <w:lvl w:ilvl="8">
      <w:start w:val="0"/>
      <w:numFmt w:val="bullet"/>
      <w:lvlText w:val="•"/>
      <w:lvlJc w:val="left"/>
      <w:pPr>
        <w:ind w:left="7784" w:hanging="459"/>
      </w:pPr>
      <w:rPr>
        <w:rFonts w:hint="default"/>
        <w:lang w:val="en-US" w:eastAsia="en-US" w:bidi="ar-SA"/>
      </w:rPr>
    </w:lvl>
  </w:abstractNum>
  <w:abstractNum w:abstractNumId="23">
    <w:multiLevelType w:val="hybridMultilevel"/>
    <w:lvl w:ilvl="0">
      <w:start w:val="0"/>
      <w:numFmt w:val="bullet"/>
      <w:lvlText w:val="➢"/>
      <w:lvlJc w:val="left"/>
      <w:pPr>
        <w:ind w:left="1218" w:hanging="459"/>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2064" w:hanging="459"/>
      </w:pPr>
      <w:rPr>
        <w:rFonts w:hint="default"/>
        <w:lang w:val="en-US" w:eastAsia="en-US" w:bidi="ar-SA"/>
      </w:rPr>
    </w:lvl>
    <w:lvl w:ilvl="2">
      <w:start w:val="0"/>
      <w:numFmt w:val="bullet"/>
      <w:lvlText w:val="•"/>
      <w:lvlJc w:val="left"/>
      <w:pPr>
        <w:ind w:left="2908" w:hanging="459"/>
      </w:pPr>
      <w:rPr>
        <w:rFonts w:hint="default"/>
        <w:lang w:val="en-US" w:eastAsia="en-US" w:bidi="ar-SA"/>
      </w:rPr>
    </w:lvl>
    <w:lvl w:ilvl="3">
      <w:start w:val="0"/>
      <w:numFmt w:val="bullet"/>
      <w:lvlText w:val="•"/>
      <w:lvlJc w:val="left"/>
      <w:pPr>
        <w:ind w:left="3752" w:hanging="459"/>
      </w:pPr>
      <w:rPr>
        <w:rFonts w:hint="default"/>
        <w:lang w:val="en-US" w:eastAsia="en-US" w:bidi="ar-SA"/>
      </w:rPr>
    </w:lvl>
    <w:lvl w:ilvl="4">
      <w:start w:val="0"/>
      <w:numFmt w:val="bullet"/>
      <w:lvlText w:val="•"/>
      <w:lvlJc w:val="left"/>
      <w:pPr>
        <w:ind w:left="4596" w:hanging="459"/>
      </w:pPr>
      <w:rPr>
        <w:rFonts w:hint="default"/>
        <w:lang w:val="en-US" w:eastAsia="en-US" w:bidi="ar-SA"/>
      </w:rPr>
    </w:lvl>
    <w:lvl w:ilvl="5">
      <w:start w:val="0"/>
      <w:numFmt w:val="bullet"/>
      <w:lvlText w:val="•"/>
      <w:lvlJc w:val="left"/>
      <w:pPr>
        <w:ind w:left="5440" w:hanging="459"/>
      </w:pPr>
      <w:rPr>
        <w:rFonts w:hint="default"/>
        <w:lang w:val="en-US" w:eastAsia="en-US" w:bidi="ar-SA"/>
      </w:rPr>
    </w:lvl>
    <w:lvl w:ilvl="6">
      <w:start w:val="0"/>
      <w:numFmt w:val="bullet"/>
      <w:lvlText w:val="•"/>
      <w:lvlJc w:val="left"/>
      <w:pPr>
        <w:ind w:left="6284" w:hanging="459"/>
      </w:pPr>
      <w:rPr>
        <w:rFonts w:hint="default"/>
        <w:lang w:val="en-US" w:eastAsia="en-US" w:bidi="ar-SA"/>
      </w:rPr>
    </w:lvl>
    <w:lvl w:ilvl="7">
      <w:start w:val="0"/>
      <w:numFmt w:val="bullet"/>
      <w:lvlText w:val="•"/>
      <w:lvlJc w:val="left"/>
      <w:pPr>
        <w:ind w:left="7128" w:hanging="459"/>
      </w:pPr>
      <w:rPr>
        <w:rFonts w:hint="default"/>
        <w:lang w:val="en-US" w:eastAsia="en-US" w:bidi="ar-SA"/>
      </w:rPr>
    </w:lvl>
    <w:lvl w:ilvl="8">
      <w:start w:val="0"/>
      <w:numFmt w:val="bullet"/>
      <w:lvlText w:val="•"/>
      <w:lvlJc w:val="left"/>
      <w:pPr>
        <w:ind w:left="7972" w:hanging="459"/>
      </w:pPr>
      <w:rPr>
        <w:rFonts w:hint="default"/>
        <w:lang w:val="en-US" w:eastAsia="en-US" w:bidi="ar-SA"/>
      </w:rPr>
    </w:lvl>
  </w:abstractNum>
  <w:abstractNum w:abstractNumId="22">
    <w:multiLevelType w:val="hybridMultilevel"/>
    <w:lvl w:ilvl="0">
      <w:start w:val="0"/>
      <w:numFmt w:val="bullet"/>
      <w:lvlText w:val="➢"/>
      <w:lvlJc w:val="left"/>
      <w:pPr>
        <w:ind w:left="738" w:hanging="459"/>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1632" w:hanging="459"/>
      </w:pPr>
      <w:rPr>
        <w:rFonts w:hint="default"/>
        <w:lang w:val="en-US" w:eastAsia="en-US" w:bidi="ar-SA"/>
      </w:rPr>
    </w:lvl>
    <w:lvl w:ilvl="2">
      <w:start w:val="0"/>
      <w:numFmt w:val="bullet"/>
      <w:lvlText w:val="•"/>
      <w:lvlJc w:val="left"/>
      <w:pPr>
        <w:ind w:left="2524" w:hanging="459"/>
      </w:pPr>
      <w:rPr>
        <w:rFonts w:hint="default"/>
        <w:lang w:val="en-US" w:eastAsia="en-US" w:bidi="ar-SA"/>
      </w:rPr>
    </w:lvl>
    <w:lvl w:ilvl="3">
      <w:start w:val="0"/>
      <w:numFmt w:val="bullet"/>
      <w:lvlText w:val="•"/>
      <w:lvlJc w:val="left"/>
      <w:pPr>
        <w:ind w:left="3416" w:hanging="459"/>
      </w:pPr>
      <w:rPr>
        <w:rFonts w:hint="default"/>
        <w:lang w:val="en-US" w:eastAsia="en-US" w:bidi="ar-SA"/>
      </w:rPr>
    </w:lvl>
    <w:lvl w:ilvl="4">
      <w:start w:val="0"/>
      <w:numFmt w:val="bullet"/>
      <w:lvlText w:val="•"/>
      <w:lvlJc w:val="left"/>
      <w:pPr>
        <w:ind w:left="4308" w:hanging="459"/>
      </w:pPr>
      <w:rPr>
        <w:rFonts w:hint="default"/>
        <w:lang w:val="en-US" w:eastAsia="en-US" w:bidi="ar-SA"/>
      </w:rPr>
    </w:lvl>
    <w:lvl w:ilvl="5">
      <w:start w:val="0"/>
      <w:numFmt w:val="bullet"/>
      <w:lvlText w:val="•"/>
      <w:lvlJc w:val="left"/>
      <w:pPr>
        <w:ind w:left="5200" w:hanging="459"/>
      </w:pPr>
      <w:rPr>
        <w:rFonts w:hint="default"/>
        <w:lang w:val="en-US" w:eastAsia="en-US" w:bidi="ar-SA"/>
      </w:rPr>
    </w:lvl>
    <w:lvl w:ilvl="6">
      <w:start w:val="0"/>
      <w:numFmt w:val="bullet"/>
      <w:lvlText w:val="•"/>
      <w:lvlJc w:val="left"/>
      <w:pPr>
        <w:ind w:left="6092" w:hanging="459"/>
      </w:pPr>
      <w:rPr>
        <w:rFonts w:hint="default"/>
        <w:lang w:val="en-US" w:eastAsia="en-US" w:bidi="ar-SA"/>
      </w:rPr>
    </w:lvl>
    <w:lvl w:ilvl="7">
      <w:start w:val="0"/>
      <w:numFmt w:val="bullet"/>
      <w:lvlText w:val="•"/>
      <w:lvlJc w:val="left"/>
      <w:pPr>
        <w:ind w:left="6984" w:hanging="459"/>
      </w:pPr>
      <w:rPr>
        <w:rFonts w:hint="default"/>
        <w:lang w:val="en-US" w:eastAsia="en-US" w:bidi="ar-SA"/>
      </w:rPr>
    </w:lvl>
    <w:lvl w:ilvl="8">
      <w:start w:val="0"/>
      <w:numFmt w:val="bullet"/>
      <w:lvlText w:val="•"/>
      <w:lvlJc w:val="left"/>
      <w:pPr>
        <w:ind w:left="7876" w:hanging="459"/>
      </w:pPr>
      <w:rPr>
        <w:rFonts w:hint="default"/>
        <w:lang w:val="en-US" w:eastAsia="en-US" w:bidi="ar-SA"/>
      </w:rPr>
    </w:lvl>
  </w:abstractNum>
  <w:abstractNum w:abstractNumId="21">
    <w:multiLevelType w:val="hybridMultilevel"/>
    <w:lvl w:ilvl="0">
      <w:start w:val="0"/>
      <w:numFmt w:val="bullet"/>
      <w:lvlText w:val="•"/>
      <w:lvlJc w:val="left"/>
      <w:pPr>
        <w:ind w:left="1000" w:hanging="500"/>
      </w:pPr>
      <w:rPr>
        <w:rFonts w:hint="default" w:ascii="Arial" w:hAnsi="Arial" w:eastAsia="Arial" w:cs="Arial"/>
        <w:b w:val="0"/>
        <w:bCs w:val="0"/>
        <w:i w:val="0"/>
        <w:iCs w:val="0"/>
        <w:color w:val="4A4A4A"/>
        <w:spacing w:val="0"/>
        <w:w w:val="100"/>
        <w:sz w:val="28"/>
        <w:szCs w:val="28"/>
        <w:lang w:val="en-US" w:eastAsia="en-US" w:bidi="ar-SA"/>
      </w:rPr>
    </w:lvl>
    <w:lvl w:ilvl="1">
      <w:start w:val="0"/>
      <w:numFmt w:val="bullet"/>
      <w:lvlText w:val="•"/>
      <w:lvlJc w:val="left"/>
      <w:pPr>
        <w:ind w:left="1866" w:hanging="500"/>
      </w:pPr>
      <w:rPr>
        <w:rFonts w:hint="default"/>
        <w:lang w:val="en-US" w:eastAsia="en-US" w:bidi="ar-SA"/>
      </w:rPr>
    </w:lvl>
    <w:lvl w:ilvl="2">
      <w:start w:val="0"/>
      <w:numFmt w:val="bullet"/>
      <w:lvlText w:val="•"/>
      <w:lvlJc w:val="left"/>
      <w:pPr>
        <w:ind w:left="2732" w:hanging="500"/>
      </w:pPr>
      <w:rPr>
        <w:rFonts w:hint="default"/>
        <w:lang w:val="en-US" w:eastAsia="en-US" w:bidi="ar-SA"/>
      </w:rPr>
    </w:lvl>
    <w:lvl w:ilvl="3">
      <w:start w:val="0"/>
      <w:numFmt w:val="bullet"/>
      <w:lvlText w:val="•"/>
      <w:lvlJc w:val="left"/>
      <w:pPr>
        <w:ind w:left="3598" w:hanging="500"/>
      </w:pPr>
      <w:rPr>
        <w:rFonts w:hint="default"/>
        <w:lang w:val="en-US" w:eastAsia="en-US" w:bidi="ar-SA"/>
      </w:rPr>
    </w:lvl>
    <w:lvl w:ilvl="4">
      <w:start w:val="0"/>
      <w:numFmt w:val="bullet"/>
      <w:lvlText w:val="•"/>
      <w:lvlJc w:val="left"/>
      <w:pPr>
        <w:ind w:left="4464" w:hanging="500"/>
      </w:pPr>
      <w:rPr>
        <w:rFonts w:hint="default"/>
        <w:lang w:val="en-US" w:eastAsia="en-US" w:bidi="ar-SA"/>
      </w:rPr>
    </w:lvl>
    <w:lvl w:ilvl="5">
      <w:start w:val="0"/>
      <w:numFmt w:val="bullet"/>
      <w:lvlText w:val="•"/>
      <w:lvlJc w:val="left"/>
      <w:pPr>
        <w:ind w:left="5330" w:hanging="500"/>
      </w:pPr>
      <w:rPr>
        <w:rFonts w:hint="default"/>
        <w:lang w:val="en-US" w:eastAsia="en-US" w:bidi="ar-SA"/>
      </w:rPr>
    </w:lvl>
    <w:lvl w:ilvl="6">
      <w:start w:val="0"/>
      <w:numFmt w:val="bullet"/>
      <w:lvlText w:val="•"/>
      <w:lvlJc w:val="left"/>
      <w:pPr>
        <w:ind w:left="6196" w:hanging="500"/>
      </w:pPr>
      <w:rPr>
        <w:rFonts w:hint="default"/>
        <w:lang w:val="en-US" w:eastAsia="en-US" w:bidi="ar-SA"/>
      </w:rPr>
    </w:lvl>
    <w:lvl w:ilvl="7">
      <w:start w:val="0"/>
      <w:numFmt w:val="bullet"/>
      <w:lvlText w:val="•"/>
      <w:lvlJc w:val="left"/>
      <w:pPr>
        <w:ind w:left="7062" w:hanging="500"/>
      </w:pPr>
      <w:rPr>
        <w:rFonts w:hint="default"/>
        <w:lang w:val="en-US" w:eastAsia="en-US" w:bidi="ar-SA"/>
      </w:rPr>
    </w:lvl>
    <w:lvl w:ilvl="8">
      <w:start w:val="0"/>
      <w:numFmt w:val="bullet"/>
      <w:lvlText w:val="•"/>
      <w:lvlJc w:val="left"/>
      <w:pPr>
        <w:ind w:left="7928" w:hanging="500"/>
      </w:pPr>
      <w:rPr>
        <w:rFonts w:hint="default"/>
        <w:lang w:val="en-US" w:eastAsia="en-US" w:bidi="ar-SA"/>
      </w:rPr>
    </w:lvl>
  </w:abstractNum>
  <w:abstractNum w:abstractNumId="20">
    <w:multiLevelType w:val="hybridMultilevel"/>
    <w:lvl w:ilvl="0">
      <w:start w:val="0"/>
      <w:numFmt w:val="bullet"/>
      <w:lvlText w:val="➢"/>
      <w:lvlJc w:val="left"/>
      <w:pPr>
        <w:ind w:left="1218" w:hanging="459"/>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2064" w:hanging="459"/>
      </w:pPr>
      <w:rPr>
        <w:rFonts w:hint="default"/>
        <w:lang w:val="en-US" w:eastAsia="en-US" w:bidi="ar-SA"/>
      </w:rPr>
    </w:lvl>
    <w:lvl w:ilvl="2">
      <w:start w:val="0"/>
      <w:numFmt w:val="bullet"/>
      <w:lvlText w:val="•"/>
      <w:lvlJc w:val="left"/>
      <w:pPr>
        <w:ind w:left="2908" w:hanging="459"/>
      </w:pPr>
      <w:rPr>
        <w:rFonts w:hint="default"/>
        <w:lang w:val="en-US" w:eastAsia="en-US" w:bidi="ar-SA"/>
      </w:rPr>
    </w:lvl>
    <w:lvl w:ilvl="3">
      <w:start w:val="0"/>
      <w:numFmt w:val="bullet"/>
      <w:lvlText w:val="•"/>
      <w:lvlJc w:val="left"/>
      <w:pPr>
        <w:ind w:left="3752" w:hanging="459"/>
      </w:pPr>
      <w:rPr>
        <w:rFonts w:hint="default"/>
        <w:lang w:val="en-US" w:eastAsia="en-US" w:bidi="ar-SA"/>
      </w:rPr>
    </w:lvl>
    <w:lvl w:ilvl="4">
      <w:start w:val="0"/>
      <w:numFmt w:val="bullet"/>
      <w:lvlText w:val="•"/>
      <w:lvlJc w:val="left"/>
      <w:pPr>
        <w:ind w:left="4596" w:hanging="459"/>
      </w:pPr>
      <w:rPr>
        <w:rFonts w:hint="default"/>
        <w:lang w:val="en-US" w:eastAsia="en-US" w:bidi="ar-SA"/>
      </w:rPr>
    </w:lvl>
    <w:lvl w:ilvl="5">
      <w:start w:val="0"/>
      <w:numFmt w:val="bullet"/>
      <w:lvlText w:val="•"/>
      <w:lvlJc w:val="left"/>
      <w:pPr>
        <w:ind w:left="5440" w:hanging="459"/>
      </w:pPr>
      <w:rPr>
        <w:rFonts w:hint="default"/>
        <w:lang w:val="en-US" w:eastAsia="en-US" w:bidi="ar-SA"/>
      </w:rPr>
    </w:lvl>
    <w:lvl w:ilvl="6">
      <w:start w:val="0"/>
      <w:numFmt w:val="bullet"/>
      <w:lvlText w:val="•"/>
      <w:lvlJc w:val="left"/>
      <w:pPr>
        <w:ind w:left="6284" w:hanging="459"/>
      </w:pPr>
      <w:rPr>
        <w:rFonts w:hint="default"/>
        <w:lang w:val="en-US" w:eastAsia="en-US" w:bidi="ar-SA"/>
      </w:rPr>
    </w:lvl>
    <w:lvl w:ilvl="7">
      <w:start w:val="0"/>
      <w:numFmt w:val="bullet"/>
      <w:lvlText w:val="•"/>
      <w:lvlJc w:val="left"/>
      <w:pPr>
        <w:ind w:left="7128" w:hanging="459"/>
      </w:pPr>
      <w:rPr>
        <w:rFonts w:hint="default"/>
        <w:lang w:val="en-US" w:eastAsia="en-US" w:bidi="ar-SA"/>
      </w:rPr>
    </w:lvl>
    <w:lvl w:ilvl="8">
      <w:start w:val="0"/>
      <w:numFmt w:val="bullet"/>
      <w:lvlText w:val="•"/>
      <w:lvlJc w:val="left"/>
      <w:pPr>
        <w:ind w:left="7972" w:hanging="459"/>
      </w:pPr>
      <w:rPr>
        <w:rFonts w:hint="default"/>
        <w:lang w:val="en-US" w:eastAsia="en-US" w:bidi="ar-SA"/>
      </w:rPr>
    </w:lvl>
  </w:abstractNum>
  <w:abstractNum w:abstractNumId="19">
    <w:multiLevelType w:val="hybridMultilevel"/>
    <w:lvl w:ilvl="0">
      <w:start w:val="0"/>
      <w:numFmt w:val="bullet"/>
      <w:lvlText w:val="➢"/>
      <w:lvlJc w:val="left"/>
      <w:pPr>
        <w:ind w:left="1218" w:hanging="459"/>
      </w:pPr>
      <w:rPr>
        <w:rFonts w:hint="default" w:ascii="Segoe UI Symbol" w:hAnsi="Segoe UI Symbol" w:eastAsia="Segoe UI Symbol" w:cs="Segoe UI Symbol"/>
        <w:spacing w:val="0"/>
        <w:w w:val="97"/>
        <w:lang w:val="en-US" w:eastAsia="en-US" w:bidi="ar-SA"/>
      </w:rPr>
    </w:lvl>
    <w:lvl w:ilvl="1">
      <w:start w:val="0"/>
      <w:numFmt w:val="bullet"/>
      <w:lvlText w:val="•"/>
      <w:lvlJc w:val="left"/>
      <w:pPr>
        <w:ind w:left="2064" w:hanging="459"/>
      </w:pPr>
      <w:rPr>
        <w:rFonts w:hint="default"/>
        <w:lang w:val="en-US" w:eastAsia="en-US" w:bidi="ar-SA"/>
      </w:rPr>
    </w:lvl>
    <w:lvl w:ilvl="2">
      <w:start w:val="0"/>
      <w:numFmt w:val="bullet"/>
      <w:lvlText w:val="•"/>
      <w:lvlJc w:val="left"/>
      <w:pPr>
        <w:ind w:left="2908" w:hanging="459"/>
      </w:pPr>
      <w:rPr>
        <w:rFonts w:hint="default"/>
        <w:lang w:val="en-US" w:eastAsia="en-US" w:bidi="ar-SA"/>
      </w:rPr>
    </w:lvl>
    <w:lvl w:ilvl="3">
      <w:start w:val="0"/>
      <w:numFmt w:val="bullet"/>
      <w:lvlText w:val="•"/>
      <w:lvlJc w:val="left"/>
      <w:pPr>
        <w:ind w:left="3752" w:hanging="459"/>
      </w:pPr>
      <w:rPr>
        <w:rFonts w:hint="default"/>
        <w:lang w:val="en-US" w:eastAsia="en-US" w:bidi="ar-SA"/>
      </w:rPr>
    </w:lvl>
    <w:lvl w:ilvl="4">
      <w:start w:val="0"/>
      <w:numFmt w:val="bullet"/>
      <w:lvlText w:val="•"/>
      <w:lvlJc w:val="left"/>
      <w:pPr>
        <w:ind w:left="4596" w:hanging="459"/>
      </w:pPr>
      <w:rPr>
        <w:rFonts w:hint="default"/>
        <w:lang w:val="en-US" w:eastAsia="en-US" w:bidi="ar-SA"/>
      </w:rPr>
    </w:lvl>
    <w:lvl w:ilvl="5">
      <w:start w:val="0"/>
      <w:numFmt w:val="bullet"/>
      <w:lvlText w:val="•"/>
      <w:lvlJc w:val="left"/>
      <w:pPr>
        <w:ind w:left="5440" w:hanging="459"/>
      </w:pPr>
      <w:rPr>
        <w:rFonts w:hint="default"/>
        <w:lang w:val="en-US" w:eastAsia="en-US" w:bidi="ar-SA"/>
      </w:rPr>
    </w:lvl>
    <w:lvl w:ilvl="6">
      <w:start w:val="0"/>
      <w:numFmt w:val="bullet"/>
      <w:lvlText w:val="•"/>
      <w:lvlJc w:val="left"/>
      <w:pPr>
        <w:ind w:left="6284" w:hanging="459"/>
      </w:pPr>
      <w:rPr>
        <w:rFonts w:hint="default"/>
        <w:lang w:val="en-US" w:eastAsia="en-US" w:bidi="ar-SA"/>
      </w:rPr>
    </w:lvl>
    <w:lvl w:ilvl="7">
      <w:start w:val="0"/>
      <w:numFmt w:val="bullet"/>
      <w:lvlText w:val="•"/>
      <w:lvlJc w:val="left"/>
      <w:pPr>
        <w:ind w:left="7128" w:hanging="459"/>
      </w:pPr>
      <w:rPr>
        <w:rFonts w:hint="default"/>
        <w:lang w:val="en-US" w:eastAsia="en-US" w:bidi="ar-SA"/>
      </w:rPr>
    </w:lvl>
    <w:lvl w:ilvl="8">
      <w:start w:val="0"/>
      <w:numFmt w:val="bullet"/>
      <w:lvlText w:val="•"/>
      <w:lvlJc w:val="left"/>
      <w:pPr>
        <w:ind w:left="7972" w:hanging="459"/>
      </w:pPr>
      <w:rPr>
        <w:rFonts w:hint="default"/>
        <w:lang w:val="en-US" w:eastAsia="en-US" w:bidi="ar-SA"/>
      </w:rPr>
    </w:lvl>
  </w:abstractNum>
  <w:abstractNum w:abstractNumId="18">
    <w:multiLevelType w:val="hybridMultilevel"/>
    <w:lvl w:ilvl="0">
      <w:start w:val="0"/>
      <w:numFmt w:val="bullet"/>
      <w:lvlText w:val="➢"/>
      <w:lvlJc w:val="left"/>
      <w:pPr>
        <w:ind w:left="1219" w:hanging="459"/>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2064" w:hanging="459"/>
      </w:pPr>
      <w:rPr>
        <w:rFonts w:hint="default"/>
        <w:lang w:val="en-US" w:eastAsia="en-US" w:bidi="ar-SA"/>
      </w:rPr>
    </w:lvl>
    <w:lvl w:ilvl="2">
      <w:start w:val="0"/>
      <w:numFmt w:val="bullet"/>
      <w:lvlText w:val="•"/>
      <w:lvlJc w:val="left"/>
      <w:pPr>
        <w:ind w:left="2908" w:hanging="459"/>
      </w:pPr>
      <w:rPr>
        <w:rFonts w:hint="default"/>
        <w:lang w:val="en-US" w:eastAsia="en-US" w:bidi="ar-SA"/>
      </w:rPr>
    </w:lvl>
    <w:lvl w:ilvl="3">
      <w:start w:val="0"/>
      <w:numFmt w:val="bullet"/>
      <w:lvlText w:val="•"/>
      <w:lvlJc w:val="left"/>
      <w:pPr>
        <w:ind w:left="3752" w:hanging="459"/>
      </w:pPr>
      <w:rPr>
        <w:rFonts w:hint="default"/>
        <w:lang w:val="en-US" w:eastAsia="en-US" w:bidi="ar-SA"/>
      </w:rPr>
    </w:lvl>
    <w:lvl w:ilvl="4">
      <w:start w:val="0"/>
      <w:numFmt w:val="bullet"/>
      <w:lvlText w:val="•"/>
      <w:lvlJc w:val="left"/>
      <w:pPr>
        <w:ind w:left="4596" w:hanging="459"/>
      </w:pPr>
      <w:rPr>
        <w:rFonts w:hint="default"/>
        <w:lang w:val="en-US" w:eastAsia="en-US" w:bidi="ar-SA"/>
      </w:rPr>
    </w:lvl>
    <w:lvl w:ilvl="5">
      <w:start w:val="0"/>
      <w:numFmt w:val="bullet"/>
      <w:lvlText w:val="•"/>
      <w:lvlJc w:val="left"/>
      <w:pPr>
        <w:ind w:left="5440" w:hanging="459"/>
      </w:pPr>
      <w:rPr>
        <w:rFonts w:hint="default"/>
        <w:lang w:val="en-US" w:eastAsia="en-US" w:bidi="ar-SA"/>
      </w:rPr>
    </w:lvl>
    <w:lvl w:ilvl="6">
      <w:start w:val="0"/>
      <w:numFmt w:val="bullet"/>
      <w:lvlText w:val="•"/>
      <w:lvlJc w:val="left"/>
      <w:pPr>
        <w:ind w:left="6284" w:hanging="459"/>
      </w:pPr>
      <w:rPr>
        <w:rFonts w:hint="default"/>
        <w:lang w:val="en-US" w:eastAsia="en-US" w:bidi="ar-SA"/>
      </w:rPr>
    </w:lvl>
    <w:lvl w:ilvl="7">
      <w:start w:val="0"/>
      <w:numFmt w:val="bullet"/>
      <w:lvlText w:val="•"/>
      <w:lvlJc w:val="left"/>
      <w:pPr>
        <w:ind w:left="7128" w:hanging="459"/>
      </w:pPr>
      <w:rPr>
        <w:rFonts w:hint="default"/>
        <w:lang w:val="en-US" w:eastAsia="en-US" w:bidi="ar-SA"/>
      </w:rPr>
    </w:lvl>
    <w:lvl w:ilvl="8">
      <w:start w:val="0"/>
      <w:numFmt w:val="bullet"/>
      <w:lvlText w:val="•"/>
      <w:lvlJc w:val="left"/>
      <w:pPr>
        <w:ind w:left="7972" w:hanging="459"/>
      </w:pPr>
      <w:rPr>
        <w:rFonts w:hint="default"/>
        <w:lang w:val="en-US" w:eastAsia="en-US" w:bidi="ar-SA"/>
      </w:rPr>
    </w:lvl>
  </w:abstractNum>
  <w:abstractNum w:abstractNumId="17">
    <w:multiLevelType w:val="hybridMultilevel"/>
    <w:lvl w:ilvl="0">
      <w:start w:val="0"/>
      <w:numFmt w:val="bullet"/>
      <w:lvlText w:val="❖"/>
      <w:lvlJc w:val="left"/>
      <w:pPr>
        <w:ind w:left="76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1650" w:hanging="360"/>
      </w:pPr>
      <w:rPr>
        <w:rFonts w:hint="default"/>
        <w:lang w:val="en-US" w:eastAsia="en-US" w:bidi="ar-SA"/>
      </w:rPr>
    </w:lvl>
    <w:lvl w:ilvl="2">
      <w:start w:val="0"/>
      <w:numFmt w:val="bullet"/>
      <w:lvlText w:val="•"/>
      <w:lvlJc w:val="left"/>
      <w:pPr>
        <w:ind w:left="2540" w:hanging="360"/>
      </w:pPr>
      <w:rPr>
        <w:rFonts w:hint="default"/>
        <w:lang w:val="en-US" w:eastAsia="en-US" w:bidi="ar-SA"/>
      </w:rPr>
    </w:lvl>
    <w:lvl w:ilvl="3">
      <w:start w:val="0"/>
      <w:numFmt w:val="bullet"/>
      <w:lvlText w:val="•"/>
      <w:lvlJc w:val="left"/>
      <w:pPr>
        <w:ind w:left="3430" w:hanging="360"/>
      </w:pPr>
      <w:rPr>
        <w:rFonts w:hint="default"/>
        <w:lang w:val="en-US" w:eastAsia="en-US" w:bidi="ar-SA"/>
      </w:rPr>
    </w:lvl>
    <w:lvl w:ilvl="4">
      <w:start w:val="0"/>
      <w:numFmt w:val="bullet"/>
      <w:lvlText w:val="•"/>
      <w:lvlJc w:val="left"/>
      <w:pPr>
        <w:ind w:left="4320"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100" w:hanging="360"/>
      </w:pPr>
      <w:rPr>
        <w:rFonts w:hint="default"/>
        <w:lang w:val="en-US" w:eastAsia="en-US" w:bidi="ar-SA"/>
      </w:rPr>
    </w:lvl>
    <w:lvl w:ilvl="7">
      <w:start w:val="0"/>
      <w:numFmt w:val="bullet"/>
      <w:lvlText w:val="•"/>
      <w:lvlJc w:val="left"/>
      <w:pPr>
        <w:ind w:left="6990" w:hanging="360"/>
      </w:pPr>
      <w:rPr>
        <w:rFonts w:hint="default"/>
        <w:lang w:val="en-US" w:eastAsia="en-US" w:bidi="ar-SA"/>
      </w:rPr>
    </w:lvl>
    <w:lvl w:ilvl="8">
      <w:start w:val="0"/>
      <w:numFmt w:val="bullet"/>
      <w:lvlText w:val="•"/>
      <w:lvlJc w:val="left"/>
      <w:pPr>
        <w:ind w:left="7880" w:hanging="360"/>
      </w:pPr>
      <w:rPr>
        <w:rFonts w:hint="default"/>
        <w:lang w:val="en-US" w:eastAsia="en-US" w:bidi="ar-SA"/>
      </w:rPr>
    </w:lvl>
  </w:abstractNum>
  <w:abstractNum w:abstractNumId="16">
    <w:multiLevelType w:val="hybridMultilevel"/>
    <w:lvl w:ilvl="0">
      <w:start w:val="0"/>
      <w:numFmt w:val="bullet"/>
      <w:lvlText w:val="•"/>
      <w:lvlJc w:val="left"/>
      <w:pPr>
        <w:ind w:left="1000" w:hanging="500"/>
      </w:pPr>
      <w:rPr>
        <w:rFonts w:hint="default" w:ascii="Times New Roman" w:hAnsi="Times New Roman" w:eastAsia="Times New Roman" w:cs="Times New Roman"/>
        <w:b w:val="0"/>
        <w:bCs w:val="0"/>
        <w:i w:val="0"/>
        <w:iCs w:val="0"/>
        <w:color w:val="374151"/>
        <w:spacing w:val="0"/>
        <w:w w:val="100"/>
        <w:sz w:val="28"/>
        <w:szCs w:val="28"/>
        <w:lang w:val="en-US" w:eastAsia="en-US" w:bidi="ar-SA"/>
      </w:rPr>
    </w:lvl>
    <w:lvl w:ilvl="1">
      <w:start w:val="0"/>
      <w:numFmt w:val="bullet"/>
      <w:lvlText w:val="•"/>
      <w:lvlJc w:val="left"/>
      <w:pPr>
        <w:ind w:left="1866" w:hanging="500"/>
      </w:pPr>
      <w:rPr>
        <w:rFonts w:hint="default"/>
        <w:lang w:val="en-US" w:eastAsia="en-US" w:bidi="ar-SA"/>
      </w:rPr>
    </w:lvl>
    <w:lvl w:ilvl="2">
      <w:start w:val="0"/>
      <w:numFmt w:val="bullet"/>
      <w:lvlText w:val="•"/>
      <w:lvlJc w:val="left"/>
      <w:pPr>
        <w:ind w:left="2732" w:hanging="500"/>
      </w:pPr>
      <w:rPr>
        <w:rFonts w:hint="default"/>
        <w:lang w:val="en-US" w:eastAsia="en-US" w:bidi="ar-SA"/>
      </w:rPr>
    </w:lvl>
    <w:lvl w:ilvl="3">
      <w:start w:val="0"/>
      <w:numFmt w:val="bullet"/>
      <w:lvlText w:val="•"/>
      <w:lvlJc w:val="left"/>
      <w:pPr>
        <w:ind w:left="3598" w:hanging="500"/>
      </w:pPr>
      <w:rPr>
        <w:rFonts w:hint="default"/>
        <w:lang w:val="en-US" w:eastAsia="en-US" w:bidi="ar-SA"/>
      </w:rPr>
    </w:lvl>
    <w:lvl w:ilvl="4">
      <w:start w:val="0"/>
      <w:numFmt w:val="bullet"/>
      <w:lvlText w:val="•"/>
      <w:lvlJc w:val="left"/>
      <w:pPr>
        <w:ind w:left="4464" w:hanging="500"/>
      </w:pPr>
      <w:rPr>
        <w:rFonts w:hint="default"/>
        <w:lang w:val="en-US" w:eastAsia="en-US" w:bidi="ar-SA"/>
      </w:rPr>
    </w:lvl>
    <w:lvl w:ilvl="5">
      <w:start w:val="0"/>
      <w:numFmt w:val="bullet"/>
      <w:lvlText w:val="•"/>
      <w:lvlJc w:val="left"/>
      <w:pPr>
        <w:ind w:left="5330" w:hanging="500"/>
      </w:pPr>
      <w:rPr>
        <w:rFonts w:hint="default"/>
        <w:lang w:val="en-US" w:eastAsia="en-US" w:bidi="ar-SA"/>
      </w:rPr>
    </w:lvl>
    <w:lvl w:ilvl="6">
      <w:start w:val="0"/>
      <w:numFmt w:val="bullet"/>
      <w:lvlText w:val="•"/>
      <w:lvlJc w:val="left"/>
      <w:pPr>
        <w:ind w:left="6196" w:hanging="500"/>
      </w:pPr>
      <w:rPr>
        <w:rFonts w:hint="default"/>
        <w:lang w:val="en-US" w:eastAsia="en-US" w:bidi="ar-SA"/>
      </w:rPr>
    </w:lvl>
    <w:lvl w:ilvl="7">
      <w:start w:val="0"/>
      <w:numFmt w:val="bullet"/>
      <w:lvlText w:val="•"/>
      <w:lvlJc w:val="left"/>
      <w:pPr>
        <w:ind w:left="7062" w:hanging="500"/>
      </w:pPr>
      <w:rPr>
        <w:rFonts w:hint="default"/>
        <w:lang w:val="en-US" w:eastAsia="en-US" w:bidi="ar-SA"/>
      </w:rPr>
    </w:lvl>
    <w:lvl w:ilvl="8">
      <w:start w:val="0"/>
      <w:numFmt w:val="bullet"/>
      <w:lvlText w:val="•"/>
      <w:lvlJc w:val="left"/>
      <w:pPr>
        <w:ind w:left="7928" w:hanging="500"/>
      </w:pPr>
      <w:rPr>
        <w:rFonts w:hint="default"/>
        <w:lang w:val="en-US" w:eastAsia="en-US" w:bidi="ar-SA"/>
      </w:rPr>
    </w:lvl>
  </w:abstractNum>
  <w:abstractNum w:abstractNumId="15">
    <w:multiLevelType w:val="hybridMultilevel"/>
    <w:lvl w:ilvl="0">
      <w:start w:val="0"/>
      <w:numFmt w:val="bullet"/>
      <w:lvlText w:val=""/>
      <w:lvlJc w:val="left"/>
      <w:pPr>
        <w:ind w:left="1120" w:hanging="359"/>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1974" w:hanging="359"/>
      </w:pPr>
      <w:rPr>
        <w:rFonts w:hint="default"/>
        <w:lang w:val="en-US" w:eastAsia="en-US" w:bidi="ar-SA"/>
      </w:rPr>
    </w:lvl>
    <w:lvl w:ilvl="2">
      <w:start w:val="0"/>
      <w:numFmt w:val="bullet"/>
      <w:lvlText w:val="•"/>
      <w:lvlJc w:val="left"/>
      <w:pPr>
        <w:ind w:left="2828" w:hanging="359"/>
      </w:pPr>
      <w:rPr>
        <w:rFonts w:hint="default"/>
        <w:lang w:val="en-US" w:eastAsia="en-US" w:bidi="ar-SA"/>
      </w:rPr>
    </w:lvl>
    <w:lvl w:ilvl="3">
      <w:start w:val="0"/>
      <w:numFmt w:val="bullet"/>
      <w:lvlText w:val="•"/>
      <w:lvlJc w:val="left"/>
      <w:pPr>
        <w:ind w:left="3682" w:hanging="359"/>
      </w:pPr>
      <w:rPr>
        <w:rFonts w:hint="default"/>
        <w:lang w:val="en-US" w:eastAsia="en-US" w:bidi="ar-SA"/>
      </w:rPr>
    </w:lvl>
    <w:lvl w:ilvl="4">
      <w:start w:val="0"/>
      <w:numFmt w:val="bullet"/>
      <w:lvlText w:val="•"/>
      <w:lvlJc w:val="left"/>
      <w:pPr>
        <w:ind w:left="4536" w:hanging="359"/>
      </w:pPr>
      <w:rPr>
        <w:rFonts w:hint="default"/>
        <w:lang w:val="en-US" w:eastAsia="en-US" w:bidi="ar-SA"/>
      </w:rPr>
    </w:lvl>
    <w:lvl w:ilvl="5">
      <w:start w:val="0"/>
      <w:numFmt w:val="bullet"/>
      <w:lvlText w:val="•"/>
      <w:lvlJc w:val="left"/>
      <w:pPr>
        <w:ind w:left="5390" w:hanging="359"/>
      </w:pPr>
      <w:rPr>
        <w:rFonts w:hint="default"/>
        <w:lang w:val="en-US" w:eastAsia="en-US" w:bidi="ar-SA"/>
      </w:rPr>
    </w:lvl>
    <w:lvl w:ilvl="6">
      <w:start w:val="0"/>
      <w:numFmt w:val="bullet"/>
      <w:lvlText w:val="•"/>
      <w:lvlJc w:val="left"/>
      <w:pPr>
        <w:ind w:left="6244" w:hanging="359"/>
      </w:pPr>
      <w:rPr>
        <w:rFonts w:hint="default"/>
        <w:lang w:val="en-US" w:eastAsia="en-US" w:bidi="ar-SA"/>
      </w:rPr>
    </w:lvl>
    <w:lvl w:ilvl="7">
      <w:start w:val="0"/>
      <w:numFmt w:val="bullet"/>
      <w:lvlText w:val="•"/>
      <w:lvlJc w:val="left"/>
      <w:pPr>
        <w:ind w:left="7098" w:hanging="359"/>
      </w:pPr>
      <w:rPr>
        <w:rFonts w:hint="default"/>
        <w:lang w:val="en-US" w:eastAsia="en-US" w:bidi="ar-SA"/>
      </w:rPr>
    </w:lvl>
    <w:lvl w:ilvl="8">
      <w:start w:val="0"/>
      <w:numFmt w:val="bullet"/>
      <w:lvlText w:val="•"/>
      <w:lvlJc w:val="left"/>
      <w:pPr>
        <w:ind w:left="7952" w:hanging="359"/>
      </w:pPr>
      <w:rPr>
        <w:rFonts w:hint="default"/>
        <w:lang w:val="en-US" w:eastAsia="en-US" w:bidi="ar-SA"/>
      </w:rPr>
    </w:lvl>
  </w:abstractNum>
  <w:abstractNum w:abstractNumId="14">
    <w:multiLevelType w:val="hybridMultilevel"/>
    <w:lvl w:ilvl="0">
      <w:start w:val="0"/>
      <w:numFmt w:val="bullet"/>
      <w:lvlText w:val="➢"/>
      <w:lvlJc w:val="left"/>
      <w:pPr>
        <w:ind w:left="1218" w:hanging="459"/>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1338" w:hanging="459"/>
      </w:pPr>
      <w:rPr>
        <w:rFonts w:hint="default" w:ascii="Symbol" w:hAnsi="Symbol" w:eastAsia="Symbol" w:cs="Symbol"/>
        <w:b w:val="0"/>
        <w:bCs w:val="0"/>
        <w:i w:val="0"/>
        <w:iCs w:val="0"/>
        <w:spacing w:val="0"/>
        <w:w w:val="101"/>
        <w:position w:val="2"/>
        <w:sz w:val="30"/>
        <w:szCs w:val="30"/>
        <w:lang w:val="en-US" w:eastAsia="en-US" w:bidi="ar-SA"/>
      </w:rPr>
    </w:lvl>
    <w:lvl w:ilvl="2">
      <w:start w:val="0"/>
      <w:numFmt w:val="bullet"/>
      <w:lvlText w:val="o"/>
      <w:lvlJc w:val="left"/>
      <w:pPr>
        <w:ind w:left="1840" w:hanging="360"/>
      </w:pPr>
      <w:rPr>
        <w:rFonts w:hint="default" w:ascii="Courier New" w:hAnsi="Courier New" w:eastAsia="Courier New" w:cs="Courier New"/>
        <w:b w:val="0"/>
        <w:bCs w:val="0"/>
        <w:i w:val="0"/>
        <w:iCs w:val="0"/>
        <w:spacing w:val="0"/>
        <w:w w:val="100"/>
        <w:position w:val="2"/>
        <w:sz w:val="28"/>
        <w:szCs w:val="28"/>
        <w:lang w:val="en-US" w:eastAsia="en-US" w:bidi="ar-SA"/>
      </w:rPr>
    </w:lvl>
    <w:lvl w:ilvl="3">
      <w:start w:val="0"/>
      <w:numFmt w:val="bullet"/>
      <w:lvlText w:val="•"/>
      <w:lvlJc w:val="left"/>
      <w:pPr>
        <w:ind w:left="2817" w:hanging="360"/>
      </w:pPr>
      <w:rPr>
        <w:rFonts w:hint="default"/>
        <w:lang w:val="en-US" w:eastAsia="en-US" w:bidi="ar-SA"/>
      </w:rPr>
    </w:lvl>
    <w:lvl w:ilvl="4">
      <w:start w:val="0"/>
      <w:numFmt w:val="bullet"/>
      <w:lvlText w:val="•"/>
      <w:lvlJc w:val="left"/>
      <w:pPr>
        <w:ind w:left="3795" w:hanging="360"/>
      </w:pPr>
      <w:rPr>
        <w:rFonts w:hint="default"/>
        <w:lang w:val="en-US" w:eastAsia="en-US" w:bidi="ar-SA"/>
      </w:rPr>
    </w:lvl>
    <w:lvl w:ilvl="5">
      <w:start w:val="0"/>
      <w:numFmt w:val="bullet"/>
      <w:lvlText w:val="•"/>
      <w:lvlJc w:val="left"/>
      <w:pPr>
        <w:ind w:left="4772" w:hanging="360"/>
      </w:pPr>
      <w:rPr>
        <w:rFonts w:hint="default"/>
        <w:lang w:val="en-US" w:eastAsia="en-US" w:bidi="ar-SA"/>
      </w:rPr>
    </w:lvl>
    <w:lvl w:ilvl="6">
      <w:start w:val="0"/>
      <w:numFmt w:val="bullet"/>
      <w:lvlText w:val="•"/>
      <w:lvlJc w:val="left"/>
      <w:pPr>
        <w:ind w:left="5750" w:hanging="360"/>
      </w:pPr>
      <w:rPr>
        <w:rFonts w:hint="default"/>
        <w:lang w:val="en-US" w:eastAsia="en-US" w:bidi="ar-SA"/>
      </w:rPr>
    </w:lvl>
    <w:lvl w:ilvl="7">
      <w:start w:val="0"/>
      <w:numFmt w:val="bullet"/>
      <w:lvlText w:val="•"/>
      <w:lvlJc w:val="left"/>
      <w:pPr>
        <w:ind w:left="6727" w:hanging="360"/>
      </w:pPr>
      <w:rPr>
        <w:rFonts w:hint="default"/>
        <w:lang w:val="en-US" w:eastAsia="en-US" w:bidi="ar-SA"/>
      </w:rPr>
    </w:lvl>
    <w:lvl w:ilvl="8">
      <w:start w:val="0"/>
      <w:numFmt w:val="bullet"/>
      <w:lvlText w:val="•"/>
      <w:lvlJc w:val="left"/>
      <w:pPr>
        <w:ind w:left="7705" w:hanging="360"/>
      </w:pPr>
      <w:rPr>
        <w:rFonts w:hint="default"/>
        <w:lang w:val="en-US" w:eastAsia="en-US" w:bidi="ar-SA"/>
      </w:rPr>
    </w:lvl>
  </w:abstractNum>
  <w:abstractNum w:abstractNumId="13">
    <w:multiLevelType w:val="hybridMultilevel"/>
    <w:lvl w:ilvl="0">
      <w:start w:val="0"/>
      <w:numFmt w:val="bullet"/>
      <w:lvlText w:val=""/>
      <w:lvlJc w:val="left"/>
      <w:pPr>
        <w:ind w:left="1120" w:hanging="359"/>
      </w:pPr>
      <w:rPr>
        <w:rFonts w:hint="default" w:ascii="Symbol" w:hAnsi="Symbol" w:eastAsia="Symbol" w:cs="Symbol"/>
        <w:spacing w:val="0"/>
        <w:w w:val="100"/>
        <w:lang w:val="en-US" w:eastAsia="en-US" w:bidi="ar-SA"/>
      </w:rPr>
    </w:lvl>
    <w:lvl w:ilvl="1">
      <w:start w:val="0"/>
      <w:numFmt w:val="bullet"/>
      <w:lvlText w:val="•"/>
      <w:lvlJc w:val="left"/>
      <w:pPr>
        <w:ind w:left="1974" w:hanging="359"/>
      </w:pPr>
      <w:rPr>
        <w:rFonts w:hint="default"/>
        <w:lang w:val="en-US" w:eastAsia="en-US" w:bidi="ar-SA"/>
      </w:rPr>
    </w:lvl>
    <w:lvl w:ilvl="2">
      <w:start w:val="0"/>
      <w:numFmt w:val="bullet"/>
      <w:lvlText w:val="•"/>
      <w:lvlJc w:val="left"/>
      <w:pPr>
        <w:ind w:left="2828" w:hanging="359"/>
      </w:pPr>
      <w:rPr>
        <w:rFonts w:hint="default"/>
        <w:lang w:val="en-US" w:eastAsia="en-US" w:bidi="ar-SA"/>
      </w:rPr>
    </w:lvl>
    <w:lvl w:ilvl="3">
      <w:start w:val="0"/>
      <w:numFmt w:val="bullet"/>
      <w:lvlText w:val="•"/>
      <w:lvlJc w:val="left"/>
      <w:pPr>
        <w:ind w:left="3682" w:hanging="359"/>
      </w:pPr>
      <w:rPr>
        <w:rFonts w:hint="default"/>
        <w:lang w:val="en-US" w:eastAsia="en-US" w:bidi="ar-SA"/>
      </w:rPr>
    </w:lvl>
    <w:lvl w:ilvl="4">
      <w:start w:val="0"/>
      <w:numFmt w:val="bullet"/>
      <w:lvlText w:val="•"/>
      <w:lvlJc w:val="left"/>
      <w:pPr>
        <w:ind w:left="4536" w:hanging="359"/>
      </w:pPr>
      <w:rPr>
        <w:rFonts w:hint="default"/>
        <w:lang w:val="en-US" w:eastAsia="en-US" w:bidi="ar-SA"/>
      </w:rPr>
    </w:lvl>
    <w:lvl w:ilvl="5">
      <w:start w:val="0"/>
      <w:numFmt w:val="bullet"/>
      <w:lvlText w:val="•"/>
      <w:lvlJc w:val="left"/>
      <w:pPr>
        <w:ind w:left="5390" w:hanging="359"/>
      </w:pPr>
      <w:rPr>
        <w:rFonts w:hint="default"/>
        <w:lang w:val="en-US" w:eastAsia="en-US" w:bidi="ar-SA"/>
      </w:rPr>
    </w:lvl>
    <w:lvl w:ilvl="6">
      <w:start w:val="0"/>
      <w:numFmt w:val="bullet"/>
      <w:lvlText w:val="•"/>
      <w:lvlJc w:val="left"/>
      <w:pPr>
        <w:ind w:left="6244" w:hanging="359"/>
      </w:pPr>
      <w:rPr>
        <w:rFonts w:hint="default"/>
        <w:lang w:val="en-US" w:eastAsia="en-US" w:bidi="ar-SA"/>
      </w:rPr>
    </w:lvl>
    <w:lvl w:ilvl="7">
      <w:start w:val="0"/>
      <w:numFmt w:val="bullet"/>
      <w:lvlText w:val="•"/>
      <w:lvlJc w:val="left"/>
      <w:pPr>
        <w:ind w:left="7098" w:hanging="359"/>
      </w:pPr>
      <w:rPr>
        <w:rFonts w:hint="default"/>
        <w:lang w:val="en-US" w:eastAsia="en-US" w:bidi="ar-SA"/>
      </w:rPr>
    </w:lvl>
    <w:lvl w:ilvl="8">
      <w:start w:val="0"/>
      <w:numFmt w:val="bullet"/>
      <w:lvlText w:val="•"/>
      <w:lvlJc w:val="left"/>
      <w:pPr>
        <w:ind w:left="7952" w:hanging="359"/>
      </w:pPr>
      <w:rPr>
        <w:rFonts w:hint="default"/>
        <w:lang w:val="en-US" w:eastAsia="en-US" w:bidi="ar-SA"/>
      </w:rPr>
    </w:lvl>
  </w:abstractNum>
  <w:abstractNum w:abstractNumId="12">
    <w:multiLevelType w:val="hybridMultilevel"/>
    <w:lvl w:ilvl="0">
      <w:start w:val="0"/>
      <w:numFmt w:val="bullet"/>
      <w:lvlText w:val="•"/>
      <w:lvlJc w:val="left"/>
      <w:pPr>
        <w:ind w:left="1000" w:hanging="500"/>
      </w:pPr>
      <w:rPr>
        <w:rFonts w:hint="default" w:ascii="Times New Roman" w:hAnsi="Times New Roman" w:eastAsia="Times New Roman" w:cs="Times New Roman"/>
        <w:b w:val="0"/>
        <w:bCs w:val="0"/>
        <w:i w:val="0"/>
        <w:iCs w:val="0"/>
        <w:color w:val="374151"/>
        <w:spacing w:val="0"/>
        <w:w w:val="100"/>
        <w:sz w:val="28"/>
        <w:szCs w:val="28"/>
        <w:lang w:val="en-US" w:eastAsia="en-US" w:bidi="ar-SA"/>
      </w:rPr>
    </w:lvl>
    <w:lvl w:ilvl="1">
      <w:start w:val="0"/>
      <w:numFmt w:val="bullet"/>
      <w:lvlText w:val="•"/>
      <w:lvlJc w:val="left"/>
      <w:pPr>
        <w:ind w:left="1866" w:hanging="500"/>
      </w:pPr>
      <w:rPr>
        <w:rFonts w:hint="default"/>
        <w:lang w:val="en-US" w:eastAsia="en-US" w:bidi="ar-SA"/>
      </w:rPr>
    </w:lvl>
    <w:lvl w:ilvl="2">
      <w:start w:val="0"/>
      <w:numFmt w:val="bullet"/>
      <w:lvlText w:val="•"/>
      <w:lvlJc w:val="left"/>
      <w:pPr>
        <w:ind w:left="2732" w:hanging="500"/>
      </w:pPr>
      <w:rPr>
        <w:rFonts w:hint="default"/>
        <w:lang w:val="en-US" w:eastAsia="en-US" w:bidi="ar-SA"/>
      </w:rPr>
    </w:lvl>
    <w:lvl w:ilvl="3">
      <w:start w:val="0"/>
      <w:numFmt w:val="bullet"/>
      <w:lvlText w:val="•"/>
      <w:lvlJc w:val="left"/>
      <w:pPr>
        <w:ind w:left="3598" w:hanging="500"/>
      </w:pPr>
      <w:rPr>
        <w:rFonts w:hint="default"/>
        <w:lang w:val="en-US" w:eastAsia="en-US" w:bidi="ar-SA"/>
      </w:rPr>
    </w:lvl>
    <w:lvl w:ilvl="4">
      <w:start w:val="0"/>
      <w:numFmt w:val="bullet"/>
      <w:lvlText w:val="•"/>
      <w:lvlJc w:val="left"/>
      <w:pPr>
        <w:ind w:left="4464" w:hanging="500"/>
      </w:pPr>
      <w:rPr>
        <w:rFonts w:hint="default"/>
        <w:lang w:val="en-US" w:eastAsia="en-US" w:bidi="ar-SA"/>
      </w:rPr>
    </w:lvl>
    <w:lvl w:ilvl="5">
      <w:start w:val="0"/>
      <w:numFmt w:val="bullet"/>
      <w:lvlText w:val="•"/>
      <w:lvlJc w:val="left"/>
      <w:pPr>
        <w:ind w:left="5330" w:hanging="500"/>
      </w:pPr>
      <w:rPr>
        <w:rFonts w:hint="default"/>
        <w:lang w:val="en-US" w:eastAsia="en-US" w:bidi="ar-SA"/>
      </w:rPr>
    </w:lvl>
    <w:lvl w:ilvl="6">
      <w:start w:val="0"/>
      <w:numFmt w:val="bullet"/>
      <w:lvlText w:val="•"/>
      <w:lvlJc w:val="left"/>
      <w:pPr>
        <w:ind w:left="6196" w:hanging="500"/>
      </w:pPr>
      <w:rPr>
        <w:rFonts w:hint="default"/>
        <w:lang w:val="en-US" w:eastAsia="en-US" w:bidi="ar-SA"/>
      </w:rPr>
    </w:lvl>
    <w:lvl w:ilvl="7">
      <w:start w:val="0"/>
      <w:numFmt w:val="bullet"/>
      <w:lvlText w:val="•"/>
      <w:lvlJc w:val="left"/>
      <w:pPr>
        <w:ind w:left="7062" w:hanging="500"/>
      </w:pPr>
      <w:rPr>
        <w:rFonts w:hint="default"/>
        <w:lang w:val="en-US" w:eastAsia="en-US" w:bidi="ar-SA"/>
      </w:rPr>
    </w:lvl>
    <w:lvl w:ilvl="8">
      <w:start w:val="0"/>
      <w:numFmt w:val="bullet"/>
      <w:lvlText w:val="•"/>
      <w:lvlJc w:val="left"/>
      <w:pPr>
        <w:ind w:left="7928" w:hanging="500"/>
      </w:pPr>
      <w:rPr>
        <w:rFonts w:hint="default"/>
        <w:lang w:val="en-US" w:eastAsia="en-US" w:bidi="ar-SA"/>
      </w:rPr>
    </w:lvl>
  </w:abstractNum>
  <w:abstractNum w:abstractNumId="11">
    <w:multiLevelType w:val="hybridMultilevel"/>
    <w:lvl w:ilvl="0">
      <w:start w:val="0"/>
      <w:numFmt w:val="bullet"/>
      <w:lvlText w:val="✓"/>
      <w:lvlJc w:val="left"/>
      <w:pPr>
        <w:ind w:left="1218" w:hanging="459"/>
      </w:pPr>
      <w:rPr>
        <w:rFonts w:hint="default" w:ascii="Segoe UI Symbol" w:hAnsi="Segoe UI Symbol" w:eastAsia="Segoe UI Symbol" w:cs="Segoe UI Symbol"/>
        <w:b w:val="0"/>
        <w:bCs w:val="0"/>
        <w:i w:val="0"/>
        <w:iCs w:val="0"/>
        <w:color w:val="374151"/>
        <w:spacing w:val="0"/>
        <w:w w:val="103"/>
        <w:position w:val="-1"/>
        <w:sz w:val="30"/>
        <w:szCs w:val="30"/>
        <w:lang w:val="en-US" w:eastAsia="en-US" w:bidi="ar-SA"/>
      </w:rPr>
    </w:lvl>
    <w:lvl w:ilvl="1">
      <w:start w:val="0"/>
      <w:numFmt w:val="bullet"/>
      <w:lvlText w:val="•"/>
      <w:lvlJc w:val="left"/>
      <w:pPr>
        <w:ind w:left="2064" w:hanging="459"/>
      </w:pPr>
      <w:rPr>
        <w:rFonts w:hint="default"/>
        <w:lang w:val="en-US" w:eastAsia="en-US" w:bidi="ar-SA"/>
      </w:rPr>
    </w:lvl>
    <w:lvl w:ilvl="2">
      <w:start w:val="0"/>
      <w:numFmt w:val="bullet"/>
      <w:lvlText w:val="•"/>
      <w:lvlJc w:val="left"/>
      <w:pPr>
        <w:ind w:left="2908" w:hanging="459"/>
      </w:pPr>
      <w:rPr>
        <w:rFonts w:hint="default"/>
        <w:lang w:val="en-US" w:eastAsia="en-US" w:bidi="ar-SA"/>
      </w:rPr>
    </w:lvl>
    <w:lvl w:ilvl="3">
      <w:start w:val="0"/>
      <w:numFmt w:val="bullet"/>
      <w:lvlText w:val="•"/>
      <w:lvlJc w:val="left"/>
      <w:pPr>
        <w:ind w:left="3752" w:hanging="459"/>
      </w:pPr>
      <w:rPr>
        <w:rFonts w:hint="default"/>
        <w:lang w:val="en-US" w:eastAsia="en-US" w:bidi="ar-SA"/>
      </w:rPr>
    </w:lvl>
    <w:lvl w:ilvl="4">
      <w:start w:val="0"/>
      <w:numFmt w:val="bullet"/>
      <w:lvlText w:val="•"/>
      <w:lvlJc w:val="left"/>
      <w:pPr>
        <w:ind w:left="4596" w:hanging="459"/>
      </w:pPr>
      <w:rPr>
        <w:rFonts w:hint="default"/>
        <w:lang w:val="en-US" w:eastAsia="en-US" w:bidi="ar-SA"/>
      </w:rPr>
    </w:lvl>
    <w:lvl w:ilvl="5">
      <w:start w:val="0"/>
      <w:numFmt w:val="bullet"/>
      <w:lvlText w:val="•"/>
      <w:lvlJc w:val="left"/>
      <w:pPr>
        <w:ind w:left="5440" w:hanging="459"/>
      </w:pPr>
      <w:rPr>
        <w:rFonts w:hint="default"/>
        <w:lang w:val="en-US" w:eastAsia="en-US" w:bidi="ar-SA"/>
      </w:rPr>
    </w:lvl>
    <w:lvl w:ilvl="6">
      <w:start w:val="0"/>
      <w:numFmt w:val="bullet"/>
      <w:lvlText w:val="•"/>
      <w:lvlJc w:val="left"/>
      <w:pPr>
        <w:ind w:left="6284" w:hanging="459"/>
      </w:pPr>
      <w:rPr>
        <w:rFonts w:hint="default"/>
        <w:lang w:val="en-US" w:eastAsia="en-US" w:bidi="ar-SA"/>
      </w:rPr>
    </w:lvl>
    <w:lvl w:ilvl="7">
      <w:start w:val="0"/>
      <w:numFmt w:val="bullet"/>
      <w:lvlText w:val="•"/>
      <w:lvlJc w:val="left"/>
      <w:pPr>
        <w:ind w:left="7128" w:hanging="459"/>
      </w:pPr>
      <w:rPr>
        <w:rFonts w:hint="default"/>
        <w:lang w:val="en-US" w:eastAsia="en-US" w:bidi="ar-SA"/>
      </w:rPr>
    </w:lvl>
    <w:lvl w:ilvl="8">
      <w:start w:val="0"/>
      <w:numFmt w:val="bullet"/>
      <w:lvlText w:val="•"/>
      <w:lvlJc w:val="left"/>
      <w:pPr>
        <w:ind w:left="7972" w:hanging="459"/>
      </w:pPr>
      <w:rPr>
        <w:rFonts w:hint="default"/>
        <w:lang w:val="en-US" w:eastAsia="en-US" w:bidi="ar-SA"/>
      </w:rPr>
    </w:lvl>
  </w:abstractNum>
  <w:abstractNum w:abstractNumId="10">
    <w:multiLevelType w:val="hybridMultilevel"/>
    <w:lvl w:ilvl="0">
      <w:start w:val="1"/>
      <w:numFmt w:val="decimal"/>
      <w:lvlText w:val="%1."/>
      <w:lvlJc w:val="left"/>
      <w:pPr>
        <w:ind w:left="840" w:hanging="560"/>
        <w:jc w:val="left"/>
      </w:pPr>
      <w:rPr>
        <w:rFonts w:hint="default" w:ascii="Arial" w:hAnsi="Arial" w:eastAsia="Arial" w:cs="Arial"/>
        <w:b w:val="0"/>
        <w:bCs w:val="0"/>
        <w:i w:val="0"/>
        <w:iCs w:val="0"/>
        <w:spacing w:val="0"/>
        <w:w w:val="100"/>
        <w:sz w:val="28"/>
        <w:szCs w:val="28"/>
        <w:lang w:val="en-US" w:eastAsia="en-US" w:bidi="ar-SA"/>
      </w:rPr>
    </w:lvl>
    <w:lvl w:ilvl="1">
      <w:start w:val="0"/>
      <w:numFmt w:val="bullet"/>
      <w:lvlText w:val="•"/>
      <w:lvlJc w:val="left"/>
      <w:pPr>
        <w:ind w:left="1722" w:hanging="560"/>
      </w:pPr>
      <w:rPr>
        <w:rFonts w:hint="default"/>
        <w:lang w:val="en-US" w:eastAsia="en-US" w:bidi="ar-SA"/>
      </w:rPr>
    </w:lvl>
    <w:lvl w:ilvl="2">
      <w:start w:val="0"/>
      <w:numFmt w:val="bullet"/>
      <w:lvlText w:val="•"/>
      <w:lvlJc w:val="left"/>
      <w:pPr>
        <w:ind w:left="2604" w:hanging="560"/>
      </w:pPr>
      <w:rPr>
        <w:rFonts w:hint="default"/>
        <w:lang w:val="en-US" w:eastAsia="en-US" w:bidi="ar-SA"/>
      </w:rPr>
    </w:lvl>
    <w:lvl w:ilvl="3">
      <w:start w:val="0"/>
      <w:numFmt w:val="bullet"/>
      <w:lvlText w:val="•"/>
      <w:lvlJc w:val="left"/>
      <w:pPr>
        <w:ind w:left="3486" w:hanging="560"/>
      </w:pPr>
      <w:rPr>
        <w:rFonts w:hint="default"/>
        <w:lang w:val="en-US" w:eastAsia="en-US" w:bidi="ar-SA"/>
      </w:rPr>
    </w:lvl>
    <w:lvl w:ilvl="4">
      <w:start w:val="0"/>
      <w:numFmt w:val="bullet"/>
      <w:lvlText w:val="•"/>
      <w:lvlJc w:val="left"/>
      <w:pPr>
        <w:ind w:left="4368" w:hanging="560"/>
      </w:pPr>
      <w:rPr>
        <w:rFonts w:hint="default"/>
        <w:lang w:val="en-US" w:eastAsia="en-US" w:bidi="ar-SA"/>
      </w:rPr>
    </w:lvl>
    <w:lvl w:ilvl="5">
      <w:start w:val="0"/>
      <w:numFmt w:val="bullet"/>
      <w:lvlText w:val="•"/>
      <w:lvlJc w:val="left"/>
      <w:pPr>
        <w:ind w:left="5250" w:hanging="560"/>
      </w:pPr>
      <w:rPr>
        <w:rFonts w:hint="default"/>
        <w:lang w:val="en-US" w:eastAsia="en-US" w:bidi="ar-SA"/>
      </w:rPr>
    </w:lvl>
    <w:lvl w:ilvl="6">
      <w:start w:val="0"/>
      <w:numFmt w:val="bullet"/>
      <w:lvlText w:val="•"/>
      <w:lvlJc w:val="left"/>
      <w:pPr>
        <w:ind w:left="6132" w:hanging="560"/>
      </w:pPr>
      <w:rPr>
        <w:rFonts w:hint="default"/>
        <w:lang w:val="en-US" w:eastAsia="en-US" w:bidi="ar-SA"/>
      </w:rPr>
    </w:lvl>
    <w:lvl w:ilvl="7">
      <w:start w:val="0"/>
      <w:numFmt w:val="bullet"/>
      <w:lvlText w:val="•"/>
      <w:lvlJc w:val="left"/>
      <w:pPr>
        <w:ind w:left="7014" w:hanging="560"/>
      </w:pPr>
      <w:rPr>
        <w:rFonts w:hint="default"/>
        <w:lang w:val="en-US" w:eastAsia="en-US" w:bidi="ar-SA"/>
      </w:rPr>
    </w:lvl>
    <w:lvl w:ilvl="8">
      <w:start w:val="0"/>
      <w:numFmt w:val="bullet"/>
      <w:lvlText w:val="•"/>
      <w:lvlJc w:val="left"/>
      <w:pPr>
        <w:ind w:left="7896" w:hanging="560"/>
      </w:pPr>
      <w:rPr>
        <w:rFonts w:hint="default"/>
        <w:lang w:val="en-US" w:eastAsia="en-US" w:bidi="ar-SA"/>
      </w:rPr>
    </w:lvl>
  </w:abstractNum>
  <w:abstractNum w:abstractNumId="9">
    <w:multiLevelType w:val="hybridMultilevel"/>
    <w:lvl w:ilvl="0">
      <w:start w:val="1"/>
      <w:numFmt w:val="upperLetter"/>
      <w:lvlText w:val="%1."/>
      <w:lvlJc w:val="left"/>
      <w:pPr>
        <w:ind w:left="6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decimal"/>
      <w:lvlText w:val="%2."/>
      <w:lvlJc w:val="left"/>
      <w:pPr>
        <w:ind w:left="1406" w:hanging="560"/>
        <w:jc w:val="left"/>
      </w:pPr>
      <w:rPr>
        <w:rFonts w:hint="default" w:ascii="Arial" w:hAnsi="Arial" w:eastAsia="Arial" w:cs="Arial"/>
        <w:b w:val="0"/>
        <w:bCs w:val="0"/>
        <w:i w:val="0"/>
        <w:iCs w:val="0"/>
        <w:spacing w:val="0"/>
        <w:w w:val="100"/>
        <w:sz w:val="28"/>
        <w:szCs w:val="28"/>
        <w:lang w:val="en-US" w:eastAsia="en-US" w:bidi="ar-SA"/>
      </w:rPr>
    </w:lvl>
    <w:lvl w:ilvl="2">
      <w:start w:val="0"/>
      <w:numFmt w:val="bullet"/>
      <w:lvlText w:val="•"/>
      <w:lvlJc w:val="left"/>
      <w:pPr>
        <w:ind w:left="2317" w:hanging="560"/>
      </w:pPr>
      <w:rPr>
        <w:rFonts w:hint="default"/>
        <w:lang w:val="en-US" w:eastAsia="en-US" w:bidi="ar-SA"/>
      </w:rPr>
    </w:lvl>
    <w:lvl w:ilvl="3">
      <w:start w:val="0"/>
      <w:numFmt w:val="bullet"/>
      <w:lvlText w:val="•"/>
      <w:lvlJc w:val="left"/>
      <w:pPr>
        <w:ind w:left="3235" w:hanging="560"/>
      </w:pPr>
      <w:rPr>
        <w:rFonts w:hint="default"/>
        <w:lang w:val="en-US" w:eastAsia="en-US" w:bidi="ar-SA"/>
      </w:rPr>
    </w:lvl>
    <w:lvl w:ilvl="4">
      <w:start w:val="0"/>
      <w:numFmt w:val="bullet"/>
      <w:lvlText w:val="•"/>
      <w:lvlJc w:val="left"/>
      <w:pPr>
        <w:ind w:left="4153" w:hanging="560"/>
      </w:pPr>
      <w:rPr>
        <w:rFonts w:hint="default"/>
        <w:lang w:val="en-US" w:eastAsia="en-US" w:bidi="ar-SA"/>
      </w:rPr>
    </w:lvl>
    <w:lvl w:ilvl="5">
      <w:start w:val="0"/>
      <w:numFmt w:val="bullet"/>
      <w:lvlText w:val="•"/>
      <w:lvlJc w:val="left"/>
      <w:pPr>
        <w:ind w:left="5071" w:hanging="560"/>
      </w:pPr>
      <w:rPr>
        <w:rFonts w:hint="default"/>
        <w:lang w:val="en-US" w:eastAsia="en-US" w:bidi="ar-SA"/>
      </w:rPr>
    </w:lvl>
    <w:lvl w:ilvl="6">
      <w:start w:val="0"/>
      <w:numFmt w:val="bullet"/>
      <w:lvlText w:val="•"/>
      <w:lvlJc w:val="left"/>
      <w:pPr>
        <w:ind w:left="5988" w:hanging="560"/>
      </w:pPr>
      <w:rPr>
        <w:rFonts w:hint="default"/>
        <w:lang w:val="en-US" w:eastAsia="en-US" w:bidi="ar-SA"/>
      </w:rPr>
    </w:lvl>
    <w:lvl w:ilvl="7">
      <w:start w:val="0"/>
      <w:numFmt w:val="bullet"/>
      <w:lvlText w:val="•"/>
      <w:lvlJc w:val="left"/>
      <w:pPr>
        <w:ind w:left="6906" w:hanging="560"/>
      </w:pPr>
      <w:rPr>
        <w:rFonts w:hint="default"/>
        <w:lang w:val="en-US" w:eastAsia="en-US" w:bidi="ar-SA"/>
      </w:rPr>
    </w:lvl>
    <w:lvl w:ilvl="8">
      <w:start w:val="0"/>
      <w:numFmt w:val="bullet"/>
      <w:lvlText w:val="•"/>
      <w:lvlJc w:val="left"/>
      <w:pPr>
        <w:ind w:left="7824" w:hanging="560"/>
      </w:pPr>
      <w:rPr>
        <w:rFonts w:hint="default"/>
        <w:lang w:val="en-US" w:eastAsia="en-US" w:bidi="ar-SA"/>
      </w:rPr>
    </w:lvl>
  </w:abstractNum>
  <w:abstractNum w:abstractNumId="8">
    <w:multiLevelType w:val="hybridMultilevel"/>
    <w:lvl w:ilvl="0">
      <w:start w:val="0"/>
      <w:numFmt w:val="bullet"/>
      <w:lvlText w:val="✓"/>
      <w:lvlJc w:val="left"/>
      <w:pPr>
        <w:ind w:left="1218" w:hanging="459"/>
      </w:pPr>
      <w:rPr>
        <w:rFonts w:hint="default" w:ascii="Segoe UI Symbol" w:hAnsi="Segoe UI Symbol" w:eastAsia="Segoe UI Symbol" w:cs="Segoe UI Symbol"/>
        <w:b w:val="0"/>
        <w:bCs w:val="0"/>
        <w:i w:val="0"/>
        <w:iCs w:val="0"/>
        <w:spacing w:val="0"/>
        <w:w w:val="103"/>
        <w:position w:val="-1"/>
        <w:sz w:val="30"/>
        <w:szCs w:val="30"/>
        <w:lang w:val="en-US" w:eastAsia="en-US" w:bidi="ar-SA"/>
      </w:rPr>
    </w:lvl>
    <w:lvl w:ilvl="1">
      <w:start w:val="0"/>
      <w:numFmt w:val="bullet"/>
      <w:lvlText w:val="•"/>
      <w:lvlJc w:val="left"/>
      <w:pPr>
        <w:ind w:left="2064" w:hanging="459"/>
      </w:pPr>
      <w:rPr>
        <w:rFonts w:hint="default"/>
        <w:lang w:val="en-US" w:eastAsia="en-US" w:bidi="ar-SA"/>
      </w:rPr>
    </w:lvl>
    <w:lvl w:ilvl="2">
      <w:start w:val="0"/>
      <w:numFmt w:val="bullet"/>
      <w:lvlText w:val="•"/>
      <w:lvlJc w:val="left"/>
      <w:pPr>
        <w:ind w:left="2908" w:hanging="459"/>
      </w:pPr>
      <w:rPr>
        <w:rFonts w:hint="default"/>
        <w:lang w:val="en-US" w:eastAsia="en-US" w:bidi="ar-SA"/>
      </w:rPr>
    </w:lvl>
    <w:lvl w:ilvl="3">
      <w:start w:val="0"/>
      <w:numFmt w:val="bullet"/>
      <w:lvlText w:val="•"/>
      <w:lvlJc w:val="left"/>
      <w:pPr>
        <w:ind w:left="3752" w:hanging="459"/>
      </w:pPr>
      <w:rPr>
        <w:rFonts w:hint="default"/>
        <w:lang w:val="en-US" w:eastAsia="en-US" w:bidi="ar-SA"/>
      </w:rPr>
    </w:lvl>
    <w:lvl w:ilvl="4">
      <w:start w:val="0"/>
      <w:numFmt w:val="bullet"/>
      <w:lvlText w:val="•"/>
      <w:lvlJc w:val="left"/>
      <w:pPr>
        <w:ind w:left="4596" w:hanging="459"/>
      </w:pPr>
      <w:rPr>
        <w:rFonts w:hint="default"/>
        <w:lang w:val="en-US" w:eastAsia="en-US" w:bidi="ar-SA"/>
      </w:rPr>
    </w:lvl>
    <w:lvl w:ilvl="5">
      <w:start w:val="0"/>
      <w:numFmt w:val="bullet"/>
      <w:lvlText w:val="•"/>
      <w:lvlJc w:val="left"/>
      <w:pPr>
        <w:ind w:left="5440" w:hanging="459"/>
      </w:pPr>
      <w:rPr>
        <w:rFonts w:hint="default"/>
        <w:lang w:val="en-US" w:eastAsia="en-US" w:bidi="ar-SA"/>
      </w:rPr>
    </w:lvl>
    <w:lvl w:ilvl="6">
      <w:start w:val="0"/>
      <w:numFmt w:val="bullet"/>
      <w:lvlText w:val="•"/>
      <w:lvlJc w:val="left"/>
      <w:pPr>
        <w:ind w:left="6284" w:hanging="459"/>
      </w:pPr>
      <w:rPr>
        <w:rFonts w:hint="default"/>
        <w:lang w:val="en-US" w:eastAsia="en-US" w:bidi="ar-SA"/>
      </w:rPr>
    </w:lvl>
    <w:lvl w:ilvl="7">
      <w:start w:val="0"/>
      <w:numFmt w:val="bullet"/>
      <w:lvlText w:val="•"/>
      <w:lvlJc w:val="left"/>
      <w:pPr>
        <w:ind w:left="7128" w:hanging="459"/>
      </w:pPr>
      <w:rPr>
        <w:rFonts w:hint="default"/>
        <w:lang w:val="en-US" w:eastAsia="en-US" w:bidi="ar-SA"/>
      </w:rPr>
    </w:lvl>
    <w:lvl w:ilvl="8">
      <w:start w:val="0"/>
      <w:numFmt w:val="bullet"/>
      <w:lvlText w:val="•"/>
      <w:lvlJc w:val="left"/>
      <w:pPr>
        <w:ind w:left="7972" w:hanging="459"/>
      </w:pPr>
      <w:rPr>
        <w:rFonts w:hint="default"/>
        <w:lang w:val="en-US" w:eastAsia="en-US" w:bidi="ar-SA"/>
      </w:rPr>
    </w:lvl>
  </w:abstractNum>
  <w:abstractNum w:abstractNumId="7">
    <w:multiLevelType w:val="hybridMultilevel"/>
    <w:lvl w:ilvl="0">
      <w:start w:val="0"/>
      <w:numFmt w:val="bullet"/>
      <w:lvlText w:val="–"/>
      <w:lvlJc w:val="left"/>
      <w:pPr>
        <w:ind w:left="492" w:hanging="213"/>
      </w:pPr>
      <w:rPr>
        <w:rFonts w:hint="default" w:ascii="Times New Roman" w:hAnsi="Times New Roman" w:eastAsia="Times New Roman" w:cs="Times New Roman"/>
        <w:b w:val="0"/>
        <w:bCs w:val="0"/>
        <w:i w:val="0"/>
        <w:iCs w:val="0"/>
        <w:spacing w:val="0"/>
        <w:w w:val="101"/>
        <w:sz w:val="30"/>
        <w:szCs w:val="30"/>
        <w:lang w:val="en-US" w:eastAsia="en-US" w:bidi="ar-SA"/>
      </w:rPr>
    </w:lvl>
    <w:lvl w:ilvl="1">
      <w:start w:val="0"/>
      <w:numFmt w:val="bullet"/>
      <w:lvlText w:val="•"/>
      <w:lvlJc w:val="left"/>
      <w:pPr>
        <w:ind w:left="1416" w:hanging="213"/>
      </w:pPr>
      <w:rPr>
        <w:rFonts w:hint="default"/>
        <w:lang w:val="en-US" w:eastAsia="en-US" w:bidi="ar-SA"/>
      </w:rPr>
    </w:lvl>
    <w:lvl w:ilvl="2">
      <w:start w:val="0"/>
      <w:numFmt w:val="bullet"/>
      <w:lvlText w:val="•"/>
      <w:lvlJc w:val="left"/>
      <w:pPr>
        <w:ind w:left="2332" w:hanging="213"/>
      </w:pPr>
      <w:rPr>
        <w:rFonts w:hint="default"/>
        <w:lang w:val="en-US" w:eastAsia="en-US" w:bidi="ar-SA"/>
      </w:rPr>
    </w:lvl>
    <w:lvl w:ilvl="3">
      <w:start w:val="0"/>
      <w:numFmt w:val="bullet"/>
      <w:lvlText w:val="•"/>
      <w:lvlJc w:val="left"/>
      <w:pPr>
        <w:ind w:left="3248" w:hanging="213"/>
      </w:pPr>
      <w:rPr>
        <w:rFonts w:hint="default"/>
        <w:lang w:val="en-US" w:eastAsia="en-US" w:bidi="ar-SA"/>
      </w:rPr>
    </w:lvl>
    <w:lvl w:ilvl="4">
      <w:start w:val="0"/>
      <w:numFmt w:val="bullet"/>
      <w:lvlText w:val="•"/>
      <w:lvlJc w:val="left"/>
      <w:pPr>
        <w:ind w:left="4164" w:hanging="213"/>
      </w:pPr>
      <w:rPr>
        <w:rFonts w:hint="default"/>
        <w:lang w:val="en-US" w:eastAsia="en-US" w:bidi="ar-SA"/>
      </w:rPr>
    </w:lvl>
    <w:lvl w:ilvl="5">
      <w:start w:val="0"/>
      <w:numFmt w:val="bullet"/>
      <w:lvlText w:val="•"/>
      <w:lvlJc w:val="left"/>
      <w:pPr>
        <w:ind w:left="5080" w:hanging="213"/>
      </w:pPr>
      <w:rPr>
        <w:rFonts w:hint="default"/>
        <w:lang w:val="en-US" w:eastAsia="en-US" w:bidi="ar-SA"/>
      </w:rPr>
    </w:lvl>
    <w:lvl w:ilvl="6">
      <w:start w:val="0"/>
      <w:numFmt w:val="bullet"/>
      <w:lvlText w:val="•"/>
      <w:lvlJc w:val="left"/>
      <w:pPr>
        <w:ind w:left="5996" w:hanging="213"/>
      </w:pPr>
      <w:rPr>
        <w:rFonts w:hint="default"/>
        <w:lang w:val="en-US" w:eastAsia="en-US" w:bidi="ar-SA"/>
      </w:rPr>
    </w:lvl>
    <w:lvl w:ilvl="7">
      <w:start w:val="0"/>
      <w:numFmt w:val="bullet"/>
      <w:lvlText w:val="•"/>
      <w:lvlJc w:val="left"/>
      <w:pPr>
        <w:ind w:left="6912" w:hanging="213"/>
      </w:pPr>
      <w:rPr>
        <w:rFonts w:hint="default"/>
        <w:lang w:val="en-US" w:eastAsia="en-US" w:bidi="ar-SA"/>
      </w:rPr>
    </w:lvl>
    <w:lvl w:ilvl="8">
      <w:start w:val="0"/>
      <w:numFmt w:val="bullet"/>
      <w:lvlText w:val="•"/>
      <w:lvlJc w:val="left"/>
      <w:pPr>
        <w:ind w:left="7828" w:hanging="213"/>
      </w:pPr>
      <w:rPr>
        <w:rFonts w:hint="default"/>
        <w:lang w:val="en-US" w:eastAsia="en-US" w:bidi="ar-SA"/>
      </w:rPr>
    </w:lvl>
  </w:abstractNum>
  <w:abstractNum w:abstractNumId="6">
    <w:multiLevelType w:val="hybridMultilevel"/>
    <w:lvl w:ilvl="0">
      <w:start w:val="0"/>
      <w:numFmt w:val="bullet"/>
      <w:lvlText w:val="➢"/>
      <w:lvlJc w:val="left"/>
      <w:pPr>
        <w:ind w:left="1185" w:hanging="426"/>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2028" w:hanging="426"/>
      </w:pPr>
      <w:rPr>
        <w:rFonts w:hint="default"/>
        <w:lang w:val="en-US" w:eastAsia="en-US" w:bidi="ar-SA"/>
      </w:rPr>
    </w:lvl>
    <w:lvl w:ilvl="2">
      <w:start w:val="0"/>
      <w:numFmt w:val="bullet"/>
      <w:lvlText w:val="•"/>
      <w:lvlJc w:val="left"/>
      <w:pPr>
        <w:ind w:left="2876" w:hanging="426"/>
      </w:pPr>
      <w:rPr>
        <w:rFonts w:hint="default"/>
        <w:lang w:val="en-US" w:eastAsia="en-US" w:bidi="ar-SA"/>
      </w:rPr>
    </w:lvl>
    <w:lvl w:ilvl="3">
      <w:start w:val="0"/>
      <w:numFmt w:val="bullet"/>
      <w:lvlText w:val="•"/>
      <w:lvlJc w:val="left"/>
      <w:pPr>
        <w:ind w:left="3724" w:hanging="426"/>
      </w:pPr>
      <w:rPr>
        <w:rFonts w:hint="default"/>
        <w:lang w:val="en-US" w:eastAsia="en-US" w:bidi="ar-SA"/>
      </w:rPr>
    </w:lvl>
    <w:lvl w:ilvl="4">
      <w:start w:val="0"/>
      <w:numFmt w:val="bullet"/>
      <w:lvlText w:val="•"/>
      <w:lvlJc w:val="left"/>
      <w:pPr>
        <w:ind w:left="4572" w:hanging="426"/>
      </w:pPr>
      <w:rPr>
        <w:rFonts w:hint="default"/>
        <w:lang w:val="en-US" w:eastAsia="en-US" w:bidi="ar-SA"/>
      </w:rPr>
    </w:lvl>
    <w:lvl w:ilvl="5">
      <w:start w:val="0"/>
      <w:numFmt w:val="bullet"/>
      <w:lvlText w:val="•"/>
      <w:lvlJc w:val="left"/>
      <w:pPr>
        <w:ind w:left="5420" w:hanging="426"/>
      </w:pPr>
      <w:rPr>
        <w:rFonts w:hint="default"/>
        <w:lang w:val="en-US" w:eastAsia="en-US" w:bidi="ar-SA"/>
      </w:rPr>
    </w:lvl>
    <w:lvl w:ilvl="6">
      <w:start w:val="0"/>
      <w:numFmt w:val="bullet"/>
      <w:lvlText w:val="•"/>
      <w:lvlJc w:val="left"/>
      <w:pPr>
        <w:ind w:left="6268" w:hanging="426"/>
      </w:pPr>
      <w:rPr>
        <w:rFonts w:hint="default"/>
        <w:lang w:val="en-US" w:eastAsia="en-US" w:bidi="ar-SA"/>
      </w:rPr>
    </w:lvl>
    <w:lvl w:ilvl="7">
      <w:start w:val="0"/>
      <w:numFmt w:val="bullet"/>
      <w:lvlText w:val="•"/>
      <w:lvlJc w:val="left"/>
      <w:pPr>
        <w:ind w:left="7116" w:hanging="426"/>
      </w:pPr>
      <w:rPr>
        <w:rFonts w:hint="default"/>
        <w:lang w:val="en-US" w:eastAsia="en-US" w:bidi="ar-SA"/>
      </w:rPr>
    </w:lvl>
    <w:lvl w:ilvl="8">
      <w:start w:val="0"/>
      <w:numFmt w:val="bullet"/>
      <w:lvlText w:val="•"/>
      <w:lvlJc w:val="left"/>
      <w:pPr>
        <w:ind w:left="7964" w:hanging="426"/>
      </w:pPr>
      <w:rPr>
        <w:rFonts w:hint="default"/>
        <w:lang w:val="en-US" w:eastAsia="en-US" w:bidi="ar-SA"/>
      </w:rPr>
    </w:lvl>
  </w:abstractNum>
  <w:abstractNum w:abstractNumId="5">
    <w:multiLevelType w:val="hybridMultilevel"/>
    <w:lvl w:ilvl="0">
      <w:start w:val="0"/>
      <w:numFmt w:val="bullet"/>
      <w:lvlText w:val="➢"/>
      <w:lvlJc w:val="left"/>
      <w:pPr>
        <w:ind w:left="1218" w:hanging="459"/>
      </w:pPr>
      <w:rPr>
        <w:rFonts w:hint="default" w:ascii="Segoe UI Symbol" w:hAnsi="Segoe UI Symbol" w:eastAsia="Segoe UI Symbol" w:cs="Segoe UI Symbol"/>
        <w:b w:val="0"/>
        <w:bCs w:val="0"/>
        <w:i w:val="0"/>
        <w:iCs w:val="0"/>
        <w:color w:val="374151"/>
        <w:spacing w:val="0"/>
        <w:w w:val="97"/>
        <w:sz w:val="30"/>
        <w:szCs w:val="30"/>
        <w:lang w:val="en-US" w:eastAsia="en-US" w:bidi="ar-SA"/>
      </w:rPr>
    </w:lvl>
    <w:lvl w:ilvl="1">
      <w:start w:val="0"/>
      <w:numFmt w:val="bullet"/>
      <w:lvlText w:val="•"/>
      <w:lvlJc w:val="left"/>
      <w:pPr>
        <w:ind w:left="2064" w:hanging="459"/>
      </w:pPr>
      <w:rPr>
        <w:rFonts w:hint="default"/>
        <w:lang w:val="en-US" w:eastAsia="en-US" w:bidi="ar-SA"/>
      </w:rPr>
    </w:lvl>
    <w:lvl w:ilvl="2">
      <w:start w:val="0"/>
      <w:numFmt w:val="bullet"/>
      <w:lvlText w:val="•"/>
      <w:lvlJc w:val="left"/>
      <w:pPr>
        <w:ind w:left="2908" w:hanging="459"/>
      </w:pPr>
      <w:rPr>
        <w:rFonts w:hint="default"/>
        <w:lang w:val="en-US" w:eastAsia="en-US" w:bidi="ar-SA"/>
      </w:rPr>
    </w:lvl>
    <w:lvl w:ilvl="3">
      <w:start w:val="0"/>
      <w:numFmt w:val="bullet"/>
      <w:lvlText w:val="•"/>
      <w:lvlJc w:val="left"/>
      <w:pPr>
        <w:ind w:left="3752" w:hanging="459"/>
      </w:pPr>
      <w:rPr>
        <w:rFonts w:hint="default"/>
        <w:lang w:val="en-US" w:eastAsia="en-US" w:bidi="ar-SA"/>
      </w:rPr>
    </w:lvl>
    <w:lvl w:ilvl="4">
      <w:start w:val="0"/>
      <w:numFmt w:val="bullet"/>
      <w:lvlText w:val="•"/>
      <w:lvlJc w:val="left"/>
      <w:pPr>
        <w:ind w:left="4596" w:hanging="459"/>
      </w:pPr>
      <w:rPr>
        <w:rFonts w:hint="default"/>
        <w:lang w:val="en-US" w:eastAsia="en-US" w:bidi="ar-SA"/>
      </w:rPr>
    </w:lvl>
    <w:lvl w:ilvl="5">
      <w:start w:val="0"/>
      <w:numFmt w:val="bullet"/>
      <w:lvlText w:val="•"/>
      <w:lvlJc w:val="left"/>
      <w:pPr>
        <w:ind w:left="5440" w:hanging="459"/>
      </w:pPr>
      <w:rPr>
        <w:rFonts w:hint="default"/>
        <w:lang w:val="en-US" w:eastAsia="en-US" w:bidi="ar-SA"/>
      </w:rPr>
    </w:lvl>
    <w:lvl w:ilvl="6">
      <w:start w:val="0"/>
      <w:numFmt w:val="bullet"/>
      <w:lvlText w:val="•"/>
      <w:lvlJc w:val="left"/>
      <w:pPr>
        <w:ind w:left="6284" w:hanging="459"/>
      </w:pPr>
      <w:rPr>
        <w:rFonts w:hint="default"/>
        <w:lang w:val="en-US" w:eastAsia="en-US" w:bidi="ar-SA"/>
      </w:rPr>
    </w:lvl>
    <w:lvl w:ilvl="7">
      <w:start w:val="0"/>
      <w:numFmt w:val="bullet"/>
      <w:lvlText w:val="•"/>
      <w:lvlJc w:val="left"/>
      <w:pPr>
        <w:ind w:left="7128" w:hanging="459"/>
      </w:pPr>
      <w:rPr>
        <w:rFonts w:hint="default"/>
        <w:lang w:val="en-US" w:eastAsia="en-US" w:bidi="ar-SA"/>
      </w:rPr>
    </w:lvl>
    <w:lvl w:ilvl="8">
      <w:start w:val="0"/>
      <w:numFmt w:val="bullet"/>
      <w:lvlText w:val="•"/>
      <w:lvlJc w:val="left"/>
      <w:pPr>
        <w:ind w:left="7972" w:hanging="459"/>
      </w:pPr>
      <w:rPr>
        <w:rFonts w:hint="default"/>
        <w:lang w:val="en-US" w:eastAsia="en-US" w:bidi="ar-SA"/>
      </w:rPr>
    </w:lvl>
  </w:abstractNum>
  <w:abstractNum w:abstractNumId="4">
    <w:multiLevelType w:val="hybridMultilevel"/>
    <w:lvl w:ilvl="0">
      <w:start w:val="0"/>
      <w:numFmt w:val="bullet"/>
      <w:lvlText w:val="•"/>
      <w:lvlJc w:val="left"/>
      <w:pPr>
        <w:ind w:left="1088" w:hanging="809"/>
      </w:pPr>
      <w:rPr>
        <w:rFonts w:hint="default" w:ascii="Courier New" w:hAnsi="Courier New" w:eastAsia="Courier New" w:cs="Courier New"/>
        <w:b w:val="0"/>
        <w:bCs w:val="0"/>
        <w:i w:val="0"/>
        <w:iCs w:val="0"/>
        <w:spacing w:val="0"/>
        <w:w w:val="100"/>
        <w:sz w:val="28"/>
        <w:szCs w:val="28"/>
        <w:lang w:val="en-US" w:eastAsia="en-US" w:bidi="ar-SA"/>
      </w:rPr>
    </w:lvl>
    <w:lvl w:ilvl="1">
      <w:start w:val="0"/>
      <w:numFmt w:val="bullet"/>
      <w:lvlText w:val="•"/>
      <w:lvlJc w:val="left"/>
      <w:pPr>
        <w:ind w:left="1938" w:hanging="809"/>
      </w:pPr>
      <w:rPr>
        <w:rFonts w:hint="default"/>
        <w:lang w:val="en-US" w:eastAsia="en-US" w:bidi="ar-SA"/>
      </w:rPr>
    </w:lvl>
    <w:lvl w:ilvl="2">
      <w:start w:val="0"/>
      <w:numFmt w:val="bullet"/>
      <w:lvlText w:val="•"/>
      <w:lvlJc w:val="left"/>
      <w:pPr>
        <w:ind w:left="2796" w:hanging="809"/>
      </w:pPr>
      <w:rPr>
        <w:rFonts w:hint="default"/>
        <w:lang w:val="en-US" w:eastAsia="en-US" w:bidi="ar-SA"/>
      </w:rPr>
    </w:lvl>
    <w:lvl w:ilvl="3">
      <w:start w:val="0"/>
      <w:numFmt w:val="bullet"/>
      <w:lvlText w:val="•"/>
      <w:lvlJc w:val="left"/>
      <w:pPr>
        <w:ind w:left="3654" w:hanging="809"/>
      </w:pPr>
      <w:rPr>
        <w:rFonts w:hint="default"/>
        <w:lang w:val="en-US" w:eastAsia="en-US" w:bidi="ar-SA"/>
      </w:rPr>
    </w:lvl>
    <w:lvl w:ilvl="4">
      <w:start w:val="0"/>
      <w:numFmt w:val="bullet"/>
      <w:lvlText w:val="•"/>
      <w:lvlJc w:val="left"/>
      <w:pPr>
        <w:ind w:left="4512" w:hanging="809"/>
      </w:pPr>
      <w:rPr>
        <w:rFonts w:hint="default"/>
        <w:lang w:val="en-US" w:eastAsia="en-US" w:bidi="ar-SA"/>
      </w:rPr>
    </w:lvl>
    <w:lvl w:ilvl="5">
      <w:start w:val="0"/>
      <w:numFmt w:val="bullet"/>
      <w:lvlText w:val="•"/>
      <w:lvlJc w:val="left"/>
      <w:pPr>
        <w:ind w:left="5370" w:hanging="809"/>
      </w:pPr>
      <w:rPr>
        <w:rFonts w:hint="default"/>
        <w:lang w:val="en-US" w:eastAsia="en-US" w:bidi="ar-SA"/>
      </w:rPr>
    </w:lvl>
    <w:lvl w:ilvl="6">
      <w:start w:val="0"/>
      <w:numFmt w:val="bullet"/>
      <w:lvlText w:val="•"/>
      <w:lvlJc w:val="left"/>
      <w:pPr>
        <w:ind w:left="6228" w:hanging="809"/>
      </w:pPr>
      <w:rPr>
        <w:rFonts w:hint="default"/>
        <w:lang w:val="en-US" w:eastAsia="en-US" w:bidi="ar-SA"/>
      </w:rPr>
    </w:lvl>
    <w:lvl w:ilvl="7">
      <w:start w:val="0"/>
      <w:numFmt w:val="bullet"/>
      <w:lvlText w:val="•"/>
      <w:lvlJc w:val="left"/>
      <w:pPr>
        <w:ind w:left="7086" w:hanging="809"/>
      </w:pPr>
      <w:rPr>
        <w:rFonts w:hint="default"/>
        <w:lang w:val="en-US" w:eastAsia="en-US" w:bidi="ar-SA"/>
      </w:rPr>
    </w:lvl>
    <w:lvl w:ilvl="8">
      <w:start w:val="0"/>
      <w:numFmt w:val="bullet"/>
      <w:lvlText w:val="•"/>
      <w:lvlJc w:val="left"/>
      <w:pPr>
        <w:ind w:left="7944" w:hanging="809"/>
      </w:pPr>
      <w:rPr>
        <w:rFonts w:hint="default"/>
        <w:lang w:val="en-US" w:eastAsia="en-US" w:bidi="ar-SA"/>
      </w:rPr>
    </w:lvl>
  </w:abstractNum>
  <w:abstractNum w:abstractNumId="3">
    <w:multiLevelType w:val="hybridMultilevel"/>
    <w:lvl w:ilvl="0">
      <w:start w:val="0"/>
      <w:numFmt w:val="bullet"/>
      <w:lvlText w:val="✓"/>
      <w:lvlJc w:val="left"/>
      <w:pPr>
        <w:ind w:left="100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1866" w:hanging="360"/>
      </w:pPr>
      <w:rPr>
        <w:rFonts w:hint="default"/>
        <w:lang w:val="en-US" w:eastAsia="en-US" w:bidi="ar-SA"/>
      </w:rPr>
    </w:lvl>
    <w:lvl w:ilvl="2">
      <w:start w:val="0"/>
      <w:numFmt w:val="bullet"/>
      <w:lvlText w:val="•"/>
      <w:lvlJc w:val="left"/>
      <w:pPr>
        <w:ind w:left="2732" w:hanging="360"/>
      </w:pPr>
      <w:rPr>
        <w:rFonts w:hint="default"/>
        <w:lang w:val="en-US" w:eastAsia="en-US" w:bidi="ar-SA"/>
      </w:rPr>
    </w:lvl>
    <w:lvl w:ilvl="3">
      <w:start w:val="0"/>
      <w:numFmt w:val="bullet"/>
      <w:lvlText w:val="•"/>
      <w:lvlJc w:val="left"/>
      <w:pPr>
        <w:ind w:left="3598" w:hanging="360"/>
      </w:pPr>
      <w:rPr>
        <w:rFonts w:hint="default"/>
        <w:lang w:val="en-US" w:eastAsia="en-US" w:bidi="ar-SA"/>
      </w:rPr>
    </w:lvl>
    <w:lvl w:ilvl="4">
      <w:start w:val="0"/>
      <w:numFmt w:val="bullet"/>
      <w:lvlText w:val="•"/>
      <w:lvlJc w:val="left"/>
      <w:pPr>
        <w:ind w:left="4464" w:hanging="360"/>
      </w:pPr>
      <w:rPr>
        <w:rFonts w:hint="default"/>
        <w:lang w:val="en-US" w:eastAsia="en-US" w:bidi="ar-SA"/>
      </w:rPr>
    </w:lvl>
    <w:lvl w:ilvl="5">
      <w:start w:val="0"/>
      <w:numFmt w:val="bullet"/>
      <w:lvlText w:val="•"/>
      <w:lvlJc w:val="left"/>
      <w:pPr>
        <w:ind w:left="5330" w:hanging="360"/>
      </w:pPr>
      <w:rPr>
        <w:rFonts w:hint="default"/>
        <w:lang w:val="en-US" w:eastAsia="en-US" w:bidi="ar-SA"/>
      </w:rPr>
    </w:lvl>
    <w:lvl w:ilvl="6">
      <w:start w:val="0"/>
      <w:numFmt w:val="bullet"/>
      <w:lvlText w:val="•"/>
      <w:lvlJc w:val="left"/>
      <w:pPr>
        <w:ind w:left="6196" w:hanging="360"/>
      </w:pPr>
      <w:rPr>
        <w:rFonts w:hint="default"/>
        <w:lang w:val="en-US" w:eastAsia="en-US" w:bidi="ar-SA"/>
      </w:rPr>
    </w:lvl>
    <w:lvl w:ilvl="7">
      <w:start w:val="0"/>
      <w:numFmt w:val="bullet"/>
      <w:lvlText w:val="•"/>
      <w:lvlJc w:val="left"/>
      <w:pPr>
        <w:ind w:left="7062" w:hanging="360"/>
      </w:pPr>
      <w:rPr>
        <w:rFonts w:hint="default"/>
        <w:lang w:val="en-US" w:eastAsia="en-US" w:bidi="ar-SA"/>
      </w:rPr>
    </w:lvl>
    <w:lvl w:ilvl="8">
      <w:start w:val="0"/>
      <w:numFmt w:val="bullet"/>
      <w:lvlText w:val="•"/>
      <w:lvlJc w:val="left"/>
      <w:pPr>
        <w:ind w:left="7928" w:hanging="360"/>
      </w:pPr>
      <w:rPr>
        <w:rFonts w:hint="default"/>
        <w:lang w:val="en-US" w:eastAsia="en-US" w:bidi="ar-SA"/>
      </w:rPr>
    </w:lvl>
  </w:abstractNum>
  <w:abstractNum w:abstractNumId="2">
    <w:multiLevelType w:val="hybridMultilevel"/>
    <w:lvl w:ilvl="0">
      <w:start w:val="1"/>
      <w:numFmt w:val="decimal"/>
      <w:lvlText w:val="%1."/>
      <w:lvlJc w:val="left"/>
      <w:pPr>
        <w:ind w:left="655" w:hanging="375"/>
        <w:jc w:val="right"/>
      </w:pPr>
      <w:rPr>
        <w:rFonts w:hint="default"/>
        <w:spacing w:val="0"/>
        <w:w w:val="100"/>
        <w:lang w:val="en-US" w:eastAsia="en-US" w:bidi="ar-SA"/>
      </w:rPr>
    </w:lvl>
    <w:lvl w:ilvl="1">
      <w:start w:val="0"/>
      <w:numFmt w:val="bullet"/>
      <w:lvlText w:val="✓"/>
      <w:lvlJc w:val="left"/>
      <w:pPr>
        <w:ind w:left="1185" w:hanging="426"/>
      </w:pPr>
      <w:rPr>
        <w:rFonts w:hint="default" w:ascii="Segoe UI Symbol" w:hAnsi="Segoe UI Symbol" w:eastAsia="Segoe UI Symbol" w:cs="Segoe UI Symbol"/>
        <w:b w:val="0"/>
        <w:bCs w:val="0"/>
        <w:i w:val="0"/>
        <w:iCs w:val="0"/>
        <w:spacing w:val="0"/>
        <w:w w:val="103"/>
        <w:position w:val="-1"/>
        <w:sz w:val="30"/>
        <w:szCs w:val="30"/>
        <w:lang w:val="en-US" w:eastAsia="en-US" w:bidi="ar-SA"/>
      </w:rPr>
    </w:lvl>
    <w:lvl w:ilvl="2">
      <w:start w:val="0"/>
      <w:numFmt w:val="bullet"/>
      <w:lvlText w:val="•"/>
      <w:lvlJc w:val="left"/>
      <w:pPr>
        <w:ind w:left="2122" w:hanging="426"/>
      </w:pPr>
      <w:rPr>
        <w:rFonts w:hint="default"/>
        <w:lang w:val="en-US" w:eastAsia="en-US" w:bidi="ar-SA"/>
      </w:rPr>
    </w:lvl>
    <w:lvl w:ilvl="3">
      <w:start w:val="0"/>
      <w:numFmt w:val="bullet"/>
      <w:lvlText w:val="•"/>
      <w:lvlJc w:val="left"/>
      <w:pPr>
        <w:ind w:left="3064" w:hanging="426"/>
      </w:pPr>
      <w:rPr>
        <w:rFonts w:hint="default"/>
        <w:lang w:val="en-US" w:eastAsia="en-US" w:bidi="ar-SA"/>
      </w:rPr>
    </w:lvl>
    <w:lvl w:ilvl="4">
      <w:start w:val="0"/>
      <w:numFmt w:val="bullet"/>
      <w:lvlText w:val="•"/>
      <w:lvlJc w:val="left"/>
      <w:pPr>
        <w:ind w:left="4006" w:hanging="426"/>
      </w:pPr>
      <w:rPr>
        <w:rFonts w:hint="default"/>
        <w:lang w:val="en-US" w:eastAsia="en-US" w:bidi="ar-SA"/>
      </w:rPr>
    </w:lvl>
    <w:lvl w:ilvl="5">
      <w:start w:val="0"/>
      <w:numFmt w:val="bullet"/>
      <w:lvlText w:val="•"/>
      <w:lvlJc w:val="left"/>
      <w:pPr>
        <w:ind w:left="4948" w:hanging="426"/>
      </w:pPr>
      <w:rPr>
        <w:rFonts w:hint="default"/>
        <w:lang w:val="en-US" w:eastAsia="en-US" w:bidi="ar-SA"/>
      </w:rPr>
    </w:lvl>
    <w:lvl w:ilvl="6">
      <w:start w:val="0"/>
      <w:numFmt w:val="bullet"/>
      <w:lvlText w:val="•"/>
      <w:lvlJc w:val="left"/>
      <w:pPr>
        <w:ind w:left="5891" w:hanging="426"/>
      </w:pPr>
      <w:rPr>
        <w:rFonts w:hint="default"/>
        <w:lang w:val="en-US" w:eastAsia="en-US" w:bidi="ar-SA"/>
      </w:rPr>
    </w:lvl>
    <w:lvl w:ilvl="7">
      <w:start w:val="0"/>
      <w:numFmt w:val="bullet"/>
      <w:lvlText w:val="•"/>
      <w:lvlJc w:val="left"/>
      <w:pPr>
        <w:ind w:left="6833" w:hanging="426"/>
      </w:pPr>
      <w:rPr>
        <w:rFonts w:hint="default"/>
        <w:lang w:val="en-US" w:eastAsia="en-US" w:bidi="ar-SA"/>
      </w:rPr>
    </w:lvl>
    <w:lvl w:ilvl="8">
      <w:start w:val="0"/>
      <w:numFmt w:val="bullet"/>
      <w:lvlText w:val="•"/>
      <w:lvlJc w:val="left"/>
      <w:pPr>
        <w:ind w:left="7775" w:hanging="426"/>
      </w:pPr>
      <w:rPr>
        <w:rFonts w:hint="default"/>
        <w:lang w:val="en-US" w:eastAsia="en-US" w:bidi="ar-SA"/>
      </w:rPr>
    </w:lvl>
  </w:abstractNum>
  <w:abstractNum w:abstractNumId="1">
    <w:multiLevelType w:val="hybridMultilevel"/>
    <w:lvl w:ilvl="0">
      <w:start w:val="1"/>
      <w:numFmt w:val="decimal"/>
      <w:lvlText w:val="%1."/>
      <w:lvlJc w:val="left"/>
      <w:pPr>
        <w:ind w:left="766" w:hanging="295"/>
        <w:jc w:val="left"/>
      </w:pPr>
      <w:rPr>
        <w:rFonts w:hint="default"/>
        <w:spacing w:val="0"/>
        <w:w w:val="100"/>
        <w:lang w:val="en-US" w:eastAsia="en-US" w:bidi="ar-SA"/>
      </w:rPr>
    </w:lvl>
    <w:lvl w:ilvl="1">
      <w:start w:val="0"/>
      <w:numFmt w:val="bullet"/>
      <w:lvlText w:val="•"/>
      <w:lvlJc w:val="left"/>
      <w:pPr>
        <w:ind w:left="1650" w:hanging="295"/>
      </w:pPr>
      <w:rPr>
        <w:rFonts w:hint="default"/>
        <w:lang w:val="en-US" w:eastAsia="en-US" w:bidi="ar-SA"/>
      </w:rPr>
    </w:lvl>
    <w:lvl w:ilvl="2">
      <w:start w:val="0"/>
      <w:numFmt w:val="bullet"/>
      <w:lvlText w:val="•"/>
      <w:lvlJc w:val="left"/>
      <w:pPr>
        <w:ind w:left="2540" w:hanging="295"/>
      </w:pPr>
      <w:rPr>
        <w:rFonts w:hint="default"/>
        <w:lang w:val="en-US" w:eastAsia="en-US" w:bidi="ar-SA"/>
      </w:rPr>
    </w:lvl>
    <w:lvl w:ilvl="3">
      <w:start w:val="0"/>
      <w:numFmt w:val="bullet"/>
      <w:lvlText w:val="•"/>
      <w:lvlJc w:val="left"/>
      <w:pPr>
        <w:ind w:left="3430" w:hanging="295"/>
      </w:pPr>
      <w:rPr>
        <w:rFonts w:hint="default"/>
        <w:lang w:val="en-US" w:eastAsia="en-US" w:bidi="ar-SA"/>
      </w:rPr>
    </w:lvl>
    <w:lvl w:ilvl="4">
      <w:start w:val="0"/>
      <w:numFmt w:val="bullet"/>
      <w:lvlText w:val="•"/>
      <w:lvlJc w:val="left"/>
      <w:pPr>
        <w:ind w:left="4320" w:hanging="295"/>
      </w:pPr>
      <w:rPr>
        <w:rFonts w:hint="default"/>
        <w:lang w:val="en-US" w:eastAsia="en-US" w:bidi="ar-SA"/>
      </w:rPr>
    </w:lvl>
    <w:lvl w:ilvl="5">
      <w:start w:val="0"/>
      <w:numFmt w:val="bullet"/>
      <w:lvlText w:val="•"/>
      <w:lvlJc w:val="left"/>
      <w:pPr>
        <w:ind w:left="5210" w:hanging="295"/>
      </w:pPr>
      <w:rPr>
        <w:rFonts w:hint="default"/>
        <w:lang w:val="en-US" w:eastAsia="en-US" w:bidi="ar-SA"/>
      </w:rPr>
    </w:lvl>
    <w:lvl w:ilvl="6">
      <w:start w:val="0"/>
      <w:numFmt w:val="bullet"/>
      <w:lvlText w:val="•"/>
      <w:lvlJc w:val="left"/>
      <w:pPr>
        <w:ind w:left="6100" w:hanging="295"/>
      </w:pPr>
      <w:rPr>
        <w:rFonts w:hint="default"/>
        <w:lang w:val="en-US" w:eastAsia="en-US" w:bidi="ar-SA"/>
      </w:rPr>
    </w:lvl>
    <w:lvl w:ilvl="7">
      <w:start w:val="0"/>
      <w:numFmt w:val="bullet"/>
      <w:lvlText w:val="•"/>
      <w:lvlJc w:val="left"/>
      <w:pPr>
        <w:ind w:left="6990" w:hanging="295"/>
      </w:pPr>
      <w:rPr>
        <w:rFonts w:hint="default"/>
        <w:lang w:val="en-US" w:eastAsia="en-US" w:bidi="ar-SA"/>
      </w:rPr>
    </w:lvl>
    <w:lvl w:ilvl="8">
      <w:start w:val="0"/>
      <w:numFmt w:val="bullet"/>
      <w:lvlText w:val="•"/>
      <w:lvlJc w:val="left"/>
      <w:pPr>
        <w:ind w:left="7880" w:hanging="295"/>
      </w:pPr>
      <w:rPr>
        <w:rFonts w:hint="default"/>
        <w:lang w:val="en-US" w:eastAsia="en-US" w:bidi="ar-SA"/>
      </w:rPr>
    </w:lvl>
  </w:abstractNum>
  <w:abstractNum w:abstractNumId="0">
    <w:multiLevelType w:val="hybridMultilevel"/>
    <w:lvl w:ilvl="0">
      <w:start w:val="0"/>
      <w:numFmt w:val="bullet"/>
      <w:lvlText w:val="✓"/>
      <w:lvlJc w:val="left"/>
      <w:pPr>
        <w:ind w:left="993" w:hanging="459"/>
      </w:pPr>
      <w:rPr>
        <w:rFonts w:hint="default" w:ascii="Segoe UI Symbol" w:hAnsi="Segoe UI Symbol" w:eastAsia="Segoe UI Symbol" w:cs="Segoe UI Symbol"/>
        <w:b w:val="0"/>
        <w:bCs w:val="0"/>
        <w:i w:val="0"/>
        <w:iCs w:val="0"/>
        <w:spacing w:val="0"/>
        <w:w w:val="103"/>
        <w:position w:val="-1"/>
        <w:sz w:val="30"/>
        <w:szCs w:val="30"/>
        <w:lang w:val="en-US" w:eastAsia="en-US" w:bidi="ar-SA"/>
      </w:rPr>
    </w:lvl>
    <w:lvl w:ilvl="1">
      <w:start w:val="0"/>
      <w:numFmt w:val="bullet"/>
      <w:lvlText w:val="•"/>
      <w:lvlJc w:val="left"/>
      <w:pPr>
        <w:ind w:left="1800" w:hanging="459"/>
      </w:pPr>
      <w:rPr>
        <w:rFonts w:hint="default"/>
        <w:lang w:val="en-US" w:eastAsia="en-US" w:bidi="ar-SA"/>
      </w:rPr>
    </w:lvl>
    <w:lvl w:ilvl="2">
      <w:start w:val="0"/>
      <w:numFmt w:val="bullet"/>
      <w:lvlText w:val="•"/>
      <w:lvlJc w:val="left"/>
      <w:pPr>
        <w:ind w:left="2600" w:hanging="459"/>
      </w:pPr>
      <w:rPr>
        <w:rFonts w:hint="default"/>
        <w:lang w:val="en-US" w:eastAsia="en-US" w:bidi="ar-SA"/>
      </w:rPr>
    </w:lvl>
    <w:lvl w:ilvl="3">
      <w:start w:val="0"/>
      <w:numFmt w:val="bullet"/>
      <w:lvlText w:val="•"/>
      <w:lvlJc w:val="left"/>
      <w:pPr>
        <w:ind w:left="3400" w:hanging="459"/>
      </w:pPr>
      <w:rPr>
        <w:rFonts w:hint="default"/>
        <w:lang w:val="en-US" w:eastAsia="en-US" w:bidi="ar-SA"/>
      </w:rPr>
    </w:lvl>
    <w:lvl w:ilvl="4">
      <w:start w:val="0"/>
      <w:numFmt w:val="bullet"/>
      <w:lvlText w:val="•"/>
      <w:lvlJc w:val="left"/>
      <w:pPr>
        <w:ind w:left="4200" w:hanging="459"/>
      </w:pPr>
      <w:rPr>
        <w:rFonts w:hint="default"/>
        <w:lang w:val="en-US" w:eastAsia="en-US" w:bidi="ar-SA"/>
      </w:rPr>
    </w:lvl>
    <w:lvl w:ilvl="5">
      <w:start w:val="0"/>
      <w:numFmt w:val="bullet"/>
      <w:lvlText w:val="•"/>
      <w:lvlJc w:val="left"/>
      <w:pPr>
        <w:ind w:left="5000" w:hanging="459"/>
      </w:pPr>
      <w:rPr>
        <w:rFonts w:hint="default"/>
        <w:lang w:val="en-US" w:eastAsia="en-US" w:bidi="ar-SA"/>
      </w:rPr>
    </w:lvl>
    <w:lvl w:ilvl="6">
      <w:start w:val="0"/>
      <w:numFmt w:val="bullet"/>
      <w:lvlText w:val="•"/>
      <w:lvlJc w:val="left"/>
      <w:pPr>
        <w:ind w:left="5800" w:hanging="459"/>
      </w:pPr>
      <w:rPr>
        <w:rFonts w:hint="default"/>
        <w:lang w:val="en-US" w:eastAsia="en-US" w:bidi="ar-SA"/>
      </w:rPr>
    </w:lvl>
    <w:lvl w:ilvl="7">
      <w:start w:val="0"/>
      <w:numFmt w:val="bullet"/>
      <w:lvlText w:val="•"/>
      <w:lvlJc w:val="left"/>
      <w:pPr>
        <w:ind w:left="6600" w:hanging="459"/>
      </w:pPr>
      <w:rPr>
        <w:rFonts w:hint="default"/>
        <w:lang w:val="en-US" w:eastAsia="en-US" w:bidi="ar-SA"/>
      </w:rPr>
    </w:lvl>
    <w:lvl w:ilvl="8">
      <w:start w:val="0"/>
      <w:numFmt w:val="bullet"/>
      <w:lvlText w:val="•"/>
      <w:lvlJc w:val="left"/>
      <w:pPr>
        <w:ind w:left="7400" w:hanging="459"/>
      </w:pPr>
      <w:rPr>
        <w:rFonts w:hint="default"/>
        <w:lang w:val="en-US"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18"/>
      <w:ind w:left="765" w:hanging="294"/>
    </w:pPr>
    <w:rPr>
      <w:rFonts w:ascii="Times New Roman" w:hAnsi="Times New Roman" w:eastAsia="Times New Roman" w:cs="Times New Roman"/>
      <w:b/>
      <w:bCs/>
      <w:sz w:val="28"/>
      <w:szCs w:val="28"/>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spacing w:before="70"/>
      <w:ind w:left="640" w:hanging="36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ind w:left="280"/>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280"/>
      <w:outlineLvl w:val="3"/>
    </w:pPr>
    <w:rPr>
      <w:rFonts w:ascii="Times New Roman" w:hAnsi="Times New Roman" w:eastAsia="Times New Roman" w:cs="Times New Roman"/>
      <w:b/>
      <w:bCs/>
      <w:i/>
      <w:iCs/>
      <w:sz w:val="28"/>
      <w:szCs w:val="28"/>
      <w:lang w:val="en-US" w:eastAsia="en-US" w:bidi="ar-SA"/>
    </w:rPr>
  </w:style>
  <w:style w:styleId="Title" w:type="paragraph">
    <w:name w:val="Title"/>
    <w:basedOn w:val="Normal"/>
    <w:uiPriority w:val="1"/>
    <w:qFormat/>
    <w:pPr>
      <w:spacing w:before="84"/>
      <w:ind w:left="861" w:right="1066"/>
      <w:jc w:val="center"/>
    </w:pPr>
    <w:rPr>
      <w:rFonts w:ascii="Times New Roman" w:hAnsi="Times New Roman" w:eastAsia="Times New Roman" w:cs="Times New Roman"/>
      <w:b/>
      <w:bCs/>
      <w:sz w:val="38"/>
      <w:szCs w:val="38"/>
      <w:lang w:val="en-US" w:eastAsia="en-US" w:bidi="ar-SA"/>
    </w:rPr>
  </w:style>
  <w:style w:styleId="ListParagraph" w:type="paragraph">
    <w:name w:val="List Paragraph"/>
    <w:basedOn w:val="Normal"/>
    <w:uiPriority w:val="1"/>
    <w:qFormat/>
    <w:pPr>
      <w:ind w:left="1217" w:hanging="457"/>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www.who.int/reproductivehealth/topics/" TargetMode="Externa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hyperlink" Target="http://www.translifeline.org/" TargetMode="External"/><Relationship Id="rId21" Type="http://schemas.openxmlformats.org/officeDocument/2006/relationships/hyperlink" Target="http://www.thetrevorproject.org/" TargetMode="External"/><Relationship Id="rId22" Type="http://schemas.openxmlformats.org/officeDocument/2006/relationships/hyperlink" Target="http://www.suicidestop.com/call_a_hotline.html" TargetMode="External"/><Relationship Id="rId23" Type="http://schemas.openxmlformats.org/officeDocument/2006/relationships/hyperlink" Target="http://www.glaad.org/" TargetMode="External"/><Relationship Id="rId24" Type="http://schemas.openxmlformats.org/officeDocument/2006/relationships/hyperlink" Target="http://www.nami.org/" TargetMode="External"/><Relationship Id="rId25" Type="http://schemas.openxmlformats.org/officeDocument/2006/relationships/hyperlink" Target="http://www.genderspectrum.org/" TargetMode="External"/><Relationship Id="rId26" Type="http://schemas.openxmlformats.org/officeDocument/2006/relationships/hyperlink" Target="http://www.wpath.org/" TargetMode="External"/><Relationship Id="rId27" Type="http://schemas.openxmlformats.org/officeDocument/2006/relationships/hyperlink" Target="http://www.rainn.org/" TargetMode="External"/><Relationship Id="rId28" Type="http://schemas.openxmlformats.org/officeDocument/2006/relationships/hyperlink" Target="http://www.thehotline.org/" TargetMode="External"/><Relationship Id="rId29" Type="http://schemas.openxmlformats.org/officeDocument/2006/relationships/hyperlink" Target="http://www.ncadv.org/" TargetMode="Externa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hyperlink" Target="http://www.samhsa.gov/data/report/LGB-Behavioral-Health-Report-2021-2022" TargetMode="External"/><Relationship Id="rId33" Type="http://schemas.openxmlformats.org/officeDocument/2006/relationships/hyperlink" Target="mailto:CBHSQrequest@samhsa.hhs.gov" TargetMode="External"/><Relationship Id="rId34" Type="http://schemas.openxmlformats.org/officeDocument/2006/relationships/footer" Target="footer4.xml"/><Relationship Id="rId35" Type="http://schemas.openxmlformats.org/officeDocument/2006/relationships/image" Target="media/image14.jpeg"/><Relationship Id="rId36" Type="http://schemas.openxmlformats.org/officeDocument/2006/relationships/footer" Target="footer5.xml"/><Relationship Id="rId37" Type="http://schemas.openxmlformats.org/officeDocument/2006/relationships/image" Target="media/image15.jpeg"/><Relationship Id="rId38" Type="http://schemas.openxmlformats.org/officeDocument/2006/relationships/footer" Target="footer6.xml"/><Relationship Id="rId39" Type="http://schemas.openxmlformats.org/officeDocument/2006/relationships/image" Target="media/image16.jpeg"/><Relationship Id="rId40" Type="http://schemas.openxmlformats.org/officeDocument/2006/relationships/footer" Target="footer7.xml"/><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image" Target="media/image20.jpeg"/><Relationship Id="rId45" Type="http://schemas.openxmlformats.org/officeDocument/2006/relationships/hyperlink" Target="http://www.samhsa.gov/" TargetMode="External"/><Relationship Id="rId46" Type="http://schemas.openxmlformats.org/officeDocument/2006/relationships/hyperlink" Target="http://www/" TargetMode="External"/><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png"/><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image" Target="media/image36.png"/><Relationship Id="rId63" Type="http://schemas.openxmlformats.org/officeDocument/2006/relationships/image" Target="media/image37.png"/><Relationship Id="rId64" Type="http://schemas.openxmlformats.org/officeDocument/2006/relationships/image" Target="media/image38.png"/><Relationship Id="rId65" Type="http://schemas.openxmlformats.org/officeDocument/2006/relationships/image" Target="media/image39.png"/><Relationship Id="rId66" Type="http://schemas.openxmlformats.org/officeDocument/2006/relationships/image" Target="media/image40.png"/><Relationship Id="rId67" Type="http://schemas.openxmlformats.org/officeDocument/2006/relationships/image" Target="media/image41.png"/><Relationship Id="rId68" Type="http://schemas.openxmlformats.org/officeDocument/2006/relationships/image" Target="media/image42.png"/><Relationship Id="rId69" Type="http://schemas.openxmlformats.org/officeDocument/2006/relationships/image" Target="media/image43.png"/><Relationship Id="rId70" Type="http://schemas.openxmlformats.org/officeDocument/2006/relationships/image" Target="media/image44.png"/><Relationship Id="rId71" Type="http://schemas.openxmlformats.org/officeDocument/2006/relationships/image" Target="media/image45.png"/><Relationship Id="rId72" Type="http://schemas.openxmlformats.org/officeDocument/2006/relationships/image" Target="media/image46.png"/><Relationship Id="rId73" Type="http://schemas.openxmlformats.org/officeDocument/2006/relationships/image" Target="media/image47.png"/><Relationship Id="rId74" Type="http://schemas.openxmlformats.org/officeDocument/2006/relationships/hyperlink" Target="http://www.columbiapsychiatry.org/news/" TargetMode="External"/><Relationship Id="rId75" Type="http://schemas.openxmlformats.org/officeDocument/2006/relationships/hyperlink" Target="http://www.wpath.org/publications/soc" TargetMode="External"/><Relationship Id="rId76" Type="http://schemas.openxmlformats.org/officeDocument/2006/relationships/hyperlink" Target="http://www.pathsremembered.org/gender-diverse/" TargetMode="External"/><Relationship Id="rId77" Type="http://schemas.openxmlformats.org/officeDocument/2006/relationships/hyperlink" Target="http://www.tandfonline.com/doi/pdf/" TargetMode="External"/><Relationship Id="rId78" Type="http://schemas.openxmlformats.org/officeDocument/2006/relationships/hyperlink" Target="http://www.ohchr.org/en/issues/sexualorienta" TargetMode="External"/><Relationship Id="rId79" Type="http://schemas.openxmlformats.org/officeDocument/2006/relationships/hyperlink" Target="http://www.whitehouse.gov/briefingroom/presidentialactions/" TargetMode="External"/><Relationship Id="rId80" Type="http://schemas.openxmlformats.org/officeDocument/2006/relationships/hyperlink" Target="http://www.whitehouse.gov/briefingroom/presidentialactions/2021/01/20/" TargetMode="External"/><Relationship Id="rId81" Type="http://schemas.openxmlformats.org/officeDocument/2006/relationships/hyperlink" Target="http://www.apa.org/" TargetMode="External"/><Relationship Id="rId82" Type="http://schemas.openxmlformats.org/officeDocument/2006/relationships/hyperlink" Target="http://www.apa.org/about/policy/resolutionsexual-" TargetMode="External"/><Relationship Id="rId83" Type="http://schemas.openxmlformats.org/officeDocument/2006/relationships/hyperlink" Target="http://www.apa.org/pi/lgbt/" TargetMode="External"/><Relationship Id="rId84" Type="http://schemas.openxmlformats.org/officeDocument/2006/relationships/hyperlink" Target="http://www.pewresearch.org/socialtrends/2013/06/13/chapter-3-the-" TargetMode="External"/><Relationship Id="rId85" Type="http://schemas.openxmlformats.org/officeDocument/2006/relationships/hyperlink" Target="http://www.pewresearch.org/" TargetMode="External"/><Relationship Id="rId86" Type="http://schemas.openxmlformats.org/officeDocument/2006/relationships/hyperlink" Target="http://www.federalregister.gov/d/202302826/page-8876" TargetMode="External"/><Relationship Id="rId87" Type="http://schemas.openxmlformats.org/officeDocument/2006/relationships/hyperlink" Target="http://www.glsen.org/research/2019-nationalschool-climate-survey" TargetMode="External"/><Relationship Id="rId88" Type="http://schemas.openxmlformats.org/officeDocument/2006/relationships/hyperlink" Target="http://www.apa.org/about/policy/sexualorientation" TargetMode="External"/><Relationship Id="rId89" Type="http://schemas.openxmlformats.org/officeDocument/2006/relationships/hyperlink" Target="http://www.apa.org/ethics/code/ethics-" TargetMode="External"/><Relationship Id="rId90" Type="http://schemas.openxmlformats.org/officeDocument/2006/relationships/hyperlink" Target="http://www.socialworkers.org/About/Ethics/C" TargetMode="External"/><Relationship Id="rId91" Type="http://schemas.openxmlformats.org/officeDocument/2006/relationships/hyperlink" Target="http://www.counseling.org/docs/" TargetMode="External"/><Relationship Id="rId92" Type="http://schemas.openxmlformats.org/officeDocument/2006/relationships/hyperlink" Target="http://dx.doi.org/10.2139/ssrn.4180724" TargetMode="External"/><Relationship Id="rId93" Type="http://schemas.openxmlformats.org/officeDocument/2006/relationships/hyperlink" Target="http://www.glsen.org/research/2013-nationalschool-climate-survey" TargetMode="External"/><Relationship Id="rId94" Type="http://schemas.openxmlformats.org/officeDocument/2006/relationships/hyperlink" Target="http://www.hhs.gov/ohrp/regulations-andpolicy/" TargetMode="External"/><Relationship Id="rId95" Type="http://schemas.openxmlformats.org/officeDocument/2006/relationships/hyperlink" Target="http://www.aacap.org/aacap/Policy_Stateme" TargetMode="External"/><Relationship Id="rId96" Type="http://schemas.openxmlformats.org/officeDocument/2006/relationships/hyperlink" Target="http://www.census.gov/programssurveys/" TargetMode="External"/><Relationship Id="rId97" Type="http://schemas.openxmlformats.org/officeDocument/2006/relationships/hyperlink" Target="http://doi.org/" TargetMode="External"/><Relationship Id="rId98" Type="http://schemas.openxmlformats.org/officeDocument/2006/relationships/hyperlink" Target="http://www.apa.org/about/policy/" TargetMode="External"/><Relationship Id="rId99" Type="http://schemas.openxmlformats.org/officeDocument/2006/relationships/hyperlink" Target="http://www.psychiatrictimes.com/view/thetrauma-" TargetMode="External"/><Relationship Id="rId100" Type="http://schemas.openxmlformats.org/officeDocument/2006/relationships/hyperlink" Target="http://www.columbiapsychiatry.org/news/ge" TargetMode="External"/><Relationship Id="rId101" Type="http://schemas.openxmlformats.org/officeDocument/2006/relationships/hyperlink" Target="http://www.aamc.org/" TargetMode="External"/><Relationship Id="rId102" Type="http://schemas.openxmlformats.org/officeDocument/2006/relationships/hyperlink" Target="http://www.hhs.gov/sites/default/files/surgeo" TargetMode="External"/><Relationship Id="rId103" Type="http://schemas.openxmlformats.org/officeDocument/2006/relationships/hyperlink" Target="http://www.federalregister.gov/documents/2" TargetMode="External"/><Relationship Id="rId104" Type="http://schemas.openxmlformats.org/officeDocument/2006/relationships/hyperlink" Target="http://www.hhs.gov/programs/topicsites/" TargetMode="External"/><Relationship Id="rId105" Type="http://schemas.openxmlformats.org/officeDocument/2006/relationships/hyperlink" Target="http://www.hhs.gov/about/news/" TargetMode="External"/><Relationship Id="rId106" Type="http://schemas.openxmlformats.org/officeDocument/2006/relationships/hyperlink" Target="http://www.acf.hhs.gov/cb/policyguidance/im-22-01" TargetMode="External"/><Relationship Id="rId107" Type="http://schemas.openxmlformats.org/officeDocument/2006/relationships/hyperlink" Target="http://www.hhs.gov/sites/default/files/hhsocr-" TargetMode="External"/><Relationship Id="rId108" Type="http://schemas.openxmlformats.org/officeDocument/2006/relationships/hyperlink" Target="http://www.lgbtmap.org/equalitymaps/" TargetMode="External"/><Relationship Id="rId109" Type="http://schemas.openxmlformats.org/officeDocument/2006/relationships/hyperlink" Target="http://www.congress.gov/bill/117thcongress/house-bill/2328?s=1&amp;r=85" TargetMode="External"/><Relationship Id="rId1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hiltibran</dc:creator>
  <dc:title>Human-Sexuality-CE-Course-revised-2023 Final copy</dc:title>
  <dcterms:created xsi:type="dcterms:W3CDTF">2023-07-04T00:08:31Z</dcterms:created>
  <dcterms:modified xsi:type="dcterms:W3CDTF">2023-07-04T00:08:31Z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2023-07-03T00:00:00Z</vt:filetime>
  </property>
  <property fmtid="{D5CDD505-2E9C-101B-9397-08002B2CF9AE}" pid="3" name="Creator">
    <vt:lpwstr>Pages</vt:lpwstr>
  </property>
  <property fmtid="{D5CDD505-2E9C-101B-9397-08002B2CF9AE}" pid="4" name="LastSaved">
    <vt:filetime>2023-07-04T00:00:00Z</vt:filetime>
  </property>
  <property fmtid="{D5CDD505-2E9C-101B-9397-08002B2CF9AE}" pid="5" name="Producer">
    <vt:lpwstr>macOS Version 13.2.1 (Build 22D68) Quartz PDFContext</vt:lpwstr>
  </property>
</Properties>
</file>